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January 26,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399"/>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4160" w:type="dxa"/>
            <w:vAlign w:val="bottom"/>
          </w:tcPr>
          <w:p>
            <w:pPr>
              <w:jc w:val="center"/>
              <w:ind w:right="237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79"/>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89"/>
              </w:rPr>
              <w:t>301 Commerce Street, Suite 3300</w:t>
            </w:r>
          </w:p>
        </w:tc>
        <w:tc>
          <w:tcPr>
            <w:tcW w:w="238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60" w:type="dxa"/>
            <w:vAlign w:val="bottom"/>
          </w:tcPr>
          <w:p>
            <w:pPr>
              <w:jc w:val="center"/>
              <w:ind w:left="1219"/>
              <w:spacing w:after="0"/>
              <w:rPr>
                <w:sz w:val="20"/>
                <w:szCs w:val="20"/>
                <w:color w:val="auto"/>
              </w:rPr>
            </w:pPr>
            <w:r>
              <w:rPr>
                <w:rFonts w:ascii="Arial" w:cs="Arial" w:eastAsia="Arial" w:hAnsi="Arial"/>
                <w:sz w:val="18"/>
                <w:szCs w:val="18"/>
                <w:b w:val="1"/>
                <w:bCs w:val="1"/>
                <w:color w:val="auto"/>
                <w:w w:val="97"/>
              </w:rPr>
              <w:t>Fort Worth, TX</w:t>
            </w:r>
          </w:p>
        </w:tc>
        <w:tc>
          <w:tcPr>
            <w:tcW w:w="238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416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 Entry into a Material Definitive Agreement</w:t>
      </w:r>
    </w:p>
    <w:p>
      <w:pPr>
        <w:spacing w:after="0" w:line="121" w:lineRule="exact"/>
        <w:rPr>
          <w:sz w:val="20"/>
          <w:szCs w:val="20"/>
          <w:color w:val="auto"/>
        </w:rPr>
      </w:pPr>
    </w:p>
    <w:p>
      <w:pPr>
        <w:jc w:val="both"/>
        <w:ind w:right="520" w:firstLine="456"/>
        <w:spacing w:after="0" w:line="297" w:lineRule="auto"/>
        <w:rPr>
          <w:sz w:val="20"/>
          <w:szCs w:val="20"/>
          <w:color w:val="auto"/>
        </w:rPr>
      </w:pPr>
      <w:r>
        <w:rPr>
          <w:rFonts w:ascii="Arial" w:cs="Arial" w:eastAsia="Arial" w:hAnsi="Arial"/>
          <w:sz w:val="16"/>
          <w:szCs w:val="16"/>
          <w:color w:val="auto"/>
        </w:rPr>
        <w:t>On February 1, 2017, in connection with a previously announced private offering, TPG Specialty Lending (“the Company”), issued $100 million aggregate principal amount of 4.50% Convertible Senior Notes due 2022 (the “Convertible Senior Notes”). The Convertible Senior Notes were issued pursuant to an Indenture, dated February 1, 2017 (the “Indenture”), between the Company and Wells Fargo Bank, National Association, as trustee (the “Trustee”). The sale of the Convertible Senior Notes generated net proceeds of approximately $96.0 million. Aggregate estimated offering expenses in connection with the transaction, including the initial purchasers’ discount of approximately $2.8 million, were approximately $4.0 million.</w:t>
      </w:r>
    </w:p>
    <w:p>
      <w:pPr>
        <w:spacing w:after="0" w:line="158"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On February 1, 2017 the initial purchasers notified the Company that they exercised in full the over-allotment option to purchase an additional $15 million aggregate principal amount of the Convertible Senior Notes (the “Additional Convertible Senior Notes”) granted in connection with the offering. Subject to customary closing conditions, the Additional Convertible Senior Notes are expected to be delivered and paid for on February 3, 2017.</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today used the net proceeds of this offering to pay down debt under its revolving credit facility.</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Convertible Senior Notes mature on August 1, 2022 (the “Maturity Date”), unless previously converted or repurchased in accordance with their terms. The Convertible Senior Notes bear interest at a rate of 4.50% per year payable semiannually in arrears on February 1 and August 1 of each year, commencing on August 1, 2017. The Convertible Senior Notes are the Company’s senior unsecured obligations and rank senior in right of payment to the Company’s future indebtedness that is expressly subordinated in right of payment to the Convertible Senior Notes; equal in right of payment to the Company’s existing and future indebtedness that is not so subordinated; effectively junior in right of payment to any of the Company’s secured indebtedness (including existing unsecured indebtedness that the Company later secures) to the extent of the value of the assets securing such indebtedness; and structurally junior to all existing and future indebtedness (including trade payables) incurred by the Company’s subsidiaries, financing vehicles or similar facilities.</w:t>
      </w:r>
    </w:p>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Prior to the close of business on the business day immediately preceding February 1, 2022, holders may convert their Convertible Senior Notes only under certain circumstances set forth in the Indenture. On or after February 1, 2022 until the close of business on the scheduled trading day immediately preceding the Maturity Date, holders may convert their Convertible Senior Notes at any time. Upon conversion, the Company will pay or deliver, as the case may be, at its election, cash, shares of its common stock or a combination of cash and shares of its common stock. The conversion rate is initially 46.8516 shares of common stock per $1,000 principal amount of Convertible Senior Notes (equivalent to an initial conversion price of approximately $21.34 per share of common stock). The conversion rate will be subject to adjustment in some events but will not be adjusted for any accrued and unpaid interest. In addition, if certain corporate events occur prior to the Maturity Date, the conversion rate will be increased for converting holders.</w:t>
      </w:r>
    </w:p>
    <w:p>
      <w:pPr>
        <w:spacing w:after="0" w:line="16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It is the Company’s current intent and policy to settle conversions through a combination of cash and shares of its common stock with a specified dollar amount of $1,000, and the Company expects to account for the Convertible Senior Notes using the treasury stock method, the effect of which is that the shares issuable upon conversion of the Convertible Senior Notes are not included in the calculation of diluted earnings per share except to the extent that the conversion value of the Convertible Senior Notes exceeds their principal amount.</w:t>
      </w:r>
    </w:p>
    <w:p>
      <w:pPr>
        <w:spacing w:after="0" w:line="18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The Company may not redeem the Convertible Senior Notes at its option prior to maturity. No sinking fund is provided for the Convertible Senior Notes. In addition, if certain corporate events occur in respect of the Company, holders of the Convertible Senior Notes may require the Company to repurchase for cash all or part of their Convertible Senior Notes at a repurchase price equal to 100% of the principal amount of the Convertible Senior Notes to be repurchased, plus accrued and unpaid interest through, but excluding, the required repurchase date.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contains certain covenants, including covenants requiring the Company to comply with Section 18(a)(1)(A) as modified by Section 61(a)</w:t>
      </w:r>
    </w:p>
    <w:p>
      <w:pPr>
        <w:spacing w:after="0" w:line="46" w:lineRule="exact"/>
        <w:rPr>
          <w:sz w:val="20"/>
          <w:szCs w:val="20"/>
          <w:color w:val="auto"/>
        </w:rPr>
      </w:pPr>
    </w:p>
    <w:p>
      <w:pPr>
        <w:ind w:right="100" w:firstLine="8"/>
        <w:spacing w:after="0" w:line="255"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of the Investment Company Act of 1940, as amended, and to provide financial information to the holders of the Convertible Senior Notes and the Trustee if the Company ceases to be subject to the reporting requirements of the Securities Exchange Act of 1934, as amended. These covenants are subject to important limitations and exceptions that are described in the Indenture.</w:t>
      </w:r>
    </w:p>
    <w:p>
      <w:pPr>
        <w:sectPr>
          <w:pgSz w:w="11900" w:h="16838" w:orient="portrait"/>
          <w:cols w:equalWidth="0" w:num="1">
            <w:col w:w="11420"/>
          </w:cols>
          <w:pgMar w:left="240" w:top="270" w:right="239" w:bottom="1440" w:gutter="0" w:footer="0" w:header="0"/>
        </w:sectPr>
      </w:pPr>
    </w:p>
    <w:bookmarkStart w:id="2" w:name="page3"/>
    <w:bookmarkEnd w:id="2"/>
    <w:p>
      <w:pPr>
        <w:ind w:firstLine="456"/>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offered and sold the Convertible Senior Notes to the initial purchasers in reliance on the exemption from registration provided by Section 4(a)(2) of the Securities Act of 1933, as amended (the “Securities Act”), for resale by the initial purchasers to qualified institutional buyers (as defined in the Securities Act) pursuant to the exemption from registration provided by Rule 144A under the Securities Act. The Company relied on these exemptions from registration based in part on representations made by the initial purchasers in the purchase agreement executed in connection with the sale of the Convertible Senior Notes, filed as an exhibit hereto.</w:t>
      </w:r>
    </w:p>
    <w:p>
      <w:pPr>
        <w:spacing w:after="0" w:line="188"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foregoing description of the Indenture and the Convertible Senior Notes does not purport to be complete and is qualified in its entirety by reference to the full text of the Indenture (including the Form of the 4.50% Convertible Senior Notes due 2022), filed as an exhibit hereto and incorporated by reference herein.</w:t>
      </w:r>
    </w:p>
    <w:p>
      <w:pPr>
        <w:spacing w:after="0" w:line="18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Neither the Convertible Senior Notes nor the common stock that may be issued upon conversion thereof will be registered under the Securities Act. Neither the Convertible Senior Notes nor the common stock that may be issued upon conversion thereof may be offered or sold in the United States absent registration or an applicable exemption from the registration requirements of the Securities Act. This Current Report on Form 8-K does not constitute an offer to sell, or a solicitation of an offer to buy, any security and shall not constitute an offer, solicitation or sale in any jurisdiction in which such offer, solicitation or sale would be unlawful.</w:t>
      </w:r>
    </w:p>
    <w:p>
      <w:pPr>
        <w:spacing w:after="0" w:line="292" w:lineRule="exact"/>
        <w:rPr>
          <w:sz w:val="20"/>
          <w:szCs w:val="20"/>
          <w:color w:val="auto"/>
        </w:rPr>
      </w:pPr>
    </w:p>
    <w:p>
      <w:pPr>
        <w:ind w:right="1540"/>
        <w:spacing w:after="0" w:line="407" w:lineRule="auto"/>
        <w:rPr>
          <w:sz w:val="20"/>
          <w:szCs w:val="20"/>
          <w:color w:val="auto"/>
        </w:rPr>
      </w:pPr>
      <w:r>
        <w:rPr>
          <w:rFonts w:ascii="Arial" w:cs="Arial" w:eastAsia="Arial" w:hAnsi="Arial"/>
          <w:sz w:val="18"/>
          <w:szCs w:val="18"/>
          <w:b w:val="1"/>
          <w:bCs w:val="1"/>
          <w:color w:val="auto"/>
        </w:rPr>
        <w:t xml:space="preserve">Item 2.03 – Creation of a Direct Financial Obligation or an Obligation Under an Off-Balance Sheet Arrangement of a Registrant </w:t>
      </w:r>
      <w:r>
        <w:rPr>
          <w:rFonts w:ascii="Arial" w:cs="Arial" w:eastAsia="Arial" w:hAnsi="Arial"/>
          <w:sz w:val="18"/>
          <w:szCs w:val="18"/>
          <w:color w:val="auto"/>
        </w:rPr>
        <w:t>The information set forth under Item 1.01 of this Form 8-K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 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1.01 of this Form 8-K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20" w:type="dxa"/>
            <w:vAlign w:val="bottom"/>
          </w:tcPr>
          <w:p>
            <w:pPr>
              <w:spacing w:after="0"/>
              <w:rPr>
                <w:sz w:val="14"/>
                <w:szCs w:val="14"/>
                <w:color w:val="auto"/>
              </w:rPr>
            </w:pPr>
          </w:p>
        </w:tc>
      </w:tr>
      <w:tr>
        <w:trPr>
          <w:trHeight w:val="171"/>
        </w:trPr>
        <w:tc>
          <w:tcPr>
            <w:tcW w:w="52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w w:val="94"/>
              </w:rPr>
              <w:t>Number</w:t>
            </w:r>
          </w:p>
        </w:tc>
        <w:tc>
          <w:tcPr>
            <w:tcW w:w="5420" w:type="dxa"/>
            <w:vAlign w:val="bottom"/>
          </w:tcPr>
          <w:p>
            <w:pPr>
              <w:spacing w:after="0"/>
              <w:rPr>
                <w:sz w:val="14"/>
                <w:szCs w:val="14"/>
                <w:color w:val="auto"/>
              </w:rPr>
            </w:pPr>
          </w:p>
        </w:tc>
        <w:tc>
          <w:tcPr>
            <w:tcW w:w="4940" w:type="dxa"/>
            <w:vAlign w:val="bottom"/>
            <w:gridSpan w:val="2"/>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r>
      <w:tr>
        <w:trPr>
          <w:trHeight w:val="305"/>
        </w:trPr>
        <w:tc>
          <w:tcPr>
            <w:tcW w:w="520" w:type="dxa"/>
            <w:vAlign w:val="bottom"/>
          </w:tcPr>
          <w:p>
            <w:pPr>
              <w:spacing w:after="0"/>
              <w:rPr>
                <w:sz w:val="20"/>
                <w:szCs w:val="20"/>
                <w:color w:val="auto"/>
              </w:rPr>
            </w:pPr>
            <w:r>
              <w:rPr>
                <w:rFonts w:ascii="Arial" w:cs="Arial" w:eastAsia="Arial" w:hAnsi="Arial"/>
                <w:sz w:val="18"/>
                <w:szCs w:val="18"/>
                <w:color w:val="auto"/>
              </w:rPr>
              <w:t>4.1</w:t>
            </w:r>
          </w:p>
        </w:tc>
        <w:tc>
          <w:tcPr>
            <w:tcW w:w="10360" w:type="dxa"/>
            <w:vAlign w:val="bottom"/>
            <w:gridSpan w:val="3"/>
          </w:tcPr>
          <w:p>
            <w:pPr>
              <w:ind w:left="640"/>
              <w:spacing w:after="0"/>
              <w:rPr>
                <w:sz w:val="20"/>
                <w:szCs w:val="20"/>
                <w:color w:val="auto"/>
              </w:rPr>
            </w:pPr>
            <w:r>
              <w:rPr>
                <w:rFonts w:ascii="Arial" w:cs="Arial" w:eastAsia="Arial" w:hAnsi="Arial"/>
                <w:sz w:val="18"/>
                <w:szCs w:val="18"/>
                <w:color w:val="auto"/>
                <w:w w:val="90"/>
              </w:rPr>
              <w:t>Indenture, dated as of February 1, 2017, between TPG Specialty Lending, Inc. and Wells Fargo Bank, National Association, as Trustee</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4.2</w:t>
            </w:r>
          </w:p>
        </w:tc>
        <w:tc>
          <w:tcPr>
            <w:tcW w:w="10360" w:type="dxa"/>
            <w:vAlign w:val="bottom"/>
            <w:gridSpan w:val="3"/>
          </w:tcPr>
          <w:p>
            <w:pPr>
              <w:ind w:left="640"/>
              <w:spacing w:after="0"/>
              <w:rPr>
                <w:sz w:val="20"/>
                <w:szCs w:val="20"/>
                <w:color w:val="auto"/>
              </w:rPr>
            </w:pPr>
            <w:r>
              <w:rPr>
                <w:rFonts w:ascii="Arial" w:cs="Arial" w:eastAsia="Arial" w:hAnsi="Arial"/>
                <w:sz w:val="18"/>
                <w:szCs w:val="18"/>
                <w:color w:val="auto"/>
              </w:rPr>
              <w:t>Form of 4.50% Convertible Senior Note Due 2022 (included as part of Exhibit 4.1)</w:t>
            </w:r>
          </w:p>
        </w:tc>
      </w:tr>
    </w:tbl>
    <w:p>
      <w:pPr>
        <w:sectPr>
          <w:pgSz w:w="11900" w:h="16838" w:orient="portrait"/>
          <w:cols w:equalWidth="0" w:num="1">
            <w:col w:w="11400"/>
          </w:cols>
          <w:pgMar w:left="240" w:top="274" w:right="25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30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30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February 1, 2017</w:t>
      </w:r>
      <w:r>
        <w:rPr>
          <w:sz w:val="20"/>
          <w:szCs w:val="20"/>
          <w:color w:val="auto"/>
        </w:rPr>
        <w:tab/>
      </w:r>
      <w:r>
        <w:rPr>
          <w:rFonts w:ascii="Arial" w:cs="Arial" w:eastAsia="Arial" w:hAnsi="Arial"/>
          <w:sz w:val="16"/>
          <w:szCs w:val="16"/>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0"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274" w:right="379" w:bottom="1440" w:gutter="0" w:footer="0" w:header="0"/>
        </w:sectPr>
      </w:pPr>
    </w:p>
    <w:bookmarkStart w:id="4" w:name="page5"/>
    <w:bookmarkEnd w:id="4"/>
    <w:p>
      <w:pPr>
        <w:spacing w:after="0" w:line="200" w:lineRule="exact"/>
        <w:rPr>
          <w:sz w:val="20"/>
          <w:szCs w:val="20"/>
          <w:color w:val="auto"/>
        </w:rPr>
      </w:pPr>
    </w:p>
    <w:p>
      <w:pPr>
        <w:spacing w:after="0" w:line="25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Number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4.1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br w:type="column"/>
      </w:r>
    </w:p>
    <w:p>
      <w:pPr>
        <w:jc w:val="center"/>
        <w:ind w:right="620"/>
        <w:spacing w:after="0"/>
        <w:rPr>
          <w:sz w:val="20"/>
          <w:szCs w:val="20"/>
          <w:color w:val="auto"/>
        </w:rPr>
      </w:pPr>
      <w:r>
        <w:rPr>
          <w:rFonts w:ascii="Arial" w:cs="Arial" w:eastAsia="Arial" w:hAnsi="Arial"/>
          <w:sz w:val="18"/>
          <w:szCs w:val="18"/>
          <w:u w:val="single" w:color="auto"/>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-215900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99" w:lineRule="exact"/>
        <w:rPr>
          <w:sz w:val="20"/>
          <w:szCs w:val="20"/>
          <w:color w:val="auto"/>
        </w:rPr>
      </w:pPr>
    </w:p>
    <w:p>
      <w:pPr>
        <w:ind w:left="4780"/>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line="402" w:lineRule="auto"/>
        <w:rPr>
          <w:sz w:val="20"/>
          <w:szCs w:val="20"/>
          <w:color w:val="auto"/>
        </w:rPr>
      </w:pPr>
      <w:r>
        <w:rPr>
          <w:rFonts w:ascii="Arial" w:cs="Arial" w:eastAsia="Arial" w:hAnsi="Arial"/>
          <w:sz w:val="18"/>
          <w:szCs w:val="18"/>
          <w:color w:val="auto"/>
        </w:rPr>
        <w:t>Indenture, dated as of February 1, 2017, between TPG Specialty Lending, Inc. and Wells Fargo Bank, National Association, as Trustee Form of 4.50% Convertible Senior Note Due 2022 (included as part of Exhibit 4.1)</w:t>
      </w:r>
    </w:p>
    <w:p>
      <w:pPr>
        <w:sectPr>
          <w:pgSz w:w="11900" w:h="16838" w:orient="portrait"/>
          <w:cols w:equalWidth="0" w:num="2">
            <w:col w:w="520" w:space="640"/>
            <w:col w:w="9720"/>
          </w:cols>
          <w:pgMar w:left="240" w:top="274" w:right="7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u w:val="single" w:color="auto"/>
          <w:color w:val="auto"/>
        </w:rPr>
        <w:t>Execution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WELLS FARGO BANK, NATIONAL ASSOCIATION,</w:t>
      </w:r>
    </w:p>
    <w:p>
      <w:pPr>
        <w:spacing w:after="0" w:line="23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February 1, 2017</w:t>
      </w:r>
    </w:p>
    <w:p>
      <w:pPr>
        <w:spacing w:after="0" w:line="225"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4.50% Convertible Senior Notes due 2022</w:t>
      </w:r>
    </w:p>
    <w:p>
      <w:pPr>
        <w:sectPr>
          <w:pgSz w:w="11900" w:h="16838" w:orient="portrait"/>
          <w:cols w:equalWidth="0" w:num="1">
            <w:col w:w="10220"/>
          </w:cols>
          <w:pgMar w:left="1440" w:top="12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460" w:type="dxa"/>
            <w:vAlign w:val="bottom"/>
            <w:gridSpan w:val="2"/>
          </w:tcPr>
          <w:p>
            <w:pPr>
              <w:ind w:left="24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w w:val="98"/>
              </w:rPr>
              <w:t>P</w:t>
            </w:r>
            <w:r>
              <w:rPr>
                <w:rFonts w:ascii="Arial" w:cs="Arial" w:eastAsia="Arial" w:hAnsi="Arial"/>
                <w:sz w:val="11"/>
                <w:szCs w:val="11"/>
                <w:color w:val="auto"/>
                <w:w w:val="98"/>
              </w:rPr>
              <w:t>AGE</w:t>
            </w:r>
          </w:p>
        </w:tc>
        <w:tc>
          <w:tcPr>
            <w:tcW w:w="0" w:type="dxa"/>
            <w:vAlign w:val="bottom"/>
          </w:tcPr>
          <w:p>
            <w:pPr>
              <w:spacing w:after="0"/>
              <w:rPr>
                <w:sz w:val="1"/>
                <w:szCs w:val="1"/>
                <w:color w:val="auto"/>
              </w:rPr>
            </w:pPr>
          </w:p>
        </w:tc>
      </w:tr>
      <w:tr>
        <w:trPr>
          <w:trHeight w:val="431"/>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60" w:type="dxa"/>
            <w:vAlign w:val="bottom"/>
            <w:gridSpan w:val="2"/>
          </w:tcPr>
          <w:p>
            <w:pPr>
              <w:jc w:val="center"/>
              <w:ind w:right="4180"/>
              <w:spacing w:after="0"/>
              <w:rPr>
                <w:sz w:val="20"/>
                <w:szCs w:val="20"/>
                <w:color w:val="auto"/>
              </w:rPr>
            </w:pPr>
            <w:r>
              <w:rPr>
                <w:rFonts w:ascii="Arial" w:cs="Arial" w:eastAsia="Arial" w:hAnsi="Arial"/>
                <w:sz w:val="18"/>
                <w:szCs w:val="18"/>
                <w:color w:val="auto"/>
                <w:w w:val="96"/>
              </w:rPr>
              <w:t>ARTICLE 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6460" w:type="dxa"/>
            <w:vAlign w:val="bottom"/>
            <w:gridSpan w:val="2"/>
          </w:tcPr>
          <w:p>
            <w:pPr>
              <w:jc w:val="center"/>
              <w:ind w:right="4180"/>
              <w:spacing w:after="0"/>
              <w:rPr>
                <w:sz w:val="20"/>
                <w:szCs w:val="20"/>
                <w:color w:val="auto"/>
              </w:rPr>
            </w:pPr>
            <w:r>
              <w:rPr>
                <w:rFonts w:ascii="Arial" w:cs="Arial" w:eastAsia="Arial" w:hAnsi="Arial"/>
                <w:sz w:val="18"/>
                <w:szCs w:val="18"/>
                <w:color w:val="auto"/>
                <w:w w:val="98"/>
              </w:rPr>
              <w:t>D</w:t>
            </w:r>
            <w:r>
              <w:rPr>
                <w:rFonts w:ascii="Arial" w:cs="Arial" w:eastAsia="Arial" w:hAnsi="Arial"/>
                <w:sz w:val="15"/>
                <w:szCs w:val="15"/>
                <w:color w:val="auto"/>
                <w:w w:val="98"/>
              </w:rPr>
              <w:t>EFINITIONS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1.01.</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Definitions</w:t>
            </w: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1.02.</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References to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60" w:type="dxa"/>
            <w:vAlign w:val="bottom"/>
            <w:gridSpan w:val="2"/>
          </w:tcPr>
          <w:p>
            <w:pPr>
              <w:jc w:val="center"/>
              <w:ind w:right="4180"/>
              <w:spacing w:after="0"/>
              <w:rPr>
                <w:sz w:val="20"/>
                <w:szCs w:val="20"/>
                <w:color w:val="auto"/>
              </w:rPr>
            </w:pPr>
            <w:r>
              <w:rPr>
                <w:rFonts w:ascii="Arial" w:cs="Arial" w:eastAsia="Arial" w:hAnsi="Arial"/>
                <w:sz w:val="18"/>
                <w:szCs w:val="18"/>
                <w:color w:val="auto"/>
                <w:w w:val="96"/>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9720" w:type="dxa"/>
            <w:vAlign w:val="bottom"/>
            <w:gridSpan w:val="3"/>
          </w:tcPr>
          <w:p>
            <w:pPr>
              <w:jc w:val="center"/>
              <w:ind w:right="900"/>
              <w:spacing w:after="0"/>
              <w:rPr>
                <w:sz w:val="20"/>
                <w:szCs w:val="20"/>
                <w:color w:val="auto"/>
              </w:rPr>
            </w:pPr>
            <w:r>
              <w:rPr>
                <w:rFonts w:ascii="Arial" w:cs="Arial" w:eastAsia="Arial" w:hAnsi="Arial"/>
                <w:sz w:val="18"/>
                <w:szCs w:val="18"/>
                <w:color w:val="auto"/>
                <w:w w:val="95"/>
              </w:rPr>
              <w:t>I</w:t>
            </w:r>
            <w:r>
              <w:rPr>
                <w:rFonts w:ascii="Arial" w:cs="Arial" w:eastAsia="Arial" w:hAnsi="Arial"/>
                <w:sz w:val="15"/>
                <w:szCs w:val="15"/>
                <w:color w:val="auto"/>
                <w:w w:val="95"/>
              </w:rPr>
              <w:t>SSUE</w:t>
            </w:r>
            <w:r>
              <w:rPr>
                <w:rFonts w:ascii="Arial" w:cs="Arial" w:eastAsia="Arial" w:hAnsi="Arial"/>
                <w:sz w:val="18"/>
                <w:szCs w:val="18"/>
                <w:color w:val="auto"/>
                <w:w w:val="95"/>
              </w:rPr>
              <w:t>, D</w:t>
            </w:r>
            <w:r>
              <w:rPr>
                <w:rFonts w:ascii="Arial" w:cs="Arial" w:eastAsia="Arial" w:hAnsi="Arial"/>
                <w:sz w:val="15"/>
                <w:szCs w:val="15"/>
                <w:color w:val="auto"/>
                <w:w w:val="95"/>
              </w:rPr>
              <w:t>ESCRIPTION</w:t>
            </w:r>
            <w:r>
              <w:rPr>
                <w:rFonts w:ascii="Arial" w:cs="Arial" w:eastAsia="Arial" w:hAnsi="Arial"/>
                <w:sz w:val="18"/>
                <w:szCs w:val="18"/>
                <w:color w:val="auto"/>
                <w:w w:val="95"/>
              </w:rPr>
              <w:t>, E</w:t>
            </w:r>
            <w:r>
              <w:rPr>
                <w:rFonts w:ascii="Arial" w:cs="Arial" w:eastAsia="Arial" w:hAnsi="Arial"/>
                <w:sz w:val="15"/>
                <w:szCs w:val="15"/>
                <w:color w:val="auto"/>
                <w:w w:val="95"/>
              </w:rPr>
              <w:t>XECUTION</w:t>
            </w:r>
            <w:r>
              <w:rPr>
                <w:rFonts w:ascii="Arial" w:cs="Arial" w:eastAsia="Arial" w:hAnsi="Arial"/>
                <w:sz w:val="18"/>
                <w:szCs w:val="18"/>
                <w:color w:val="auto"/>
                <w:w w:val="95"/>
              </w:rPr>
              <w:t>, R</w:t>
            </w:r>
            <w:r>
              <w:rPr>
                <w:rFonts w:ascii="Arial" w:cs="Arial" w:eastAsia="Arial" w:hAnsi="Arial"/>
                <w:sz w:val="15"/>
                <w:szCs w:val="15"/>
                <w:color w:val="auto"/>
                <w:w w:val="95"/>
              </w:rPr>
              <w:t>EGISTRATION AND</w:t>
            </w:r>
            <w:r>
              <w:rPr>
                <w:rFonts w:ascii="Arial" w:cs="Arial" w:eastAsia="Arial" w:hAnsi="Arial"/>
                <w:sz w:val="18"/>
                <w:szCs w:val="18"/>
                <w:color w:val="auto"/>
                <w:w w:val="95"/>
              </w:rPr>
              <w:t xml:space="preserve"> E</w:t>
            </w:r>
            <w:r>
              <w:rPr>
                <w:rFonts w:ascii="Arial" w:cs="Arial" w:eastAsia="Arial" w:hAnsi="Arial"/>
                <w:sz w:val="15"/>
                <w:szCs w:val="15"/>
                <w:color w:val="auto"/>
                <w:w w:val="95"/>
              </w:rPr>
              <w:t>XCHANGE OF</w:t>
            </w:r>
            <w:r>
              <w:rPr>
                <w:rFonts w:ascii="Arial" w:cs="Arial" w:eastAsia="Arial" w:hAnsi="Arial"/>
                <w:sz w:val="18"/>
                <w:szCs w:val="18"/>
                <w:color w:val="auto"/>
                <w:w w:val="95"/>
              </w:rPr>
              <w:t xml:space="preserve"> N</w:t>
            </w:r>
            <w:r>
              <w:rPr>
                <w:rFonts w:ascii="Arial" w:cs="Arial" w:eastAsia="Arial" w:hAnsi="Arial"/>
                <w:sz w:val="15"/>
                <w:szCs w:val="15"/>
                <w:color w:val="auto"/>
                <w:w w:val="95"/>
              </w:rPr>
              <w:t>OTES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2.01.</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Designation and Amount</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2.02.</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Form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2.03.</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Date and Denomination of Notes; Payments of Interest and Defaulted Amounts</w:t>
            </w:r>
          </w:p>
        </w:tc>
        <w:tc>
          <w:tcPr>
            <w:tcW w:w="3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2.04.</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Execution, Authentication and Delivery of Notes</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2.05.</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Exchange and Registration of Transfer of Notes; Restrictions on Transfer; Depositary</w:t>
            </w:r>
          </w:p>
        </w:tc>
        <w:tc>
          <w:tcPr>
            <w:tcW w:w="3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2.06.</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Mutilated, Destroyed, Lost or Stolen Notes</w:t>
            </w: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2.07.</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Temporary Notes</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2.08.</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Cancellation of Notes Paid, Converted, Etc</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2.09.</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CUSIP Numbers</w:t>
            </w:r>
          </w:p>
        </w:tc>
        <w:tc>
          <w:tcPr>
            <w:tcW w:w="3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2.10.</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Additional Notes; Repurchases</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60" w:type="dxa"/>
            <w:vAlign w:val="bottom"/>
            <w:gridSpan w:val="2"/>
          </w:tcPr>
          <w:p>
            <w:pPr>
              <w:jc w:val="center"/>
              <w:ind w:right="4180"/>
              <w:spacing w:after="0"/>
              <w:rPr>
                <w:sz w:val="20"/>
                <w:szCs w:val="20"/>
                <w:color w:val="auto"/>
              </w:rPr>
            </w:pPr>
            <w:r>
              <w:rPr>
                <w:rFonts w:ascii="Arial" w:cs="Arial" w:eastAsia="Arial" w:hAnsi="Arial"/>
                <w:sz w:val="18"/>
                <w:szCs w:val="18"/>
                <w:color w:val="auto"/>
                <w:w w:val="96"/>
              </w:rPr>
              <w:t>ARTICLE 3</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9720" w:type="dxa"/>
            <w:vAlign w:val="bottom"/>
            <w:gridSpan w:val="3"/>
          </w:tcPr>
          <w:p>
            <w:pPr>
              <w:jc w:val="center"/>
              <w:ind w:right="900"/>
              <w:spacing w:after="0"/>
              <w:rPr>
                <w:sz w:val="20"/>
                <w:szCs w:val="20"/>
                <w:color w:val="auto"/>
              </w:rPr>
            </w:pPr>
            <w:r>
              <w:rPr>
                <w:rFonts w:ascii="Arial" w:cs="Arial" w:eastAsia="Arial" w:hAnsi="Arial"/>
                <w:sz w:val="18"/>
                <w:szCs w:val="18"/>
                <w:color w:val="auto"/>
                <w:w w:val="96"/>
              </w:rPr>
              <w:t>S</w:t>
            </w:r>
            <w:r>
              <w:rPr>
                <w:rFonts w:ascii="Arial" w:cs="Arial" w:eastAsia="Arial" w:hAnsi="Arial"/>
                <w:sz w:val="15"/>
                <w:szCs w:val="15"/>
                <w:color w:val="auto"/>
                <w:w w:val="96"/>
              </w:rPr>
              <w:t>ATISFACTION AND</w:t>
            </w:r>
            <w:r>
              <w:rPr>
                <w:rFonts w:ascii="Arial" w:cs="Arial" w:eastAsia="Arial" w:hAnsi="Arial"/>
                <w:sz w:val="18"/>
                <w:szCs w:val="18"/>
                <w:color w:val="auto"/>
                <w:w w:val="96"/>
              </w:rPr>
              <w:t xml:space="preserve"> D</w:t>
            </w:r>
            <w:r>
              <w:rPr>
                <w:rFonts w:ascii="Arial" w:cs="Arial" w:eastAsia="Arial" w:hAnsi="Arial"/>
                <w:sz w:val="15"/>
                <w:szCs w:val="15"/>
                <w:color w:val="auto"/>
                <w:w w:val="96"/>
              </w:rPr>
              <w:t>ISCHARGE</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0"/>
                <w:szCs w:val="20"/>
                <w:color w:val="auto"/>
              </w:rPr>
            </w:pPr>
            <w:r>
              <w:rPr>
                <w:rFonts w:ascii="Arial" w:cs="Arial" w:eastAsia="Arial" w:hAnsi="Arial"/>
                <w:sz w:val="18"/>
                <w:szCs w:val="18"/>
                <w:color w:val="auto"/>
              </w:rPr>
              <w:t>Section 3.01.</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Satisfaction and Discharge</w:t>
            </w: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6460" w:type="dxa"/>
            <w:vAlign w:val="bottom"/>
            <w:gridSpan w:val="2"/>
          </w:tcPr>
          <w:p>
            <w:pPr>
              <w:jc w:val="center"/>
              <w:ind w:right="4180"/>
              <w:spacing w:after="0"/>
              <w:rPr>
                <w:sz w:val="20"/>
                <w:szCs w:val="20"/>
                <w:color w:val="auto"/>
              </w:rPr>
            </w:pPr>
            <w:r>
              <w:rPr>
                <w:rFonts w:ascii="Arial" w:cs="Arial" w:eastAsia="Arial" w:hAnsi="Arial"/>
                <w:sz w:val="18"/>
                <w:szCs w:val="18"/>
                <w:color w:val="auto"/>
                <w:w w:val="96"/>
              </w:rPr>
              <w:t>ARTICLE 4</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9720" w:type="dxa"/>
            <w:vAlign w:val="bottom"/>
            <w:gridSpan w:val="3"/>
          </w:tcPr>
          <w:p>
            <w:pPr>
              <w:jc w:val="center"/>
              <w:ind w:right="900"/>
              <w:spacing w:after="0"/>
              <w:rPr>
                <w:sz w:val="20"/>
                <w:szCs w:val="20"/>
                <w:color w:val="auto"/>
              </w:rPr>
            </w:pPr>
            <w:r>
              <w:rPr>
                <w:rFonts w:ascii="Arial" w:cs="Arial" w:eastAsia="Arial" w:hAnsi="Arial"/>
                <w:sz w:val="18"/>
                <w:szCs w:val="18"/>
                <w:color w:val="auto"/>
                <w:w w:val="97"/>
              </w:rPr>
              <w:t>P</w:t>
            </w:r>
            <w:r>
              <w:rPr>
                <w:rFonts w:ascii="Arial" w:cs="Arial" w:eastAsia="Arial" w:hAnsi="Arial"/>
                <w:sz w:val="15"/>
                <w:szCs w:val="15"/>
                <w:color w:val="auto"/>
                <w:w w:val="97"/>
              </w:rPr>
              <w:t>ARTICULAR</w:t>
            </w:r>
            <w:r>
              <w:rPr>
                <w:rFonts w:ascii="Arial" w:cs="Arial" w:eastAsia="Arial" w:hAnsi="Arial"/>
                <w:sz w:val="18"/>
                <w:szCs w:val="18"/>
                <w:color w:val="auto"/>
                <w:w w:val="97"/>
              </w:rPr>
              <w:t xml:space="preserve"> C</w:t>
            </w:r>
            <w:r>
              <w:rPr>
                <w:rFonts w:ascii="Arial" w:cs="Arial" w:eastAsia="Arial" w:hAnsi="Arial"/>
                <w:sz w:val="15"/>
                <w:szCs w:val="15"/>
                <w:color w:val="auto"/>
                <w:w w:val="97"/>
              </w:rPr>
              <w:t>OVENANTS OF THE</w:t>
            </w:r>
            <w:r>
              <w:rPr>
                <w:rFonts w:ascii="Arial" w:cs="Arial" w:eastAsia="Arial" w:hAnsi="Arial"/>
                <w:sz w:val="18"/>
                <w:szCs w:val="18"/>
                <w:color w:val="auto"/>
                <w:w w:val="97"/>
              </w:rPr>
              <w:t xml:space="preserve"> C</w:t>
            </w:r>
            <w:r>
              <w:rPr>
                <w:rFonts w:ascii="Arial" w:cs="Arial" w:eastAsia="Arial" w:hAnsi="Arial"/>
                <w:sz w:val="15"/>
                <w:szCs w:val="15"/>
                <w:color w:val="auto"/>
                <w:w w:val="97"/>
              </w:rPr>
              <w:t>OMPANY</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1260" w:type="dxa"/>
            <w:vAlign w:val="bottom"/>
          </w:tcPr>
          <w:p>
            <w:pPr>
              <w:spacing w:after="0"/>
              <w:rPr>
                <w:sz w:val="20"/>
                <w:szCs w:val="20"/>
                <w:color w:val="auto"/>
              </w:rPr>
            </w:pPr>
            <w:r>
              <w:rPr>
                <w:rFonts w:ascii="Arial" w:cs="Arial" w:eastAsia="Arial" w:hAnsi="Arial"/>
                <w:sz w:val="18"/>
                <w:szCs w:val="18"/>
                <w:color w:val="auto"/>
              </w:rPr>
              <w:t>Section 4.01.</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Payment of Principal and Interest</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4.02.</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Maintenance of Office or Agency</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4.03.</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Appointments to Fill Vacancies in Trustee’s Office</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4.04.</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Provisions as to Paying Agent</w:t>
            </w:r>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4.05.</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Existence</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4.06.</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Rule 144A Information Requirement and Annual Reports</w:t>
            </w:r>
          </w:p>
        </w:tc>
        <w:tc>
          <w:tcPr>
            <w:tcW w:w="34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4.07.</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Investment Company Act</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4.08.</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Stay, Extension and Usury Laws</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Section 4.09.</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Statement as to Compliance</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Section 4.10.</w:t>
            </w:r>
          </w:p>
        </w:tc>
        <w:tc>
          <w:tcPr>
            <w:tcW w:w="9720" w:type="dxa"/>
            <w:vAlign w:val="bottom"/>
            <w:gridSpan w:val="3"/>
          </w:tcPr>
          <w:p>
            <w:pPr>
              <w:ind w:left="300"/>
              <w:spacing w:after="0"/>
              <w:rPr>
                <w:sz w:val="20"/>
                <w:szCs w:val="20"/>
                <w:color w:val="auto"/>
              </w:rPr>
            </w:pPr>
            <w:r>
              <w:rPr>
                <w:rFonts w:ascii="Arial" w:cs="Arial" w:eastAsia="Arial" w:hAnsi="Arial"/>
                <w:sz w:val="18"/>
                <w:szCs w:val="18"/>
                <w:i w:val="1"/>
                <w:iCs w:val="1"/>
                <w:color w:val="auto"/>
              </w:rPr>
              <w:t>Further Instruments and Acts</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5</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w:t>
      </w:r>
      <w:r>
        <w:rPr>
          <w:rFonts w:ascii="Arial" w:cs="Arial" w:eastAsia="Arial" w:hAnsi="Arial"/>
          <w:sz w:val="15"/>
          <w:szCs w:val="15"/>
          <w:color w:val="auto"/>
        </w:rPr>
        <w:t>ISTS OF</w:t>
      </w:r>
      <w:r>
        <w:rPr>
          <w:rFonts w:ascii="Arial" w:cs="Arial" w:eastAsia="Arial" w:hAnsi="Arial"/>
          <w:sz w:val="18"/>
          <w:szCs w:val="18"/>
          <w:color w:val="auto"/>
        </w:rPr>
        <w:t xml:space="preserve"> H</w:t>
      </w:r>
      <w:r>
        <w:rPr>
          <w:rFonts w:ascii="Arial" w:cs="Arial" w:eastAsia="Arial" w:hAnsi="Arial"/>
          <w:sz w:val="15"/>
          <w:szCs w:val="15"/>
          <w:color w:val="auto"/>
        </w:rPr>
        <w:t>OLDERS AND</w:t>
      </w:r>
      <w:r>
        <w:rPr>
          <w:rFonts w:ascii="Arial" w:cs="Arial" w:eastAsia="Arial" w:hAnsi="Arial"/>
          <w:sz w:val="18"/>
          <w:szCs w:val="18"/>
          <w:color w:val="auto"/>
        </w:rPr>
        <w:t xml:space="preserve"> R</w:t>
      </w:r>
      <w:r>
        <w:rPr>
          <w:rFonts w:ascii="Arial" w:cs="Arial" w:eastAsia="Arial" w:hAnsi="Arial"/>
          <w:sz w:val="15"/>
          <w:szCs w:val="15"/>
          <w:color w:val="auto"/>
        </w:rPr>
        <w:t>EPORTS BY THE</w:t>
      </w:r>
      <w:r>
        <w:rPr>
          <w:rFonts w:ascii="Arial" w:cs="Arial" w:eastAsia="Arial" w:hAnsi="Arial"/>
          <w:sz w:val="18"/>
          <w:szCs w:val="18"/>
          <w:color w:val="auto"/>
        </w:rPr>
        <w:t xml:space="preserve"> C</w:t>
      </w:r>
      <w:r>
        <w:rPr>
          <w:rFonts w:ascii="Arial" w:cs="Arial" w:eastAsia="Arial" w:hAnsi="Arial"/>
          <w:sz w:val="15"/>
          <w:szCs w:val="15"/>
          <w:color w:val="auto"/>
        </w:rPr>
        <w:t>OMPANY AND THE</w:t>
      </w:r>
      <w:r>
        <w:rPr>
          <w:rFonts w:ascii="Arial" w:cs="Arial" w:eastAsia="Arial" w:hAnsi="Arial"/>
          <w:sz w:val="18"/>
          <w:szCs w:val="18"/>
          <w:color w:val="auto"/>
        </w:rPr>
        <w:t xml:space="preserve"> T</w:t>
      </w:r>
      <w:r>
        <w:rPr>
          <w:rFonts w:ascii="Arial" w:cs="Arial" w:eastAsia="Arial" w:hAnsi="Arial"/>
          <w:sz w:val="15"/>
          <w:szCs w:val="15"/>
          <w:color w:val="auto"/>
        </w:rPr>
        <w:t>RUSTEE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5.01.</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Lists of 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5.02.</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Preservation and Disclosure of Lists</w:t>
            </w: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10"/>
        </w:trPr>
        <w:tc>
          <w:tcPr>
            <w:tcW w:w="1200" w:type="dxa"/>
            <w:vAlign w:val="bottom"/>
          </w:tcPr>
          <w:p>
            <w:pPr>
              <w:spacing w:after="0"/>
              <w:rPr>
                <w:sz w:val="24"/>
                <w:szCs w:val="24"/>
                <w:color w:val="auto"/>
              </w:rPr>
            </w:pPr>
          </w:p>
        </w:tc>
        <w:tc>
          <w:tcPr>
            <w:tcW w:w="8760" w:type="dxa"/>
            <w:vAlign w:val="bottom"/>
          </w:tcPr>
          <w:p>
            <w:pPr>
              <w:jc w:val="center"/>
              <w:ind w:left="70"/>
              <w:spacing w:after="0"/>
              <w:rPr>
                <w:sz w:val="20"/>
                <w:szCs w:val="20"/>
                <w:color w:val="auto"/>
              </w:rPr>
            </w:pPr>
            <w:r>
              <w:rPr>
                <w:rFonts w:ascii="Arial" w:cs="Arial" w:eastAsia="Arial" w:hAnsi="Arial"/>
                <w:sz w:val="18"/>
                <w:szCs w:val="18"/>
                <w:color w:val="auto"/>
                <w:w w:val="96"/>
              </w:rPr>
              <w:t>ARTICLE 6</w:t>
            </w:r>
          </w:p>
        </w:tc>
        <w:tc>
          <w:tcPr>
            <w:tcW w:w="136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760" w:type="dxa"/>
            <w:vAlign w:val="bottom"/>
          </w:tcPr>
          <w:p>
            <w:pPr>
              <w:jc w:val="center"/>
              <w:ind w:left="90"/>
              <w:spacing w:after="0"/>
              <w:rPr>
                <w:sz w:val="20"/>
                <w:szCs w:val="20"/>
                <w:color w:val="auto"/>
              </w:rPr>
            </w:pPr>
            <w:r>
              <w:rPr>
                <w:rFonts w:ascii="Arial" w:cs="Arial" w:eastAsia="Arial" w:hAnsi="Arial"/>
                <w:sz w:val="18"/>
                <w:szCs w:val="18"/>
                <w:color w:val="auto"/>
                <w:w w:val="96"/>
              </w:rPr>
              <w:t>D</w:t>
            </w:r>
            <w:r>
              <w:rPr>
                <w:rFonts w:ascii="Arial" w:cs="Arial" w:eastAsia="Arial" w:hAnsi="Arial"/>
                <w:sz w:val="15"/>
                <w:szCs w:val="15"/>
                <w:color w:val="auto"/>
                <w:w w:val="96"/>
              </w:rPr>
              <w:t>EFAULTS AND</w:t>
            </w:r>
            <w:r>
              <w:rPr>
                <w:rFonts w:ascii="Arial" w:cs="Arial" w:eastAsia="Arial" w:hAnsi="Arial"/>
                <w:sz w:val="18"/>
                <w:szCs w:val="18"/>
                <w:color w:val="auto"/>
                <w:w w:val="96"/>
              </w:rPr>
              <w:t xml:space="preserve"> R</w:t>
            </w:r>
            <w:r>
              <w:rPr>
                <w:rFonts w:ascii="Arial" w:cs="Arial" w:eastAsia="Arial" w:hAnsi="Arial"/>
                <w:sz w:val="15"/>
                <w:szCs w:val="15"/>
                <w:color w:val="auto"/>
                <w:w w:val="96"/>
              </w:rPr>
              <w:t>EMEDIES</w:t>
            </w:r>
          </w:p>
        </w:tc>
        <w:tc>
          <w:tcPr>
            <w:tcW w:w="1360" w:type="dxa"/>
            <w:vAlign w:val="bottom"/>
          </w:tcPr>
          <w:p>
            <w:pPr>
              <w:spacing w:after="0"/>
              <w:rPr>
                <w:sz w:val="20"/>
                <w:szCs w:val="20"/>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6.01.</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Events of Default</w:t>
            </w:r>
          </w:p>
        </w:tc>
        <w:tc>
          <w:tcPr>
            <w:tcW w:w="1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6.02.</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Acceleration; Rescission and Annulment</w:t>
            </w:r>
          </w:p>
        </w:tc>
        <w:tc>
          <w:tcPr>
            <w:tcW w:w="13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6.03.</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Additional Interest</w:t>
            </w: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6.04.</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Payments of Notes on Default; Suit Therefor</w:t>
            </w: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6.05.</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Application of Monies Collected by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6.06.</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Proceedings by 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6.07.</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Proceedings by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6.08.</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Remedies Cumulative and Continuing</w:t>
            </w: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6.09.</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Direction of Proceedings and Waiver of Defaults by Majority of 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6.10.</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Notice of Defaults</w:t>
            </w:r>
          </w:p>
        </w:tc>
        <w:tc>
          <w:tcPr>
            <w:tcW w:w="13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6.11.</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Undertaking to Pay Costs</w:t>
            </w: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200" w:type="dxa"/>
            <w:vAlign w:val="bottom"/>
          </w:tcPr>
          <w:p>
            <w:pPr>
              <w:spacing w:after="0"/>
              <w:rPr>
                <w:sz w:val="24"/>
                <w:szCs w:val="24"/>
                <w:color w:val="auto"/>
              </w:rPr>
            </w:pPr>
          </w:p>
        </w:tc>
        <w:tc>
          <w:tcPr>
            <w:tcW w:w="8760" w:type="dxa"/>
            <w:vAlign w:val="bottom"/>
          </w:tcPr>
          <w:p>
            <w:pPr>
              <w:jc w:val="center"/>
              <w:ind w:left="70"/>
              <w:spacing w:after="0"/>
              <w:rPr>
                <w:sz w:val="20"/>
                <w:szCs w:val="20"/>
                <w:color w:val="auto"/>
              </w:rPr>
            </w:pPr>
            <w:r>
              <w:rPr>
                <w:rFonts w:ascii="Arial" w:cs="Arial" w:eastAsia="Arial" w:hAnsi="Arial"/>
                <w:sz w:val="18"/>
                <w:szCs w:val="18"/>
                <w:color w:val="auto"/>
                <w:w w:val="96"/>
              </w:rPr>
              <w:t>ARTICLE 7</w:t>
            </w:r>
          </w:p>
        </w:tc>
        <w:tc>
          <w:tcPr>
            <w:tcW w:w="136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760" w:type="dxa"/>
            <w:vAlign w:val="bottom"/>
          </w:tcPr>
          <w:p>
            <w:pPr>
              <w:jc w:val="center"/>
              <w:ind w:left="90"/>
              <w:spacing w:after="0"/>
              <w:rPr>
                <w:sz w:val="20"/>
                <w:szCs w:val="20"/>
                <w:color w:val="auto"/>
              </w:rPr>
            </w:pPr>
            <w:r>
              <w:rPr>
                <w:rFonts w:ascii="Arial" w:cs="Arial" w:eastAsia="Arial" w:hAnsi="Arial"/>
                <w:sz w:val="18"/>
                <w:szCs w:val="18"/>
                <w:color w:val="auto"/>
                <w:w w:val="95"/>
              </w:rPr>
              <w:t>C</w:t>
            </w:r>
            <w:r>
              <w:rPr>
                <w:rFonts w:ascii="Arial" w:cs="Arial" w:eastAsia="Arial" w:hAnsi="Arial"/>
                <w:sz w:val="15"/>
                <w:szCs w:val="15"/>
                <w:color w:val="auto"/>
                <w:w w:val="95"/>
              </w:rPr>
              <w:t>ONCERNING THE</w:t>
            </w:r>
            <w:r>
              <w:rPr>
                <w:rFonts w:ascii="Arial" w:cs="Arial" w:eastAsia="Arial" w:hAnsi="Arial"/>
                <w:sz w:val="18"/>
                <w:szCs w:val="18"/>
                <w:color w:val="auto"/>
                <w:w w:val="95"/>
              </w:rPr>
              <w:t xml:space="preserve"> T</w:t>
            </w:r>
            <w:r>
              <w:rPr>
                <w:rFonts w:ascii="Arial" w:cs="Arial" w:eastAsia="Arial" w:hAnsi="Arial"/>
                <w:sz w:val="15"/>
                <w:szCs w:val="15"/>
                <w:color w:val="auto"/>
                <w:w w:val="95"/>
              </w:rPr>
              <w:t>RUSTEE</w:t>
            </w:r>
          </w:p>
        </w:tc>
        <w:tc>
          <w:tcPr>
            <w:tcW w:w="1360" w:type="dxa"/>
            <w:vAlign w:val="bottom"/>
          </w:tcPr>
          <w:p>
            <w:pPr>
              <w:spacing w:after="0"/>
              <w:rPr>
                <w:sz w:val="20"/>
                <w:szCs w:val="20"/>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7.01.</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Duties and Responsibilities of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7.02.</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Reliance on Documents, Opinions, Etc</w:t>
            </w:r>
          </w:p>
        </w:tc>
        <w:tc>
          <w:tcPr>
            <w:tcW w:w="1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7.03.</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No Responsibility for Recitals, Etc</w:t>
            </w: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7.04.</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Trustee, Paying Agents, Conversion Agents, Bid Solicitation Agent or Note Registrar May Own Notes</w:t>
            </w: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7.05.</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Monies and Shares of Common Stock to Be Held in Trust</w:t>
            </w: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7.06.</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Compensation and Expenses of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7.07.</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Officers’ Certificate as Evidence</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7.08.</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Eligibility of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7.09.</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Resignation or Removal of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7.10.</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Acceptance by Successor Trustee</w:t>
            </w: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7.11.</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Succession by Merger, Etc</w:t>
            </w:r>
          </w:p>
        </w:tc>
        <w:tc>
          <w:tcPr>
            <w:tcW w:w="1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7.12.</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Trustee’s Application for Instructions from the Company</w:t>
            </w: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1200" w:type="dxa"/>
            <w:vAlign w:val="bottom"/>
          </w:tcPr>
          <w:p>
            <w:pPr>
              <w:spacing w:after="0"/>
              <w:rPr>
                <w:sz w:val="24"/>
                <w:szCs w:val="24"/>
                <w:color w:val="auto"/>
              </w:rPr>
            </w:pPr>
          </w:p>
        </w:tc>
        <w:tc>
          <w:tcPr>
            <w:tcW w:w="8760" w:type="dxa"/>
            <w:vAlign w:val="bottom"/>
          </w:tcPr>
          <w:p>
            <w:pPr>
              <w:jc w:val="center"/>
              <w:ind w:left="70"/>
              <w:spacing w:after="0"/>
              <w:rPr>
                <w:sz w:val="20"/>
                <w:szCs w:val="20"/>
                <w:color w:val="auto"/>
              </w:rPr>
            </w:pPr>
            <w:r>
              <w:rPr>
                <w:rFonts w:ascii="Arial" w:cs="Arial" w:eastAsia="Arial" w:hAnsi="Arial"/>
                <w:sz w:val="18"/>
                <w:szCs w:val="18"/>
                <w:color w:val="auto"/>
                <w:w w:val="96"/>
              </w:rPr>
              <w:t>ARTICLE 8</w:t>
            </w:r>
          </w:p>
        </w:tc>
        <w:tc>
          <w:tcPr>
            <w:tcW w:w="1360" w:type="dxa"/>
            <w:vAlign w:val="bottom"/>
          </w:tcPr>
          <w:p>
            <w:pPr>
              <w:spacing w:after="0"/>
              <w:rPr>
                <w:sz w:val="24"/>
                <w:szCs w:val="24"/>
                <w:color w:val="auto"/>
              </w:rPr>
            </w:pPr>
          </w:p>
        </w:tc>
      </w:tr>
      <w:tr>
        <w:trPr>
          <w:trHeight w:val="230"/>
        </w:trPr>
        <w:tc>
          <w:tcPr>
            <w:tcW w:w="1200" w:type="dxa"/>
            <w:vAlign w:val="bottom"/>
          </w:tcPr>
          <w:p>
            <w:pPr>
              <w:spacing w:after="0"/>
              <w:rPr>
                <w:sz w:val="20"/>
                <w:szCs w:val="20"/>
                <w:color w:val="auto"/>
              </w:rPr>
            </w:pPr>
          </w:p>
        </w:tc>
        <w:tc>
          <w:tcPr>
            <w:tcW w:w="8760" w:type="dxa"/>
            <w:vAlign w:val="bottom"/>
          </w:tcPr>
          <w:p>
            <w:pPr>
              <w:jc w:val="center"/>
              <w:ind w:left="90"/>
              <w:spacing w:after="0"/>
              <w:rPr>
                <w:sz w:val="20"/>
                <w:szCs w:val="20"/>
                <w:color w:val="auto"/>
              </w:rPr>
            </w:pPr>
            <w:r>
              <w:rPr>
                <w:rFonts w:ascii="Arial" w:cs="Arial" w:eastAsia="Arial" w:hAnsi="Arial"/>
                <w:sz w:val="18"/>
                <w:szCs w:val="18"/>
                <w:color w:val="auto"/>
                <w:w w:val="96"/>
              </w:rPr>
              <w:t>C</w:t>
            </w:r>
            <w:r>
              <w:rPr>
                <w:rFonts w:ascii="Arial" w:cs="Arial" w:eastAsia="Arial" w:hAnsi="Arial"/>
                <w:sz w:val="15"/>
                <w:szCs w:val="15"/>
                <w:color w:val="auto"/>
                <w:w w:val="96"/>
              </w:rPr>
              <w:t>ONCERNING THE</w:t>
            </w:r>
            <w:r>
              <w:rPr>
                <w:rFonts w:ascii="Arial" w:cs="Arial" w:eastAsia="Arial" w:hAnsi="Arial"/>
                <w:sz w:val="18"/>
                <w:szCs w:val="18"/>
                <w:color w:val="auto"/>
                <w:w w:val="96"/>
              </w:rPr>
              <w:t xml:space="preserve"> H</w:t>
            </w:r>
            <w:r>
              <w:rPr>
                <w:rFonts w:ascii="Arial" w:cs="Arial" w:eastAsia="Arial" w:hAnsi="Arial"/>
                <w:sz w:val="15"/>
                <w:szCs w:val="15"/>
                <w:color w:val="auto"/>
                <w:w w:val="96"/>
              </w:rPr>
              <w:t>OLDERS</w:t>
            </w:r>
          </w:p>
        </w:tc>
        <w:tc>
          <w:tcPr>
            <w:tcW w:w="1360" w:type="dxa"/>
            <w:vAlign w:val="bottom"/>
          </w:tcPr>
          <w:p>
            <w:pPr>
              <w:spacing w:after="0"/>
              <w:rPr>
                <w:sz w:val="20"/>
                <w:szCs w:val="20"/>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8"/>
                <w:szCs w:val="18"/>
                <w:color w:val="auto"/>
              </w:rPr>
              <w:t>Section 8.01.</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Action by 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8.02.</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Proof of Execution by Holders</w:t>
            </w: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8.03.</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Who Are Deemed Absolute Owners</w:t>
            </w: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Section 8.04.</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Company-Owned Notes Disregarded</w:t>
            </w: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Section 8.05.</w:t>
            </w:r>
          </w:p>
        </w:tc>
        <w:tc>
          <w:tcPr>
            <w:tcW w:w="8760" w:type="dxa"/>
            <w:vAlign w:val="bottom"/>
          </w:tcPr>
          <w:p>
            <w:pPr>
              <w:ind w:left="260"/>
              <w:spacing w:after="0"/>
              <w:rPr>
                <w:sz w:val="20"/>
                <w:szCs w:val="20"/>
                <w:color w:val="auto"/>
              </w:rPr>
            </w:pPr>
            <w:r>
              <w:rPr>
                <w:rFonts w:ascii="Arial" w:cs="Arial" w:eastAsia="Arial" w:hAnsi="Arial"/>
                <w:sz w:val="18"/>
                <w:szCs w:val="18"/>
                <w:i w:val="1"/>
                <w:iCs w:val="1"/>
                <w:color w:val="auto"/>
              </w:rPr>
              <w:t>Revocation of Consents; Future Holders Bound</w:t>
            </w:r>
          </w:p>
        </w:tc>
        <w:tc>
          <w:tcPr>
            <w:tcW w:w="1360" w:type="dxa"/>
            <w:vAlign w:val="bottom"/>
          </w:tcPr>
          <w:p>
            <w:pPr>
              <w:jc w:val="right"/>
              <w:spacing w:after="0"/>
              <w:rPr>
                <w:sz w:val="20"/>
                <w:szCs w:val="20"/>
                <w:color w:val="auto"/>
              </w:rPr>
            </w:pPr>
            <w:r>
              <w:rPr>
                <w:rFonts w:ascii="Arial" w:cs="Arial" w:eastAsia="Arial" w:hAnsi="Arial"/>
                <w:sz w:val="18"/>
                <w:szCs w:val="18"/>
                <w:color w:val="auto"/>
              </w:rPr>
              <w:t>48</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9560" w:type="dxa"/>
            <w:vAlign w:val="bottom"/>
          </w:tcPr>
          <w:p>
            <w:pPr>
              <w:jc w:val="center"/>
              <w:ind w:right="630"/>
              <w:spacing w:after="0"/>
              <w:rPr>
                <w:sz w:val="20"/>
                <w:szCs w:val="20"/>
                <w:color w:val="auto"/>
              </w:rPr>
            </w:pPr>
            <w:r>
              <w:rPr>
                <w:rFonts w:ascii="Arial" w:cs="Arial" w:eastAsia="Arial" w:hAnsi="Arial"/>
                <w:sz w:val="18"/>
                <w:szCs w:val="18"/>
                <w:color w:val="auto"/>
                <w:w w:val="96"/>
              </w:rPr>
              <w:t>ARTICLE 9</w:t>
            </w:r>
          </w:p>
        </w:tc>
        <w:tc>
          <w:tcPr>
            <w:tcW w:w="520" w:type="dxa"/>
            <w:vAlign w:val="bottom"/>
          </w:tcPr>
          <w:p>
            <w:pPr>
              <w:spacing w:after="0"/>
              <w:rPr>
                <w:sz w:val="18"/>
                <w:szCs w:val="18"/>
                <w:color w:val="auto"/>
              </w:rPr>
            </w:pPr>
          </w:p>
        </w:tc>
      </w:tr>
      <w:tr>
        <w:trPr>
          <w:trHeight w:val="230"/>
        </w:trPr>
        <w:tc>
          <w:tcPr>
            <w:tcW w:w="1240" w:type="dxa"/>
            <w:vAlign w:val="bottom"/>
          </w:tcPr>
          <w:p>
            <w:pPr>
              <w:spacing w:after="0"/>
              <w:rPr>
                <w:sz w:val="20"/>
                <w:szCs w:val="20"/>
                <w:color w:val="auto"/>
              </w:rPr>
            </w:pPr>
          </w:p>
        </w:tc>
        <w:tc>
          <w:tcPr>
            <w:tcW w:w="9560" w:type="dxa"/>
            <w:vAlign w:val="bottom"/>
          </w:tcPr>
          <w:p>
            <w:pPr>
              <w:jc w:val="center"/>
              <w:ind w:right="630"/>
              <w:spacing w:after="0"/>
              <w:rPr>
                <w:sz w:val="20"/>
                <w:szCs w:val="20"/>
                <w:color w:val="auto"/>
              </w:rPr>
            </w:pPr>
            <w:r>
              <w:rPr>
                <w:rFonts w:ascii="Arial" w:cs="Arial" w:eastAsia="Arial" w:hAnsi="Arial"/>
                <w:sz w:val="18"/>
                <w:szCs w:val="18"/>
                <w:color w:val="auto"/>
                <w:w w:val="97"/>
              </w:rPr>
              <w:t>H</w:t>
            </w:r>
            <w:r>
              <w:rPr>
                <w:rFonts w:ascii="Arial" w:cs="Arial" w:eastAsia="Arial" w:hAnsi="Arial"/>
                <w:sz w:val="15"/>
                <w:szCs w:val="15"/>
                <w:color w:val="auto"/>
                <w:w w:val="97"/>
              </w:rPr>
              <w:t>OLDERS</w:t>
            </w:r>
            <w:r>
              <w:rPr>
                <w:rFonts w:ascii="Arial" w:cs="Arial" w:eastAsia="Arial" w:hAnsi="Arial"/>
                <w:sz w:val="18"/>
                <w:szCs w:val="18"/>
                <w:color w:val="auto"/>
                <w:w w:val="97"/>
              </w:rPr>
              <w:t>’ M</w:t>
            </w:r>
            <w:r>
              <w:rPr>
                <w:rFonts w:ascii="Arial" w:cs="Arial" w:eastAsia="Arial" w:hAnsi="Arial"/>
                <w:sz w:val="15"/>
                <w:szCs w:val="15"/>
                <w:color w:val="auto"/>
                <w:w w:val="97"/>
              </w:rPr>
              <w:t>EETINGS</w:t>
            </w:r>
          </w:p>
        </w:tc>
        <w:tc>
          <w:tcPr>
            <w:tcW w:w="520" w:type="dxa"/>
            <w:vAlign w:val="bottom"/>
          </w:tcPr>
          <w:p>
            <w:pPr>
              <w:spacing w:after="0"/>
              <w:rPr>
                <w:sz w:val="20"/>
                <w:szCs w:val="20"/>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9.01.</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Purpose of Meetings</w:t>
            </w: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9.02.</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Call of Meetings by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9.03.</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Call of Meetings by Company or 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9.04.</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Qualifications for Voting</w:t>
            </w: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9.05.</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Regulations</w:t>
            </w: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9.06.</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Voting</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9.07.</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No Delay of Rights by Meeting</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10"/>
        </w:trPr>
        <w:tc>
          <w:tcPr>
            <w:tcW w:w="1240" w:type="dxa"/>
            <w:vAlign w:val="bottom"/>
          </w:tcPr>
          <w:p>
            <w:pPr>
              <w:spacing w:after="0"/>
              <w:rPr>
                <w:sz w:val="24"/>
                <w:szCs w:val="24"/>
                <w:color w:val="auto"/>
              </w:rPr>
            </w:pPr>
          </w:p>
        </w:tc>
        <w:tc>
          <w:tcPr>
            <w:tcW w:w="9560" w:type="dxa"/>
            <w:vAlign w:val="bottom"/>
          </w:tcPr>
          <w:p>
            <w:pPr>
              <w:jc w:val="center"/>
              <w:ind w:right="610"/>
              <w:spacing w:after="0"/>
              <w:rPr>
                <w:sz w:val="20"/>
                <w:szCs w:val="20"/>
                <w:color w:val="auto"/>
              </w:rPr>
            </w:pPr>
            <w:r>
              <w:rPr>
                <w:rFonts w:ascii="Arial" w:cs="Arial" w:eastAsia="Arial" w:hAnsi="Arial"/>
                <w:sz w:val="18"/>
                <w:szCs w:val="18"/>
                <w:color w:val="auto"/>
                <w:w w:val="96"/>
              </w:rPr>
              <w:t>ARTICLE 10</w:t>
            </w:r>
          </w:p>
        </w:tc>
        <w:tc>
          <w:tcPr>
            <w:tcW w:w="5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560" w:type="dxa"/>
            <w:vAlign w:val="bottom"/>
          </w:tcPr>
          <w:p>
            <w:pPr>
              <w:jc w:val="center"/>
              <w:ind w:right="610"/>
              <w:spacing w:after="0"/>
              <w:rPr>
                <w:sz w:val="20"/>
                <w:szCs w:val="20"/>
                <w:color w:val="auto"/>
              </w:rPr>
            </w:pPr>
            <w:r>
              <w:rPr>
                <w:rFonts w:ascii="Arial" w:cs="Arial" w:eastAsia="Arial" w:hAnsi="Arial"/>
                <w:sz w:val="18"/>
                <w:szCs w:val="18"/>
                <w:color w:val="auto"/>
                <w:w w:val="96"/>
              </w:rPr>
              <w:t>S</w:t>
            </w:r>
            <w:r>
              <w:rPr>
                <w:rFonts w:ascii="Arial" w:cs="Arial" w:eastAsia="Arial" w:hAnsi="Arial"/>
                <w:sz w:val="15"/>
                <w:szCs w:val="15"/>
                <w:color w:val="auto"/>
                <w:w w:val="96"/>
              </w:rPr>
              <w:t>UPPLEMENTAL</w:t>
            </w:r>
            <w:r>
              <w:rPr>
                <w:rFonts w:ascii="Arial" w:cs="Arial" w:eastAsia="Arial" w:hAnsi="Arial"/>
                <w:sz w:val="18"/>
                <w:szCs w:val="18"/>
                <w:color w:val="auto"/>
                <w:w w:val="96"/>
              </w:rPr>
              <w:t xml:space="preserve"> I</w:t>
            </w:r>
            <w:r>
              <w:rPr>
                <w:rFonts w:ascii="Arial" w:cs="Arial" w:eastAsia="Arial" w:hAnsi="Arial"/>
                <w:sz w:val="15"/>
                <w:szCs w:val="15"/>
                <w:color w:val="auto"/>
                <w:w w:val="96"/>
              </w:rPr>
              <w:t>NDENTURES</w:t>
            </w:r>
          </w:p>
        </w:tc>
        <w:tc>
          <w:tcPr>
            <w:tcW w:w="520" w:type="dxa"/>
            <w:vAlign w:val="bottom"/>
          </w:tcPr>
          <w:p>
            <w:pPr>
              <w:spacing w:after="0"/>
              <w:rPr>
                <w:sz w:val="20"/>
                <w:szCs w:val="20"/>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10.01.</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Supplemental Indentures Without Consent of 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10.02.</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Supplemental Indentures with Consent of 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10.03.</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Effect of Supplemental Indentures</w:t>
            </w: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10.04.</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Notation on Notes</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10.05.</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Evidence of Compliance of Supplemental Indenture to Be Furnished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1240" w:type="dxa"/>
            <w:vAlign w:val="bottom"/>
          </w:tcPr>
          <w:p>
            <w:pPr>
              <w:spacing w:after="0"/>
              <w:rPr>
                <w:sz w:val="24"/>
                <w:szCs w:val="24"/>
                <w:color w:val="auto"/>
              </w:rPr>
            </w:pPr>
          </w:p>
        </w:tc>
        <w:tc>
          <w:tcPr>
            <w:tcW w:w="9560" w:type="dxa"/>
            <w:vAlign w:val="bottom"/>
          </w:tcPr>
          <w:p>
            <w:pPr>
              <w:jc w:val="center"/>
              <w:ind w:right="610"/>
              <w:spacing w:after="0"/>
              <w:rPr>
                <w:sz w:val="20"/>
                <w:szCs w:val="20"/>
                <w:color w:val="auto"/>
              </w:rPr>
            </w:pPr>
            <w:r>
              <w:rPr>
                <w:rFonts w:ascii="Arial" w:cs="Arial" w:eastAsia="Arial" w:hAnsi="Arial"/>
                <w:sz w:val="18"/>
                <w:szCs w:val="18"/>
                <w:color w:val="auto"/>
                <w:w w:val="96"/>
              </w:rPr>
              <w:t>ARTICLE 11</w:t>
            </w:r>
          </w:p>
        </w:tc>
        <w:tc>
          <w:tcPr>
            <w:tcW w:w="5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560" w:type="dxa"/>
            <w:vAlign w:val="bottom"/>
          </w:tcPr>
          <w:p>
            <w:pPr>
              <w:jc w:val="center"/>
              <w:ind w:right="630"/>
              <w:spacing w:after="0"/>
              <w:rPr>
                <w:sz w:val="20"/>
                <w:szCs w:val="20"/>
                <w:color w:val="auto"/>
              </w:rPr>
            </w:pPr>
            <w:r>
              <w:rPr>
                <w:rFonts w:ascii="Arial" w:cs="Arial" w:eastAsia="Arial" w:hAnsi="Arial"/>
                <w:sz w:val="18"/>
                <w:szCs w:val="18"/>
                <w:color w:val="auto"/>
                <w:w w:val="96"/>
              </w:rPr>
              <w:t>C</w:t>
            </w:r>
            <w:r>
              <w:rPr>
                <w:rFonts w:ascii="Arial" w:cs="Arial" w:eastAsia="Arial" w:hAnsi="Arial"/>
                <w:sz w:val="15"/>
                <w:szCs w:val="15"/>
                <w:color w:val="auto"/>
                <w:w w:val="96"/>
              </w:rPr>
              <w:t>ONSOLIDATION</w:t>
            </w:r>
            <w:r>
              <w:rPr>
                <w:rFonts w:ascii="Arial" w:cs="Arial" w:eastAsia="Arial" w:hAnsi="Arial"/>
                <w:sz w:val="18"/>
                <w:szCs w:val="18"/>
                <w:color w:val="auto"/>
                <w:w w:val="96"/>
              </w:rPr>
              <w:t>, M</w:t>
            </w:r>
            <w:r>
              <w:rPr>
                <w:rFonts w:ascii="Arial" w:cs="Arial" w:eastAsia="Arial" w:hAnsi="Arial"/>
                <w:sz w:val="15"/>
                <w:szCs w:val="15"/>
                <w:color w:val="auto"/>
                <w:w w:val="96"/>
              </w:rPr>
              <w:t>ERGER</w:t>
            </w:r>
            <w:r>
              <w:rPr>
                <w:rFonts w:ascii="Arial" w:cs="Arial" w:eastAsia="Arial" w:hAnsi="Arial"/>
                <w:sz w:val="18"/>
                <w:szCs w:val="18"/>
                <w:color w:val="auto"/>
                <w:w w:val="96"/>
              </w:rPr>
              <w:t>, S</w:t>
            </w:r>
            <w:r>
              <w:rPr>
                <w:rFonts w:ascii="Arial" w:cs="Arial" w:eastAsia="Arial" w:hAnsi="Arial"/>
                <w:sz w:val="15"/>
                <w:szCs w:val="15"/>
                <w:color w:val="auto"/>
                <w:w w:val="96"/>
              </w:rPr>
              <w:t>ALE</w:t>
            </w:r>
            <w:r>
              <w:rPr>
                <w:rFonts w:ascii="Arial" w:cs="Arial" w:eastAsia="Arial" w:hAnsi="Arial"/>
                <w:sz w:val="18"/>
                <w:szCs w:val="18"/>
                <w:color w:val="auto"/>
                <w:w w:val="96"/>
              </w:rPr>
              <w:t>, C</w:t>
            </w:r>
            <w:r>
              <w:rPr>
                <w:rFonts w:ascii="Arial" w:cs="Arial" w:eastAsia="Arial" w:hAnsi="Arial"/>
                <w:sz w:val="15"/>
                <w:szCs w:val="15"/>
                <w:color w:val="auto"/>
                <w:w w:val="96"/>
              </w:rPr>
              <w:t>ONVEYANCE AND</w:t>
            </w:r>
            <w:r>
              <w:rPr>
                <w:rFonts w:ascii="Arial" w:cs="Arial" w:eastAsia="Arial" w:hAnsi="Arial"/>
                <w:sz w:val="18"/>
                <w:szCs w:val="18"/>
                <w:color w:val="auto"/>
                <w:w w:val="96"/>
              </w:rPr>
              <w:t xml:space="preserve"> L</w:t>
            </w:r>
            <w:r>
              <w:rPr>
                <w:rFonts w:ascii="Arial" w:cs="Arial" w:eastAsia="Arial" w:hAnsi="Arial"/>
                <w:sz w:val="15"/>
                <w:szCs w:val="15"/>
                <w:color w:val="auto"/>
                <w:w w:val="96"/>
              </w:rPr>
              <w:t>EASE</w:t>
            </w:r>
          </w:p>
        </w:tc>
        <w:tc>
          <w:tcPr>
            <w:tcW w:w="520" w:type="dxa"/>
            <w:vAlign w:val="bottom"/>
          </w:tcPr>
          <w:p>
            <w:pPr>
              <w:spacing w:after="0"/>
              <w:rPr>
                <w:sz w:val="20"/>
                <w:szCs w:val="20"/>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11.01.</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Company May Consolidate, Etc. on Certain Terms</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11.02.</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Successor Corporation to Be Substituted</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11.03.</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Opinion of Counsel to Be Given to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1240" w:type="dxa"/>
            <w:vAlign w:val="bottom"/>
          </w:tcPr>
          <w:p>
            <w:pPr>
              <w:spacing w:after="0"/>
              <w:rPr>
                <w:sz w:val="24"/>
                <w:szCs w:val="24"/>
                <w:color w:val="auto"/>
              </w:rPr>
            </w:pPr>
          </w:p>
        </w:tc>
        <w:tc>
          <w:tcPr>
            <w:tcW w:w="9560" w:type="dxa"/>
            <w:vAlign w:val="bottom"/>
          </w:tcPr>
          <w:p>
            <w:pPr>
              <w:jc w:val="center"/>
              <w:ind w:right="610"/>
              <w:spacing w:after="0"/>
              <w:rPr>
                <w:sz w:val="20"/>
                <w:szCs w:val="20"/>
                <w:color w:val="auto"/>
              </w:rPr>
            </w:pPr>
            <w:r>
              <w:rPr>
                <w:rFonts w:ascii="Arial" w:cs="Arial" w:eastAsia="Arial" w:hAnsi="Arial"/>
                <w:sz w:val="18"/>
                <w:szCs w:val="18"/>
                <w:color w:val="auto"/>
                <w:w w:val="96"/>
              </w:rPr>
              <w:t>ARTICLE 12</w:t>
            </w:r>
          </w:p>
        </w:tc>
        <w:tc>
          <w:tcPr>
            <w:tcW w:w="5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560" w:type="dxa"/>
            <w:vAlign w:val="bottom"/>
          </w:tcPr>
          <w:p>
            <w:pPr>
              <w:jc w:val="center"/>
              <w:ind w:right="630"/>
              <w:spacing w:after="0"/>
              <w:rPr>
                <w:sz w:val="20"/>
                <w:szCs w:val="20"/>
                <w:color w:val="auto"/>
              </w:rPr>
            </w:pPr>
            <w:r>
              <w:rPr>
                <w:rFonts w:ascii="Arial" w:cs="Arial" w:eastAsia="Arial" w:hAnsi="Arial"/>
                <w:sz w:val="18"/>
                <w:szCs w:val="18"/>
                <w:color w:val="auto"/>
                <w:w w:val="95"/>
              </w:rPr>
              <w:t>I</w:t>
            </w:r>
            <w:r>
              <w:rPr>
                <w:rFonts w:ascii="Arial" w:cs="Arial" w:eastAsia="Arial" w:hAnsi="Arial"/>
                <w:sz w:val="15"/>
                <w:szCs w:val="15"/>
                <w:color w:val="auto"/>
                <w:w w:val="95"/>
              </w:rPr>
              <w:t>MMUNITY OF</w:t>
            </w:r>
            <w:r>
              <w:rPr>
                <w:rFonts w:ascii="Arial" w:cs="Arial" w:eastAsia="Arial" w:hAnsi="Arial"/>
                <w:sz w:val="18"/>
                <w:szCs w:val="18"/>
                <w:color w:val="auto"/>
                <w:w w:val="95"/>
              </w:rPr>
              <w:t xml:space="preserve"> I</w:t>
            </w:r>
            <w:r>
              <w:rPr>
                <w:rFonts w:ascii="Arial" w:cs="Arial" w:eastAsia="Arial" w:hAnsi="Arial"/>
                <w:sz w:val="15"/>
                <w:szCs w:val="15"/>
                <w:color w:val="auto"/>
                <w:w w:val="95"/>
              </w:rPr>
              <w:t>NCORPORATORS</w:t>
            </w:r>
            <w:r>
              <w:rPr>
                <w:rFonts w:ascii="Arial" w:cs="Arial" w:eastAsia="Arial" w:hAnsi="Arial"/>
                <w:sz w:val="18"/>
                <w:szCs w:val="18"/>
                <w:color w:val="auto"/>
                <w:w w:val="95"/>
              </w:rPr>
              <w:t>, S</w:t>
            </w:r>
            <w:r>
              <w:rPr>
                <w:rFonts w:ascii="Arial" w:cs="Arial" w:eastAsia="Arial" w:hAnsi="Arial"/>
                <w:sz w:val="15"/>
                <w:szCs w:val="15"/>
                <w:color w:val="auto"/>
                <w:w w:val="95"/>
              </w:rPr>
              <w:t>TOCKHOLDERS</w:t>
            </w:r>
            <w:r>
              <w:rPr>
                <w:rFonts w:ascii="Arial" w:cs="Arial" w:eastAsia="Arial" w:hAnsi="Arial"/>
                <w:sz w:val="18"/>
                <w:szCs w:val="18"/>
                <w:color w:val="auto"/>
                <w:w w:val="95"/>
              </w:rPr>
              <w:t>, O</w:t>
            </w:r>
            <w:r>
              <w:rPr>
                <w:rFonts w:ascii="Arial" w:cs="Arial" w:eastAsia="Arial" w:hAnsi="Arial"/>
                <w:sz w:val="15"/>
                <w:szCs w:val="15"/>
                <w:color w:val="auto"/>
                <w:w w:val="95"/>
              </w:rPr>
              <w:t>FFICERS AND</w:t>
            </w:r>
            <w:r>
              <w:rPr>
                <w:rFonts w:ascii="Arial" w:cs="Arial" w:eastAsia="Arial" w:hAnsi="Arial"/>
                <w:sz w:val="18"/>
                <w:szCs w:val="18"/>
                <w:color w:val="auto"/>
                <w:w w:val="95"/>
              </w:rPr>
              <w:t xml:space="preserve"> D</w:t>
            </w:r>
            <w:r>
              <w:rPr>
                <w:rFonts w:ascii="Arial" w:cs="Arial" w:eastAsia="Arial" w:hAnsi="Arial"/>
                <w:sz w:val="15"/>
                <w:szCs w:val="15"/>
                <w:color w:val="auto"/>
                <w:w w:val="95"/>
              </w:rPr>
              <w:t>IRECTORS</w:t>
            </w:r>
          </w:p>
        </w:tc>
        <w:tc>
          <w:tcPr>
            <w:tcW w:w="520" w:type="dxa"/>
            <w:vAlign w:val="bottom"/>
          </w:tcPr>
          <w:p>
            <w:pPr>
              <w:spacing w:after="0"/>
              <w:rPr>
                <w:sz w:val="20"/>
                <w:szCs w:val="20"/>
                <w:color w:val="auto"/>
              </w:rPr>
            </w:pP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12.01.</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Indenture and Notes Solely Corporate Obligations</w:t>
            </w: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10"/>
        </w:trPr>
        <w:tc>
          <w:tcPr>
            <w:tcW w:w="1240" w:type="dxa"/>
            <w:vAlign w:val="bottom"/>
          </w:tcPr>
          <w:p>
            <w:pPr>
              <w:spacing w:after="0"/>
              <w:rPr>
                <w:sz w:val="24"/>
                <w:szCs w:val="24"/>
                <w:color w:val="auto"/>
              </w:rPr>
            </w:pPr>
          </w:p>
        </w:tc>
        <w:tc>
          <w:tcPr>
            <w:tcW w:w="9560" w:type="dxa"/>
            <w:vAlign w:val="bottom"/>
          </w:tcPr>
          <w:p>
            <w:pPr>
              <w:jc w:val="center"/>
              <w:ind w:right="610"/>
              <w:spacing w:after="0"/>
              <w:rPr>
                <w:sz w:val="20"/>
                <w:szCs w:val="20"/>
                <w:color w:val="auto"/>
              </w:rPr>
            </w:pPr>
            <w:r>
              <w:rPr>
                <w:rFonts w:ascii="Arial" w:cs="Arial" w:eastAsia="Arial" w:hAnsi="Arial"/>
                <w:sz w:val="18"/>
                <w:szCs w:val="18"/>
                <w:color w:val="auto"/>
                <w:w w:val="96"/>
              </w:rPr>
              <w:t>ARTICLE 13</w:t>
            </w:r>
          </w:p>
        </w:tc>
        <w:tc>
          <w:tcPr>
            <w:tcW w:w="52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9560" w:type="dxa"/>
            <w:vAlign w:val="bottom"/>
          </w:tcPr>
          <w:p>
            <w:pPr>
              <w:jc w:val="center"/>
              <w:ind w:right="610"/>
              <w:spacing w:after="0"/>
              <w:rPr>
                <w:sz w:val="20"/>
                <w:szCs w:val="20"/>
                <w:color w:val="auto"/>
              </w:rPr>
            </w:pPr>
            <w:r>
              <w:rPr>
                <w:rFonts w:ascii="Arial" w:cs="Arial" w:eastAsia="Arial" w:hAnsi="Arial"/>
                <w:sz w:val="18"/>
                <w:szCs w:val="18"/>
                <w:color w:val="auto"/>
                <w:w w:val="95"/>
              </w:rPr>
              <w:t>C</w:t>
            </w:r>
            <w:r>
              <w:rPr>
                <w:rFonts w:ascii="Arial" w:cs="Arial" w:eastAsia="Arial" w:hAnsi="Arial"/>
                <w:sz w:val="15"/>
                <w:szCs w:val="15"/>
                <w:color w:val="auto"/>
                <w:w w:val="95"/>
              </w:rPr>
              <w:t>ONVERSION OF</w:t>
            </w:r>
            <w:r>
              <w:rPr>
                <w:rFonts w:ascii="Arial" w:cs="Arial" w:eastAsia="Arial" w:hAnsi="Arial"/>
                <w:sz w:val="18"/>
                <w:szCs w:val="18"/>
                <w:color w:val="auto"/>
                <w:w w:val="95"/>
              </w:rPr>
              <w:t xml:space="preserve"> N</w:t>
            </w:r>
            <w:r>
              <w:rPr>
                <w:rFonts w:ascii="Arial" w:cs="Arial" w:eastAsia="Arial" w:hAnsi="Arial"/>
                <w:sz w:val="15"/>
                <w:szCs w:val="15"/>
                <w:color w:val="auto"/>
                <w:w w:val="95"/>
              </w:rPr>
              <w:t>OTES</w:t>
            </w:r>
          </w:p>
        </w:tc>
        <w:tc>
          <w:tcPr>
            <w:tcW w:w="520" w:type="dxa"/>
            <w:vAlign w:val="bottom"/>
          </w:tcPr>
          <w:p>
            <w:pPr>
              <w:spacing w:after="0"/>
              <w:rPr>
                <w:sz w:val="20"/>
                <w:szCs w:val="20"/>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13.01.</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Conversion Privilege</w:t>
            </w: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13.02.</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Conversion Procedure; Settlement Upon Conversion</w:t>
            </w: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13.03.</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w w:val="94"/>
              </w:rPr>
              <w:t>Increased Conversion Rate Applicable to Certain Notes Surrendered in Connection with Make-Whole Fundamental Changes</w:t>
            </w: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13.04.</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Adjustment of Conversion Rate</w:t>
            </w: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13.05.</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Adjustments of Prices</w:t>
            </w: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13.06.</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Shares to Be Fully Paid</w:t>
            </w: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13.07.</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Effect of Recapitalizations, Reclassifications and Changes of the Common Stock</w:t>
            </w: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13.08.</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Certain Covenants</w:t>
            </w: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13.09.</w:t>
            </w:r>
          </w:p>
        </w:tc>
        <w:tc>
          <w:tcPr>
            <w:tcW w:w="9560" w:type="dxa"/>
            <w:vAlign w:val="bottom"/>
          </w:tcPr>
          <w:p>
            <w:pPr>
              <w:ind w:left="220"/>
              <w:spacing w:after="0"/>
              <w:rPr>
                <w:sz w:val="20"/>
                <w:szCs w:val="20"/>
                <w:color w:val="auto"/>
              </w:rPr>
            </w:pPr>
            <w:r>
              <w:rPr>
                <w:rFonts w:ascii="Arial" w:cs="Arial" w:eastAsia="Arial" w:hAnsi="Arial"/>
                <w:sz w:val="18"/>
                <w:szCs w:val="18"/>
                <w:i w:val="1"/>
                <w:iCs w:val="1"/>
                <w:color w:val="auto"/>
              </w:rPr>
              <w:t>Responsibility of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13.10.</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Notice to Holders Prior to Certain Actions</w:t>
            </w:r>
          </w:p>
        </w:tc>
        <w:tc>
          <w:tcPr>
            <w:tcW w:w="1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13.11.</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Stockholder Rights Plans</w:t>
            </w:r>
          </w:p>
        </w:tc>
        <w:tc>
          <w:tcPr>
            <w:tcW w:w="14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13.12.</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Limit on Issuance of Shares of Common Stock Upon Conversion</w:t>
            </w:r>
          </w:p>
        </w:tc>
        <w:tc>
          <w:tcPr>
            <w:tcW w:w="1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13.13.</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U .S. Federal Income Tax Reporting Obligations in Connection with Conversion Rate Adjustments</w:t>
            </w:r>
          </w:p>
        </w:tc>
        <w:tc>
          <w:tcPr>
            <w:tcW w:w="1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10"/>
        </w:trPr>
        <w:tc>
          <w:tcPr>
            <w:tcW w:w="1240" w:type="dxa"/>
            <w:vAlign w:val="bottom"/>
          </w:tcPr>
          <w:p>
            <w:pPr>
              <w:spacing w:after="0"/>
              <w:rPr>
                <w:sz w:val="24"/>
                <w:szCs w:val="24"/>
                <w:color w:val="auto"/>
              </w:rPr>
            </w:pPr>
          </w:p>
        </w:tc>
        <w:tc>
          <w:tcPr>
            <w:tcW w:w="8640" w:type="dxa"/>
            <w:vAlign w:val="bottom"/>
          </w:tcPr>
          <w:p>
            <w:pPr>
              <w:jc w:val="center"/>
              <w:ind w:left="130"/>
              <w:spacing w:after="0"/>
              <w:rPr>
                <w:sz w:val="20"/>
                <w:szCs w:val="20"/>
                <w:color w:val="auto"/>
              </w:rPr>
            </w:pPr>
            <w:r>
              <w:rPr>
                <w:rFonts w:ascii="Arial" w:cs="Arial" w:eastAsia="Arial" w:hAnsi="Arial"/>
                <w:sz w:val="18"/>
                <w:szCs w:val="18"/>
                <w:color w:val="auto"/>
                <w:w w:val="96"/>
              </w:rPr>
              <w:t>ARTICLE 14</w:t>
            </w:r>
          </w:p>
        </w:tc>
        <w:tc>
          <w:tcPr>
            <w:tcW w:w="14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8640" w:type="dxa"/>
            <w:vAlign w:val="bottom"/>
          </w:tcPr>
          <w:p>
            <w:pPr>
              <w:jc w:val="center"/>
              <w:ind w:left="130"/>
              <w:spacing w:after="0"/>
              <w:rPr>
                <w:sz w:val="20"/>
                <w:szCs w:val="20"/>
                <w:color w:val="auto"/>
              </w:rPr>
            </w:pPr>
            <w:r>
              <w:rPr>
                <w:rFonts w:ascii="Arial" w:cs="Arial" w:eastAsia="Arial" w:hAnsi="Arial"/>
                <w:sz w:val="18"/>
                <w:szCs w:val="18"/>
                <w:color w:val="auto"/>
                <w:w w:val="94"/>
              </w:rPr>
              <w:t>R</w:t>
            </w:r>
            <w:r>
              <w:rPr>
                <w:rFonts w:ascii="Arial" w:cs="Arial" w:eastAsia="Arial" w:hAnsi="Arial"/>
                <w:sz w:val="15"/>
                <w:szCs w:val="15"/>
                <w:color w:val="auto"/>
                <w:w w:val="94"/>
              </w:rPr>
              <w:t>EPURCHASE OF</w:t>
            </w:r>
            <w:r>
              <w:rPr>
                <w:rFonts w:ascii="Arial" w:cs="Arial" w:eastAsia="Arial" w:hAnsi="Arial"/>
                <w:sz w:val="18"/>
                <w:szCs w:val="18"/>
                <w:color w:val="auto"/>
                <w:w w:val="94"/>
              </w:rPr>
              <w:t xml:space="preserve"> N</w:t>
            </w:r>
            <w:r>
              <w:rPr>
                <w:rFonts w:ascii="Arial" w:cs="Arial" w:eastAsia="Arial" w:hAnsi="Arial"/>
                <w:sz w:val="15"/>
                <w:szCs w:val="15"/>
                <w:color w:val="auto"/>
                <w:w w:val="94"/>
              </w:rPr>
              <w:t>OTES AT</w:t>
            </w:r>
            <w:r>
              <w:rPr>
                <w:rFonts w:ascii="Arial" w:cs="Arial" w:eastAsia="Arial" w:hAnsi="Arial"/>
                <w:sz w:val="18"/>
                <w:szCs w:val="18"/>
                <w:color w:val="auto"/>
                <w:w w:val="94"/>
              </w:rPr>
              <w:t xml:space="preserve"> O</w:t>
            </w:r>
            <w:r>
              <w:rPr>
                <w:rFonts w:ascii="Arial" w:cs="Arial" w:eastAsia="Arial" w:hAnsi="Arial"/>
                <w:sz w:val="15"/>
                <w:szCs w:val="15"/>
                <w:color w:val="auto"/>
                <w:w w:val="94"/>
              </w:rPr>
              <w:t>PTION OF</w:t>
            </w:r>
            <w:r>
              <w:rPr>
                <w:rFonts w:ascii="Arial" w:cs="Arial" w:eastAsia="Arial" w:hAnsi="Arial"/>
                <w:sz w:val="18"/>
                <w:szCs w:val="18"/>
                <w:color w:val="auto"/>
                <w:w w:val="94"/>
              </w:rPr>
              <w:t xml:space="preserve"> H</w:t>
            </w:r>
            <w:r>
              <w:rPr>
                <w:rFonts w:ascii="Arial" w:cs="Arial" w:eastAsia="Arial" w:hAnsi="Arial"/>
                <w:sz w:val="15"/>
                <w:szCs w:val="15"/>
                <w:color w:val="auto"/>
                <w:w w:val="94"/>
              </w:rPr>
              <w:t>OLDERS</w:t>
            </w:r>
          </w:p>
        </w:tc>
        <w:tc>
          <w:tcPr>
            <w:tcW w:w="1440" w:type="dxa"/>
            <w:vAlign w:val="bottom"/>
          </w:tcPr>
          <w:p>
            <w:pPr>
              <w:spacing w:after="0"/>
              <w:rPr>
                <w:sz w:val="20"/>
                <w:szCs w:val="20"/>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14.01.</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Repurchase at Option of Holders Upon a Fundamental Change</w:t>
            </w:r>
          </w:p>
        </w:tc>
        <w:tc>
          <w:tcPr>
            <w:tcW w:w="14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14.02.</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Withdrawal of Fundamental Change Repurchase Notice</w:t>
            </w:r>
          </w:p>
        </w:tc>
        <w:tc>
          <w:tcPr>
            <w:tcW w:w="14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14.03.</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Deposit of Fundamental Change Repurchase Price</w:t>
            </w:r>
          </w:p>
        </w:tc>
        <w:tc>
          <w:tcPr>
            <w:tcW w:w="14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14.04.</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Covenant to Comply with Applicable Laws Upon Repurchase of Notes</w:t>
            </w:r>
          </w:p>
        </w:tc>
        <w:tc>
          <w:tcPr>
            <w:tcW w:w="14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10"/>
        </w:trPr>
        <w:tc>
          <w:tcPr>
            <w:tcW w:w="1240" w:type="dxa"/>
            <w:vAlign w:val="bottom"/>
          </w:tcPr>
          <w:p>
            <w:pPr>
              <w:spacing w:after="0"/>
              <w:rPr>
                <w:sz w:val="24"/>
                <w:szCs w:val="24"/>
                <w:color w:val="auto"/>
              </w:rPr>
            </w:pPr>
          </w:p>
        </w:tc>
        <w:tc>
          <w:tcPr>
            <w:tcW w:w="8640" w:type="dxa"/>
            <w:vAlign w:val="bottom"/>
          </w:tcPr>
          <w:p>
            <w:pPr>
              <w:jc w:val="center"/>
              <w:ind w:left="130"/>
              <w:spacing w:after="0"/>
              <w:rPr>
                <w:sz w:val="20"/>
                <w:szCs w:val="20"/>
                <w:color w:val="auto"/>
              </w:rPr>
            </w:pPr>
            <w:r>
              <w:rPr>
                <w:rFonts w:ascii="Arial" w:cs="Arial" w:eastAsia="Arial" w:hAnsi="Arial"/>
                <w:sz w:val="18"/>
                <w:szCs w:val="18"/>
                <w:color w:val="auto"/>
                <w:w w:val="96"/>
              </w:rPr>
              <w:t>ARTICLE 15</w:t>
            </w:r>
          </w:p>
        </w:tc>
        <w:tc>
          <w:tcPr>
            <w:tcW w:w="14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8640" w:type="dxa"/>
            <w:vAlign w:val="bottom"/>
          </w:tcPr>
          <w:p>
            <w:pPr>
              <w:jc w:val="center"/>
              <w:ind w:left="130"/>
              <w:spacing w:after="0"/>
              <w:rPr>
                <w:sz w:val="20"/>
                <w:szCs w:val="20"/>
                <w:color w:val="auto"/>
              </w:rPr>
            </w:pPr>
            <w:r>
              <w:rPr>
                <w:rFonts w:ascii="Arial" w:cs="Arial" w:eastAsia="Arial" w:hAnsi="Arial"/>
                <w:sz w:val="18"/>
                <w:szCs w:val="18"/>
                <w:color w:val="auto"/>
                <w:w w:val="95"/>
              </w:rPr>
              <w:t>N</w:t>
            </w:r>
            <w:r>
              <w:rPr>
                <w:rFonts w:ascii="Arial" w:cs="Arial" w:eastAsia="Arial" w:hAnsi="Arial"/>
                <w:sz w:val="15"/>
                <w:szCs w:val="15"/>
                <w:color w:val="auto"/>
                <w:w w:val="95"/>
              </w:rPr>
              <w:t>O</w:t>
            </w:r>
            <w:r>
              <w:rPr>
                <w:rFonts w:ascii="Arial" w:cs="Arial" w:eastAsia="Arial" w:hAnsi="Arial"/>
                <w:sz w:val="18"/>
                <w:szCs w:val="18"/>
                <w:color w:val="auto"/>
                <w:w w:val="95"/>
              </w:rPr>
              <w:t xml:space="preserve"> R</w:t>
            </w:r>
            <w:r>
              <w:rPr>
                <w:rFonts w:ascii="Arial" w:cs="Arial" w:eastAsia="Arial" w:hAnsi="Arial"/>
                <w:sz w:val="15"/>
                <w:szCs w:val="15"/>
                <w:color w:val="auto"/>
                <w:w w:val="95"/>
              </w:rPr>
              <w:t>EDEMPTION</w:t>
            </w:r>
          </w:p>
        </w:tc>
        <w:tc>
          <w:tcPr>
            <w:tcW w:w="1440" w:type="dxa"/>
            <w:vAlign w:val="bottom"/>
          </w:tcPr>
          <w:p>
            <w:pPr>
              <w:spacing w:after="0"/>
              <w:rPr>
                <w:sz w:val="20"/>
                <w:szCs w:val="20"/>
                <w:color w:val="auto"/>
              </w:rPr>
            </w:pPr>
          </w:p>
        </w:tc>
      </w:tr>
      <w:tr>
        <w:trPr>
          <w:trHeight w:val="324"/>
        </w:trPr>
        <w:tc>
          <w:tcPr>
            <w:tcW w:w="1240" w:type="dxa"/>
            <w:vAlign w:val="bottom"/>
          </w:tcPr>
          <w:p>
            <w:pPr>
              <w:spacing w:after="0"/>
              <w:rPr>
                <w:sz w:val="20"/>
                <w:szCs w:val="20"/>
                <w:color w:val="auto"/>
              </w:rPr>
            </w:pPr>
            <w:r>
              <w:rPr>
                <w:rFonts w:ascii="Arial" w:cs="Arial" w:eastAsia="Arial" w:hAnsi="Arial"/>
                <w:sz w:val="18"/>
                <w:szCs w:val="18"/>
                <w:color w:val="auto"/>
              </w:rPr>
              <w:t>Section 15.01.</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No Redemption</w:t>
            </w:r>
          </w:p>
        </w:tc>
        <w:tc>
          <w:tcPr>
            <w:tcW w:w="14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10"/>
        </w:trPr>
        <w:tc>
          <w:tcPr>
            <w:tcW w:w="1240" w:type="dxa"/>
            <w:vAlign w:val="bottom"/>
          </w:tcPr>
          <w:p>
            <w:pPr>
              <w:spacing w:after="0"/>
              <w:rPr>
                <w:sz w:val="24"/>
                <w:szCs w:val="24"/>
                <w:color w:val="auto"/>
              </w:rPr>
            </w:pPr>
          </w:p>
        </w:tc>
        <w:tc>
          <w:tcPr>
            <w:tcW w:w="8640" w:type="dxa"/>
            <w:vAlign w:val="bottom"/>
          </w:tcPr>
          <w:p>
            <w:pPr>
              <w:jc w:val="center"/>
              <w:ind w:left="130"/>
              <w:spacing w:after="0"/>
              <w:rPr>
                <w:sz w:val="20"/>
                <w:szCs w:val="20"/>
                <w:color w:val="auto"/>
              </w:rPr>
            </w:pPr>
            <w:r>
              <w:rPr>
                <w:rFonts w:ascii="Arial" w:cs="Arial" w:eastAsia="Arial" w:hAnsi="Arial"/>
                <w:sz w:val="18"/>
                <w:szCs w:val="18"/>
                <w:color w:val="auto"/>
                <w:w w:val="96"/>
              </w:rPr>
              <w:t>ARTICLE 16</w:t>
            </w:r>
          </w:p>
        </w:tc>
        <w:tc>
          <w:tcPr>
            <w:tcW w:w="1440" w:type="dxa"/>
            <w:vAlign w:val="bottom"/>
          </w:tcPr>
          <w:p>
            <w:pPr>
              <w:spacing w:after="0"/>
              <w:rPr>
                <w:sz w:val="24"/>
                <w:szCs w:val="24"/>
                <w:color w:val="auto"/>
              </w:rPr>
            </w:pPr>
          </w:p>
        </w:tc>
      </w:tr>
      <w:tr>
        <w:trPr>
          <w:trHeight w:val="230"/>
        </w:trPr>
        <w:tc>
          <w:tcPr>
            <w:tcW w:w="1240" w:type="dxa"/>
            <w:vAlign w:val="bottom"/>
          </w:tcPr>
          <w:p>
            <w:pPr>
              <w:spacing w:after="0"/>
              <w:rPr>
                <w:sz w:val="20"/>
                <w:szCs w:val="20"/>
                <w:color w:val="auto"/>
              </w:rPr>
            </w:pPr>
          </w:p>
        </w:tc>
        <w:tc>
          <w:tcPr>
            <w:tcW w:w="8640" w:type="dxa"/>
            <w:vAlign w:val="bottom"/>
          </w:tcPr>
          <w:p>
            <w:pPr>
              <w:jc w:val="center"/>
              <w:ind w:left="130"/>
              <w:spacing w:after="0"/>
              <w:rPr>
                <w:sz w:val="20"/>
                <w:szCs w:val="20"/>
                <w:color w:val="auto"/>
              </w:rPr>
            </w:pPr>
            <w:r>
              <w:rPr>
                <w:rFonts w:ascii="Arial" w:cs="Arial" w:eastAsia="Arial" w:hAnsi="Arial"/>
                <w:sz w:val="18"/>
                <w:szCs w:val="18"/>
                <w:color w:val="auto"/>
                <w:w w:val="96"/>
              </w:rPr>
              <w:t>M</w:t>
            </w:r>
            <w:r>
              <w:rPr>
                <w:rFonts w:ascii="Arial" w:cs="Arial" w:eastAsia="Arial" w:hAnsi="Arial"/>
                <w:sz w:val="15"/>
                <w:szCs w:val="15"/>
                <w:color w:val="auto"/>
                <w:w w:val="96"/>
              </w:rPr>
              <w:t>ISCELLANEOUS</w:t>
            </w:r>
            <w:r>
              <w:rPr>
                <w:rFonts w:ascii="Arial" w:cs="Arial" w:eastAsia="Arial" w:hAnsi="Arial"/>
                <w:sz w:val="18"/>
                <w:szCs w:val="18"/>
                <w:color w:val="auto"/>
                <w:w w:val="96"/>
              </w:rPr>
              <w:t xml:space="preserve"> P</w:t>
            </w:r>
            <w:r>
              <w:rPr>
                <w:rFonts w:ascii="Arial" w:cs="Arial" w:eastAsia="Arial" w:hAnsi="Arial"/>
                <w:sz w:val="15"/>
                <w:szCs w:val="15"/>
                <w:color w:val="auto"/>
                <w:w w:val="96"/>
              </w:rPr>
              <w:t>ROVISIONS</w:t>
            </w:r>
          </w:p>
        </w:tc>
        <w:tc>
          <w:tcPr>
            <w:tcW w:w="1440" w:type="dxa"/>
            <w:vAlign w:val="bottom"/>
          </w:tcPr>
          <w:p>
            <w:pPr>
              <w:spacing w:after="0"/>
              <w:rPr>
                <w:sz w:val="20"/>
                <w:szCs w:val="20"/>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Section 16.01.</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Provisions Binding on Company’s Successors</w:t>
            </w:r>
          </w:p>
        </w:tc>
        <w:tc>
          <w:tcPr>
            <w:tcW w:w="14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16.02.</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Official Acts by Successor Corporation</w:t>
            </w:r>
          </w:p>
        </w:tc>
        <w:tc>
          <w:tcPr>
            <w:tcW w:w="14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16.03.</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Addresses for Notices, Etc</w:t>
            </w:r>
          </w:p>
        </w:tc>
        <w:tc>
          <w:tcPr>
            <w:tcW w:w="14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16.04.</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Governing Law; Jurisdiction</w:t>
            </w:r>
          </w:p>
        </w:tc>
        <w:tc>
          <w:tcPr>
            <w:tcW w:w="14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16.05.</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Evidence of Compliance with Conditions Precedent; Certificates and Opinions of Counsel to Trustee</w:t>
            </w:r>
          </w:p>
        </w:tc>
        <w:tc>
          <w:tcPr>
            <w:tcW w:w="14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16.06.</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Legal Holidays</w:t>
            </w: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16.07.</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No Security Interest Created</w:t>
            </w: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16.08.</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Benefits of Indenture</w:t>
            </w: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16.09.</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Table of Contents, Headings, Etc</w:t>
            </w: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16.10.</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Authenticating Agent</w:t>
            </w: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16.11.</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Execution in Counterparts</w:t>
            </w:r>
          </w:p>
        </w:tc>
        <w:tc>
          <w:tcPr>
            <w:tcW w:w="14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16.12.</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Severability</w:t>
            </w:r>
          </w:p>
        </w:tc>
        <w:tc>
          <w:tcPr>
            <w:tcW w:w="14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16.13.</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Waiver of Jury Trial</w:t>
            </w:r>
          </w:p>
        </w:tc>
        <w:tc>
          <w:tcPr>
            <w:tcW w:w="14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16.14.</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Force Majeure</w:t>
            </w:r>
          </w:p>
        </w:tc>
        <w:tc>
          <w:tcPr>
            <w:tcW w:w="144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16.15.</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Calculations</w:t>
            </w:r>
          </w:p>
        </w:tc>
        <w:tc>
          <w:tcPr>
            <w:tcW w:w="1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16.16.</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No Adverse Interpretation of Other Agreements</w:t>
            </w:r>
          </w:p>
        </w:tc>
        <w:tc>
          <w:tcPr>
            <w:tcW w:w="1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Section 16.17.</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U.S.A. Patriot Act</w:t>
            </w:r>
          </w:p>
        </w:tc>
        <w:tc>
          <w:tcPr>
            <w:tcW w:w="1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Section 16.18.</w:t>
            </w:r>
          </w:p>
        </w:tc>
        <w:tc>
          <w:tcPr>
            <w:tcW w:w="8640" w:type="dxa"/>
            <w:vAlign w:val="bottom"/>
          </w:tcPr>
          <w:p>
            <w:pPr>
              <w:ind w:left="220"/>
              <w:spacing w:after="0"/>
              <w:rPr>
                <w:sz w:val="20"/>
                <w:szCs w:val="20"/>
                <w:color w:val="auto"/>
              </w:rPr>
            </w:pPr>
            <w:r>
              <w:rPr>
                <w:rFonts w:ascii="Arial" w:cs="Arial" w:eastAsia="Arial" w:hAnsi="Arial"/>
                <w:sz w:val="18"/>
                <w:szCs w:val="18"/>
                <w:i w:val="1"/>
                <w:iCs w:val="1"/>
                <w:color w:val="auto"/>
              </w:rPr>
              <w:t>Disclosures to the Trustee</w:t>
            </w:r>
          </w:p>
        </w:tc>
        <w:tc>
          <w:tcPr>
            <w:tcW w:w="144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432"/>
        </w:trPr>
        <w:tc>
          <w:tcPr>
            <w:tcW w:w="1240" w:type="dxa"/>
            <w:vAlign w:val="bottom"/>
          </w:tcPr>
          <w:p>
            <w:pPr>
              <w:spacing w:after="0"/>
              <w:rPr>
                <w:sz w:val="24"/>
                <w:szCs w:val="24"/>
                <w:color w:val="auto"/>
              </w:rPr>
            </w:pPr>
          </w:p>
        </w:tc>
        <w:tc>
          <w:tcPr>
            <w:tcW w:w="8640" w:type="dxa"/>
            <w:vAlign w:val="bottom"/>
          </w:tcPr>
          <w:p>
            <w:pPr>
              <w:jc w:val="center"/>
              <w:ind w:left="130"/>
              <w:spacing w:after="0"/>
              <w:rPr>
                <w:sz w:val="20"/>
                <w:szCs w:val="20"/>
                <w:color w:val="auto"/>
              </w:rPr>
            </w:pPr>
            <w:r>
              <w:rPr>
                <w:rFonts w:ascii="Arial" w:cs="Arial" w:eastAsia="Arial" w:hAnsi="Arial"/>
                <w:sz w:val="18"/>
                <w:szCs w:val="18"/>
                <w:b w:val="1"/>
                <w:bCs w:val="1"/>
                <w:color w:val="auto"/>
              </w:rPr>
              <w:t>EXHIBIT</w:t>
            </w:r>
          </w:p>
        </w:tc>
        <w:tc>
          <w:tcPr>
            <w:tcW w:w="1440" w:type="dxa"/>
            <w:vAlign w:val="bottom"/>
          </w:tcPr>
          <w:p>
            <w:pPr>
              <w:spacing w:after="0"/>
              <w:rPr>
                <w:sz w:val="24"/>
                <w:szCs w:val="24"/>
                <w:color w:val="auto"/>
              </w:rPr>
            </w:pPr>
          </w:p>
        </w:tc>
      </w:tr>
      <w:tr>
        <w:trPr>
          <w:trHeight w:val="310"/>
        </w:trPr>
        <w:tc>
          <w:tcPr>
            <w:tcW w:w="1240" w:type="dxa"/>
            <w:vAlign w:val="bottom"/>
          </w:tcPr>
          <w:p>
            <w:pPr>
              <w:spacing w:after="0"/>
              <w:rPr>
                <w:sz w:val="20"/>
                <w:szCs w:val="20"/>
                <w:color w:val="auto"/>
              </w:rPr>
            </w:pPr>
            <w:r>
              <w:rPr>
                <w:rFonts w:ascii="Arial" w:cs="Arial" w:eastAsia="Arial" w:hAnsi="Arial"/>
                <w:sz w:val="18"/>
                <w:szCs w:val="18"/>
                <w:color w:val="auto"/>
              </w:rPr>
              <w:t>Exhibit A</w:t>
            </w:r>
          </w:p>
        </w:tc>
        <w:tc>
          <w:tcPr>
            <w:tcW w:w="8640" w:type="dxa"/>
            <w:vAlign w:val="bottom"/>
          </w:tcPr>
          <w:p>
            <w:pPr>
              <w:ind w:left="220"/>
              <w:spacing w:after="0"/>
              <w:rPr>
                <w:sz w:val="20"/>
                <w:szCs w:val="20"/>
                <w:color w:val="auto"/>
              </w:rPr>
            </w:pPr>
            <w:r>
              <w:rPr>
                <w:rFonts w:ascii="Arial" w:cs="Arial" w:eastAsia="Arial" w:hAnsi="Arial"/>
                <w:sz w:val="18"/>
                <w:szCs w:val="18"/>
                <w:color w:val="auto"/>
              </w:rPr>
              <w:t>Form of Note</w:t>
            </w:r>
          </w:p>
        </w:tc>
        <w:tc>
          <w:tcPr>
            <w:tcW w:w="144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Exhibit B</w:t>
            </w:r>
          </w:p>
        </w:tc>
        <w:tc>
          <w:tcPr>
            <w:tcW w:w="8640" w:type="dxa"/>
            <w:vAlign w:val="bottom"/>
          </w:tcPr>
          <w:p>
            <w:pPr>
              <w:ind w:left="220"/>
              <w:spacing w:after="0"/>
              <w:rPr>
                <w:sz w:val="20"/>
                <w:szCs w:val="20"/>
                <w:color w:val="auto"/>
              </w:rPr>
            </w:pPr>
            <w:r>
              <w:rPr>
                <w:rFonts w:ascii="Arial" w:cs="Arial" w:eastAsia="Arial" w:hAnsi="Arial"/>
                <w:sz w:val="18"/>
                <w:szCs w:val="18"/>
                <w:color w:val="auto"/>
              </w:rPr>
              <w:t>Form of Transferability Certificate</w:t>
            </w:r>
          </w:p>
        </w:tc>
        <w:tc>
          <w:tcPr>
            <w:tcW w:w="1440" w:type="dxa"/>
            <w:vAlign w:val="bottom"/>
          </w:tcPr>
          <w:p>
            <w:pPr>
              <w:jc w:val="right"/>
              <w:spacing w:after="0"/>
              <w:rPr>
                <w:sz w:val="20"/>
                <w:szCs w:val="20"/>
                <w:color w:val="auto"/>
              </w:rPr>
            </w:pPr>
            <w:r>
              <w:rPr>
                <w:rFonts w:ascii="Arial" w:cs="Arial" w:eastAsia="Arial" w:hAnsi="Arial"/>
                <w:sz w:val="18"/>
                <w:szCs w:val="18"/>
                <w:color w:val="auto"/>
              </w:rPr>
              <w:t>B-1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4" w:right="339" w:bottom="1440" w:gutter="0" w:footer="0" w:header="0"/>
        </w:sectPr>
      </w:pPr>
    </w:p>
    <w:bookmarkStart w:id="10" w:name="page11"/>
    <w:bookmarkEnd w:id="10"/>
    <w:p>
      <w:pPr>
        <w:jc w:val="both"/>
        <w:ind w:right="40" w:firstLine="456"/>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 dated as of February 1, 2017 between TPG SPECIALTY LENDING, INC., a Delaware corporation, as issuer (the “</w:t>
      </w:r>
      <w:r>
        <w:rPr>
          <w:rFonts w:ascii="Arial" w:cs="Arial" w:eastAsia="Arial" w:hAnsi="Arial"/>
          <w:sz w:val="18"/>
          <w:szCs w:val="18"/>
          <w:b w:val="1"/>
          <w:bCs w:val="1"/>
          <w:color w:val="auto"/>
        </w:rPr>
        <w:t>Company</w:t>
      </w:r>
      <w:r>
        <w:rPr>
          <w:rFonts w:ascii="Arial" w:cs="Arial" w:eastAsia="Arial" w:hAnsi="Arial"/>
          <w:sz w:val="18"/>
          <w:szCs w:val="18"/>
          <w:color w:val="auto"/>
        </w:rPr>
        <w:t>,” as more fully set forth in Section 1.01) and WELLS FARGO BANK, NATIONAL ASSOCIATION, a national banking association,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 as more fully set forth in Section 1.01).</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I T N E S S E T H:</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WHEREAS, for its lawful corporate purposes, the Company has duly authorized the issuance of its 4.50% Convertible Senior Notes due 2022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Notes</w:t>
      </w:r>
      <w:r>
        <w:rPr>
          <w:rFonts w:ascii="Arial" w:cs="Arial" w:eastAsia="Arial" w:hAnsi="Arial"/>
          <w:sz w:val="16"/>
          <w:szCs w:val="16"/>
          <w:color w:val="auto"/>
        </w:rPr>
        <w:t>”), initially in an aggregate principal amount not to exceed $100,000,000 (or $115,000,000 if the Initial Purchasers exercise their over-allotment option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purchase additional Notes in full as set forth in the Purchase Agreement), and in order to provide the terms and conditions upon which the Notes are to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authenticated, issued and delivered, the Company has duly authorized the execution and delivery of this Indenture; and</w:t>
      </w:r>
    </w:p>
    <w:p>
      <w:pPr>
        <w:spacing w:after="0" w:line="211" w:lineRule="exact"/>
        <w:rPr>
          <w:sz w:val="20"/>
          <w:szCs w:val="20"/>
          <w:color w:val="auto"/>
        </w:rPr>
      </w:pPr>
    </w:p>
    <w:p>
      <w:pPr>
        <w:jc w:val="both"/>
        <w:ind w:right="60" w:firstLine="456"/>
        <w:spacing w:after="0" w:line="342" w:lineRule="auto"/>
        <w:rPr>
          <w:sz w:val="20"/>
          <w:szCs w:val="20"/>
          <w:color w:val="auto"/>
        </w:rPr>
      </w:pPr>
      <w:r>
        <w:rPr>
          <w:rFonts w:ascii="Arial" w:cs="Arial" w:eastAsia="Arial" w:hAnsi="Arial"/>
          <w:sz w:val="16"/>
          <w:szCs w:val="16"/>
          <w:color w:val="auto"/>
        </w:rPr>
        <w:t>WHEREAS, the Form of Note, the certificate of authentication to be borne by each Note, the Form of Notice of Conversion, the Form of Fundamental Change Repurchase Notice and the Form of Assignment and Transfer to be borne by the Notes are to be substantially in the forms hereinafter provided; and</w:t>
      </w:r>
    </w:p>
    <w:p>
      <w:pPr>
        <w:spacing w:after="0" w:line="124"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WHEREAS, all acts and things necessary to make the Notes, when executed by the Company and authenticated and delivered by the Trustee or a duly authorized authenticating agent, as provided in this Indenture, the valid, binding and legal obligations of the Company, and this Indenture a valid agreement according to its terms, have been done and performed, and the execution of this Indenture and the issue hereunder of the Notes have in all respects been duly authorized.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 THIS INDENTURE WITNESSETH:</w:t>
      </w:r>
    </w:p>
    <w:p>
      <w:pPr>
        <w:spacing w:after="0" w:line="225"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color w:val="auto"/>
        </w:rPr>
        <w:t>That in order to declare the terms and conditions upon which the Notes are, and are to be, authenticated, issued and delivered, and in consideration of the premises and of the purchase and acceptance of the Notes by the Holders thereof, the Company covenants and agrees with the Trustee for the equal and proportionate benefit of the respective Holders from time to time of the Notes (except as otherwise provided below), as follows: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EFINITIONS</w:t>
      </w:r>
    </w:p>
    <w:p>
      <w:pPr>
        <w:spacing w:after="0" w:line="21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i w:val="1"/>
          <w:iCs w:val="1"/>
          <w:color w:val="auto"/>
        </w:rPr>
        <w:t>Definitions</w:t>
      </w:r>
      <w:r>
        <w:rPr>
          <w:rFonts w:ascii="Arial" w:cs="Arial" w:eastAsia="Arial" w:hAnsi="Arial"/>
          <w:sz w:val="18"/>
          <w:szCs w:val="18"/>
          <w:color w:val="auto"/>
        </w:rPr>
        <w:t>. The terms defined in this Section 1.01 (except as herein otherwise expressly provided or unless the context otherwise requires) for all purposes of this Indenture and of any indenture supplemental hereto shall have the respective meanings specified in this Section 1.01. The words “herein,” “hereof,” “hereunder,” and words of similar import refer to this Indenture as a whole and not to any particular Article, Section or other subdivision. The terms defined in this Article include the plural as well as the singular.</w:t>
      </w:r>
    </w:p>
    <w:p>
      <w:pPr>
        <w:sectPr>
          <w:pgSz w:w="11900" w:h="16838" w:orient="portrait"/>
          <w:cols w:equalWidth="0" w:num="1">
            <w:col w:w="11380"/>
          </w:cols>
          <w:pgMar w:left="240" w:top="270" w:right="279" w:bottom="1440" w:gutter="0" w:footer="0" w:header="0"/>
        </w:sectPr>
      </w:pPr>
    </w:p>
    <w:bookmarkStart w:id="11" w:name="page12"/>
    <w:bookmarkEnd w:id="1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Additional Interest</w:t>
      </w:r>
      <w:r>
        <w:rPr>
          <w:rFonts w:ascii="Arial" w:cs="Arial" w:eastAsia="Arial" w:hAnsi="Arial"/>
          <w:sz w:val="18"/>
          <w:szCs w:val="18"/>
          <w:color w:val="auto"/>
        </w:rPr>
        <w:t>” means all amounts, if any, payable pursuant to Section 4.06(d) and Section 6.03, as applicable.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Shares</w:t>
      </w:r>
      <w:r>
        <w:rPr>
          <w:rFonts w:ascii="Arial" w:cs="Arial" w:eastAsia="Arial" w:hAnsi="Arial"/>
          <w:sz w:val="18"/>
          <w:szCs w:val="18"/>
          <w:color w:val="auto"/>
        </w:rPr>
        <w:t>” shall have the meaning specified in Section 13.03(a).</w:t>
      </w:r>
    </w:p>
    <w:p>
      <w:pPr>
        <w:spacing w:after="0" w:line="225" w:lineRule="exact"/>
        <w:rPr>
          <w:sz w:val="20"/>
          <w:szCs w:val="20"/>
          <w:color w:val="auto"/>
        </w:rPr>
      </w:pPr>
    </w:p>
    <w:p>
      <w:pPr>
        <w:ind w:firstLine="456"/>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of any specified Person means any other Person directly or indirectly controlling or controlled by or under direct or indirect common control with such specified Person. For the purposes of this definition, “</w:t>
      </w:r>
      <w:r>
        <w:rPr>
          <w:rFonts w:ascii="Arial" w:cs="Arial" w:eastAsia="Arial" w:hAnsi="Arial"/>
          <w:sz w:val="17"/>
          <w:szCs w:val="17"/>
          <w:b w:val="1"/>
          <w:bCs w:val="1"/>
          <w:color w:val="auto"/>
        </w:rPr>
        <w:t>control</w:t>
      </w:r>
      <w:r>
        <w:rPr>
          <w:rFonts w:ascii="Arial" w:cs="Arial" w:eastAsia="Arial" w:hAnsi="Arial"/>
          <w:sz w:val="17"/>
          <w:szCs w:val="17"/>
          <w:color w:val="auto"/>
        </w:rPr>
        <w:t>,” when used with respect to any specified Person means the power to direct or cause the direction of the management and policies of such Person, directly or indirectly, whether through the ownership of voting securities, by contract or otherwise; and the terms “</w:t>
      </w:r>
      <w:r>
        <w:rPr>
          <w:rFonts w:ascii="Arial" w:cs="Arial" w:eastAsia="Arial" w:hAnsi="Arial"/>
          <w:sz w:val="17"/>
          <w:szCs w:val="17"/>
          <w:b w:val="1"/>
          <w:bCs w:val="1"/>
          <w:color w:val="auto"/>
        </w:rPr>
        <w:t>controlling</w:t>
      </w:r>
      <w:r>
        <w:rPr>
          <w:rFonts w:ascii="Arial" w:cs="Arial" w:eastAsia="Arial" w:hAnsi="Arial"/>
          <w:sz w:val="17"/>
          <w:szCs w:val="17"/>
          <w:color w:val="auto"/>
        </w:rPr>
        <w:t>” and “</w:t>
      </w:r>
      <w:r>
        <w:rPr>
          <w:rFonts w:ascii="Arial" w:cs="Arial" w:eastAsia="Arial" w:hAnsi="Arial"/>
          <w:sz w:val="17"/>
          <w:szCs w:val="17"/>
          <w:b w:val="1"/>
          <w:bCs w:val="1"/>
          <w:color w:val="auto"/>
        </w:rPr>
        <w:t>controlled</w:t>
      </w:r>
      <w:r>
        <w:rPr>
          <w:rFonts w:ascii="Arial" w:cs="Arial" w:eastAsia="Arial" w:hAnsi="Arial"/>
          <w:sz w:val="17"/>
          <w:szCs w:val="17"/>
          <w:color w:val="auto"/>
        </w:rPr>
        <w:t>” have meanings correlative to the foregoing.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shall have the meaning specified in Section 16.18.</w:t>
      </w:r>
    </w:p>
    <w:p>
      <w:pPr>
        <w:spacing w:after="0" w:line="225"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Solicitation Agent</w:t>
      </w:r>
      <w:r>
        <w:rPr>
          <w:rFonts w:ascii="Arial" w:cs="Arial" w:eastAsia="Arial" w:hAnsi="Arial"/>
          <w:sz w:val="18"/>
          <w:szCs w:val="18"/>
          <w:color w:val="auto"/>
        </w:rPr>
        <w:t>” means the Person appointed by the Company to solicit bids for the Trading Price of the Notes in accordance with Section 13.01(b)(i) (which may be the Company). The Trustee shall initially act as the Bid Solicitation Agent. If at any time the Company is acting as Bid Solicitation Agent, no separate instruction as contemplated in Section 13.01(b) by the Company shall be necessary.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 or a committee of such board duly authorized to act for it hereunder.</w:t>
      </w:r>
    </w:p>
    <w:p>
      <w:pPr>
        <w:spacing w:after="0" w:line="225"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Resolution</w:t>
      </w:r>
      <w:r>
        <w:rPr>
          <w:rFonts w:ascii="Arial" w:cs="Arial" w:eastAsia="Arial" w:hAnsi="Arial"/>
          <w:sz w:val="18"/>
          <w:szCs w:val="18"/>
          <w:color w:val="auto"/>
        </w:rPr>
        <w:t>”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62"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with respect to any Note, any day other than a Saturday, a Sunday or a day on which the Federal Reserve Bank of New York is authorized or required by law or executive order to close or be closed.</w:t>
      </w:r>
    </w:p>
    <w:p>
      <w:pPr>
        <w:spacing w:after="0" w:line="162" w:lineRule="exact"/>
        <w:rPr>
          <w:sz w:val="20"/>
          <w:szCs w:val="20"/>
          <w:color w:val="auto"/>
        </w:rPr>
      </w:pPr>
    </w:p>
    <w:p>
      <w:pPr>
        <w:ind w:right="5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for any entity, any and all shares, interests, rights to purchase, warrants, options, participations or other equivalents of or interests in (however designated) stock issued by that entity.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Settlement</w:t>
      </w:r>
      <w:r>
        <w:rPr>
          <w:rFonts w:ascii="Arial" w:cs="Arial" w:eastAsia="Arial" w:hAnsi="Arial"/>
          <w:sz w:val="18"/>
          <w:szCs w:val="18"/>
          <w:color w:val="auto"/>
        </w:rPr>
        <w:t>” shall have the meaning specified in Section 13.02(a).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A Distribution</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B Distribution</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Clause C Distribution</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0" w:right="239" w:bottom="1440" w:gutter="0" w:footer="0" w:header="0"/>
        </w:sectPr>
      </w:pPr>
    </w:p>
    <w:bookmarkStart w:id="12" w:name="page13"/>
    <w:bookmarkEnd w:id="1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Combination Settlement</w:t>
      </w:r>
      <w:r>
        <w:rPr>
          <w:rFonts w:ascii="Arial" w:cs="Arial" w:eastAsia="Arial" w:hAnsi="Arial"/>
          <w:sz w:val="18"/>
          <w:szCs w:val="18"/>
          <w:color w:val="auto"/>
        </w:rPr>
        <w:t>” shall have the meaning specified in Section 13.02(a).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Common Equity</w:t>
      </w:r>
      <w:r>
        <w:rPr>
          <w:rFonts w:ascii="Arial" w:cs="Arial" w:eastAsia="Arial" w:hAnsi="Arial"/>
          <w:sz w:val="16"/>
          <w:szCs w:val="16"/>
          <w:color w:val="auto"/>
        </w:rPr>
        <w:t>” of any Person means Capital Stock of such Person that is generally entitled (a) to vote in the election of directors of such Person or</w:t>
      </w:r>
    </w:p>
    <w:p>
      <w:pPr>
        <w:spacing w:after="0" w:line="50" w:lineRule="exact"/>
        <w:rPr>
          <w:sz w:val="20"/>
          <w:szCs w:val="20"/>
          <w:color w:val="auto"/>
        </w:rPr>
      </w:pPr>
    </w:p>
    <w:p>
      <w:pPr>
        <w:ind w:firstLine="8"/>
        <w:spacing w:after="0" w:line="261"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such Person is not a corporation, to vote or otherwise participate in the selection of the governing body, partners, managers or others that will control the management or policies of such Person.</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the common stock of the Company, par value $0.01 per share, at the date of this Indenture, subject to Section 13.07.</w:t>
      </w:r>
    </w:p>
    <w:p>
      <w:pPr>
        <w:spacing w:after="0" w:line="237" w:lineRule="exact"/>
        <w:rPr>
          <w:sz w:val="20"/>
          <w:szCs w:val="20"/>
          <w:color w:val="auto"/>
        </w:rPr>
      </w:pPr>
    </w:p>
    <w:p>
      <w:pPr>
        <w:ind w:right="5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have the meaning specified in the first paragraph of this Indenture, and subject to the provisions of Article 11, shall include its successors and assigns.</w:t>
      </w:r>
    </w:p>
    <w:p>
      <w:pPr>
        <w:spacing w:after="0" w:line="162" w:lineRule="exact"/>
        <w:rPr>
          <w:sz w:val="20"/>
          <w:szCs w:val="20"/>
          <w:color w:val="auto"/>
        </w:rPr>
      </w:pPr>
    </w:p>
    <w:p>
      <w:pPr>
        <w:ind w:right="42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order of the Company, signed by (a) the Company’s Chief Executive Officer (or, if applicable, either of the Company’s Co-Chief Executive Officers), President, Chief Financial Officer, Chief Operating Officer, Chief Compliance Officer or any Vice President (whether or not designated by a number or numbers or word or words added before or after the title “Vice President”) and (b) any such other Officer designated in clause (a) of this definition or the Company’s Treasurer or Assistant Treasurer or Secretary or any Assistant Secretary, and delivered to the Trustee.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Agent</w:t>
      </w:r>
      <w:r>
        <w:rPr>
          <w:rFonts w:ascii="Arial" w:cs="Arial" w:eastAsia="Arial" w:hAnsi="Arial"/>
          <w:sz w:val="18"/>
          <w:szCs w:val="18"/>
          <w:color w:val="auto"/>
        </w:rPr>
        <w:t>” shall have the meaning specified in Section 4.02.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shall have the meaning specified in Section 13.02(c).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Obligation</w:t>
      </w:r>
      <w:r>
        <w:rPr>
          <w:rFonts w:ascii="Arial" w:cs="Arial" w:eastAsia="Arial" w:hAnsi="Arial"/>
          <w:sz w:val="18"/>
          <w:szCs w:val="18"/>
          <w:color w:val="auto"/>
        </w:rPr>
        <w:t>” shall have the meaning specified in Section 13.01(a).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means as of any date,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as of such date.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shall have the meaning specified in Section 13.01(a).</w:t>
      </w:r>
    </w:p>
    <w:p>
      <w:pPr>
        <w:spacing w:after="0" w:line="225" w:lineRule="exact"/>
        <w:rPr>
          <w:sz w:val="20"/>
          <w:szCs w:val="20"/>
          <w:color w:val="auto"/>
        </w:rPr>
      </w:pPr>
    </w:p>
    <w:p>
      <w:pPr>
        <w:ind w:right="20" w:firstLine="456"/>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Trust Office</w:t>
      </w:r>
      <w:r>
        <w:rPr>
          <w:rFonts w:ascii="Arial" w:cs="Arial" w:eastAsia="Arial" w:hAnsi="Arial"/>
          <w:sz w:val="17"/>
          <w:szCs w:val="17"/>
          <w:color w:val="auto"/>
        </w:rPr>
        <w:t>” means the principal office of the Trustee at which at any time its corporate trust business shall be administered, which office at the date hereof for purposes of Section 4.02 only is located at 150 East 42nd Street, 40th Floor, Attention: TPG Specialty Lending, Inc. 4.50% Convertible Notes Due 2022,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 With respect to presentation of notes at maturity or for registration of transfer or exchange or maturity, such address shall be 600 S. 4</w:t>
      </w:r>
      <w:r>
        <w:rPr>
          <w:rFonts w:ascii="Arial" w:cs="Arial" w:eastAsia="Arial" w:hAnsi="Arial"/>
          <w:sz w:val="14"/>
          <w:szCs w:val="14"/>
          <w:color w:val="auto"/>
        </w:rPr>
        <w:t>th</w:t>
      </w:r>
      <w:r>
        <w:rPr>
          <w:rFonts w:ascii="Arial" w:cs="Arial" w:eastAsia="Arial" w:hAnsi="Arial"/>
          <w:sz w:val="17"/>
          <w:szCs w:val="17"/>
          <w:color w:val="auto"/>
        </w:rPr>
        <w:t xml:space="preserve"> Street, 7</w:t>
      </w:r>
      <w:r>
        <w:rPr>
          <w:rFonts w:ascii="Arial" w:cs="Arial" w:eastAsia="Arial" w:hAnsi="Arial"/>
          <w:sz w:val="14"/>
          <w:szCs w:val="14"/>
          <w:color w:val="auto"/>
        </w:rPr>
        <w:t>th</w:t>
      </w:r>
      <w:r>
        <w:rPr>
          <w:rFonts w:ascii="Arial" w:cs="Arial" w:eastAsia="Arial" w:hAnsi="Arial"/>
          <w:sz w:val="17"/>
          <w:szCs w:val="17"/>
          <w:color w:val="auto"/>
        </w:rPr>
        <w:t xml:space="preserve"> Floor, Minneapolis, MN 55415, MAC: N9300-070, Attention: Bondholder Communications.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70" w:right="259" w:bottom="1440" w:gutter="0" w:footer="0" w:header="0"/>
        </w:sectPr>
      </w:pPr>
    </w:p>
    <w:bookmarkStart w:id="13" w:name="page14"/>
    <w:bookmarkEnd w:id="13"/>
    <w:p>
      <w:pPr>
        <w:ind w:right="580" w:firstLine="456"/>
        <w:spacing w:after="0" w:line="28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Credit Facility</w:t>
      </w:r>
      <w:r>
        <w:rPr>
          <w:rFonts w:ascii="Arial" w:cs="Arial" w:eastAsia="Arial" w:hAnsi="Arial"/>
          <w:sz w:val="17"/>
          <w:szCs w:val="17"/>
          <w:color w:val="auto"/>
        </w:rPr>
        <w:t>” means one or more credit agreements, including the existing credit facilities, loan agreements or similar facilities, secured or unsecured, providing for revolving credit loans, term loans and/or letters of credit, entered into from time to time by the Company and/or any of its Subsidiaries, as the same may be amended, supplemented, modified, restated or replaced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Custodian</w:t>
      </w:r>
      <w:r>
        <w:rPr>
          <w:rFonts w:ascii="Arial" w:cs="Arial" w:eastAsia="Arial" w:hAnsi="Arial"/>
          <w:sz w:val="16"/>
          <w:szCs w:val="16"/>
          <w:color w:val="auto"/>
        </w:rPr>
        <w:t>” means the Trustee, as custodian for The Depository Trust Company, with respect to the Global Notes, or any successor entity thereto.</w:t>
      </w:r>
    </w:p>
    <w:p>
      <w:pPr>
        <w:spacing w:after="0" w:line="248"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Conversion Value</w:t>
      </w:r>
      <w:r>
        <w:rPr>
          <w:rFonts w:ascii="Arial" w:cs="Arial" w:eastAsia="Arial" w:hAnsi="Arial"/>
          <w:sz w:val="18"/>
          <w:szCs w:val="18"/>
          <w:color w:val="auto"/>
        </w:rPr>
        <w:t>” means, for each of the 40 consecutive Trading Days during the Observation Period, one-fortieth of the product of (a) the Conversion Rate on such Trading Day and (b) the Daily VWAP on such Trading Day.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Measurement Value</w:t>
      </w:r>
      <w:r>
        <w:rPr>
          <w:rFonts w:ascii="Arial" w:cs="Arial" w:eastAsia="Arial" w:hAnsi="Arial"/>
          <w:sz w:val="18"/>
          <w:szCs w:val="18"/>
          <w:color w:val="auto"/>
        </w:rPr>
        <w:t xml:space="preserve">” means the Specified Dollar Amount, if any,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40.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Settlement Amount</w:t>
      </w:r>
      <w:r>
        <w:rPr>
          <w:rFonts w:ascii="Arial" w:cs="Arial" w:eastAsia="Arial" w:hAnsi="Arial"/>
          <w:sz w:val="18"/>
          <w:szCs w:val="18"/>
          <w:color w:val="auto"/>
        </w:rPr>
        <w:t>,” for each of the 40 consecutive Trading Days during the Observation Period, shall consist of:</w:t>
      </w:r>
    </w:p>
    <w:p>
      <w:pPr>
        <w:spacing w:after="0" w:line="121" w:lineRule="exact"/>
        <w:rPr>
          <w:sz w:val="20"/>
          <w:szCs w:val="20"/>
          <w:color w:val="auto"/>
        </w:rPr>
      </w:pPr>
    </w:p>
    <w:p>
      <w:pPr>
        <w:ind w:left="1280" w:hanging="377"/>
        <w:spacing w:after="0"/>
        <w:tabs>
          <w:tab w:leader="none" w:pos="1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equal to the lesser of (i) the Daily Measurement Value and (ii) the Daily Conversion Value; and</w:t>
      </w:r>
    </w:p>
    <w:p>
      <w:pPr>
        <w:spacing w:after="0" w:line="117" w:lineRule="exact"/>
        <w:rPr>
          <w:rFonts w:ascii="Arial" w:cs="Arial" w:eastAsia="Arial" w:hAnsi="Arial"/>
          <w:sz w:val="18"/>
          <w:szCs w:val="18"/>
          <w:color w:val="auto"/>
        </w:rPr>
      </w:pPr>
    </w:p>
    <w:p>
      <w:pPr>
        <w:ind w:left="460" w:right="400" w:firstLine="443"/>
        <w:spacing w:after="0" w:line="308" w:lineRule="auto"/>
        <w:tabs>
          <w:tab w:leader="none" w:pos="1288"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if the Daily Conversion Value exceeds the Daily Measurement Value, a number of shares of Common Stock equal to (i) the difference between the Daily Conversion Value and the Daily Measurement Value,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(ii) the Daily VWAP for such Trading Day.</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VWAP</w:t>
      </w:r>
      <w:r>
        <w:rPr>
          <w:rFonts w:ascii="Arial" w:cs="Arial" w:eastAsia="Arial" w:hAnsi="Arial"/>
          <w:sz w:val="18"/>
          <w:szCs w:val="18"/>
          <w:color w:val="auto"/>
        </w:rPr>
        <w:t>” means, for the Common Stock, for each of the 40 consecutive Trading days during the applicable Observation Period, the per share volume-weighted average price as displayed under the heading “Bloomberg VWAP” on Bloomberg page “TSLX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the Common Stock on such Trading Day determined, using a volume-weighted average method, by a nationally recognized independent investment banking firm retained for this purpose by the Company). The “</w:t>
      </w:r>
      <w:r>
        <w:rPr>
          <w:rFonts w:ascii="Arial" w:cs="Arial" w:eastAsia="Arial" w:hAnsi="Arial"/>
          <w:sz w:val="18"/>
          <w:szCs w:val="18"/>
          <w:b w:val="1"/>
          <w:bCs w:val="1"/>
          <w:color w:val="auto"/>
        </w:rPr>
        <w:t>Daily VWAP</w:t>
      </w:r>
      <w:r>
        <w:rPr>
          <w:rFonts w:ascii="Arial" w:cs="Arial" w:eastAsia="Arial" w:hAnsi="Arial"/>
          <w:sz w:val="18"/>
          <w:szCs w:val="18"/>
          <w:color w:val="auto"/>
        </w:rPr>
        <w:t>” shall be determined without regard to after-hours trading or any other trading outside of the regular trading session trading hours.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right="44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Amounts</w:t>
      </w:r>
      <w:r>
        <w:rPr>
          <w:rFonts w:ascii="Arial" w:cs="Arial" w:eastAsia="Arial" w:hAnsi="Arial"/>
          <w:sz w:val="18"/>
          <w:szCs w:val="18"/>
          <w:color w:val="auto"/>
        </w:rPr>
        <w:t>” means any amounts on any Note (including, without limitation, the Fundamental Change Repurchase Price, principal and interest) that are payable but are not punctually paid or duly provided for.</w:t>
      </w:r>
    </w:p>
    <w:p>
      <w:pPr>
        <w:spacing w:after="0" w:line="162" w:lineRule="exact"/>
        <w:rPr>
          <w:sz w:val="20"/>
          <w:szCs w:val="20"/>
          <w:color w:val="auto"/>
        </w:rPr>
      </w:pPr>
    </w:p>
    <w:p>
      <w:pPr>
        <w:jc w:val="both"/>
        <w:ind w:right="2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each Global Note, the Person specified in Section 2.05(c) as the Depositary with respect to such Notes, until a successor shall have been appointed and become such pursuant to the applicable provisions of this Indenture, and thereafter, “</w:t>
      </w:r>
      <w:r>
        <w:rPr>
          <w:rFonts w:ascii="Arial" w:cs="Arial" w:eastAsia="Arial" w:hAnsi="Arial"/>
          <w:sz w:val="18"/>
          <w:szCs w:val="18"/>
          <w:b w:val="1"/>
          <w:bCs w:val="1"/>
          <w:color w:val="auto"/>
        </w:rPr>
        <w:t>Depositary</w:t>
      </w:r>
      <w:r>
        <w:rPr>
          <w:rFonts w:ascii="Arial" w:cs="Arial" w:eastAsia="Arial" w:hAnsi="Arial"/>
          <w:sz w:val="18"/>
          <w:szCs w:val="18"/>
          <w:color w:val="auto"/>
        </w:rPr>
        <w:t>” shall mean or include such successor.</w:t>
      </w:r>
    </w:p>
    <w:p>
      <w:pPr>
        <w:spacing w:after="0" w:line="1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70" w:right="319" w:bottom="1440" w:gutter="0" w:footer="0" w:header="0"/>
        </w:sectPr>
      </w:pPr>
    </w:p>
    <w:bookmarkStart w:id="14" w:name="page15"/>
    <w:bookmarkEnd w:id="1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Distributed Property</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shall have the meaning specified in Section 13.03(c).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Events of Default</w:t>
      </w:r>
      <w:r>
        <w:rPr>
          <w:rFonts w:ascii="Arial" w:cs="Arial" w:eastAsia="Arial" w:hAnsi="Arial"/>
          <w:sz w:val="18"/>
          <w:szCs w:val="18"/>
          <w:color w:val="auto"/>
        </w:rPr>
        <w:t>” shall have the meaning specified in Section 6.01.</w:t>
      </w:r>
    </w:p>
    <w:p>
      <w:pPr>
        <w:spacing w:after="0" w:line="225" w:lineRule="exact"/>
        <w:rPr>
          <w:sz w:val="20"/>
          <w:szCs w:val="20"/>
          <w:color w:val="auto"/>
        </w:rPr>
      </w:pPr>
    </w:p>
    <w:p>
      <w:pPr>
        <w:jc w:val="both"/>
        <w:ind w:right="1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Ex-Dividend Date</w:t>
      </w:r>
      <w:r>
        <w:rPr>
          <w:rFonts w:ascii="Arial" w:cs="Arial" w:eastAsia="Arial" w:hAnsi="Arial"/>
          <w:sz w:val="18"/>
          <w:szCs w:val="18"/>
          <w:color w:val="auto"/>
        </w:rPr>
        <w:t>” means the first date on which shares of the Common Stock trade on the applicable exchange or in the applicable market, regular way, without the right to receive the issuance, dividend or distribution in question, from the Company or, if applicable, from the seller of Common Stock on such exchange or market (in the form of due bills or otherwise) as determined by such exchange or market.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Assignment and Transfer</w:t>
      </w:r>
      <w:r>
        <w:rPr>
          <w:rFonts w:ascii="Arial" w:cs="Arial" w:eastAsia="Arial" w:hAnsi="Arial"/>
          <w:sz w:val="18"/>
          <w:szCs w:val="18"/>
          <w:color w:val="auto"/>
        </w:rPr>
        <w:t>” shall mean the “Form of Assignment and Transfer” attached as Attachment 3 to the Form of Note attached hereto as Exhibit A.</w:t>
      </w:r>
    </w:p>
    <w:p>
      <w:pPr>
        <w:spacing w:after="0" w:line="162"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Fundamental Change Repurchase Notice</w:t>
      </w:r>
      <w:r>
        <w:rPr>
          <w:rFonts w:ascii="Arial" w:cs="Arial" w:eastAsia="Arial" w:hAnsi="Arial"/>
          <w:sz w:val="18"/>
          <w:szCs w:val="18"/>
          <w:color w:val="auto"/>
        </w:rPr>
        <w:t>” shall mean the “Form of Fundamental Change Repurchase Notice” attached as Attachment 2 to the Form of Note attached hereto as Exhibit A.</w:t>
      </w:r>
    </w:p>
    <w:p>
      <w:pPr>
        <w:spacing w:after="0" w:line="162"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 of Notice of Conversion</w:t>
      </w:r>
      <w:r>
        <w:rPr>
          <w:rFonts w:ascii="Arial" w:cs="Arial" w:eastAsia="Arial" w:hAnsi="Arial"/>
          <w:sz w:val="18"/>
          <w:szCs w:val="18"/>
          <w:color w:val="auto"/>
        </w:rPr>
        <w:t>” shall mean the “Form of Notice of Conversion” attached as Attachment 1 to the Form of Note attached hereto as Exhibit 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w:t>
      </w:r>
      <w:r>
        <w:rPr>
          <w:rFonts w:ascii="Arial" w:cs="Arial" w:eastAsia="Arial" w:hAnsi="Arial"/>
          <w:sz w:val="18"/>
          <w:szCs w:val="18"/>
          <w:color w:val="auto"/>
        </w:rPr>
        <w:t>” shall be deemed to have occurred at the time after the Notes are originally issued if any of the following occurs:</w:t>
      </w:r>
    </w:p>
    <w:p>
      <w:pPr>
        <w:spacing w:after="0" w:line="229" w:lineRule="exact"/>
        <w:rPr>
          <w:sz w:val="20"/>
          <w:szCs w:val="20"/>
          <w:color w:val="auto"/>
        </w:rPr>
      </w:pPr>
    </w:p>
    <w:p>
      <w:pPr>
        <w:ind w:left="460" w:right="20" w:firstLine="443"/>
        <w:spacing w:after="0" w:line="279" w:lineRule="auto"/>
        <w:tabs>
          <w:tab w:leader="none" w:pos="1278" w:val="left"/>
        </w:tabs>
        <w:numPr>
          <w:ilvl w:val="0"/>
          <w:numId w:val="6"/>
        </w:numPr>
        <w:rPr>
          <w:rFonts w:ascii="Arial" w:cs="Arial" w:eastAsia="Arial" w:hAnsi="Arial"/>
          <w:sz w:val="17"/>
          <w:szCs w:val="17"/>
          <w:color w:val="auto"/>
        </w:rPr>
      </w:pPr>
      <w:r>
        <w:rPr>
          <w:rFonts w:ascii="Arial" w:cs="Arial" w:eastAsia="Arial" w:hAnsi="Arial"/>
          <w:sz w:val="17"/>
          <w:szCs w:val="17"/>
          <w:color w:val="auto"/>
        </w:rPr>
        <w:t>a “person” or “group” within the meaning of Section 13(d) of the Exchange Act, other than the Company, its Subsidiaries and the employee benefit plans of the Company and its Subsidiaries, has become the direct or indirect “beneficial owner,” as defined in Rule 13d-3 under the Exchange Act, of the Company’s Common Equity representing more than 50% of the voting power of the Company’s Common Equity and files a Schedule 13D or Schedule TO or any other schedule, form or report under the Exchange Act disclosing such beneficial ownership;</w:t>
      </w:r>
    </w:p>
    <w:p>
      <w:pPr>
        <w:spacing w:after="0" w:line="171" w:lineRule="exact"/>
        <w:rPr>
          <w:rFonts w:ascii="Arial" w:cs="Arial" w:eastAsia="Arial" w:hAnsi="Arial"/>
          <w:sz w:val="17"/>
          <w:szCs w:val="17"/>
          <w:color w:val="auto"/>
        </w:rPr>
      </w:pPr>
    </w:p>
    <w:p>
      <w:pPr>
        <w:ind w:left="460" w:right="140" w:firstLine="443"/>
        <w:spacing w:after="0" w:line="257" w:lineRule="auto"/>
        <w:tabs>
          <w:tab w:leader="none" w:pos="1288"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consummation of (A) any recapitalization, reclassification or change of the Common Stock (other than changes resulting from a subdivision or combination or a change solely in par value) as a result of which the Common Stock would be converted into, or exchanged for, stock, other securities, other property or assets; (B) any share exchange, consolidation or merger of the Company pursuant to which the Common Stock will be converted into cash, securities or other property; or (C) any sale, lease or other transfer in one transaction or a series of transactions of all or substantially all of the consolidated</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0" w:right="299" w:bottom="1440" w:gutter="0" w:footer="0" w:header="0"/>
        </w:sectPr>
      </w:pPr>
    </w:p>
    <w:bookmarkStart w:id="15" w:name="page16"/>
    <w:bookmarkEnd w:id="15"/>
    <w:p>
      <w:pPr>
        <w:ind w:left="460"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assets of the Company and its Subsidiaries, taken as a whole, to any Person other than one of the Company’s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transaction described in clause (A) or (B) in which the holders of all classes of the Company’s Common Equity immediately prior to such transaction own, directly or indirectly, more than 50% of all classes of Common Equity of the continuing or surviving corporation or transferee or the parent thereof immediately after such transaction in substantially the same proportions as such ownership immediately prior to such transaction shall not be a Fundamental Change pursuant to this clause (b);</w:t>
      </w:r>
    </w:p>
    <w:p>
      <w:pPr>
        <w:spacing w:after="0" w:line="80" w:lineRule="exact"/>
        <w:rPr>
          <w:sz w:val="20"/>
          <w:szCs w:val="20"/>
          <w:color w:val="auto"/>
        </w:rPr>
      </w:pPr>
    </w:p>
    <w:p>
      <w:pPr>
        <w:ind w:left="1280" w:hanging="377"/>
        <w:spacing w:after="0"/>
        <w:tabs>
          <w:tab w:leader="none" w:pos="1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stockholders of the Company approve any plan or proposal for the liquidation or dissolution of the Company; or</w:t>
      </w:r>
    </w:p>
    <w:p>
      <w:pPr>
        <w:spacing w:after="0" w:line="117" w:lineRule="exact"/>
        <w:rPr>
          <w:rFonts w:ascii="Arial" w:cs="Arial" w:eastAsia="Arial" w:hAnsi="Arial"/>
          <w:sz w:val="18"/>
          <w:szCs w:val="18"/>
          <w:color w:val="auto"/>
        </w:rPr>
      </w:pPr>
    </w:p>
    <w:p>
      <w:pPr>
        <w:ind w:left="460" w:firstLine="443"/>
        <w:spacing w:after="0" w:line="342" w:lineRule="auto"/>
        <w:tabs>
          <w:tab w:leader="none" w:pos="1153"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Common Stock (or other common stock underlying the Notes) ceases to be listed or quoted on any of The New York Stock Exchange, The NASDAQ Global Select Market or The NASDAQ Global Market (or any of their respective successors) for a period of 20 consecutive Trading Days;</w:t>
      </w:r>
    </w:p>
    <w:p>
      <w:pPr>
        <w:spacing w:after="0" w:line="12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(i) a transaction or transactions described in clause (b) above shall not constitute a Fundamental Change (even if that transaction is, or</w:t>
      </w:r>
      <w:r>
        <w:rPr>
          <w:rFonts w:ascii="Arial" w:cs="Arial" w:eastAsia="Arial" w:hAnsi="Arial"/>
          <w:sz w:val="17"/>
          <w:szCs w:val="17"/>
          <w:i w:val="1"/>
          <w:iCs w:val="1"/>
          <w:color w:val="auto"/>
        </w:rPr>
        <w:t xml:space="preserve"> </w:t>
      </w:r>
      <w:r>
        <w:rPr>
          <w:rFonts w:ascii="Arial" w:cs="Arial" w:eastAsia="Arial" w:hAnsi="Arial"/>
          <w:sz w:val="17"/>
          <w:szCs w:val="17"/>
          <w:color w:val="auto"/>
        </w:rPr>
        <w:t>those transactions are, also described under another clause above) if at least 90% of the consideration received or to be received by the common stockholders of the Company, excluding cash payments for fractional shares, in connection with such transaction or transactions consists of shares of Publicly Traded Securities, and as a result of this transaction or transactions, the Notes become convertible into such Publicly Traded Securities, excluding cash payments for fractional shares (subject to the provisions of Section 13.02(a)); (ii) after any transaction in which the Common Stock is replaced by the securities of another entity, should one occur, following completion of any related Make-Whole Fundamental Change period and any related Fundamental Change Repurchase Date, the references to the Company or the Common Stock in clauses (a), (b), (c) and (d) above will apply to such other entity and its respective securities instead; and (iii) a filing that would otherwise constitute a Fundamental Change under clause (a) above will not constitute a Fundamental Change if (x) the filing occurs in connection with a transaction in which the Company becomes a wholly-owned Subsidiary of an entity required to report under the Exchange Act, and for purposes of the conversion provisions herein, the Common Stock is replaced by the Publicly Traded Securities of such entity required to report under the Exchange Act, and (y) no such filing is made or is in effect with respect to Common Equity representing more than 50% of the voting power of such other entity.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Company Notice</w:t>
      </w:r>
      <w:r>
        <w:rPr>
          <w:rFonts w:ascii="Arial" w:cs="Arial" w:eastAsia="Arial" w:hAnsi="Arial"/>
          <w:sz w:val="18"/>
          <w:szCs w:val="18"/>
          <w:color w:val="auto"/>
        </w:rPr>
        <w:t>” shall have the meaning specified in Section 14.01(c).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Date</w:t>
      </w:r>
      <w:r>
        <w:rPr>
          <w:rFonts w:ascii="Arial" w:cs="Arial" w:eastAsia="Arial" w:hAnsi="Arial"/>
          <w:sz w:val="18"/>
          <w:szCs w:val="18"/>
          <w:color w:val="auto"/>
        </w:rPr>
        <w:t>” shall have the meaning specified in Section 14.01(a).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shall have the meaning specified in Section 14.01(b)(i).</w:t>
      </w:r>
    </w:p>
    <w:p>
      <w:pPr>
        <w:spacing w:after="0" w:line="16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Fundamental Change Repurchase Price</w:t>
      </w:r>
      <w:r>
        <w:rPr>
          <w:rFonts w:ascii="Arial" w:cs="Arial" w:eastAsia="Arial" w:hAnsi="Arial"/>
          <w:sz w:val="18"/>
          <w:szCs w:val="18"/>
          <w:color w:val="auto"/>
        </w:rPr>
        <w:t>” shall have the meaning specified in Section 14.01(a).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shall have the meaning specified in Section 2.05(b).</w:t>
      </w:r>
    </w:p>
    <w:p>
      <w:pPr>
        <w:spacing w:after="0" w:line="225"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as applied to any Note, or other similar terms (but excluding the term “beneficial holder”), shall mean any person in whose name at the time a particular Note is registered on the Note Register.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Indenture</w:t>
      </w:r>
      <w:r>
        <w:rPr>
          <w:rFonts w:ascii="Arial" w:cs="Arial" w:eastAsia="Arial" w:hAnsi="Arial"/>
          <w:sz w:val="17"/>
          <w:szCs w:val="17"/>
          <w:color w:val="auto"/>
        </w:rPr>
        <w:t>” means this instrument as originally executed or, if amended or supplemented as herein provided, as so amended or supplemented.</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Dividend Threshold</w:t>
      </w:r>
      <w:r>
        <w:rPr>
          <w:rFonts w:ascii="Arial" w:cs="Arial" w:eastAsia="Arial" w:hAnsi="Arial"/>
          <w:sz w:val="18"/>
          <w:szCs w:val="18"/>
          <w:color w:val="auto"/>
        </w:rPr>
        <w:t>” shall have the meaning specified in Section 13.04(d).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“Initial Purchasers” </w:t>
      </w:r>
      <w:r>
        <w:rPr>
          <w:rFonts w:ascii="Arial" w:cs="Arial" w:eastAsia="Arial" w:hAnsi="Arial"/>
          <w:sz w:val="18"/>
          <w:szCs w:val="18"/>
          <w:color w:val="auto"/>
        </w:rPr>
        <w:t>means the several initial purchasers named in Schedule 1 to the Purchase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February 1 and August 1 of each year, beginning on August 1, 2017.</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Company Act</w:t>
      </w:r>
      <w:r>
        <w:rPr>
          <w:rFonts w:ascii="Arial" w:cs="Arial" w:eastAsia="Arial" w:hAnsi="Arial"/>
          <w:sz w:val="18"/>
          <w:szCs w:val="18"/>
          <w:color w:val="auto"/>
        </w:rPr>
        <w:t>” shall have the meaning specified in Section 4.07.</w:t>
      </w:r>
    </w:p>
    <w:p>
      <w:pPr>
        <w:spacing w:after="0" w:line="225"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Last Reported Sale Price</w:t>
      </w:r>
      <w:r>
        <w:rPr>
          <w:rFonts w:ascii="Arial" w:cs="Arial" w:eastAsia="Arial" w:hAnsi="Arial"/>
          <w:sz w:val="17"/>
          <w:szCs w:val="17"/>
          <w:color w:val="auto"/>
        </w:rPr>
        <w:t>” of the Common Stock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principal U.S. national or regional securities exchange on which the Common Stock is traded. The “</w:t>
      </w:r>
      <w:r>
        <w:rPr>
          <w:rFonts w:ascii="Arial" w:cs="Arial" w:eastAsia="Arial" w:hAnsi="Arial"/>
          <w:sz w:val="17"/>
          <w:szCs w:val="17"/>
          <w:b w:val="1"/>
          <w:bCs w:val="1"/>
          <w:color w:val="auto"/>
        </w:rPr>
        <w:t>Last Reported Sale Price</w:t>
      </w:r>
      <w:r>
        <w:rPr>
          <w:rFonts w:ascii="Arial" w:cs="Arial" w:eastAsia="Arial" w:hAnsi="Arial"/>
          <w:sz w:val="17"/>
          <w:szCs w:val="17"/>
          <w:color w:val="auto"/>
        </w:rPr>
        <w:t>” will be determined without reference to after-hours trading or extended market trading. If the Common Stock is not listed for trading on a U.S. national or regional securities exchange on the relevant date, the “</w:t>
      </w:r>
      <w:r>
        <w:rPr>
          <w:rFonts w:ascii="Arial" w:cs="Arial" w:eastAsia="Arial" w:hAnsi="Arial"/>
          <w:sz w:val="17"/>
          <w:szCs w:val="17"/>
          <w:b w:val="1"/>
          <w:bCs w:val="1"/>
          <w:color w:val="auto"/>
        </w:rPr>
        <w:t>Last Reported Sale Price</w:t>
      </w:r>
      <w:r>
        <w:rPr>
          <w:rFonts w:ascii="Arial" w:cs="Arial" w:eastAsia="Arial" w:hAnsi="Arial"/>
          <w:sz w:val="17"/>
          <w:szCs w:val="17"/>
          <w:color w:val="auto"/>
        </w:rPr>
        <w:t>” shall be the last quoted bid price for the Common Stock in the over-the-counter market on the relevant date as reported by OTC Markets Group Inc. or a similar organization. If the Common Stock is not so quoted, the “</w:t>
      </w:r>
      <w:r>
        <w:rPr>
          <w:rFonts w:ascii="Arial" w:cs="Arial" w:eastAsia="Arial" w:hAnsi="Arial"/>
          <w:sz w:val="17"/>
          <w:szCs w:val="17"/>
          <w:b w:val="1"/>
          <w:bCs w:val="1"/>
          <w:color w:val="auto"/>
        </w:rPr>
        <w:t>Last Reported Sale Price</w:t>
      </w:r>
      <w:r>
        <w:rPr>
          <w:rFonts w:ascii="Arial" w:cs="Arial" w:eastAsia="Arial" w:hAnsi="Arial"/>
          <w:sz w:val="17"/>
          <w:szCs w:val="17"/>
          <w:color w:val="auto"/>
        </w:rPr>
        <w:t>” shall be the average of the mid-point of the last bid and ask prices for the Common Stock on the relevant date from each of at least three nationally recognized independent investment banking firms selected by the Company for this purpose.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Limitation</w:t>
      </w:r>
      <w:r>
        <w:rPr>
          <w:rFonts w:ascii="Arial" w:cs="Arial" w:eastAsia="Arial" w:hAnsi="Arial"/>
          <w:sz w:val="18"/>
          <w:szCs w:val="18"/>
          <w:color w:val="auto"/>
        </w:rPr>
        <w:t>” shall have the meaning specified in Section 13.02(k).</w:t>
      </w:r>
    </w:p>
    <w:p>
      <w:pPr>
        <w:spacing w:after="0" w:line="225" w:lineRule="exact"/>
        <w:rPr>
          <w:sz w:val="20"/>
          <w:szCs w:val="20"/>
          <w:color w:val="auto"/>
        </w:rPr>
      </w:pPr>
    </w:p>
    <w:p>
      <w:pPr>
        <w:jc w:val="both"/>
        <w:ind w:right="20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Make-Whole Fundamental Change</w:t>
      </w:r>
      <w:r>
        <w:rPr>
          <w:rFonts w:ascii="Arial" w:cs="Arial" w:eastAsia="Arial" w:hAnsi="Arial"/>
          <w:sz w:val="18"/>
          <w:szCs w:val="18"/>
          <w:color w:val="auto"/>
        </w:rPr>
        <w:t xml:space="preserve">” means any transaction or event that constitutes a Fundamental Change (as defined in clauses (a), (b) or (d) in the definition thereof and determined after giving effect to any exceptions to or exclusions from such definition, but without regard to the </w:t>
      </w:r>
      <w:r>
        <w:rPr>
          <w:rFonts w:ascii="Arial" w:cs="Arial" w:eastAsia="Arial" w:hAnsi="Arial"/>
          <w:sz w:val="18"/>
          <w:szCs w:val="18"/>
          <w:i w:val="1"/>
          <w:iCs w:val="1"/>
          <w:color w:val="auto"/>
        </w:rPr>
        <w:t>proviso</w:t>
      </w:r>
      <w:r>
        <w:rPr>
          <w:rFonts w:ascii="Arial" w:cs="Arial" w:eastAsia="Arial" w:hAnsi="Arial"/>
          <w:sz w:val="18"/>
          <w:szCs w:val="18"/>
          <w:color w:val="auto"/>
        </w:rPr>
        <w:t xml:space="preserve"> in clause (b) of the definition thereof).</w:t>
      </w:r>
    </w:p>
    <w:p>
      <w:pPr>
        <w:spacing w:after="0" w:line="176" w:lineRule="exact"/>
        <w:rPr>
          <w:sz w:val="20"/>
          <w:szCs w:val="20"/>
          <w:color w:val="auto"/>
        </w:rPr>
      </w:pPr>
    </w:p>
    <w:p>
      <w:pPr>
        <w:ind w:right="4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Disruption Event</w:t>
      </w:r>
      <w:r>
        <w:rPr>
          <w:rFonts w:ascii="Arial" w:cs="Arial" w:eastAsia="Arial" w:hAnsi="Arial"/>
          <w:sz w:val="18"/>
          <w:szCs w:val="18"/>
          <w:color w:val="auto"/>
        </w:rPr>
        <w:t>” means (a) a failure by the primary U.S. national or regional securities exchange or market on which the Common Stock is listed or admitted for trading to open for trading during its regular trading session or (b) the occurrence or existence prior to 1:00 p.m., New York City time, on any Scheduled Trading Day for the Common Stock for more than one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0" w:right="239" w:bottom="1440" w:gutter="0" w:footer="0" w:header="0"/>
        </w:sectPr>
      </w:pPr>
    </w:p>
    <w:bookmarkStart w:id="17" w:name="page18"/>
    <w:bookmarkEnd w:id="17"/>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half-hour period in the aggregate during regular trading hours of any suspension or limitation imposed on trading (by reason of movements in price exceeding limits permitted by the relevant stock exchange or otherwise) in the Common Stock or in any options, contracts or future contracts relating to the Common Stock.</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August 1, 2022.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Measurement Period</w:t>
      </w:r>
      <w:r>
        <w:rPr>
          <w:rFonts w:ascii="Arial" w:cs="Arial" w:eastAsia="Arial" w:hAnsi="Arial"/>
          <w:sz w:val="18"/>
          <w:szCs w:val="18"/>
          <w:color w:val="auto"/>
        </w:rPr>
        <w:t>” shall have the meaning specified in Section 13.01(b)(i).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Common Stock</w:t>
      </w:r>
      <w:r>
        <w:rPr>
          <w:rFonts w:ascii="Arial" w:cs="Arial" w:eastAsia="Arial" w:hAnsi="Arial"/>
          <w:sz w:val="18"/>
          <w:szCs w:val="18"/>
          <w:color w:val="auto"/>
        </w:rPr>
        <w:t>” shall have the meaning specified in Section 13.07(e)(i).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Event</w:t>
      </w:r>
      <w:r>
        <w:rPr>
          <w:rFonts w:ascii="Arial" w:cs="Arial" w:eastAsia="Arial" w:hAnsi="Arial"/>
          <w:sz w:val="18"/>
          <w:szCs w:val="18"/>
          <w:color w:val="auto"/>
        </w:rPr>
        <w:t>” shall have the meaning specified in Section 13.07(a).</w:t>
      </w:r>
    </w:p>
    <w:p>
      <w:pPr>
        <w:spacing w:after="0" w:line="225" w:lineRule="exact"/>
        <w:rPr>
          <w:sz w:val="20"/>
          <w:szCs w:val="20"/>
          <w:color w:val="auto"/>
        </w:rPr>
      </w:pPr>
    </w:p>
    <w:p>
      <w:pPr>
        <w:ind w:right="6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Valuation Percentage</w:t>
      </w:r>
      <w:r>
        <w:rPr>
          <w:rFonts w:ascii="Arial" w:cs="Arial" w:eastAsia="Arial" w:hAnsi="Arial"/>
          <w:sz w:val="18"/>
          <w:szCs w:val="18"/>
          <w:color w:val="auto"/>
        </w:rPr>
        <w:t xml:space="preserve">” for any Merger Event shall be equal to (x) the arithmetic average of the Last Reported Sale Prices of one share of such Merger Common Stock over the relevant Merger Valuation Period (determined as if references to “Common Stock” in the definition of “Last Reported Sale Price” were references to the “Merger Common Stock” for such Merger Event),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the arithmetic average of the Last Reported Sale Prices of one share of Common Stock over the relevant Merger Valuation Period.</w:t>
      </w:r>
    </w:p>
    <w:p>
      <w:pPr>
        <w:spacing w:after="0" w:line="180" w:lineRule="exact"/>
        <w:rPr>
          <w:sz w:val="20"/>
          <w:szCs w:val="20"/>
          <w:color w:val="auto"/>
        </w:rPr>
      </w:pPr>
    </w:p>
    <w:p>
      <w:pPr>
        <w:ind w:right="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Merger Valuation Period</w:t>
      </w:r>
      <w:r>
        <w:rPr>
          <w:rFonts w:ascii="Arial" w:cs="Arial" w:eastAsia="Arial" w:hAnsi="Arial"/>
          <w:sz w:val="18"/>
          <w:szCs w:val="18"/>
          <w:color w:val="auto"/>
        </w:rPr>
        <w:t>” for any Merger Event means the five consecutive Trading Day period immediately preceding, but excluding, the effective date for such Merger Event.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w:t>
      </w:r>
      <w:r>
        <w:rPr>
          <w:rFonts w:ascii="Arial" w:cs="Arial" w:eastAsia="Arial" w:hAnsi="Arial"/>
          <w:sz w:val="18"/>
          <w:szCs w:val="18"/>
          <w:color w:val="auto"/>
        </w:rPr>
        <w:t>” or “</w:t>
      </w:r>
      <w:r>
        <w:rPr>
          <w:rFonts w:ascii="Arial" w:cs="Arial" w:eastAsia="Arial" w:hAnsi="Arial"/>
          <w:sz w:val="18"/>
          <w:szCs w:val="18"/>
          <w:b w:val="1"/>
          <w:bCs w:val="1"/>
          <w:color w:val="auto"/>
        </w:rPr>
        <w:t>Notes</w:t>
      </w:r>
      <w:r>
        <w:rPr>
          <w:rFonts w:ascii="Arial" w:cs="Arial" w:eastAsia="Arial" w:hAnsi="Arial"/>
          <w:sz w:val="18"/>
          <w:szCs w:val="18"/>
          <w:color w:val="auto"/>
        </w:rPr>
        <w:t>” shall have the meaning specified in the first paragraph of the recitals of this Indenture.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Register</w:t>
      </w:r>
      <w:r>
        <w:rPr>
          <w:rFonts w:ascii="Arial" w:cs="Arial" w:eastAsia="Arial" w:hAnsi="Arial"/>
          <w:sz w:val="18"/>
          <w:szCs w:val="18"/>
          <w:color w:val="auto"/>
        </w:rPr>
        <w:t>” shall have the meaning specified in Section 2.05(a).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 Registrar</w:t>
      </w:r>
      <w:r>
        <w:rPr>
          <w:rFonts w:ascii="Arial" w:cs="Arial" w:eastAsia="Arial" w:hAnsi="Arial"/>
          <w:sz w:val="18"/>
          <w:szCs w:val="18"/>
          <w:color w:val="auto"/>
        </w:rPr>
        <w:t>” shall have the meaning specified in Section 2.05(a).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shall have the meaning specified in Section 13.02(b).</w:t>
      </w:r>
    </w:p>
    <w:p>
      <w:pPr>
        <w:spacing w:after="0" w:line="225" w:lineRule="exact"/>
        <w:rPr>
          <w:sz w:val="20"/>
          <w:szCs w:val="20"/>
          <w:color w:val="auto"/>
        </w:rPr>
      </w:pPr>
    </w:p>
    <w:p>
      <w:pPr>
        <w:ind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Observation Period</w:t>
      </w:r>
      <w:r>
        <w:rPr>
          <w:rFonts w:ascii="Arial" w:cs="Arial" w:eastAsia="Arial" w:hAnsi="Arial"/>
          <w:sz w:val="18"/>
          <w:szCs w:val="18"/>
          <w:color w:val="auto"/>
        </w:rPr>
        <w:t>” with respect to any Note surrendered for conversion means: (i) if the relevant Conversion Date occurs prior to February 1, 2022, the 40 consecutive Trading Day period beginning on, and including, the second Trading Day after such Conversion Date; and (ii) if the relevant Conversion Date occurs on or after February 1, 2022, the 40 consecutive Trading Days beginning on, and including, the 42nd Scheduled Trading Day immediately preceding the Maturity Date.</w:t>
      </w:r>
    </w:p>
    <w:p>
      <w:pPr>
        <w:spacing w:after="0" w:line="180" w:lineRule="exact"/>
        <w:rPr>
          <w:sz w:val="20"/>
          <w:szCs w:val="20"/>
          <w:color w:val="auto"/>
        </w:rPr>
      </w:pPr>
    </w:p>
    <w:p>
      <w:pPr>
        <w:ind w:right="4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Offering Memorandum</w:t>
      </w:r>
      <w:r>
        <w:rPr>
          <w:rFonts w:ascii="Arial" w:cs="Arial" w:eastAsia="Arial" w:hAnsi="Arial"/>
          <w:sz w:val="18"/>
          <w:szCs w:val="18"/>
          <w:color w:val="auto"/>
        </w:rPr>
        <w:t>” means the preliminary offering memorandum dated January 26, 2017, as supplemented by the pricing term sheet dated January 26, 2017, relating to the offering and sale of the Notes.</w:t>
      </w:r>
    </w:p>
    <w:p>
      <w:pPr>
        <w:spacing w:after="0" w:line="162" w:lineRule="exact"/>
        <w:rPr>
          <w:sz w:val="20"/>
          <w:szCs w:val="20"/>
          <w:color w:val="auto"/>
        </w:rPr>
      </w:pPr>
    </w:p>
    <w:p>
      <w:pPr>
        <w:ind w:right="20" w:firstLine="456"/>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w:t>
      </w:r>
      <w:r>
        <w:rPr>
          <w:rFonts w:ascii="Arial" w:cs="Arial" w:eastAsia="Arial" w:hAnsi="Arial"/>
          <w:sz w:val="16"/>
          <w:szCs w:val="16"/>
          <w:color w:val="auto"/>
        </w:rPr>
        <w:t>” means, with respect to the Company, the Chief Executive Officer (or, if applicable, the Co-Chief Executive Officers), the President, the Chief Financial Officer, the Chief Operating Officer, the Chief Compliance Officer, the Treasurer (or any Assistant Treasurer), the Secretary (or any Assistant Secretary) or any Vice President (whether or not designated by a number or numbers or word or words added before or after the title “Vice President”).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8" w:name="page19"/>
    <w:bookmarkEnd w:id="18"/>
    <w:p>
      <w:pPr>
        <w:ind w:right="20" w:firstLine="456"/>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Officers’ Certificate</w:t>
      </w:r>
      <w:r>
        <w:rPr>
          <w:rFonts w:ascii="Arial" w:cs="Arial" w:eastAsia="Arial" w:hAnsi="Arial"/>
          <w:sz w:val="18"/>
          <w:szCs w:val="18"/>
          <w:color w:val="auto"/>
        </w:rPr>
        <w:t>,” when used with respect to the Company, means a certificate that is delivered to the Trustee and that is signed by (a) two Officers of the Company or (b) one Officer of the Company and one of the Treasurer, any Assistant Treasurer, the Secretary, any Assistant Secretary or the Controller of the Company. Each such certificate shall include the statements provided for in Section 16.05 if and to the extent required by the provisions of such Section. One of the Officers giving an Officers’ Certificate pursuant to Section 4.09 shall be the principal executive, financial or accounting officer of the Company.</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of business</w:t>
      </w:r>
      <w:r>
        <w:rPr>
          <w:rFonts w:ascii="Arial" w:cs="Arial" w:eastAsia="Arial" w:hAnsi="Arial"/>
          <w:sz w:val="18"/>
          <w:szCs w:val="18"/>
          <w:color w:val="auto"/>
        </w:rPr>
        <w:t>” means 9:00 a.m. New York City time.</w:t>
      </w:r>
    </w:p>
    <w:p>
      <w:pPr>
        <w:spacing w:after="0" w:line="225" w:lineRule="exact"/>
        <w:rPr>
          <w:sz w:val="20"/>
          <w:szCs w:val="20"/>
          <w:color w:val="auto"/>
        </w:rPr>
      </w:pPr>
    </w:p>
    <w:p>
      <w:pPr>
        <w:ind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legal counsel, who may be an employee of or counsel to the Company, or other counsel acceptable to the Trustee, that is delivered to the Trustee. Each such opinion shall include the statements provided for in Section 16.05 if and to the extent required by the provisions of such Section 16.05.</w:t>
      </w:r>
    </w:p>
    <w:p>
      <w:pPr>
        <w:spacing w:after="0" w:line="176" w:lineRule="exact"/>
        <w:rPr>
          <w:sz w:val="20"/>
          <w:szCs w:val="20"/>
          <w:color w:val="auto"/>
        </w:rPr>
      </w:pPr>
    </w:p>
    <w:p>
      <w:pPr>
        <w:ind w:right="68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Notes, shall, subject to the provisions of Section 8.04, mean, as of any particular time, all Notes authenticated and delivered by the Trustee under this Indenture, except:</w:t>
      </w:r>
    </w:p>
    <w:p>
      <w:pPr>
        <w:spacing w:after="0" w:line="58" w:lineRule="exact"/>
        <w:rPr>
          <w:sz w:val="20"/>
          <w:szCs w:val="20"/>
          <w:color w:val="auto"/>
        </w:rPr>
      </w:pPr>
    </w:p>
    <w:p>
      <w:pPr>
        <w:ind w:left="1280" w:hanging="377"/>
        <w:spacing w:after="0"/>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theretofore canceled by the Trustee or accepted by the Trustee for cancellation;</w:t>
      </w:r>
    </w:p>
    <w:p>
      <w:pPr>
        <w:spacing w:after="0" w:line="117" w:lineRule="exact"/>
        <w:rPr>
          <w:rFonts w:ascii="Arial" w:cs="Arial" w:eastAsia="Arial" w:hAnsi="Arial"/>
          <w:sz w:val="18"/>
          <w:szCs w:val="18"/>
          <w:color w:val="auto"/>
        </w:rPr>
      </w:pPr>
    </w:p>
    <w:p>
      <w:pPr>
        <w:jc w:val="both"/>
        <w:ind w:left="460" w:right="340" w:firstLine="443"/>
        <w:spacing w:after="0" w:line="264" w:lineRule="auto"/>
        <w:tabs>
          <w:tab w:leader="none" w:pos="1288"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or portions thereof, that have become due and payable and in respect of which monies in the necessary amount shall have been deposited in trust with the Trustee or with any Paying Agent (other than the Company) or shall have been set aside and segregated in trust by the Company (if the Company shall act as its own Paying Agent);</w:t>
      </w:r>
    </w:p>
    <w:p>
      <w:pPr>
        <w:spacing w:after="0" w:line="73" w:lineRule="exact"/>
        <w:rPr>
          <w:rFonts w:ascii="Arial" w:cs="Arial" w:eastAsia="Arial" w:hAnsi="Arial"/>
          <w:sz w:val="18"/>
          <w:szCs w:val="18"/>
          <w:color w:val="auto"/>
        </w:rPr>
      </w:pPr>
    </w:p>
    <w:p>
      <w:pPr>
        <w:ind w:left="460" w:right="80" w:firstLine="443"/>
        <w:spacing w:after="0" w:line="264" w:lineRule="auto"/>
        <w:tabs>
          <w:tab w:leader="none" w:pos="1278"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that have been paid pursuant to Section 2.06 or Notes in lieu of which, or in substitution for which, other Notes shall have been authenticated and delivered pursuant to the terms of Section 2.06 unless proof satisfactory to the Trustee is presented that any such Notes are held by protected purchasers in due course;</w:t>
      </w:r>
    </w:p>
    <w:p>
      <w:pPr>
        <w:spacing w:after="0" w:line="73" w:lineRule="exact"/>
        <w:rPr>
          <w:rFonts w:ascii="Arial" w:cs="Arial" w:eastAsia="Arial" w:hAnsi="Arial"/>
          <w:sz w:val="18"/>
          <w:szCs w:val="18"/>
          <w:color w:val="auto"/>
        </w:rPr>
      </w:pPr>
    </w:p>
    <w:p>
      <w:pPr>
        <w:ind w:left="1300" w:hanging="397"/>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Notes converted pursuant to Article 13 and required to be cancelled pursuant to Section 2.08; and</w:t>
      </w:r>
    </w:p>
    <w:p>
      <w:pPr>
        <w:spacing w:after="0" w:line="117" w:lineRule="exact"/>
        <w:rPr>
          <w:rFonts w:ascii="Arial" w:cs="Arial" w:eastAsia="Arial" w:hAnsi="Arial"/>
          <w:sz w:val="18"/>
          <w:szCs w:val="18"/>
          <w:color w:val="auto"/>
        </w:rPr>
      </w:pPr>
    </w:p>
    <w:p>
      <w:pPr>
        <w:ind w:left="1280" w:hanging="377"/>
        <w:spacing w:after="0"/>
        <w:tabs>
          <w:tab w:leader="none" w:pos="1280" w:val="left"/>
        </w:tabs>
        <w:numPr>
          <w:ilvl w:val="0"/>
          <w:numId w:val="8"/>
        </w:numPr>
        <w:rPr>
          <w:rFonts w:ascii="Arial" w:cs="Arial" w:eastAsia="Arial" w:hAnsi="Arial"/>
          <w:sz w:val="17"/>
          <w:szCs w:val="17"/>
          <w:color w:val="auto"/>
        </w:rPr>
      </w:pPr>
      <w:r>
        <w:rPr>
          <w:rFonts w:ascii="Arial" w:cs="Arial" w:eastAsia="Arial" w:hAnsi="Arial"/>
          <w:sz w:val="17"/>
          <w:szCs w:val="17"/>
          <w:color w:val="auto"/>
        </w:rPr>
        <w:t>Notes repurchased by the Company and surrendered to the Trustee for cancellation pursuant to the last sentence of Section 2.10.</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shall have the meaning specified in Section 4.02.</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60"/>
          </w:cols>
          <w:pgMar w:left="240" w:top="270" w:right="399" w:bottom="1440" w:gutter="0" w:footer="0" w:header="0"/>
        </w:sectPr>
      </w:pPr>
    </w:p>
    <w:bookmarkStart w:id="19" w:name="page20"/>
    <w:bookmarkEnd w:id="19"/>
    <w:p>
      <w:pPr>
        <w:ind w:right="2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limited liability company, an association, a partnership, a joint venture, a joint stock company, a trust, an unincorporated organization or a government or an agency or a political subdivision thereof.</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Physical Notes</w:t>
      </w:r>
      <w:r>
        <w:rPr>
          <w:rFonts w:ascii="Arial" w:cs="Arial" w:eastAsia="Arial" w:hAnsi="Arial"/>
          <w:sz w:val="16"/>
          <w:szCs w:val="16"/>
          <w:color w:val="auto"/>
        </w:rPr>
        <w:t>” mean permanent certificated Notes in registered form issued in denominations of $1,000 principal amount and multiples thereof.</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Physical Settlement</w:t>
      </w:r>
      <w:r>
        <w:rPr>
          <w:rFonts w:ascii="Arial" w:cs="Arial" w:eastAsia="Arial" w:hAnsi="Arial"/>
          <w:sz w:val="18"/>
          <w:szCs w:val="18"/>
          <w:color w:val="auto"/>
        </w:rPr>
        <w:t>” shall have the meaning specified in Section 13.02(a).</w:t>
      </w:r>
    </w:p>
    <w:p>
      <w:pPr>
        <w:spacing w:after="0" w:line="225" w:lineRule="exact"/>
        <w:rPr>
          <w:sz w:val="20"/>
          <w:szCs w:val="20"/>
          <w:color w:val="auto"/>
        </w:rPr>
      </w:pPr>
    </w:p>
    <w:p>
      <w:pPr>
        <w:jc w:val="both"/>
        <w:ind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Predecessor Note</w:t>
      </w:r>
      <w:r>
        <w:rPr>
          <w:rFonts w:ascii="Arial" w:cs="Arial" w:eastAsia="Arial" w:hAnsi="Arial"/>
          <w:sz w:val="17"/>
          <w:szCs w:val="17"/>
          <w:color w:val="auto"/>
        </w:rPr>
        <w:t>” of any particular Note means every previous Note evidencing all or a portion of the same debt as that evidenced by such particular Note; and, for the purposes of this definition, any Note authenticated and delivered under Section 2.06 in lieu of or in exchange for a mutilated, lost, destroyed or stolen Note shall be deemed to evidence the same debt as the mutilated, lost, destroyed or stolen Note that it replaces.</w:t>
      </w:r>
    </w:p>
    <w:p>
      <w:pPr>
        <w:spacing w:after="0" w:line="158" w:lineRule="exact"/>
        <w:rPr>
          <w:sz w:val="20"/>
          <w:szCs w:val="20"/>
          <w:color w:val="auto"/>
        </w:rPr>
      </w:pPr>
    </w:p>
    <w:p>
      <w:pPr>
        <w:jc w:val="both"/>
        <w:ind w:right="460" w:firstLine="456"/>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Publicly Traded Securities</w:t>
      </w:r>
      <w:r>
        <w:rPr>
          <w:rFonts w:ascii="Arial" w:cs="Arial" w:eastAsia="Arial" w:hAnsi="Arial"/>
          <w:sz w:val="17"/>
          <w:szCs w:val="17"/>
          <w:color w:val="auto"/>
        </w:rPr>
        <w:t>” means shares of common stock that are listed or quoted on any of The New York Stock Exchange, The NASDAQ Global Select Market or The NASDAQ Global Market (or any of their respective successors) or will be so listed or quoted when issued or exchanged in connection with a Fundamental Change described in clause (b) of the definition thereof and the proviso to the definition thereof.</w:t>
      </w:r>
    </w:p>
    <w:p>
      <w:pPr>
        <w:spacing w:after="0" w:line="158" w:lineRule="exact"/>
        <w:rPr>
          <w:sz w:val="20"/>
          <w:szCs w:val="20"/>
          <w:color w:val="auto"/>
        </w:rPr>
      </w:pPr>
    </w:p>
    <w:p>
      <w:pPr>
        <w:jc w:val="both"/>
        <w:ind w:right="480" w:firstLine="456"/>
        <w:spacing w:after="0" w:line="282" w:lineRule="auto"/>
        <w:rPr>
          <w:sz w:val="20"/>
          <w:szCs w:val="20"/>
          <w:color w:val="auto"/>
        </w:rPr>
      </w:pPr>
      <w:r>
        <w:rPr>
          <w:rFonts w:ascii="Arial" w:cs="Arial" w:eastAsia="Arial" w:hAnsi="Arial"/>
          <w:sz w:val="18"/>
          <w:szCs w:val="18"/>
          <w:b w:val="1"/>
          <w:bCs w:val="1"/>
          <w:color w:val="auto"/>
        </w:rPr>
        <w:t xml:space="preserve">“Purchase Agreement” </w:t>
      </w:r>
      <w:r>
        <w:rPr>
          <w:rFonts w:ascii="Arial" w:cs="Arial" w:eastAsia="Arial" w:hAnsi="Arial"/>
          <w:sz w:val="18"/>
          <w:szCs w:val="18"/>
          <w:color w:val="auto"/>
        </w:rPr>
        <w:t>means that certain Purchase Agreement, dated as of January 26, 2017, among the Company, TSL Advisers, LLC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Initial Purchasers.</w:t>
      </w:r>
    </w:p>
    <w:p>
      <w:pPr>
        <w:spacing w:after="0" w:line="162" w:lineRule="exact"/>
        <w:rPr>
          <w:sz w:val="20"/>
          <w:szCs w:val="20"/>
          <w:color w:val="auto"/>
        </w:rPr>
      </w:pPr>
    </w:p>
    <w:p>
      <w:pPr>
        <w:ind w:right="180" w:firstLine="456"/>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Record Date</w:t>
      </w:r>
      <w:r>
        <w:rPr>
          <w:rFonts w:ascii="Arial" w:cs="Arial" w:eastAsia="Arial" w:hAnsi="Arial"/>
          <w:sz w:val="18"/>
          <w:szCs w:val="18"/>
          <w:color w:val="auto"/>
        </w:rPr>
        <w:t>” means, with respect to any dividend, distribution or other transaction or event in which the holders of Common Stock (or other security) have the right to receive any cash, securities or other property or in which the Common Stock (or other applicable security) is exchanged for or converted into any combination of cash, securities or other property, the date fixed for determination of stockholders entitled to receive such cash, securities or other property (whether such date is fixed by the Board of Directors, by statute, by contract or otherwise).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Property</w:t>
      </w:r>
      <w:r>
        <w:rPr>
          <w:rFonts w:ascii="Arial" w:cs="Arial" w:eastAsia="Arial" w:hAnsi="Arial"/>
          <w:sz w:val="18"/>
          <w:szCs w:val="18"/>
          <w:color w:val="auto"/>
        </w:rPr>
        <w:t>” shall have the meaning specified in Section 13.07(a).</w:t>
      </w:r>
    </w:p>
    <w:p>
      <w:pPr>
        <w:spacing w:after="0" w:line="225"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with respect to any Interest Payment Date, shall mean the January 15 or July 15 (whether or not such day is a Business Day) immediately preceding the applicable February 1 or August 1 Interest Payment Date, respectively.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Resale Restriction Termination Date</w:t>
      </w:r>
      <w:r>
        <w:rPr>
          <w:rFonts w:ascii="Arial" w:cs="Arial" w:eastAsia="Arial" w:hAnsi="Arial"/>
          <w:sz w:val="18"/>
          <w:szCs w:val="18"/>
          <w:color w:val="auto"/>
        </w:rPr>
        <w:t>” shall have the meaning specified in Section 2.05(c).</w:t>
      </w:r>
    </w:p>
    <w:p>
      <w:pPr>
        <w:spacing w:after="0" w:line="225" w:lineRule="exact"/>
        <w:rPr>
          <w:sz w:val="20"/>
          <w:szCs w:val="20"/>
          <w:color w:val="auto"/>
        </w:rPr>
      </w:pPr>
    </w:p>
    <w:p>
      <w:pPr>
        <w:ind w:right="40" w:firstLine="456"/>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means, when used with respect to the Trustee, any officer within the Corporate Trust Office,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0" w:right="239" w:bottom="1440" w:gutter="0" w:footer="0" w:header="0"/>
        </w:sectPr>
      </w:pPr>
    </w:p>
    <w:bookmarkStart w:id="20" w:name="page21"/>
    <w:bookmarkEnd w:id="20"/>
    <w:p>
      <w:pPr>
        <w:ind w:right="58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Restricted Global Note</w:t>
      </w:r>
      <w:r>
        <w:rPr>
          <w:rFonts w:ascii="Arial" w:cs="Arial" w:eastAsia="Arial" w:hAnsi="Arial"/>
          <w:sz w:val="18"/>
          <w:szCs w:val="18"/>
          <w:color w:val="auto"/>
        </w:rPr>
        <w:t>” means a Global Note that is subject to restrictions set out in Section 2.05(c) (including the legend set forth in Section 2.05(c)).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Securities</w:t>
      </w:r>
      <w:r>
        <w:rPr>
          <w:rFonts w:ascii="Arial" w:cs="Arial" w:eastAsia="Arial" w:hAnsi="Arial"/>
          <w:sz w:val="18"/>
          <w:szCs w:val="18"/>
          <w:color w:val="auto"/>
        </w:rPr>
        <w:t>” shall have the meaning specified in Section 2.05(c).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Transfer Default</w:t>
      </w:r>
      <w:r>
        <w:rPr>
          <w:rFonts w:ascii="Arial" w:cs="Arial" w:eastAsia="Arial" w:hAnsi="Arial"/>
          <w:sz w:val="18"/>
          <w:szCs w:val="18"/>
          <w:color w:val="auto"/>
        </w:rPr>
        <w:t>” shall have the meaning specified in Section 4.06(d).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Transfer Triggering Date</w:t>
      </w:r>
      <w:r>
        <w:rPr>
          <w:rFonts w:ascii="Arial" w:cs="Arial" w:eastAsia="Arial" w:hAnsi="Arial"/>
          <w:sz w:val="18"/>
          <w:szCs w:val="18"/>
          <w:color w:val="auto"/>
        </w:rPr>
        <w:t>” shall have the meaning specified in Section 4.06(d).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 144A</w:t>
      </w:r>
      <w:r>
        <w:rPr>
          <w:rFonts w:ascii="Arial" w:cs="Arial" w:eastAsia="Arial" w:hAnsi="Arial"/>
          <w:sz w:val="18"/>
          <w:szCs w:val="18"/>
          <w:color w:val="auto"/>
        </w:rPr>
        <w:t>” means Rule 144A as promulgated under the Securities Act.</w:t>
      </w:r>
    </w:p>
    <w:p>
      <w:pPr>
        <w:spacing w:after="0" w:line="225" w:lineRule="exact"/>
        <w:rPr>
          <w:sz w:val="20"/>
          <w:szCs w:val="20"/>
          <w:color w:val="auto"/>
        </w:rPr>
      </w:pPr>
    </w:p>
    <w:p>
      <w:pPr>
        <w:jc w:val="both"/>
        <w:ind w:right="6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 on the principal U.S. national or regional securities exchange or market on which the Common Stock is listed or admitted for trading. If the Common Stock is not so listed or admitted for trading, “</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Business Day.</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Amount</w:t>
      </w:r>
      <w:r>
        <w:rPr>
          <w:rFonts w:ascii="Arial" w:cs="Arial" w:eastAsia="Arial" w:hAnsi="Arial"/>
          <w:sz w:val="18"/>
          <w:szCs w:val="18"/>
          <w:color w:val="auto"/>
        </w:rPr>
        <w:t>” has the meaning specified in Section 13.02(a)(iv).</w:t>
      </w:r>
    </w:p>
    <w:p>
      <w:pPr>
        <w:spacing w:after="0" w:line="225" w:lineRule="exact"/>
        <w:rPr>
          <w:sz w:val="20"/>
          <w:szCs w:val="20"/>
          <w:color w:val="auto"/>
        </w:rPr>
      </w:pPr>
    </w:p>
    <w:p>
      <w:pPr>
        <w:jc w:val="both"/>
        <w:ind w:right="6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Method</w:t>
      </w:r>
      <w:r>
        <w:rPr>
          <w:rFonts w:ascii="Arial" w:cs="Arial" w:eastAsia="Arial" w:hAnsi="Arial"/>
          <w:sz w:val="18"/>
          <w:szCs w:val="18"/>
          <w:color w:val="auto"/>
        </w:rPr>
        <w:t>” means, with respect to any conversion of Notes, Physical Settlement, Cash Settlement or Combination Settlement, as elected (or deemed to have been elected) by the Company.</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Notice</w:t>
      </w:r>
      <w:r>
        <w:rPr>
          <w:rFonts w:ascii="Arial" w:cs="Arial" w:eastAsia="Arial" w:hAnsi="Arial"/>
          <w:sz w:val="18"/>
          <w:szCs w:val="18"/>
          <w:color w:val="auto"/>
        </w:rPr>
        <w:t>” has the meaning specified in Section 13.02(a)(iii).</w:t>
      </w:r>
    </w:p>
    <w:p>
      <w:pPr>
        <w:spacing w:after="0" w:line="225" w:lineRule="exact"/>
        <w:rPr>
          <w:sz w:val="20"/>
          <w:szCs w:val="20"/>
          <w:color w:val="auto"/>
        </w:rPr>
      </w:pPr>
    </w:p>
    <w:p>
      <w:pPr>
        <w:ind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Subsidiary</w:t>
      </w:r>
      <w:r>
        <w:rPr>
          <w:rFonts w:ascii="Arial" w:cs="Arial" w:eastAsia="Arial" w:hAnsi="Arial"/>
          <w:sz w:val="18"/>
          <w:szCs w:val="18"/>
          <w:color w:val="auto"/>
        </w:rPr>
        <w:t>” means a Subsidiary of the Company that meets the definition of “significant subsidiary” in Article 1, Rule 1-02 of Regulation S-X under the Exchange Act.</w:t>
      </w:r>
    </w:p>
    <w:p>
      <w:pPr>
        <w:spacing w:after="0" w:line="162" w:lineRule="exact"/>
        <w:rPr>
          <w:sz w:val="20"/>
          <w:szCs w:val="20"/>
          <w:color w:val="auto"/>
        </w:rPr>
      </w:pPr>
    </w:p>
    <w:p>
      <w:pPr>
        <w:ind w:right="2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Dollar Amount</w:t>
      </w:r>
      <w:r>
        <w:rPr>
          <w:rFonts w:ascii="Arial" w:cs="Arial" w:eastAsia="Arial" w:hAnsi="Arial"/>
          <w:sz w:val="18"/>
          <w:szCs w:val="18"/>
          <w:color w:val="auto"/>
        </w:rPr>
        <w:t>” means the maximum cash amount per $1,000 principal amount of Notes to be received upon conversion as specified in the Settlement Notice related to any converted Notes.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Spin-Off</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Stock Price</w:t>
      </w:r>
      <w:r>
        <w:rPr>
          <w:rFonts w:ascii="Arial" w:cs="Arial" w:eastAsia="Arial" w:hAnsi="Arial"/>
          <w:sz w:val="18"/>
          <w:szCs w:val="18"/>
          <w:color w:val="auto"/>
        </w:rPr>
        <w:t>” shall have the meaning specified in Section 13.03(c).</w:t>
      </w:r>
    </w:p>
    <w:p>
      <w:pPr>
        <w:spacing w:after="0" w:line="225"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the Company, any corporation, association, limited liability company, partnership or other business entity that is consolidated in the Company’s most recent financial results.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Company</w:t>
      </w:r>
      <w:r>
        <w:rPr>
          <w:rFonts w:ascii="Arial" w:cs="Arial" w:eastAsia="Arial" w:hAnsi="Arial"/>
          <w:sz w:val="18"/>
          <w:szCs w:val="18"/>
          <w:color w:val="auto"/>
        </w:rPr>
        <w:t>” shall have the meaning specified in Section 11.01(a).</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21" w:name="page22"/>
    <w:bookmarkEnd w:id="21"/>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Trading Day</w:t>
      </w:r>
      <w:r>
        <w:rPr>
          <w:rFonts w:ascii="Arial" w:cs="Arial" w:eastAsia="Arial" w:hAnsi="Arial"/>
          <w:sz w:val="17"/>
          <w:szCs w:val="17"/>
          <w:color w:val="auto"/>
        </w:rPr>
        <w:t xml:space="preserve">” means a day on which (i) trading in the Common Stock generally occurs on The New York Stock Exchange or, if the Common Stock is not then listed on The New York Stock Exchange, on the principal other U.S. national or regional securities exchange on which the Common Stock is then listed or, if the Common Stock is not then listed on a U.S. national or regional securities exchange, on the principal other market on which the Common Stock is then traded and (ii) a Last Reported Sale Price for the Common Stock is available on such securities exchange or market;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Common Stock is not so listed or traded, “</w:t>
      </w:r>
      <w:r>
        <w:rPr>
          <w:rFonts w:ascii="Arial" w:cs="Arial" w:eastAsia="Arial" w:hAnsi="Arial"/>
          <w:sz w:val="17"/>
          <w:szCs w:val="17"/>
          <w:b w:val="1"/>
          <w:bCs w:val="1"/>
          <w:color w:val="auto"/>
        </w:rPr>
        <w:t>Trading Day</w:t>
      </w:r>
      <w:r>
        <w:rPr>
          <w:rFonts w:ascii="Arial" w:cs="Arial" w:eastAsia="Arial" w:hAnsi="Arial"/>
          <w:sz w:val="17"/>
          <w:szCs w:val="17"/>
          <w:color w:val="auto"/>
        </w:rPr>
        <w:t xml:space="preserve">” means a Business Day;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that for purposes of determining amounts due upon conversion only, “</w:t>
      </w:r>
      <w:r>
        <w:rPr>
          <w:rFonts w:ascii="Arial" w:cs="Arial" w:eastAsia="Arial" w:hAnsi="Arial"/>
          <w:sz w:val="17"/>
          <w:szCs w:val="17"/>
          <w:b w:val="1"/>
          <w:bCs w:val="1"/>
          <w:color w:val="auto"/>
        </w:rPr>
        <w:t>Trading Day</w:t>
      </w:r>
      <w:r>
        <w:rPr>
          <w:rFonts w:ascii="Arial" w:cs="Arial" w:eastAsia="Arial" w:hAnsi="Arial"/>
          <w:sz w:val="17"/>
          <w:szCs w:val="17"/>
          <w:color w:val="auto"/>
        </w:rPr>
        <w:t>” means a day on which (x) there is no Market Disruption Event and (y) trading in the Common Stock generally occurs on The New York Stock Exchange or, if the Common Stock is not then listed on The New York Stock Exchange, on the principal other U.S. national or regional securities exchange on which the Common Stock is then listed or, if the Common Stock is not then listed on a U.S. national or regional securities exchange, on the principal other market on which the Common Stock is then listed or admitted for trading, except that if the Common Stock is not so listed or admitted for trading, “</w:t>
      </w:r>
      <w:r>
        <w:rPr>
          <w:rFonts w:ascii="Arial" w:cs="Arial" w:eastAsia="Arial" w:hAnsi="Arial"/>
          <w:sz w:val="17"/>
          <w:szCs w:val="17"/>
          <w:b w:val="1"/>
          <w:bCs w:val="1"/>
          <w:color w:val="auto"/>
        </w:rPr>
        <w:t>Trading Day</w:t>
      </w:r>
      <w:r>
        <w:rPr>
          <w:rFonts w:ascii="Arial" w:cs="Arial" w:eastAsia="Arial" w:hAnsi="Arial"/>
          <w:sz w:val="17"/>
          <w:szCs w:val="17"/>
          <w:color w:val="auto"/>
        </w:rPr>
        <w:t>” means a Business Day.</w:t>
      </w:r>
    </w:p>
    <w:p>
      <w:pPr>
        <w:spacing w:after="0" w:line="178" w:lineRule="exact"/>
        <w:rPr>
          <w:sz w:val="20"/>
          <w:szCs w:val="20"/>
          <w:color w:val="auto"/>
        </w:rPr>
      </w:pPr>
    </w:p>
    <w:p>
      <w:pPr>
        <w:ind w:right="40" w:firstLine="456"/>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Trading Price</w:t>
      </w:r>
      <w:r>
        <w:rPr>
          <w:rFonts w:ascii="Arial" w:cs="Arial" w:eastAsia="Arial" w:hAnsi="Arial"/>
          <w:sz w:val="16"/>
          <w:szCs w:val="16"/>
          <w:color w:val="auto"/>
        </w:rPr>
        <w:t xml:space="preserve">” of the Notes on any date of determination means the average of the secondary market bid quotations obtained by the Bid Solicitation Agent for $5 million principal amount of Notes at approximately 3:30 p.m., New York City time, on such determination date from three independent nationally recognized securities dealers the Company selects and whose names the Company provides to the Bid Solicitation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three such bids cannot reasonably be obtained by the Bid Solicitation Agent but two such bids are obtained, then the average of the two bids shall be used, and if only one such bid can reasonably be obtained by the Bid Solicitation Agent, that one bid shall be used. If the Bid Solicitation Agent cannot reasonably obtain at least one bid for $5 million principal amount of Notes from a nationally recognized securities dealer, then the Trading Price per $1,000 principal amount of Notes shall be deemed to be less than 98% of the product of the Last Reported Sale Price of the Common Stock and the applicable Conversion Rate.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have the meaning specified in Section 2.05(c).</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have the meaning specified in Section 13.04(c).</w:t>
      </w:r>
    </w:p>
    <w:p>
      <w:pPr>
        <w:spacing w:after="0" w:line="225" w:lineRule="exact"/>
        <w:rPr>
          <w:sz w:val="20"/>
          <w:szCs w:val="20"/>
          <w:color w:val="auto"/>
        </w:rPr>
      </w:pPr>
    </w:p>
    <w:p>
      <w:pPr>
        <w:ind w:right="120" w:firstLine="456"/>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xml:space="preserve">” means the Trust Indenture Act of 1939, as amended, as it was in force at the date of execution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the event the Trust Indenture Act of 1939 is amended after the date hereof, the term “Trust Indenture Act” shall mean, to the extent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by such amendment, the Trust Indenture Act of 1939, as so amended.</w:t>
      </w:r>
    </w:p>
    <w:p>
      <w:pPr>
        <w:spacing w:after="0" w:line="176" w:lineRule="exact"/>
        <w:rPr>
          <w:sz w:val="20"/>
          <w:szCs w:val="20"/>
          <w:color w:val="auto"/>
        </w:rPr>
      </w:pPr>
    </w:p>
    <w:p>
      <w:pPr>
        <w:ind w:right="120" w:firstLine="456"/>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means the Person named as the “</w:t>
      </w:r>
      <w:r>
        <w:rPr>
          <w:rFonts w:ascii="Arial" w:cs="Arial" w:eastAsia="Arial" w:hAnsi="Arial"/>
          <w:sz w:val="17"/>
          <w:szCs w:val="17"/>
          <w:b w:val="1"/>
          <w:bCs w:val="1"/>
          <w:color w:val="auto"/>
        </w:rPr>
        <w:t>Trustee</w:t>
      </w:r>
      <w:r>
        <w:rPr>
          <w:rFonts w:ascii="Arial" w:cs="Arial" w:eastAsia="Arial" w:hAnsi="Arial"/>
          <w:sz w:val="17"/>
          <w:szCs w:val="17"/>
          <w:color w:val="auto"/>
        </w:rPr>
        <w:t>” in the first paragraph of this Indenture until a successor Trustee shall have become such pursuant to the applicable provisions of this Indenture, and thereafter “</w:t>
      </w:r>
      <w:r>
        <w:rPr>
          <w:rFonts w:ascii="Arial" w:cs="Arial" w:eastAsia="Arial" w:hAnsi="Arial"/>
          <w:sz w:val="17"/>
          <w:szCs w:val="17"/>
          <w:b w:val="1"/>
          <w:bCs w:val="1"/>
          <w:color w:val="auto"/>
        </w:rPr>
        <w:t>Trustee</w:t>
      </w:r>
      <w:r>
        <w:rPr>
          <w:rFonts w:ascii="Arial" w:cs="Arial" w:eastAsia="Arial" w:hAnsi="Arial"/>
          <w:sz w:val="17"/>
          <w:szCs w:val="17"/>
          <w:color w:val="auto"/>
        </w:rPr>
        <w:t>” shall mean or include each Person who is then a Trustee hereunder.</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 of Reference Property</w:t>
      </w:r>
      <w:r>
        <w:rPr>
          <w:rFonts w:ascii="Arial" w:cs="Arial" w:eastAsia="Arial" w:hAnsi="Arial"/>
          <w:sz w:val="18"/>
          <w:szCs w:val="18"/>
          <w:color w:val="auto"/>
        </w:rPr>
        <w:t>” shall have the meaning specified in Section 13.07(a).</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22" w:name="page23"/>
    <w:bookmarkEnd w:id="22"/>
    <w:p>
      <w:pPr>
        <w:ind w:right="200" w:firstLine="456"/>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Unrestricted Global Note</w:t>
      </w:r>
      <w:r>
        <w:rPr>
          <w:rFonts w:ascii="Arial" w:cs="Arial" w:eastAsia="Arial" w:hAnsi="Arial"/>
          <w:sz w:val="18"/>
          <w:szCs w:val="18"/>
          <w:color w:val="auto"/>
        </w:rPr>
        <w:t>” means an unrestricted Global Note that is not subject to the restrictions set out in Section 2.05(c) (and does not bear the legend set forth in Section 2.05(c)).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Period</w:t>
      </w:r>
      <w:r>
        <w:rPr>
          <w:rFonts w:ascii="Arial" w:cs="Arial" w:eastAsia="Arial" w:hAnsi="Arial"/>
          <w:sz w:val="18"/>
          <w:szCs w:val="18"/>
          <w:color w:val="auto"/>
        </w:rPr>
        <w:t>” shall have the meaning specified in Section 13.04(c).</w:t>
      </w:r>
    </w:p>
    <w:p>
      <w:pPr>
        <w:spacing w:after="0" w:line="229"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i w:val="1"/>
          <w:iCs w:val="1"/>
          <w:color w:val="auto"/>
        </w:rPr>
        <w:t>References to Interest</w:t>
      </w:r>
      <w:r>
        <w:rPr>
          <w:rFonts w:ascii="Arial" w:cs="Arial" w:eastAsia="Arial" w:hAnsi="Arial"/>
          <w:sz w:val="16"/>
          <w:szCs w:val="16"/>
          <w:color w:val="auto"/>
        </w:rPr>
        <w:t>. Unless the context otherwise requires, any reference to interest on, or in respect of, any Note in this Indenture shall be deemed to include Additional Interest if, in such context, Additional Interest is, was or would be payable pursuant to any of Section 4.06(d) and</w:t>
      </w:r>
    </w:p>
    <w:p>
      <w:pPr>
        <w:ind w:right="240"/>
        <w:spacing w:after="0" w:line="261" w:lineRule="auto"/>
        <w:rPr>
          <w:sz w:val="20"/>
          <w:szCs w:val="20"/>
          <w:color w:val="auto"/>
        </w:rPr>
      </w:pPr>
      <w:r>
        <w:rPr>
          <w:rFonts w:ascii="Arial" w:cs="Arial" w:eastAsia="Arial" w:hAnsi="Arial"/>
          <w:sz w:val="18"/>
          <w:szCs w:val="18"/>
          <w:color w:val="auto"/>
        </w:rPr>
        <w:t>Section 6.03. Unless the context otherwise requires, any express mention of Additional Interest in any provision hereof shall not be construed as excluding Additional Interest in those provisions hereof where such express mention is not made.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2</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SSUE</w:t>
      </w:r>
      <w:r>
        <w:rPr>
          <w:rFonts w:ascii="Arial" w:cs="Arial" w:eastAsia="Arial" w:hAnsi="Arial"/>
          <w:sz w:val="18"/>
          <w:szCs w:val="18"/>
          <w:color w:val="auto"/>
        </w:rPr>
        <w:t>, D</w:t>
      </w:r>
      <w:r>
        <w:rPr>
          <w:rFonts w:ascii="Arial" w:cs="Arial" w:eastAsia="Arial" w:hAnsi="Arial"/>
          <w:sz w:val="15"/>
          <w:szCs w:val="15"/>
          <w:color w:val="auto"/>
        </w:rPr>
        <w:t>ESCRIPTION</w:t>
      </w:r>
      <w:r>
        <w:rPr>
          <w:rFonts w:ascii="Arial" w:cs="Arial" w:eastAsia="Arial" w:hAnsi="Arial"/>
          <w:sz w:val="18"/>
          <w:szCs w:val="18"/>
          <w:color w:val="auto"/>
        </w:rPr>
        <w:t>, E</w:t>
      </w:r>
      <w:r>
        <w:rPr>
          <w:rFonts w:ascii="Arial" w:cs="Arial" w:eastAsia="Arial" w:hAnsi="Arial"/>
          <w:sz w:val="15"/>
          <w:szCs w:val="15"/>
          <w:color w:val="auto"/>
        </w:rPr>
        <w:t>XECUTION</w:t>
      </w:r>
      <w:r>
        <w:rPr>
          <w:rFonts w:ascii="Arial" w:cs="Arial" w:eastAsia="Arial" w:hAnsi="Arial"/>
          <w:sz w:val="18"/>
          <w:szCs w:val="18"/>
          <w:color w:val="auto"/>
        </w:rPr>
        <w:t>, R</w:t>
      </w:r>
      <w:r>
        <w:rPr>
          <w:rFonts w:ascii="Arial" w:cs="Arial" w:eastAsia="Arial" w:hAnsi="Arial"/>
          <w:sz w:val="15"/>
          <w:szCs w:val="15"/>
          <w:color w:val="auto"/>
        </w:rPr>
        <w:t>EGISTRATION AND</w:t>
      </w:r>
      <w:r>
        <w:rPr>
          <w:rFonts w:ascii="Arial" w:cs="Arial" w:eastAsia="Arial" w:hAnsi="Arial"/>
          <w:sz w:val="18"/>
          <w:szCs w:val="18"/>
          <w:color w:val="auto"/>
        </w:rPr>
        <w:t xml:space="preserve"> E</w:t>
      </w:r>
      <w:r>
        <w:rPr>
          <w:rFonts w:ascii="Arial" w:cs="Arial" w:eastAsia="Arial" w:hAnsi="Arial"/>
          <w:sz w:val="15"/>
          <w:szCs w:val="15"/>
          <w:color w:val="auto"/>
        </w:rPr>
        <w:t>XCHANGE OF</w:t>
      </w:r>
      <w:r>
        <w:rPr>
          <w:rFonts w:ascii="Arial" w:cs="Arial" w:eastAsia="Arial" w:hAnsi="Arial"/>
          <w:sz w:val="18"/>
          <w:szCs w:val="18"/>
          <w:color w:val="auto"/>
        </w:rPr>
        <w:t xml:space="preserve"> N</w:t>
      </w:r>
      <w:r>
        <w:rPr>
          <w:rFonts w:ascii="Arial" w:cs="Arial" w:eastAsia="Arial" w:hAnsi="Arial"/>
          <w:sz w:val="15"/>
          <w:szCs w:val="15"/>
          <w:color w:val="auto"/>
        </w:rPr>
        <w:t>OTES</w:t>
      </w:r>
    </w:p>
    <w:p>
      <w:pPr>
        <w:spacing w:after="0" w:line="21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i w:val="1"/>
          <w:iCs w:val="1"/>
          <w:color w:val="auto"/>
        </w:rPr>
        <w:t>Designation and Amount</w:t>
      </w:r>
      <w:r>
        <w:rPr>
          <w:rFonts w:ascii="Arial" w:cs="Arial" w:eastAsia="Arial" w:hAnsi="Arial"/>
          <w:sz w:val="18"/>
          <w:szCs w:val="18"/>
          <w:color w:val="auto"/>
        </w:rPr>
        <w:t>. The Notes shall be designated as the “4.50% Convertible Senior Notes due 2022.” The aggregate principal amount of Notes that may be authenticated and delivered under this Indenture is initially limited to $100,000,000 (or $115,000,000 if the Initial Purchasers exercise their over-allotment option to purchase additional Notes in full as set forth in the Purchase Agreement), subject to Section 2.10 and except for Notes authenticated and delivered upon registration or transfer of, or in exchange for, or in lieu of other Notes pursuant to Section 2.05, Section 2.06, Section 10.04, Section 13.02 and Section 14.03.</w:t>
      </w:r>
    </w:p>
    <w:p>
      <w:pPr>
        <w:spacing w:after="0" w:line="1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Notes</w:t>
      </w:r>
      <w:r>
        <w:rPr>
          <w:rFonts w:ascii="Arial" w:cs="Arial" w:eastAsia="Arial" w:hAnsi="Arial"/>
          <w:sz w:val="18"/>
          <w:szCs w:val="18"/>
          <w:color w:val="auto"/>
        </w:rPr>
        <w:t>. The Notes and the Trustee’s certificate of authentication to be borne by such Notes shall be substantially in the respective forms set forth in Exhibit A, the terms and provisions of which shall constitute, and are hereby expressly incorporated in and made a part of this Indenture. To the extent applicable, the Company and the Trustee, by their execution and delivery of this Indenture, expressly agree to such terms and provisions and to be bound thereby.</w:t>
      </w:r>
    </w:p>
    <w:p>
      <w:pPr>
        <w:spacing w:after="0" w:line="18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Any Global Note may be endorsed with or have incorporated in the text thereof such legends or recitals or changes not inconsistent with the provisions of this Indenture as may be required by the Custodian or the Depositary, or as may be required to comply with any applicable law or any regulation thereunder or with the rules and regulations of any securities exchange or automated quotation system upon which the Notes may be listed or traded or designated for issuance or to conform with any usage with respect thereto, or to indicate any special limitations or restrictions to which any particular Notes are subject.</w:t>
      </w:r>
    </w:p>
    <w:p>
      <w:pPr>
        <w:spacing w:after="0" w:line="188"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Any of the Notes may have such letters, numbers or other marks of identification and such notations, legends or endorsements as the Officers executing the same may approve (execution thereof to be conclusive evidence of such approval) and as are not inconsistent with the provisions of this Indenture, or as may be required to comply with any law or with any rule or regulation made pursuant thereto or with any rule or regulation of any securities exchange or automated quotation system on which the Notes may be listed or designated for issuance, or to conform to usage or to indicate any special limitations or restrictions to which any particular Notes are subject.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70" w:right="259" w:bottom="1440" w:gutter="0" w:footer="0" w:header="0"/>
        </w:sectPr>
      </w:pPr>
    </w:p>
    <w:bookmarkStart w:id="23" w:name="page24"/>
    <w:bookmarkEnd w:id="23"/>
    <w:p>
      <w:pPr>
        <w:ind w:firstLine="456"/>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Global Note shall represent such principal amount of the outstanding Notes as shall be specified therein and shall provide that it shall represent the aggregate principal amount of outstanding Notes from time to time endorsed thereon and that the aggregate principal amount of outstanding Notes represented thereby may from time to time be increased or reduced to reflect repurchases, conversions, transfers or exchanges permitted hereby. Any endorsement of the Global Note to reflect the amount of any increase or decrease in the amount of outstanding Notes represented thereby shall be made by the Trustee or the Custodian, at the direction of the Trustee, in such manner and upon instructions given by the Holder of such Notes in accordance with this Indenture. Payment of principal of, accrued and unpaid interest on, and any other amounts (including the Fundamental Change Repurchase Price, if applicable) due with respect to, the Global Note shall be made to the Holder of such Note on the date of payment, unless a record date or other means of determining Holders eligible to receive payment is provided for herein.</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Each Note shall bear a legend in substantially the following form (unless otherwise agreed by the Company in writing, with notice thereof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7"/>
          <w:szCs w:val="17"/>
          <w:color w:val="auto"/>
        </w:rPr>
        <w:t>NO AFFILIATE (AS DEFINED IN RULE 144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OF THE COMPANY OR PERSON THAT HAS BEEN AN AFFILIATE (AS DEFINED IN RULE 144 UNDER THE SECURITIES ACT) OF THE COMPANY DURING THE THREE IMMEDIATELY PRECEDING MONTHS MAY RESELL THIS NOTE OR A BENEFICIAL INTEREST HEREIN.</w:t>
      </w:r>
    </w:p>
    <w:p>
      <w:pPr>
        <w:spacing w:after="0" w:line="1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Date and Denomination of Notes; Payments of Interest and Defaulted Amounts</w:t>
      </w:r>
      <w:r>
        <w:rPr>
          <w:rFonts w:ascii="Arial" w:cs="Arial" w:eastAsia="Arial" w:hAnsi="Arial"/>
          <w:sz w:val="18"/>
          <w:szCs w:val="18"/>
          <w:color w:val="auto"/>
        </w:rPr>
        <w:t>. (a) The Notes shall be issuable in registered form without coupons in denominations of $1,000 principal amount and integral multiples thereof. Each Note shall be dated the date of its authentication and shall bear interest from the date specified on the face of the form of Note attached as Exhibit A hereto. Accrued interest on the Notes shall be computed on the basis of a 360-day year composed of twelve 30-day months.</w:t>
      </w:r>
    </w:p>
    <w:p>
      <w:pPr>
        <w:spacing w:after="0" w:line="187" w:lineRule="exact"/>
        <w:rPr>
          <w:sz w:val="20"/>
          <w:szCs w:val="20"/>
          <w:color w:val="auto"/>
        </w:rPr>
      </w:pPr>
    </w:p>
    <w:p>
      <w:pPr>
        <w:ind w:firstLine="464"/>
        <w:spacing w:after="0" w:line="270" w:lineRule="auto"/>
        <w:tabs>
          <w:tab w:leader="none" w:pos="843"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Person in whose name any Note (or its Predecessor Note) is registered on the Note Register at the close of business on any Regular Record Date with respect to any Interest Payment Date shall be entitled to receive the interest payable on such Interest Payment Date. Interest shall be payable at the office or agency of the Company maintained by the Company for such purposes, which shall initially be the Corporate Trust Office. The Company shall pay interest (i) on any Physical Notes (A) to Holders having an aggregate principal amount of $5,000,000 or less, by check mailed to the Holders of these Notes at their address as it appears in the Note Register and (B) to Holders having an aggregate principal amount of more than $5,000,000, either by check mailed to the Holders of these Notes or, upon application by a Holder to the Note Registrar not later than the relevant Regular Record Date, by wire transfer in immediately available funds to that Holder’s account within the United States, which application shall remain in effect until the Holder notifies, in writing, the Note Registrar to the contrary or (ii) on any Global Note by wire transfer of immediately available funds to the account of the Depositary or its nominee. Notwithstanding anything to the contrary herein, the Company may pay interest at its option to any Holder by wire transfer in immediately available funds to that Holder’s account, as specified by such Holder, within the United States.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24" w:name="page25"/>
    <w:bookmarkEnd w:id="24"/>
    <w:p>
      <w:pPr>
        <w:jc w:val="both"/>
        <w:ind w:left="-40" w:right="140" w:firstLine="464"/>
        <w:spacing w:after="0" w:line="259" w:lineRule="auto"/>
        <w:tabs>
          <w:tab w:leader="none" w:pos="786"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Defaulted Amounts shall forthwith cease to be payable to the Holder on the relevant payment date but shall accrue interest per annum at the rate or rates, if any, specified in the Notes, subject to the enforceability thereof under applicable law, from, and including, such relevant payment date to, but excluding, the date on which such Defaulted Amounts shall have been paid by the Company, at its election in each case, as provided in clause (i) or (ii) below:</w:t>
      </w:r>
    </w:p>
    <w:p>
      <w:pPr>
        <w:spacing w:after="0" w:line="78" w:lineRule="exact"/>
        <w:rPr>
          <w:rFonts w:ascii="Arial" w:cs="Arial" w:eastAsia="Arial" w:hAnsi="Arial"/>
          <w:sz w:val="18"/>
          <w:szCs w:val="18"/>
          <w:color w:val="auto"/>
        </w:rPr>
      </w:pPr>
    </w:p>
    <w:p>
      <w:pPr>
        <w:ind w:left="420" w:firstLine="443"/>
        <w:spacing w:after="0" w:line="286" w:lineRule="auto"/>
        <w:tabs>
          <w:tab w:leader="none" w:pos="1205" w:val="left"/>
        </w:tabs>
        <w:numPr>
          <w:ilvl w:val="1"/>
          <w:numId w:val="10"/>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Amounts to the Persons in whose names the Notes (or their respective Predecessor Notes) are registered at the close of business on a special record date for the payment of such Defaulted Amounts, which shall be fixed in the following manner. The Company shall notify the Trustee in writing of the amount of the Defaulted Amounts proposed to be paid on each Note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The Company shall promptly notify the Trustee of such special record date and the Trustee, in the name and at the expense of the Company, shall cause notice of the proposed payment of such Defaulted Amounts and the special record date therefor to be mailed, first-class postage prepaid, to each Holder at its address as it appears in the Note Register, not less than 10 days prior to such special record date. Notice of the proposed payment of such Defaulted Amounts and the special record date therefor having been so mailed, such Defaulted Amounts shall be paid to the Persons in whose names the Notes (or their respective Predecessor Notes) are registered at the close of business on such special record date and shall no longer be payable pursuant to the following clause (ii) of this Section 2.03(c).</w:t>
      </w:r>
    </w:p>
    <w:p>
      <w:pPr>
        <w:spacing w:after="0" w:line="60" w:lineRule="exact"/>
        <w:rPr>
          <w:rFonts w:ascii="Arial" w:cs="Arial" w:eastAsia="Arial" w:hAnsi="Arial"/>
          <w:sz w:val="16"/>
          <w:szCs w:val="16"/>
          <w:color w:val="auto"/>
        </w:rPr>
      </w:pPr>
    </w:p>
    <w:p>
      <w:pPr>
        <w:ind w:left="420" w:right="260" w:firstLine="443"/>
        <w:spacing w:after="0" w:line="259" w:lineRule="auto"/>
        <w:tabs>
          <w:tab w:leader="none" w:pos="1255"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Company may make payment of any Defaulted Amounts in any other lawful manner not inconsistent with the requirements of any securities exchange or automated quotation system on which the Notes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80" w:top="274" w:right="259" w:bottom="1440" w:gutter="0" w:footer="0" w:header="0"/>
        </w:sectPr>
      </w:pPr>
    </w:p>
    <w:bookmarkStart w:id="25" w:name="page26"/>
    <w:bookmarkEnd w:id="25"/>
    <w:p>
      <w:pPr>
        <w:ind w:right="12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2.04. </w:t>
      </w:r>
      <w:r>
        <w:rPr>
          <w:rFonts w:ascii="Arial" w:cs="Arial" w:eastAsia="Arial" w:hAnsi="Arial"/>
          <w:sz w:val="18"/>
          <w:szCs w:val="18"/>
          <w:i w:val="1"/>
          <w:iCs w:val="1"/>
          <w:color w:val="auto"/>
        </w:rPr>
        <w:t>Execution, Authentication and Delivery of Notes</w:t>
      </w:r>
      <w:r>
        <w:rPr>
          <w:rFonts w:ascii="Arial" w:cs="Arial" w:eastAsia="Arial" w:hAnsi="Arial"/>
          <w:sz w:val="18"/>
          <w:szCs w:val="18"/>
          <w:color w:val="auto"/>
        </w:rPr>
        <w:t>. The Notes shall be signed in the name and on behalf of the Company by the manual or facsimile signature of its Officers.</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Notes executed by the Company to the Trustee for authentication, together with a Company Order for the authentication and delivery of such Notes, and the Trustee in accordance with such Company Order shall authenticate and deliver such Notes, without any further action by the Company hereunder.</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Only such Notes as shall bear thereon a certificate of authentication substantially in the form set forth on the form of Note attached as Exhibit A hereto, executed manually by a Responsible Officer (or an authenticating agent appointed by the Trustee as provided by Section 16.10), shall be entitled to the benefits of this Indenture or be valid or obligatory for any purpose. Such certificate by the Trustee (or such an authenticating agent) upon any Note executed by the Company shall be conclusive evidence that the Note so authenticated has been duly authenticated and delivered hereunder and that the Holder is entitled to the benefits of this Indenture.</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In case any Officer of the Company who shall have signed any of the Notes shall cease to be such Officer before the Notes so signed shall have been authenticated and delivered by the Trustee, or disposed of by the Company, such Notes nevertheless may be authenticated and delivered or disposed of as though the Person who signed such Notes had not ceased to be such Officer of the Company; and any Note may be signed on behalf of the Company by such Persons as, at the actual date of the execution of such Note, shall be the Officers of the Company, although at the date of the execution of this Indenture any such Person was not such an Officer.</w:t>
      </w:r>
    </w:p>
    <w:p>
      <w:pPr>
        <w:spacing w:after="0" w:line="18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Exchange and Registration of Transfer of Notes; Restrictions on Transfer; Depositary</w:t>
      </w:r>
      <w:r>
        <w:rPr>
          <w:rFonts w:ascii="Arial" w:cs="Arial" w:eastAsia="Arial" w:hAnsi="Arial"/>
          <w:sz w:val="18"/>
          <w:szCs w:val="18"/>
          <w:color w:val="auto"/>
        </w:rPr>
        <w:t>. (a) The Company shall cause to be kept at the Corporate Trust Office a register (the register maintained in such office or in any other office or agency of the Company designated pursuant to Section 4.02, the “</w:t>
      </w:r>
      <w:r>
        <w:rPr>
          <w:rFonts w:ascii="Arial" w:cs="Arial" w:eastAsia="Arial" w:hAnsi="Arial"/>
          <w:sz w:val="18"/>
          <w:szCs w:val="18"/>
          <w:b w:val="1"/>
          <w:bCs w:val="1"/>
          <w:color w:val="auto"/>
        </w:rPr>
        <w:t>Note Register</w:t>
      </w:r>
      <w:r>
        <w:rPr>
          <w:rFonts w:ascii="Arial" w:cs="Arial" w:eastAsia="Arial" w:hAnsi="Arial"/>
          <w:sz w:val="18"/>
          <w:szCs w:val="18"/>
          <w:color w:val="auto"/>
        </w:rPr>
        <w:t>”) in which, subject to such reasonable procedures as it may prescribe, the Company shall provide for the registration of Notes and of transfers of Notes. Such register shall be in written form or in any form capable of being converted into written form within a reasonable period of time. The Trustee is hereby appointed the “</w:t>
      </w:r>
      <w:r>
        <w:rPr>
          <w:rFonts w:ascii="Arial" w:cs="Arial" w:eastAsia="Arial" w:hAnsi="Arial"/>
          <w:sz w:val="18"/>
          <w:szCs w:val="18"/>
          <w:b w:val="1"/>
          <w:bCs w:val="1"/>
          <w:color w:val="auto"/>
        </w:rPr>
        <w:t>Note Registrar</w:t>
      </w:r>
      <w:r>
        <w:rPr>
          <w:rFonts w:ascii="Arial" w:cs="Arial" w:eastAsia="Arial" w:hAnsi="Arial"/>
          <w:sz w:val="18"/>
          <w:szCs w:val="18"/>
          <w:color w:val="auto"/>
        </w:rPr>
        <w:t>” for the purpose of registering Notes and transfers of Notes as herein provided. The Company may appoint one or more co-Note Registrars in accordance with Section 4.02.</w:t>
      </w:r>
    </w:p>
    <w:p>
      <w:pPr>
        <w:spacing w:after="0" w:line="193"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 Holder of Notes may transfer or exchange Notes at the office of the Registrar in accordance with this Indenture and the applicable procedures of the Depositary. Upon surrender for registration of transfer of any Note to the Note Registrar or any co-Note Registrar, and satisfaction of the requirements for such transfer set forth in this Section 2.05, the Company shall execute, and the Trustee shall upon receipt of a Company Order authenticate and deliver, in the name of the designated transferee or transferees, one or more new Notes of any authorized denominations and of a like aggregate principal amount and bearing such restrictive legends as may be required by this Indenture.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274" w:right="279" w:bottom="1440" w:gutter="0" w:footer="0" w:header="0"/>
        </w:sectPr>
      </w:pPr>
    </w:p>
    <w:bookmarkStart w:id="26" w:name="page27"/>
    <w:bookmarkEnd w:id="26"/>
    <w:p>
      <w:pPr>
        <w:ind w:right="1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Notes may be exchanged for other Notes of any authorized denominations and of a like aggregate principal amount, upon surrender of the Notes to be exchanged at any such office or agency maintained by the Company pursuant to Section 4.02. Whenever any Notes are so surrendered for exchange, the Company shall execute, and the Trustee shall upon receipt of a Company Order authenticate and deliver, the Notes that the Holder making the exchange is entitled to receive, bearing registration numbers not contemporaneously outstanding.</w:t>
      </w:r>
    </w:p>
    <w:p>
      <w:pPr>
        <w:spacing w:after="0" w:line="187" w:lineRule="exact"/>
        <w:rPr>
          <w:sz w:val="20"/>
          <w:szCs w:val="20"/>
          <w:color w:val="auto"/>
        </w:rPr>
      </w:pPr>
    </w:p>
    <w:p>
      <w:pPr>
        <w:ind w:right="460" w:firstLine="456"/>
        <w:spacing w:after="0" w:line="286" w:lineRule="auto"/>
        <w:rPr>
          <w:sz w:val="20"/>
          <w:szCs w:val="20"/>
          <w:color w:val="auto"/>
        </w:rPr>
      </w:pPr>
      <w:r>
        <w:rPr>
          <w:rFonts w:ascii="Arial" w:cs="Arial" w:eastAsia="Arial" w:hAnsi="Arial"/>
          <w:sz w:val="17"/>
          <w:szCs w:val="17"/>
          <w:color w:val="auto"/>
        </w:rPr>
        <w:t>All Notes presented or surrendered for registration of transfer or for exchange, repurchase or conversion shall (if so required by the Company, the Trustee, the Note Registrar or any co-Note Registrar) be duly endorsed, or be accompanied by a written instrument or instruments of transfer in form satisfactory to the Company and duly executed, by the Holder thereof or its attorney-in-fact duly authorized in writing.</w:t>
      </w:r>
    </w:p>
    <w:p>
      <w:pPr>
        <w:spacing w:after="0" w:line="166"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No service charge shall be charged to the Holder for any exchange or registration of transfer of Notes, but the Company or the Trustee may require a Holder to pay a sum sufficient to cover any tax or other similar governmental charge required by law or permitted pursuant to Section 13.02(e).</w:t>
      </w:r>
    </w:p>
    <w:p>
      <w:pPr>
        <w:spacing w:after="0" w:line="124"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None of the Company, the Trustee, the Note Registrar or any co-Note Registrar shall be required to exchange or register a transfer of (i) any Notes surrendered for conversion or, if a portion of any Note is surrendered for conversion, such portion thereof surrendered for conversion or (ii) any Notes, or a portion of any Note, surrendered for repurchase (and not withdrawn) in accordance with Article 14.</w:t>
      </w:r>
    </w:p>
    <w:p>
      <w:pPr>
        <w:spacing w:after="0" w:line="18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All Notes issued upon any registration of transfer or exchange of Notes in accordance with this Indenture shall be the valid obligations of the Company, evidencing the same debt, and entitled to the same benefits under this Indenture as the Notes surrendered upon such registration of transfer or exchange.</w:t>
      </w:r>
    </w:p>
    <w:p>
      <w:pPr>
        <w:spacing w:after="0" w:line="124" w:lineRule="exact"/>
        <w:rPr>
          <w:sz w:val="20"/>
          <w:szCs w:val="20"/>
          <w:color w:val="auto"/>
        </w:rPr>
      </w:pPr>
    </w:p>
    <w:p>
      <w:pPr>
        <w:ind w:firstLine="464"/>
        <w:spacing w:after="0" w:line="257" w:lineRule="auto"/>
        <w:tabs>
          <w:tab w:leader="none" w:pos="846"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 long as the Notes are eligible for book-entry settlement with the Depositary, unless otherwise required by law, all Notes shall be represented by one or more Notes in global form (each, a “</w:t>
      </w:r>
      <w:r>
        <w:rPr>
          <w:rFonts w:ascii="Arial" w:cs="Arial" w:eastAsia="Arial" w:hAnsi="Arial"/>
          <w:sz w:val="18"/>
          <w:szCs w:val="18"/>
          <w:b w:val="1"/>
          <w:bCs w:val="1"/>
          <w:color w:val="auto"/>
        </w:rPr>
        <w:t>Global Note</w:t>
      </w:r>
      <w:r>
        <w:rPr>
          <w:rFonts w:ascii="Arial" w:cs="Arial" w:eastAsia="Arial" w:hAnsi="Arial"/>
          <w:sz w:val="18"/>
          <w:szCs w:val="18"/>
          <w:color w:val="auto"/>
        </w:rPr>
        <w:t>”) registered in the name of the Depositary or the nominee of the Depositary. The transfer and exchange of beneficial interests in a Global Note that does not involve the issuance of a Physical Note shall be effected through the Depositary (but not the Trustee or the Custodian) in accordance with this Indenture (including the restrictions on transfer set forth herein) and the procedures of the Depositary therefor.</w:t>
      </w:r>
    </w:p>
    <w:p>
      <w:pPr>
        <w:spacing w:after="0" w:line="188" w:lineRule="exact"/>
        <w:rPr>
          <w:rFonts w:ascii="Arial" w:cs="Arial" w:eastAsia="Arial" w:hAnsi="Arial"/>
          <w:sz w:val="18"/>
          <w:szCs w:val="18"/>
          <w:color w:val="auto"/>
        </w:rPr>
      </w:pPr>
    </w:p>
    <w:p>
      <w:pPr>
        <w:ind w:right="60" w:firstLine="464"/>
        <w:spacing w:after="0" w:line="255" w:lineRule="auto"/>
        <w:tabs>
          <w:tab w:leader="none" w:pos="836" w:val="left"/>
        </w:tabs>
        <w:numPr>
          <w:ilvl w:val="0"/>
          <w:numId w:val="11"/>
        </w:numPr>
        <w:rPr>
          <w:rFonts w:ascii="Arial" w:cs="Arial" w:eastAsia="Arial" w:hAnsi="Arial"/>
          <w:sz w:val="18"/>
          <w:szCs w:val="18"/>
          <w:color w:val="auto"/>
        </w:rPr>
      </w:pPr>
      <w:r>
        <w:rPr>
          <w:rFonts w:ascii="Arial" w:cs="Arial" w:eastAsia="Arial" w:hAnsi="Arial"/>
          <w:sz w:val="18"/>
          <w:szCs w:val="18"/>
          <w:color w:val="auto"/>
        </w:rPr>
        <w:t>Every Note that bears or is required under this Section 2.05(c) to bear the legend set forth in this Section 2.05(c) (together with any Common Stock issued upon conversion of the Notes and required to bear the legend set forth in Section 2.05(d), collectively, the “</w:t>
      </w:r>
      <w:r>
        <w:rPr>
          <w:rFonts w:ascii="Arial" w:cs="Arial" w:eastAsia="Arial" w:hAnsi="Arial"/>
          <w:sz w:val="18"/>
          <w:szCs w:val="18"/>
          <w:b w:val="1"/>
          <w:bCs w:val="1"/>
          <w:color w:val="auto"/>
        </w:rPr>
        <w:t>Restricted Securities</w:t>
      </w:r>
      <w:r>
        <w:rPr>
          <w:rFonts w:ascii="Arial" w:cs="Arial" w:eastAsia="Arial" w:hAnsi="Arial"/>
          <w:sz w:val="18"/>
          <w:szCs w:val="18"/>
          <w:color w:val="auto"/>
        </w:rPr>
        <w:t>”) shall be subject to the restrictions on transfer set forth in this Section 2.05(c)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2.05(c) and Section 2.05(d), the term “</w:t>
      </w:r>
      <w:r>
        <w:rPr>
          <w:rFonts w:ascii="Arial" w:cs="Arial" w:eastAsia="Arial" w:hAnsi="Arial"/>
          <w:sz w:val="18"/>
          <w:szCs w:val="18"/>
          <w:b w:val="1"/>
          <w:bCs w:val="1"/>
          <w:color w:val="auto"/>
        </w:rPr>
        <w:t>transfer</w:t>
      </w:r>
      <w:r>
        <w:rPr>
          <w:rFonts w:ascii="Arial" w:cs="Arial" w:eastAsia="Arial" w:hAnsi="Arial"/>
          <w:sz w:val="18"/>
          <w:szCs w:val="18"/>
          <w:color w:val="auto"/>
        </w:rPr>
        <w:t>” encompasses any sale, pledge, transfer or other disposition whatsoever of any Restricted Security.</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74" w:right="259" w:bottom="1440" w:gutter="0" w:footer="0" w:header="0"/>
        </w:sectPr>
      </w:pPr>
    </w:p>
    <w:bookmarkStart w:id="27" w:name="page28"/>
    <w:bookmarkEnd w:id="27"/>
    <w:p>
      <w:pPr>
        <w:ind w:firstLine="456"/>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Until the date (the “</w:t>
      </w:r>
      <w:r>
        <w:rPr>
          <w:rFonts w:ascii="Arial" w:cs="Arial" w:eastAsia="Arial" w:hAnsi="Arial"/>
          <w:sz w:val="16"/>
          <w:szCs w:val="16"/>
          <w:b w:val="1"/>
          <w:bCs w:val="1"/>
          <w:color w:val="auto"/>
        </w:rPr>
        <w:t>Resale Restriction Termination Date</w:t>
      </w:r>
      <w:r>
        <w:rPr>
          <w:rFonts w:ascii="Arial" w:cs="Arial" w:eastAsia="Arial" w:hAnsi="Arial"/>
          <w:sz w:val="16"/>
          <w:szCs w:val="16"/>
          <w:color w:val="auto"/>
        </w:rPr>
        <w:t>”) that is the later of (1) the date that is one year after the last date of original issuance of the Notes, or such shorter period of time as permitted by Rule 144 under the Securities Act or any successor provision thereto, and (2) such later date, if any, as may be required by applicable law, any certificate evidencing such Note (and all securities issued in exchange therefor or substitution thereof, other than Common Stock, if any, issued upon conversion thereof which shall bear the legend set forth in Section 2.05(d), if applicable) shall bear a legend in substantially the following form (unless such Notes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6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79" w:lineRule="exact"/>
        <w:rPr>
          <w:sz w:val="20"/>
          <w:szCs w:val="20"/>
          <w:color w:val="auto"/>
        </w:rPr>
      </w:pPr>
    </w:p>
    <w:p>
      <w:pPr>
        <w:ind w:left="460" w:right="100" w:firstLine="443"/>
        <w:spacing w:after="0" w:line="264" w:lineRule="auto"/>
        <w:tabs>
          <w:tab w:leader="none" w:pos="1288"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73" w:lineRule="exact"/>
        <w:rPr>
          <w:rFonts w:ascii="Arial" w:cs="Arial" w:eastAsia="Arial" w:hAnsi="Arial"/>
          <w:sz w:val="18"/>
          <w:szCs w:val="18"/>
          <w:color w:val="auto"/>
        </w:rPr>
      </w:pPr>
    </w:p>
    <w:p>
      <w:pPr>
        <w:ind w:left="460" w:right="20" w:firstLine="443"/>
        <w:spacing w:after="0" w:line="257" w:lineRule="auto"/>
        <w:tabs>
          <w:tab w:leader="none" w:pos="12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AGREES FOR THE BENEFIT OF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76" w:lineRule="exact"/>
        <w:rPr>
          <w:rFonts w:ascii="Arial" w:cs="Arial" w:eastAsia="Arial" w:hAnsi="Arial"/>
          <w:sz w:val="18"/>
          <w:szCs w:val="18"/>
          <w:color w:val="auto"/>
        </w:rPr>
      </w:pPr>
    </w:p>
    <w:p>
      <w:pPr>
        <w:ind w:left="1760" w:hanging="419"/>
        <w:spacing w:after="0"/>
        <w:tabs>
          <w:tab w:leader="none" w:pos="1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TPG SPECIALTY LENDING, INC. (THE “</w:t>
      </w:r>
      <w:r>
        <w:rPr>
          <w:rFonts w:ascii="Arial" w:cs="Arial" w:eastAsia="Arial" w:hAnsi="Arial"/>
          <w:sz w:val="18"/>
          <w:szCs w:val="18"/>
          <w:b w:val="1"/>
          <w:bCs w:val="1"/>
          <w:color w:val="auto"/>
        </w:rPr>
        <w:t>COMPANY</w:t>
      </w:r>
      <w:r>
        <w:rPr>
          <w:rFonts w:ascii="Arial" w:cs="Arial" w:eastAsia="Arial" w:hAnsi="Arial"/>
          <w:sz w:val="18"/>
          <w:szCs w:val="18"/>
          <w:color w:val="auto"/>
        </w:rPr>
        <w:t>”) OR ANY CONSOLIDATED SUBSIDIARY THEREOF, OR</w:t>
      </w:r>
    </w:p>
    <w:p>
      <w:pPr>
        <w:spacing w:after="0" w:line="121" w:lineRule="exact"/>
        <w:rPr>
          <w:rFonts w:ascii="Arial" w:cs="Arial" w:eastAsia="Arial" w:hAnsi="Arial"/>
          <w:sz w:val="18"/>
          <w:szCs w:val="18"/>
          <w:color w:val="auto"/>
        </w:rPr>
      </w:pPr>
    </w:p>
    <w:p>
      <w:pPr>
        <w:ind w:left="1760" w:hanging="419"/>
        <w:spacing w:after="0"/>
        <w:tabs>
          <w:tab w:leader="none" w:pos="1760" w:val="left"/>
        </w:tabs>
        <w:numPr>
          <w:ilvl w:val="1"/>
          <w:numId w:val="12"/>
        </w:numPr>
        <w:rPr>
          <w:rFonts w:ascii="Arial" w:cs="Arial" w:eastAsia="Arial" w:hAnsi="Arial"/>
          <w:sz w:val="17"/>
          <w:szCs w:val="17"/>
          <w:color w:val="auto"/>
        </w:rPr>
      </w:pPr>
      <w:r>
        <w:rPr>
          <w:rFonts w:ascii="Arial" w:cs="Arial" w:eastAsia="Arial" w:hAnsi="Arial"/>
          <w:sz w:val="17"/>
          <w:szCs w:val="17"/>
          <w:color w:val="auto"/>
        </w:rPr>
        <w:t>PURSUANT TO A REGISTRATION STATEMENT WHICH HAS BECOME EFFECTIVE UNDER THE SECURITIES ACT, OR</w:t>
      </w:r>
    </w:p>
    <w:p>
      <w:pPr>
        <w:spacing w:after="0" w:line="128" w:lineRule="exact"/>
        <w:rPr>
          <w:rFonts w:ascii="Arial" w:cs="Arial" w:eastAsia="Arial" w:hAnsi="Arial"/>
          <w:sz w:val="17"/>
          <w:szCs w:val="17"/>
          <w:color w:val="auto"/>
        </w:rPr>
      </w:pPr>
    </w:p>
    <w:p>
      <w:pPr>
        <w:ind w:left="1760" w:hanging="419"/>
        <w:spacing w:after="0"/>
        <w:tabs>
          <w:tab w:leader="none" w:pos="17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0" w:right="299" w:bottom="1440" w:gutter="0" w:footer="0" w:header="0"/>
        </w:sectPr>
      </w:pPr>
    </w:p>
    <w:bookmarkStart w:id="28" w:name="page29"/>
    <w:bookmarkEnd w:id="28"/>
    <w:p>
      <w:pPr>
        <w:ind w:left="920" w:right="220" w:firstLine="421"/>
        <w:spacing w:after="0" w:line="277" w:lineRule="auto"/>
        <w:tabs>
          <w:tab w:leader="none" w:pos="177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AN EXEMPTION FROM REGISTRATION PROVIDED BY RULE 144 UNDER THE SECURITIES ACT OR ANY OTHER AVAILABLE EXEMPTION FROM THE REGISTRATION REQUIREMENTS OF THE SECURITIES ACT.</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PRIOR TO THE REGISTRATION OF ANY TRANSFER IN ACCORDANCE WITH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8" w:lineRule="exact"/>
        <w:rPr>
          <w:sz w:val="20"/>
          <w:szCs w:val="20"/>
          <w:color w:val="auto"/>
        </w:rPr>
      </w:pPr>
    </w:p>
    <w:p>
      <w:pPr>
        <w:ind w:right="480" w:firstLine="456"/>
        <w:spacing w:after="0" w:line="277" w:lineRule="auto"/>
        <w:rPr>
          <w:sz w:val="20"/>
          <w:szCs w:val="20"/>
          <w:color w:val="auto"/>
        </w:rPr>
      </w:pPr>
      <w:r>
        <w:rPr>
          <w:rFonts w:ascii="Arial" w:cs="Arial" w:eastAsia="Arial" w:hAnsi="Arial"/>
          <w:sz w:val="18"/>
          <w:szCs w:val="18"/>
          <w:color w:val="auto"/>
        </w:rPr>
        <w:t>No transfer of any Note prior to the Resale Restriction Termination Date will be registered by the Note Registrar unless the applicable box on the completed Form of Assignment and Transfer has been checked.</w:t>
      </w:r>
    </w:p>
    <w:p>
      <w:pPr>
        <w:spacing w:after="0" w:line="170"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Any Note (or security issued in exchange or substitution therefor) as to which such restrictions on transfer shall have expired in accordance with their terms may, upon surrender of such Note for exchange to the Note Registrar in accordance with the provisions of this Section 2.05, be exchanged for a new Note or Notes, of like tenor and aggregate principal amount, which shall not bear the restrictive legend required by this Section 2.05(c). The Company shall promptly notify the Trustee upon the occurrence of the Resale Restriction Termination Date and promptly after a registration statement, if any, with respect to the Notes or any Common Stock issued upon conversion of the Notes has been declared effective under the Securities Act.</w:t>
      </w:r>
    </w:p>
    <w:p>
      <w:pPr>
        <w:spacing w:after="0" w:line="1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If, on the Resale Restriction Termination Date, or the next succeeding Business Day if the Resale Restriction Termination Date is not a Business Day, any Notes are represented by a Global Note that is a Restricted Note (any such Global Note, a “</w:t>
      </w:r>
      <w:r>
        <w:rPr>
          <w:rFonts w:ascii="Arial" w:cs="Arial" w:eastAsia="Arial" w:hAnsi="Arial"/>
          <w:sz w:val="17"/>
          <w:szCs w:val="17"/>
          <w:b w:val="1"/>
          <w:bCs w:val="1"/>
          <w:color w:val="auto"/>
        </w:rPr>
        <w:t>Restricted Global Note</w:t>
      </w:r>
      <w:r>
        <w:rPr>
          <w:rFonts w:ascii="Arial" w:cs="Arial" w:eastAsia="Arial" w:hAnsi="Arial"/>
          <w:sz w:val="17"/>
          <w:szCs w:val="17"/>
          <w:color w:val="auto"/>
        </w:rPr>
        <w:t>”), as promptly as practicable, the Company will automatically exchange every beneficial interest in each Restricted Global Note for beneficial interests in Global Notes that are not subject to the restrictions set forth in the Restricted Notes Legend and in this Section 2.05. To effect such automatic exchange, the Company will (A) deliver to the Depositary an instruction letter for the Depositary’s mandatory exchange process as required by the Depositary prior to the Resale Restriction Termination Date and (B) deliver to each of the Trustee and the Registrar a duly completed free transferability certificate in the form attached hereto as Exhibit B promptly after the Resale Restriction Termination Date. Immediately upon receipt of the free transferability certificate by each of the Trustee and the Registrar: (A) the Restricted Notes Legend will be deemed removed from each of the Global Notes specified in such free transferability certificate and the restricted CUSIP number will be deemed removed from each of such Global Notes and deemed replaced with an unrestricted CUSIP number with no further action required by the Company, the Trustee or, if applicable, the Depositary.</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29" w:name="page30"/>
    <w:bookmarkEnd w:id="29"/>
    <w:p>
      <w:pPr>
        <w:jc w:val="both"/>
        <w:ind w:right="1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in lieu of the restrictive legend being deemed removed from the Notes and the unrestricted CUSIP specified therein being substituted for the restricted CUSIP thereon, the Company may provide the Trustee with a new Global Note to serve as the Unrestricted Global Note and to bear such unrestricted CUSIP, and the Trustee shall continue to reflect such portion of the Notes as the Company may direct on the Restricted Global Note.</w:t>
      </w:r>
    </w:p>
    <w:p>
      <w:pPr>
        <w:spacing w:after="0" w:line="18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Notwithstanding any other provisions of this Indenture (other than the provisions set forth in this Section 2.05(c)), a Global Note may not be transferred as a whole or in part except (i) by the Depositary to a nominee of the Depositary or by a nominee of the Depositary to the Depositary or another nominee of the Depositary or by the Depositary or any such nominee to a successor Depositary or a nominee of such successor Depositary and (ii) for transfers of portions of a Global Note in certificated form made upon request of a member of, or a participant in, the Depositary (for itself or on behalf of a beneficial owner) by written notice given to the Trustee by or on behalf of the Depositary in accordance with customary procedures of the Depositary and in compliance with this Section 2.05(c).</w:t>
      </w:r>
    </w:p>
    <w:p>
      <w:pPr>
        <w:spacing w:after="0" w:line="19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Depositary shall be a clearing agency registered under the Exchange Act. The Company initially appoints The Depository Trust Company to act as Depositary with respect to each Global Note. Initially, each Global Note shall be issued to the Depositary, registered in the name of Cede &amp; Co., as the nominee of the Depositary, and deposited with the Trustee as custodian for Cede &amp; Co.</w:t>
      </w:r>
    </w:p>
    <w:p>
      <w:pPr>
        <w:spacing w:after="0" w:line="181"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If (i) the Depositary notifies the Company at any time that the Depositary is unwilling or unable to continue as depositary for the Global Notes and a successor depositary is not appointed within 90 days, (ii) the Depositary ceases to be registered as a clearing agency under the Exchange Act and a successor depositary is not appointed within 90 days or (iii) an Event of Default with respect to the Notes has occurred and is continuing and a beneficial owner of the Notes requests that its Notes be issued as Physical Notes, the Company will execute, and the Trustee, upon receipt of an Officers’ Certificate and a Company Order for the authentication and delivery of Notes, will authenticate and deliver Physical Notes to each such beneficial owner of the related Notes (or a portion thereof) in an aggregate principal amount equal to the principal amount of such Global Note, in exchange for such Global Note, and upon delivery of the Global Note to the Trustee such Global Note shall be canceled.</w:t>
      </w:r>
    </w:p>
    <w:p>
      <w:pPr>
        <w:spacing w:after="0" w:line="178" w:lineRule="exact"/>
        <w:rPr>
          <w:sz w:val="20"/>
          <w:szCs w:val="20"/>
          <w:color w:val="auto"/>
        </w:rPr>
      </w:pPr>
    </w:p>
    <w:p>
      <w:pPr>
        <w:jc w:val="both"/>
        <w:ind w:right="360" w:firstLine="456"/>
        <w:spacing w:after="0" w:line="312" w:lineRule="auto"/>
        <w:rPr>
          <w:sz w:val="20"/>
          <w:szCs w:val="20"/>
          <w:color w:val="auto"/>
        </w:rPr>
      </w:pPr>
      <w:r>
        <w:rPr>
          <w:rFonts w:ascii="Arial" w:cs="Arial" w:eastAsia="Arial" w:hAnsi="Arial"/>
          <w:sz w:val="16"/>
          <w:szCs w:val="16"/>
          <w:color w:val="auto"/>
        </w:rPr>
        <w:t>Physical Notes issued in exchange for all or a part of the Global Note pursuant to this Section 2.05(c) shall be registered in such names and in such authorized denominations as the Depositary, pursuant to instructions from its direct or indirect participants or otherwise, shall instruct the Trustee. Upon execution and authentication, the Trustee shall deliver such Physical Notes to the Persons in whose names such Physical Notes are so registered.</w:t>
      </w:r>
    </w:p>
    <w:p>
      <w:pPr>
        <w:spacing w:after="0" w:line="14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At such time as all interests in a Global Note have been converted, canceled, repurchased or transferred, such Global Note shall be, upon receipt thereof, canceled by the Trustee in accordance with standing procedures and existing instructions between the Depositary and the Custodian. At any time prior to such cancellation, if any interest in a Global Note is exchanged for Physical Notes, converted, canceled, repurchased or transferred to a transferee who receives Physical Notes therefor or any Physical Note is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30" w:name="page31"/>
    <w:bookmarkEnd w:id="30"/>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exchanged or transferred for part of such Global Note, the principal amount of such Global Note shall, in accordance with the standing procedures and instructions existing between the Depositary and the Custodian, be appropriately reduced or increased, as the case may be, and an endorsement shall be made on such Global Note, by the Trustee or the Custodian, at the direction of the Trustee, to reflect such reduction or increase.</w:t>
      </w:r>
    </w:p>
    <w:p>
      <w:pPr>
        <w:spacing w:after="0" w:line="166"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Neither the Company, the Trustee nor any agent of the Company or the Trustee shall have any responsibility or liability for any aspect of the records relating to or payments made on account of beneficial ownership interests of a Global Note or maintaining, supervising or reviewing any records relating to such beneficial ownership interests.</w:t>
      </w:r>
    </w:p>
    <w:p>
      <w:pPr>
        <w:spacing w:after="0" w:line="181" w:lineRule="exact"/>
        <w:rPr>
          <w:sz w:val="20"/>
          <w:szCs w:val="20"/>
          <w:color w:val="auto"/>
        </w:rPr>
      </w:pPr>
    </w:p>
    <w:p>
      <w:pPr>
        <w:ind w:firstLine="464"/>
        <w:spacing w:after="0" w:line="291" w:lineRule="auto"/>
        <w:tabs>
          <w:tab w:leader="none" w:pos="846"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Until the Resale Restriction Termination Date, any stock certificate representing Common Stock issued upon conversion of such Note shall bear a legend in substantially the following form (unless the Note or such Common Stock has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such Common Stock has been issued upon conversion of Notes that have been transferred pursuant to a registration statement that has become or been declared effective under the Securities Act and that continues to be effective at the time of such transfer, or pursuant to the exemption from registration provided by Rule 144 or any similar provision then in force under the Securities Act, or unless otherwise agreed by the Company with written notice thereof to the Trustee and any transfer agent for the Common Stock):</w:t>
      </w:r>
    </w:p>
    <w:p>
      <w:pPr>
        <w:spacing w:after="0" w:line="163" w:lineRule="exact"/>
        <w:rPr>
          <w:sz w:val="20"/>
          <w:szCs w:val="20"/>
          <w:color w:val="auto"/>
        </w:rPr>
      </w:pPr>
    </w:p>
    <w:p>
      <w:pPr>
        <w:ind w:right="340" w:firstLine="456"/>
        <w:spacing w:after="0" w:line="266" w:lineRule="auto"/>
        <w:rPr>
          <w:sz w:val="20"/>
          <w:szCs w:val="20"/>
          <w:color w:val="auto"/>
        </w:rPr>
      </w:pPr>
      <w:r>
        <w:rPr>
          <w:rFonts w:ascii="Arial" w:cs="Arial" w:eastAsia="Arial" w:hAnsi="Arial"/>
          <w:sz w:val="18"/>
          <w:szCs w:val="18"/>
          <w:color w:val="auto"/>
        </w:rPr>
        <w:t>THIS SECURITY HAS NOT BEEN REGISTERED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MAY NOT BE OFFERED, SOLD, PLEDGED OR OTHERWISE TRANSFERRED EXCEPT IN ACCORDANCE WITH THE FOLLOWING SENTENCE. BY ITS ACQUISITION HEREOF OR OF A BENEFICIAL INTEREST HEREIN, THE ACQUIRER:</w:t>
      </w:r>
    </w:p>
    <w:p>
      <w:pPr>
        <w:spacing w:after="0" w:line="72" w:lineRule="exact"/>
        <w:rPr>
          <w:sz w:val="20"/>
          <w:szCs w:val="20"/>
          <w:color w:val="auto"/>
        </w:rPr>
      </w:pPr>
    </w:p>
    <w:p>
      <w:pPr>
        <w:ind w:left="460" w:right="100" w:firstLine="443"/>
        <w:spacing w:after="0" w:line="264" w:lineRule="auto"/>
        <w:tabs>
          <w:tab w:leader="none" w:pos="1288"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73" w:lineRule="exact"/>
        <w:rPr>
          <w:rFonts w:ascii="Arial" w:cs="Arial" w:eastAsia="Arial" w:hAnsi="Arial"/>
          <w:sz w:val="18"/>
          <w:szCs w:val="18"/>
          <w:color w:val="auto"/>
        </w:rPr>
      </w:pPr>
    </w:p>
    <w:p>
      <w:pPr>
        <w:ind w:left="460" w:right="20" w:firstLine="443"/>
        <w:spacing w:after="0" w:line="257" w:lineRule="auto"/>
        <w:tabs>
          <w:tab w:leader="none" w:pos="127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AGREES FOR THE BENEFIT OF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76" w:lineRule="exact"/>
        <w:rPr>
          <w:rFonts w:ascii="Arial" w:cs="Arial" w:eastAsia="Arial" w:hAnsi="Arial"/>
          <w:sz w:val="18"/>
          <w:szCs w:val="18"/>
          <w:color w:val="auto"/>
        </w:rPr>
      </w:pPr>
    </w:p>
    <w:p>
      <w:pPr>
        <w:ind w:left="1760" w:hanging="419"/>
        <w:spacing w:after="0"/>
        <w:tabs>
          <w:tab w:leader="none" w:pos="17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TO TPG SPECIALTY LENDING, INC. (THE “</w:t>
      </w:r>
      <w:r>
        <w:rPr>
          <w:rFonts w:ascii="Arial" w:cs="Arial" w:eastAsia="Arial" w:hAnsi="Arial"/>
          <w:sz w:val="18"/>
          <w:szCs w:val="18"/>
          <w:b w:val="1"/>
          <w:bCs w:val="1"/>
          <w:color w:val="auto"/>
        </w:rPr>
        <w:t>COMPANY</w:t>
      </w:r>
      <w:r>
        <w:rPr>
          <w:rFonts w:ascii="Arial" w:cs="Arial" w:eastAsia="Arial" w:hAnsi="Arial"/>
          <w:sz w:val="18"/>
          <w:szCs w:val="18"/>
          <w:color w:val="auto"/>
        </w:rPr>
        <w:t>”) OR ANY CONSOLIDATED SUBSIDIARY THEREOF, OR</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4" w:right="299" w:bottom="1440" w:gutter="0" w:footer="0" w:header="0"/>
        </w:sectPr>
      </w:pPr>
    </w:p>
    <w:bookmarkStart w:id="31" w:name="page32"/>
    <w:bookmarkEnd w:id="31"/>
    <w:p>
      <w:pPr>
        <w:ind w:left="1760" w:hanging="419"/>
        <w:spacing w:after="0"/>
        <w:tabs>
          <w:tab w:leader="none" w:pos="1760" w:val="left"/>
        </w:tabs>
        <w:numPr>
          <w:ilvl w:val="0"/>
          <w:numId w:val="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A REGISTRATION STATEMENT WHICH HAS BECOME EFFECTIVE UNDER THE SECURITIES ACT, OR</w:t>
      </w:r>
    </w:p>
    <w:p>
      <w:pPr>
        <w:spacing w:after="0" w:line="128" w:lineRule="exact"/>
        <w:rPr>
          <w:rFonts w:ascii="Arial" w:cs="Arial" w:eastAsia="Arial" w:hAnsi="Arial"/>
          <w:sz w:val="17"/>
          <w:szCs w:val="17"/>
          <w:color w:val="auto"/>
        </w:rPr>
      </w:pPr>
    </w:p>
    <w:p>
      <w:pPr>
        <w:ind w:left="1760" w:hanging="419"/>
        <w:spacing w:after="0"/>
        <w:tabs>
          <w:tab w:leader="none" w:pos="1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 QUALIFIED INSTITUTIONAL BUYER IN COMPLIANCE WITH RULE 144A UNDER THE SECURITIES ACT, OR</w:t>
      </w:r>
    </w:p>
    <w:p>
      <w:pPr>
        <w:spacing w:after="0" w:line="117" w:lineRule="exact"/>
        <w:rPr>
          <w:rFonts w:ascii="Arial" w:cs="Arial" w:eastAsia="Arial" w:hAnsi="Arial"/>
          <w:sz w:val="18"/>
          <w:szCs w:val="18"/>
          <w:color w:val="auto"/>
        </w:rPr>
      </w:pPr>
    </w:p>
    <w:p>
      <w:pPr>
        <w:ind w:left="920" w:right="220" w:firstLine="421"/>
        <w:spacing w:after="0" w:line="277" w:lineRule="auto"/>
        <w:tabs>
          <w:tab w:leader="none" w:pos="17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0"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PRIOR TO THE REGISTRATION OF ANY TRANSFER IN ACCORDANCE WITH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Any such Common Stock as to which such restrictions on transfer shall have expired in accordance with their terms may, upon surrender of the certificates representing such shares of Common Stock for exchange in accordance with the procedures of the transfer agent for the Common Stock, be exchanged for a new certificate or certificates for a like aggregate number of shares of Common Stock, which shall not bear the restrictive legend required by this Section 2.05(d).</w:t>
      </w:r>
    </w:p>
    <w:p>
      <w:pPr>
        <w:spacing w:after="0" w:line="187" w:lineRule="exact"/>
        <w:rPr>
          <w:sz w:val="20"/>
          <w:szCs w:val="20"/>
          <w:color w:val="auto"/>
        </w:rPr>
      </w:pPr>
    </w:p>
    <w:p>
      <w:pPr>
        <w:jc w:val="both"/>
        <w:ind w:right="160" w:firstLine="464"/>
        <w:spacing w:after="0" w:line="264" w:lineRule="auto"/>
        <w:tabs>
          <w:tab w:leader="none" w:pos="826"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Note that is repurchased or owned by the Company or any Subsidiary thereof may not be resold by the Company or such Subsidiary unless registered under the Securities Act or resold pursuant to an exemption from the registration requirements of the Securities Act in a transaction that results in such Note no longer being “restricted securities” (as defined under Rule 144 under the Securities Act).</w:t>
      </w:r>
    </w:p>
    <w:p>
      <w:pPr>
        <w:spacing w:after="0" w:line="181" w:lineRule="exact"/>
        <w:rPr>
          <w:rFonts w:ascii="Arial" w:cs="Arial" w:eastAsia="Arial" w:hAnsi="Arial"/>
          <w:sz w:val="18"/>
          <w:szCs w:val="18"/>
          <w:color w:val="auto"/>
        </w:rPr>
      </w:pPr>
    </w:p>
    <w:p>
      <w:pPr>
        <w:ind w:firstLine="464"/>
        <w:spacing w:after="0" w:line="272" w:lineRule="auto"/>
        <w:tabs>
          <w:tab w:leader="none" w:pos="8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Notwithstanding any provision of this Section 2.05 to the contrary, in the event Rule 144 as promulgated under the Securities Act (or any successor rule) is amended to change the one-year holding period thereunder (or the corresponding period under any successor rule), from and after receipt by the Trustee of the Officers’ Certificate and Opinion of Counsel provided for in this Section 2.05(f), (i) each reference in Section 2.05(c) to “one year” and in the restrictive legend set forth in such paragraph to “ONE YEAR” shall be deemed for all purposes hereof to be references to such changed period, (ii) each reference in Section 2.05(d) to “one year” and in the restrictive legend set forth in such paragraph to “ONE YEAR” shall be deemed for all purposes hereof to be references to such changed period and (iii) all corresponding references in the Notes (including the definition of Resale Restriction Termination Date) and the restrictive legends thereon shall be deemed for all purposes hereof to be references to such changed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74" w:right="259" w:bottom="1440" w:gutter="0" w:footer="0" w:header="0"/>
        </w:sectPr>
      </w:pPr>
    </w:p>
    <w:bookmarkStart w:id="32" w:name="page33"/>
    <w:bookmarkEnd w:id="32"/>
    <w:p>
      <w:pPr>
        <w:jc w:val="both"/>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period, provided that such changes shall not become effective if they are otherwise prohibited by, or would otherwise cause a violation of, the then-applicable federal securities laws, or are not applicable to the Notes or Common Stock. The provisions of this Section 2.05(f) will not be effective until such time as the Opinion of Counsel and Officers’ Certificate have been received by the Trustee hereunder. This Section 2.05(f) shall apply to successive amendments to Rule 144 (or any successor rule) changing the holding period thereunder.</w:t>
      </w:r>
    </w:p>
    <w:p>
      <w:pPr>
        <w:spacing w:after="0" w:line="18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Mutilated, Destroyed, Lost or Stolen Notes</w:t>
      </w:r>
      <w:r>
        <w:rPr>
          <w:rFonts w:ascii="Arial" w:cs="Arial" w:eastAsia="Arial" w:hAnsi="Arial"/>
          <w:sz w:val="16"/>
          <w:szCs w:val="16"/>
          <w:color w:val="auto"/>
        </w:rPr>
        <w:t>. In case any Note shall become mutilated or be destroyed, lost or stolen, the Company in its discretion may execute, and upon a Company Order the Trustee or an authenticating agent appointed by the Trustee shall authenticate and deliver, a new Note, bearing a number not contemporaneously outstanding, in exchange and substitution for the mutilated Note, or in lieu of and in substitution for the Note so destroyed, lost or stolen. In every case the applicant for a substituted Note shall furnish to the Company, to the Trustee and, if applicable, to such authenticating agent such security or indemnity as may be required by them to save each of them harmless from any loss, liability, cost or expense caused by or connected with such substitution, and, in every case of destruction, loss or theft, the applicant shall also furnish to the Company, to the Trustee and, if applicable, to such authenticating agent evidence to their satisfaction of the destruction, loss or theft of such Note and of the ownership thereof.</w:t>
      </w:r>
    </w:p>
    <w:p>
      <w:pPr>
        <w:spacing w:after="0" w:line="16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Trustee or such authenticating agent may authenticate any such substituted Note and deliver the same upon the receipt of such security or indemnity as the Trustee, the Company and, if applicable, such authenticating agent may require. Upon the issuance of any substitute Note, the Company or the Trustee may require the payment by the Holder of a sum sufficient to cover any tax, assessment or other governmental charge that may be imposed in relation thereto and any other expenses connected therewith. In case any Note that has matured or is about to mature or has been surrendered for required repurchase or is about to be converted in accordance with Article 13 shall become mutilated or be destroyed, lost or stolen, the Company may, in its sole discretion, instead of issuing a substitute Note, pay or authorize the payment of or convert or authorize the conversion of the same (without surrender thereof except in the case of a mutilated Note), as the case may be, if the applicant for such payment or conversion shall furnish to the Company, to the Trustee and, if applicable, to such authenticating agent such security or indemnity as may be required by them to save each of them harmless for any loss, liability, cost or expense caused by or connected with such substitution, and, in every case of destruction, loss or theft, evidence satisfactory to the Company, the Trustee and, if applicable, any Paying Agent or Conversion Agent evidence of their satisfaction of the destruction, loss or theft of such Note and of the ownership thereof.</w:t>
      </w:r>
    </w:p>
    <w:p>
      <w:pPr>
        <w:spacing w:after="0" w:line="169"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Every substitute Note issued pursuant to the provisions of this Section 2.06 by virtue of the fact that any Note is destroyed, lost or stolen shall constitute an additional contractual obligation of the Company, whether or not the destroyed, lost or stolen Note shall be found at any time, and shall be entitled to all the benefits of (but shall be subject to all the limitations set forth in) this Indenture equally and proportionately with any and all other Notes duly issued hereunder. To the extent permitted by law, all Notes shall be held and owned upon the express condition that the foregoing provisions are exclusive with respect to the replacement or payment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33" w:name="page34"/>
    <w:bookmarkEnd w:id="33"/>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conversion or repurchase of mutilated, destroyed, lost or stolen Notes and shall preclude any and all other rights or remedies notwithstanding any law or statute existing or hereafter enacted to the contrary with respect to the replacement or payment or conversion of negotiable instruments or other securities without their surrender.</w:t>
      </w:r>
    </w:p>
    <w:p>
      <w:pPr>
        <w:spacing w:after="0" w:line="181"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 xml:space="preserve">Section 2.07. </w:t>
      </w:r>
      <w:r>
        <w:rPr>
          <w:rFonts w:ascii="Arial" w:cs="Arial" w:eastAsia="Arial" w:hAnsi="Arial"/>
          <w:sz w:val="16"/>
          <w:szCs w:val="16"/>
          <w:i w:val="1"/>
          <w:iCs w:val="1"/>
          <w:color w:val="auto"/>
        </w:rPr>
        <w:t>Temporary Notes</w:t>
      </w:r>
      <w:r>
        <w:rPr>
          <w:rFonts w:ascii="Arial" w:cs="Arial" w:eastAsia="Arial" w:hAnsi="Arial"/>
          <w:sz w:val="16"/>
          <w:szCs w:val="16"/>
          <w:color w:val="auto"/>
        </w:rPr>
        <w:t>. Pending the preparation of Physical Notes, the Company may execute and the Trustee or an authenticating agent appointed by the Trustee shall, upon written request of the Company, authenticate and deliver temporary Notes (printed or lithographed). Temporary Notes shall be issuable in any authorized denomination, and substantially in the form of the Physical Notes but with such omissions, insertions and variations as may be appropriate for temporary Notes, all as may be determined by the Company. Every such temporary Note shall be executed by the Company and authenticated by the Trustee or such authenticating agent upon the same conditions and in substantially the same manner, and with the same effect, as the Physical Notes. Without unreasonable delay, the Company will execute and deliver to the Trustee or such authenticating agent Physical Notes (other than any Global Note) and thereupon any or all temporary Notes (other than any Global Note) may be surrendered in exchange therefor, at each office or agency maintained by the Company pursuant to Section 4.02 and the Trustee or such authenticating agent shall authenticate and deliver in exchange for such temporary Notes an equal aggregate principal amount of Physical Notes. Such exchange shall be made by the Company at its own expense and without any charge therefor. Until so exchanged, the temporary Notes shall in all respects be entitled to the same benefits and subject to the same limitations under this Indenture as Physical Notes authenticated and delivered hereunder.</w:t>
      </w:r>
    </w:p>
    <w:p>
      <w:pPr>
        <w:spacing w:after="0" w:line="17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i w:val="1"/>
          <w:iCs w:val="1"/>
          <w:color w:val="auto"/>
        </w:rPr>
        <w:t>Cancellation of Notes Paid, Converted, Etc</w:t>
      </w:r>
      <w:r>
        <w:rPr>
          <w:rFonts w:ascii="Arial" w:cs="Arial" w:eastAsia="Arial" w:hAnsi="Arial"/>
          <w:sz w:val="17"/>
          <w:szCs w:val="17"/>
          <w:color w:val="auto"/>
        </w:rPr>
        <w:t>. The Company shall cause all Notes surrendered for the purpose of payment, repurchase, registration of transfer or exchange or conversion, if surrendered to any Person other than the Trustee (including any of the Company’s agents, Subsidiaries or controlled Affiliates), to be surrendered to the Trustee for cancellation. All Notes delivered to the Trustee shall be canceled by it in accordance with its customary procedures, and no Notes shall be authenticated in exchange thereof except as expressly permitted by any of the provisions of this Indenture. The Trustee shall dispose of canceled Notes in accordance with its customary procedures and, after such disposition, shall deliver evidence of such disposition to the Company, at the Company’s written request in a Company Order. If the Company or any of its Subsidiaries shall acquire any of the Notes, such acquisition shall not operate as a redemption, repurchase or satisfaction of the indebtedness represented by such Notes unless and until the same are delivered to the Trustee for cancellation.</w:t>
      </w:r>
    </w:p>
    <w:p>
      <w:pPr>
        <w:spacing w:after="0" w:line="179"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2.09. </w:t>
      </w:r>
      <w:r>
        <w:rPr>
          <w:rFonts w:ascii="Arial" w:cs="Arial" w:eastAsia="Arial" w:hAnsi="Arial"/>
          <w:sz w:val="18"/>
          <w:szCs w:val="18"/>
          <w:i w:val="1"/>
          <w:iCs w:val="1"/>
          <w:color w:val="auto"/>
        </w:rPr>
        <w:t>CUSIP Numbers</w:t>
      </w:r>
      <w:r>
        <w:rPr>
          <w:rFonts w:ascii="Arial" w:cs="Arial" w:eastAsia="Arial" w:hAnsi="Arial"/>
          <w:sz w:val="18"/>
          <w:szCs w:val="18"/>
          <w:color w:val="auto"/>
        </w:rPr>
        <w:t>. The Company in issuing the Notes may use “CUSIP” numbers (if then generally in use), and, if so, the Trustee shall use “CUSIP” numbers in all notices issued to Holders as a convenience to such Holders; provided that any such notice may state that no representation is made as to the correctness of such numbers either as printed on the Notes or on such notice and that reliance may be placed only on the other identification numbers printed on the Notes. The Company will promptly notify the Trustee in writing of any change in the “CUSIP” numbers. Until such time as the Company notifies the Trustee to remove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34" w:name="page35"/>
    <w:bookmarkEnd w:id="34"/>
    <w:p>
      <w:pPr>
        <w:ind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restrictive legend as set forth in Section 2.05(c) from the Notes or a transfer of Notes from a Restricted Global Note to an Unrestricted Global Note is otherwise made pursuant to the terms hereof, the restricted CUSIP will be the CUSIP number for the Notes. At such time as the Company notifies the Trustee to remove the restrictive legend as set forth in Section 2.05(c) from the Notes, such legend shall be deemed removed from any Global Notes and an unrestricted CUSIP number for the Notes, as provided therein, shall be deemed to be the CUSIP number for the Notes.</w:t>
      </w:r>
    </w:p>
    <w:p>
      <w:pPr>
        <w:spacing w:after="0" w:line="17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Additional Notes; Repurchases</w:t>
      </w:r>
      <w:r>
        <w:rPr>
          <w:rFonts w:ascii="Arial" w:cs="Arial" w:eastAsia="Arial" w:hAnsi="Arial"/>
          <w:sz w:val="17"/>
          <w:szCs w:val="17"/>
          <w:color w:val="auto"/>
        </w:rPr>
        <w:t>. The Company may, without the consent of the Holders and notwithstanding Section 2.01, reopen this Indenture and issue additional Notes hereunder with the same terms as the Notes initially issued hereunder (except that the first Interest Payment Date and the date from which interest may accrue may be different) in an unlimited aggregate principal amount; provided that such additional Notes must be part of the same issue as the Notes initially issued hereunder for U.S. federal income tax purposes if represented by the same CUSIP number (including, if relevant, an unrestricted CUSIP number) as the Notes initially issued hereunder. Prior to the issuance of any such additional Notes, the Company shall deliver to the Trustee a Company Order, an Officers’ Certificate and an Opinion of Counsel, such Officers’ Certificate and Opinion of Counsel to cover such matters, in addition to those required by Section 16.05, as the Trustee shall reasonably request. In addition, the Company may, to the extent permitted by law, and directly or indirectly (regardless of whether such Notes are surrendered to the Company), repurchase Notes in the open market or otherwise, whether by the Company or its Subsidiaries or through a private or public tender or exchange offer or through counterparties to private agreements, including by cash-settled swaps or other derivatives. Any Notes repurchased by the Company may, at the Company’s option, be surrendered to the Trustee for cancellation in accordance with Section 2.08.</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3</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ATISFACTION AND</w:t>
      </w:r>
      <w:r>
        <w:rPr>
          <w:rFonts w:ascii="Arial" w:cs="Arial" w:eastAsia="Arial" w:hAnsi="Arial"/>
          <w:sz w:val="18"/>
          <w:szCs w:val="18"/>
          <w:color w:val="auto"/>
        </w:rPr>
        <w:t xml:space="preserve"> D</w:t>
      </w:r>
      <w:r>
        <w:rPr>
          <w:rFonts w:ascii="Arial" w:cs="Arial" w:eastAsia="Arial" w:hAnsi="Arial"/>
          <w:sz w:val="15"/>
          <w:szCs w:val="15"/>
          <w:color w:val="auto"/>
        </w:rPr>
        <w:t>ISCHARGE</w:t>
      </w:r>
    </w:p>
    <w:p>
      <w:pPr>
        <w:spacing w:after="0" w:line="211"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Satisfaction and Discharge</w:t>
      </w:r>
      <w:r>
        <w:rPr>
          <w:rFonts w:ascii="Arial" w:cs="Arial" w:eastAsia="Arial" w:hAnsi="Arial"/>
          <w:sz w:val="16"/>
          <w:szCs w:val="16"/>
          <w:color w:val="auto"/>
        </w:rPr>
        <w:t>. This Indenture shall upon request of the Company contained in an Officers’ Certificate cease to be of further effect, and the Trustee, at the expense of the Company, shall execute proper instruments acknowledging satisfaction and discharge of this Indenture, when</w:t>
      </w:r>
    </w:p>
    <w:p>
      <w:pPr>
        <w:ind w:right="80" w:firstLine="8"/>
        <w:spacing w:after="0" w:line="281" w:lineRule="auto"/>
        <w:tabs>
          <w:tab w:leader="none" w:pos="24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all Notes theretofore authenticated and delivered (other than (x) Notes which have been destroyed, lost or stolen and which have been replaced or paid as provided in Section 2.06 and (y) Notes for whose payment money has theretofore been deposited in trust or segregated and held in trust by the Company and thereafter repaid to the Company or discharged from such trust, as provided in Section 4.04(d)) have been delivered to the Trustee for cancellation; or</w:t>
      </w:r>
    </w:p>
    <w:p>
      <w:pPr>
        <w:spacing w:after="0" w:line="2" w:lineRule="exact"/>
        <w:rPr>
          <w:rFonts w:ascii="Arial" w:cs="Arial" w:eastAsia="Arial" w:hAnsi="Arial"/>
          <w:sz w:val="16"/>
          <w:szCs w:val="16"/>
          <w:color w:val="auto"/>
        </w:rPr>
      </w:pPr>
    </w:p>
    <w:p>
      <w:pPr>
        <w:ind w:right="60" w:firstLine="8"/>
        <w:spacing w:after="0" w:line="290" w:lineRule="auto"/>
        <w:tabs>
          <w:tab w:leader="none" w:pos="26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has deposited with the Trustee or delivered to Holders, as applicable, after all outstanding Notes have become due and payable, whether at the Maturity Date, any Fundamental Change Repurchase Date, upon conversion or otherwise, cash or cash, shares of Common Stock or a combination thereof, as applicable, solely to satisfy the Company’s Conversion Obligation, sufficient to pay all of the outstanding Notes and all other sums due and payable under this Indenture by the Company; and (b) the Company has delivered to the Trustee an Officers’ Certificate and an Opinion of Counsel, each stating that all conditions precedent herein provided for relating to the satisfaction and discharge of this Indenture have been complied with. Notwithstanding the satisfaction and discharge of this Indenture, the obligations of the Company to the Trustee under Section 7.06 shall survive.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274" w:right="27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4</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w:t>
      </w:r>
      <w:r>
        <w:rPr>
          <w:rFonts w:ascii="Arial" w:cs="Arial" w:eastAsia="Arial" w:hAnsi="Arial"/>
          <w:sz w:val="15"/>
          <w:szCs w:val="15"/>
          <w:color w:val="auto"/>
        </w:rPr>
        <w:t>ARTICULAR</w:t>
      </w:r>
      <w:r>
        <w:rPr>
          <w:rFonts w:ascii="Arial" w:cs="Arial" w:eastAsia="Arial" w:hAnsi="Arial"/>
          <w:sz w:val="18"/>
          <w:szCs w:val="18"/>
          <w:color w:val="auto"/>
        </w:rPr>
        <w:t xml:space="preserve"> C</w:t>
      </w:r>
      <w:r>
        <w:rPr>
          <w:rFonts w:ascii="Arial" w:cs="Arial" w:eastAsia="Arial" w:hAnsi="Arial"/>
          <w:sz w:val="15"/>
          <w:szCs w:val="15"/>
          <w:color w:val="auto"/>
        </w:rPr>
        <w:t>OVENANTS OF THE</w:t>
      </w:r>
      <w:r>
        <w:rPr>
          <w:rFonts w:ascii="Arial" w:cs="Arial" w:eastAsia="Arial" w:hAnsi="Arial"/>
          <w:sz w:val="18"/>
          <w:szCs w:val="18"/>
          <w:color w:val="auto"/>
        </w:rPr>
        <w:t xml:space="preserve"> C</w:t>
      </w:r>
      <w:r>
        <w:rPr>
          <w:rFonts w:ascii="Arial" w:cs="Arial" w:eastAsia="Arial" w:hAnsi="Arial"/>
          <w:sz w:val="15"/>
          <w:szCs w:val="15"/>
          <w:color w:val="auto"/>
        </w:rPr>
        <w:t>OMPANY</w:t>
      </w:r>
    </w:p>
    <w:p>
      <w:pPr>
        <w:spacing w:after="0" w:line="211" w:lineRule="exact"/>
        <w:rPr>
          <w:sz w:val="20"/>
          <w:szCs w:val="20"/>
          <w:color w:val="auto"/>
        </w:rPr>
      </w:pPr>
    </w:p>
    <w:p>
      <w:pPr>
        <w:jc w:val="both"/>
        <w:ind w:right="400" w:firstLine="456"/>
        <w:spacing w:after="0" w:line="264"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Payment of Principal and Interest</w:t>
      </w:r>
      <w:r>
        <w:rPr>
          <w:rFonts w:ascii="Arial" w:cs="Arial" w:eastAsia="Arial" w:hAnsi="Arial"/>
          <w:sz w:val="18"/>
          <w:szCs w:val="18"/>
          <w:color w:val="auto"/>
        </w:rPr>
        <w:t>. The Company covenants and agrees that it will cause to be paid the principal of, the Fundamental Change Repurchase Price, if applicable, of, and accrued and unpaid interest on, each of the Notes at the places, at the respective times and in the manner provided herein and in the Notes.</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Section 4.02. </w:t>
      </w:r>
      <w:r>
        <w:rPr>
          <w:rFonts w:ascii="Arial" w:cs="Arial" w:eastAsia="Arial" w:hAnsi="Arial"/>
          <w:sz w:val="16"/>
          <w:szCs w:val="16"/>
          <w:i w:val="1"/>
          <w:iCs w:val="1"/>
          <w:color w:val="auto"/>
        </w:rPr>
        <w:t>Maintenance of Office or Agency</w:t>
      </w:r>
      <w:r>
        <w:rPr>
          <w:rFonts w:ascii="Arial" w:cs="Arial" w:eastAsia="Arial" w:hAnsi="Arial"/>
          <w:sz w:val="16"/>
          <w:szCs w:val="16"/>
          <w:color w:val="auto"/>
        </w:rPr>
        <w:t>. The Company will maintain in the Borough of Manhattan, The City of New York, an office or agency where the Notes may be surrendered for registration of transfer or exchange or for presentation for payment or repurchase (“</w:t>
      </w:r>
      <w:r>
        <w:rPr>
          <w:rFonts w:ascii="Arial" w:cs="Arial" w:eastAsia="Arial" w:hAnsi="Arial"/>
          <w:sz w:val="16"/>
          <w:szCs w:val="16"/>
          <w:b w:val="1"/>
          <w:bCs w:val="1"/>
          <w:color w:val="auto"/>
        </w:rPr>
        <w:t>Paying Agent</w:t>
      </w:r>
      <w:r>
        <w:rPr>
          <w:rFonts w:ascii="Arial" w:cs="Arial" w:eastAsia="Arial" w:hAnsi="Arial"/>
          <w:sz w:val="16"/>
          <w:szCs w:val="16"/>
          <w:color w:val="auto"/>
        </w:rPr>
        <w:t>”) or for conversion (“</w:t>
      </w:r>
      <w:r>
        <w:rPr>
          <w:rFonts w:ascii="Arial" w:cs="Arial" w:eastAsia="Arial" w:hAnsi="Arial"/>
          <w:sz w:val="16"/>
          <w:szCs w:val="16"/>
          <w:b w:val="1"/>
          <w:bCs w:val="1"/>
          <w:color w:val="auto"/>
        </w:rPr>
        <w:t>Conversion Agent</w:t>
      </w:r>
      <w:r>
        <w:rPr>
          <w:rFonts w:ascii="Arial" w:cs="Arial" w:eastAsia="Arial" w:hAnsi="Arial"/>
          <w:sz w:val="16"/>
          <w:szCs w:val="16"/>
          <w:color w:val="auto"/>
        </w:rPr>
        <w:t>”) and where notices and demands to or upon the Company in respect of the Notes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or the office or agency of the Trustee in the Borough of Manhattan, The City of New York.</w:t>
      </w:r>
    </w:p>
    <w:p>
      <w:pPr>
        <w:spacing w:after="0" w:line="165"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 xml:space="preserve">The Company may also from time to time designate as co-Note Registrars one or more other offices or agencies where the Notes may be presented or surrendered for any or all such purposes and may from time to time rescind such designations;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designation or rescission shall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 The terms “</w:t>
      </w:r>
      <w:r>
        <w:rPr>
          <w:rFonts w:ascii="Arial" w:cs="Arial" w:eastAsia="Arial" w:hAnsi="Arial"/>
          <w:sz w:val="16"/>
          <w:szCs w:val="16"/>
          <w:b w:val="1"/>
          <w:bCs w:val="1"/>
          <w:color w:val="auto"/>
        </w:rPr>
        <w:t>Paying Agent</w:t>
      </w:r>
      <w:r>
        <w:rPr>
          <w:rFonts w:ascii="Arial" w:cs="Arial" w:eastAsia="Arial" w:hAnsi="Arial"/>
          <w:sz w:val="16"/>
          <w:szCs w:val="16"/>
          <w:color w:val="auto"/>
        </w:rPr>
        <w:t>” and “</w:t>
      </w:r>
      <w:r>
        <w:rPr>
          <w:rFonts w:ascii="Arial" w:cs="Arial" w:eastAsia="Arial" w:hAnsi="Arial"/>
          <w:sz w:val="16"/>
          <w:szCs w:val="16"/>
          <w:b w:val="1"/>
          <w:bCs w:val="1"/>
          <w:color w:val="auto"/>
        </w:rPr>
        <w:t>Conversion Agent</w:t>
      </w:r>
      <w:r>
        <w:rPr>
          <w:rFonts w:ascii="Arial" w:cs="Arial" w:eastAsia="Arial" w:hAnsi="Arial"/>
          <w:sz w:val="16"/>
          <w:szCs w:val="16"/>
          <w:color w:val="auto"/>
        </w:rPr>
        <w:t>” include any such additional or other offices or agencies, as applicable.</w:t>
      </w:r>
    </w:p>
    <w:p>
      <w:pPr>
        <w:spacing w:after="0" w:line="158"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Company hereby initially designates the Trustee as the Paying Agent, Note Registrar, Custodian and Conversion Agent and the Corporate Trust Office and the office or agency of the Trustee in the Borough of Manhattan, The City of New York, each shall be considered as one such office or agency of the Company for each of the aforesaid purposes.</w:t>
      </w:r>
    </w:p>
    <w:p>
      <w:pPr>
        <w:spacing w:after="0" w:line="181"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Appointments to Fill Vacancies in Trustee’s Office</w:t>
      </w:r>
      <w:r>
        <w:rPr>
          <w:rFonts w:ascii="Arial" w:cs="Arial" w:eastAsia="Arial" w:hAnsi="Arial"/>
          <w:sz w:val="18"/>
          <w:szCs w:val="18"/>
          <w:color w:val="auto"/>
        </w:rPr>
        <w:t>. The Company, whenever necessary to avoid or fill a vacancy in the office of Trustee, will appoint, in the manner provided in Section 7.09, a Trustee, so that there shall at all times be a Trustee hereunder.</w:t>
      </w:r>
    </w:p>
    <w:p>
      <w:pPr>
        <w:spacing w:after="0" w:line="170"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Provisions as to Paying Agent</w:t>
      </w:r>
      <w:r>
        <w:rPr>
          <w:rFonts w:ascii="Arial" w:cs="Arial" w:eastAsia="Arial" w:hAnsi="Arial"/>
          <w:sz w:val="18"/>
          <w:szCs w:val="18"/>
          <w:color w:val="auto"/>
        </w:rPr>
        <w:t>. (a) If the Company shall appoint a Paying Agent other than the Trustee, the Company will cause such Paying Agent to execute and deliver to the Trustee an instrument in which such agent shall agree with the Trustee, subject to the provisions of this Section 4.04:</w:t>
      </w:r>
    </w:p>
    <w:p>
      <w:pPr>
        <w:spacing w:after="0" w:line="73" w:lineRule="exact"/>
        <w:rPr>
          <w:sz w:val="20"/>
          <w:szCs w:val="20"/>
          <w:color w:val="auto"/>
        </w:rPr>
      </w:pPr>
    </w:p>
    <w:p>
      <w:pPr>
        <w:ind w:left="460" w:right="760" w:firstLine="443"/>
        <w:spacing w:after="0" w:line="308" w:lineRule="auto"/>
        <w:tabs>
          <w:tab w:leader="none" w:pos="1248"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that it will hold all sums held by it as such agent for the payment of the principal of, the Fundamental Change Repurchase Price, if applicable, of, and accrued and unpaid interest on, the Notes in trust for the benefit of the Holders of the Notes;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36" w:name="page37"/>
    <w:bookmarkEnd w:id="36"/>
    <w:p>
      <w:pPr>
        <w:ind w:left="460" w:right="20" w:firstLine="443"/>
        <w:spacing w:after="0" w:line="308" w:lineRule="auto"/>
        <w:tabs>
          <w:tab w:leader="none" w:pos="1298" w:val="left"/>
        </w:tabs>
        <w:numPr>
          <w:ilvl w:val="0"/>
          <w:numId w:val="2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it will give the Trustee prompt notice of any failure by the Company to make any payment of the principal of, the Fundamental Change Repurchase Price, if applicable, of, and accrued and unpaid interest on, the Notes when the same shall be due and payable; and</w:t>
      </w:r>
    </w:p>
    <w:p>
      <w:pPr>
        <w:spacing w:after="0" w:line="38" w:lineRule="exact"/>
        <w:rPr>
          <w:rFonts w:ascii="Arial" w:cs="Arial" w:eastAsia="Arial" w:hAnsi="Arial"/>
          <w:sz w:val="17"/>
          <w:szCs w:val="17"/>
          <w:color w:val="auto"/>
        </w:rPr>
      </w:pPr>
    </w:p>
    <w:p>
      <w:pPr>
        <w:ind w:left="460" w:right="100" w:firstLine="443"/>
        <w:spacing w:after="0" w:line="277" w:lineRule="auto"/>
        <w:tabs>
          <w:tab w:leader="none" w:pos="134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that at any time during the continuance of an Event of Default, upon request of the Trustee, it will forthwith pay to the Trustee all sums so held in trust.</w:t>
      </w:r>
    </w:p>
    <w:p>
      <w:pPr>
        <w:spacing w:after="0" w:line="170"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The Company shall, on or before each due date of the principal of, the Fundamental Change Repurchase Price, if applicable, of, or accrued and unpaid interest on, the Notes, deposit with the Paying Agent a sum sufficient to pay such principal, the Fundamental Change Repurchase Price, if applicable, or accrued and unpaid interest, and (unless such Paying Agent is the Trustee) the Company will promptly notify the Trustee of any failure to take such action; provided that if such deposit is made on the due date, such deposit must be received by the Paying Agent by 11:00 a.m., New York City time, on such date.</w:t>
      </w:r>
    </w:p>
    <w:p>
      <w:pPr>
        <w:spacing w:after="0" w:line="154" w:lineRule="exact"/>
        <w:rPr>
          <w:sz w:val="20"/>
          <w:szCs w:val="20"/>
          <w:color w:val="auto"/>
        </w:rPr>
      </w:pPr>
    </w:p>
    <w:p>
      <w:pPr>
        <w:ind w:firstLine="464"/>
        <w:spacing w:after="0" w:line="297" w:lineRule="auto"/>
        <w:tabs>
          <w:tab w:leader="none" w:pos="8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the Company shall act as its own Paying Agent, it will, on or before each due date of the principal of, the Fundamental Change Repurchase Price, if applicable, of, and accrued and unpaid interest on, the Notes, set aside, segregate and hold in trust for the benefit of the Holders of the Notes a sum sufficient to pay such principal, the Fundamental Change Repurchase Price, if applicable, and accrued and unpaid interest so becoming due and will promptly notify the Trustee in writing of any failure to take such action and of any failure by the Company to make any payment of the principal of, the Fundamental Change Repurchase Price, if applicable, of, or accrued and unpaid interest on, the Notes when the same shall become due and payable.</w:t>
      </w:r>
    </w:p>
    <w:p>
      <w:pPr>
        <w:spacing w:after="0" w:line="158" w:lineRule="exact"/>
        <w:rPr>
          <w:rFonts w:ascii="Arial" w:cs="Arial" w:eastAsia="Arial" w:hAnsi="Arial"/>
          <w:sz w:val="16"/>
          <w:szCs w:val="16"/>
          <w:color w:val="auto"/>
        </w:rPr>
      </w:pPr>
    </w:p>
    <w:p>
      <w:pPr>
        <w:ind w:right="200" w:firstLine="464"/>
        <w:spacing w:after="0" w:line="257" w:lineRule="auto"/>
        <w:tabs>
          <w:tab w:leader="none" w:pos="82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Anything in this Section 4.04 to the contrary notwithstanding, the Company may, at any time, for the purpose of obtaining a satisfaction and discharge of this Indenture, or for any other reason, pay, cause to be paid or deliver to the Trustee all sums or amounts held in trust by the Company or any Paying Agent hereunder as required by this Section 4.04, such sums or amounts to be held by the Trustee upon the trusts herein contained and upon such payment or delivery by the Company or any Paying Agent to the Trustee, the Company or such Paying Agent shall be released from all further liability but only with respect to such sums or amounts.</w:t>
      </w:r>
    </w:p>
    <w:p>
      <w:pPr>
        <w:spacing w:after="0" w:line="188" w:lineRule="exact"/>
        <w:rPr>
          <w:rFonts w:ascii="Arial" w:cs="Arial" w:eastAsia="Arial" w:hAnsi="Arial"/>
          <w:sz w:val="18"/>
          <w:szCs w:val="18"/>
          <w:color w:val="auto"/>
        </w:rPr>
      </w:pPr>
    </w:p>
    <w:p>
      <w:pPr>
        <w:ind w:firstLine="464"/>
        <w:spacing w:after="0" w:line="297" w:lineRule="auto"/>
        <w:tabs>
          <w:tab w:leader="none" w:pos="846"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Subject to applicable escheatment laws, any money and shares of Common Stock deposited with the Trustee or any Paying Agent, or then held by the Company, in trust for the payment of the principal of, the Fundamental Change Repurchase Price, if applicable, of, and accrued and unpaid interest on, any Note and remaining unclaimed for two years after such principal, the Fundamental Change Repurchase Price, if applicable, or interest has become due and payable shall be paid to the Company on request of the Company contained in an Officers’ Certificate, or (if then held by the Company) shall be discharged from such trust; and the Holder of such Note shall thereafter, as an unsecured general creditor, look only to the Company for payment thereof, and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74" w:right="279" w:bottom="1440" w:gutter="0" w:footer="0" w:header="0"/>
        </w:sectPr>
      </w:pPr>
    </w:p>
    <w:bookmarkStart w:id="37" w:name="page38"/>
    <w:bookmarkEnd w:id="37"/>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liability of the Trustee or such Paying Agent with respect to such trust money and shares of Common Stock, and all liability of the Company as trustee thereof, shall thereupon cease; provided, however, that the Trustee or such Paying Agent, before being required to make any such repayment, may at the expense of the Company cause to be sent notice that such money and shares of Common Stock remains unclaimed and that, after a date specified therein, which shall not be less than 30 days from the date of such publication, any unclaimed balance of such money and shares of Common Stock then remaining will be repaid or delivered to the Company.</w:t>
      </w:r>
    </w:p>
    <w:p>
      <w:pPr>
        <w:spacing w:after="0" w:line="18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i w:val="1"/>
          <w:iCs w:val="1"/>
          <w:color w:val="auto"/>
        </w:rPr>
        <w:t>Existence</w:t>
      </w:r>
      <w:r>
        <w:rPr>
          <w:rFonts w:ascii="Arial" w:cs="Arial" w:eastAsia="Arial" w:hAnsi="Arial"/>
          <w:sz w:val="18"/>
          <w:szCs w:val="18"/>
          <w:color w:val="auto"/>
        </w:rPr>
        <w:t>. Subject to Article 11, the Company will do or cause to be done all things necessary to preserve and keep in full force and effect its corporate existence.</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Rule 144A Information Requirement and Annual Reports.</w:t>
      </w:r>
      <w:r>
        <w:rPr>
          <w:rFonts w:ascii="Arial" w:cs="Arial" w:eastAsia="Arial" w:hAnsi="Arial"/>
          <w:sz w:val="17"/>
          <w:szCs w:val="17"/>
          <w:color w:val="auto"/>
        </w:rPr>
        <w:t xml:space="preserve"> (a) At any time the Company is not subject to Sections 13 or 15(d) of the Exchange Act, the Company shall, so long as any of the Notes or any shares of Common Stock issued upon conversion thereof shall, at such time, constitute “restricted securities” within the meaning of Rule 144(a)(3) under the Securities Act, promptly provide to any Holder, beneficial owner or prospective purchaser of such Notes or any such shares, upon written request, the information required to be delivered pursuant to Rule 144A(d)(4) under the Securities Act (or any other provision of Rule 144A, as such rule may be amended from time to time), to facilitate the resale of such Notes or shares of Common Stock pursuant to Rule 144A under the Securities Act, as such rule may be amended from time to time.</w:t>
      </w:r>
    </w:p>
    <w:p>
      <w:pPr>
        <w:spacing w:after="0" w:line="178" w:lineRule="exact"/>
        <w:rPr>
          <w:sz w:val="20"/>
          <w:szCs w:val="20"/>
          <w:color w:val="auto"/>
        </w:rPr>
      </w:pPr>
    </w:p>
    <w:p>
      <w:pPr>
        <w:ind w:right="20" w:firstLine="464"/>
        <w:spacing w:after="0" w:line="302" w:lineRule="auto"/>
        <w:tabs>
          <w:tab w:leader="none" w:pos="84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Company shall file with the Trustee within 15 days after the same are required to be filed with the Commission, copies of any documents or reports that the Company is required to file with the Commission pursuant to Section 13 or 15(d) of the Exchange Act (giving effect to any grace period provided by Rule 12b-25 under the Exchange Act). Any such document or report that the Company files with the Commission via the Commission’s EDGAR system shall be deemed to be filed with the Trustee for purposes of this Section 4.06(b) at the time such documents are filed via the EDGAR system.</w:t>
      </w:r>
    </w:p>
    <w:p>
      <w:pPr>
        <w:spacing w:after="0" w:line="154" w:lineRule="exact"/>
        <w:rPr>
          <w:rFonts w:ascii="Arial" w:cs="Arial" w:eastAsia="Arial" w:hAnsi="Arial"/>
          <w:sz w:val="16"/>
          <w:szCs w:val="16"/>
          <w:color w:val="auto"/>
        </w:rPr>
      </w:pPr>
    </w:p>
    <w:p>
      <w:pPr>
        <w:ind w:right="40" w:firstLine="464"/>
        <w:spacing w:after="0" w:line="273" w:lineRule="auto"/>
        <w:tabs>
          <w:tab w:leader="none" w:pos="836"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Delivery of the reports and documents described in subsection (b) above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conclusively rely on an Officers’ Certificate). The Trustee shall not be obligated to monitor or confirm, on a continuing basis or otherwise, the Company’s compliance with the covenants or with respect to any reports or other documents filed with the Commission or website under this Indenture, or participate in any conference calls. Delivery of reports to the Trustee shall not constitute knowledge of, or notice to, the Trustee of the information contained therein.</w:t>
      </w:r>
    </w:p>
    <w:p>
      <w:pPr>
        <w:spacing w:after="0" w:line="178" w:lineRule="exact"/>
        <w:rPr>
          <w:rFonts w:ascii="Arial" w:cs="Arial" w:eastAsia="Arial" w:hAnsi="Arial"/>
          <w:sz w:val="17"/>
          <w:szCs w:val="17"/>
          <w:color w:val="auto"/>
        </w:rPr>
      </w:pPr>
    </w:p>
    <w:p>
      <w:pPr>
        <w:ind w:right="80" w:firstLine="464"/>
        <w:spacing w:after="0" w:line="264" w:lineRule="auto"/>
        <w:tabs>
          <w:tab w:leader="none" w:pos="846"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(i) at any time during the six-month period beginning on, and including, the date that is six months after the last date of original issuance of the Notes, (x) the Company fails to timely file any document or report that it is required to file with the Commission pursuant to Section 13 or 15(d) of the Exchange Act, as applicable (after giving effect to all applicable grace periods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74" w:right="25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thereunder and other than reports on Form 8-K) or (y) the Notes are not otherwise freely tradable by Holders other than the Company’s Affiliates (as a result</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restrictions pursuant to U.S. securities law or the terms of this Indenture or the Notes), or (ii) as of the 365th day after the last date of original issuance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Notes offered hereby, the restrictive legend on the Notes specified in Section 2.05(c) has not been removed, the Notes are assigned a restricted CUSIP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Notes are not otherwise freely tradable by Holders other than the Company’s Affiliates (without restrictions pursuant to U.S. securities law or the terms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Indenture or the Notes) (each such event referred to in clause (i) or clause (ii) above, a “</w:t>
      </w:r>
      <w:r>
        <w:rPr>
          <w:rFonts w:ascii="Arial" w:cs="Arial" w:eastAsia="Arial" w:hAnsi="Arial"/>
          <w:sz w:val="16"/>
          <w:szCs w:val="16"/>
          <w:b w:val="1"/>
          <w:bCs w:val="1"/>
          <w:color w:val="auto"/>
        </w:rPr>
        <w:t>Restricted Transfer Default</w:t>
      </w:r>
      <w:r>
        <w:rPr>
          <w:rFonts w:ascii="Arial" w:cs="Arial" w:eastAsia="Arial" w:hAnsi="Arial"/>
          <w:sz w:val="16"/>
          <w:szCs w:val="16"/>
          <w:color w:val="auto"/>
        </w:rPr>
        <w:t>”), and, in either case,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not cured any such Restricted Transfer Default by the date that is 14 calendar days following the occurrence of such Restricted Transfer Default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Transfer Triggering Date</w:t>
      </w:r>
      <w:r>
        <w:rPr>
          <w:rFonts w:ascii="Arial" w:cs="Arial" w:eastAsia="Arial" w:hAnsi="Arial"/>
          <w:sz w:val="16"/>
          <w:szCs w:val="16"/>
          <w:color w:val="auto"/>
        </w:rPr>
        <w:t>”), then the Company shall pay Additional Interest in cash on the Notes. Additional Interest shall accrue on the Notes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the rate of 0.25% per annum of the principal amount of Notes outstanding for the first 90 days for which the Restricted Transfer Default has occurred and 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continuing after the Restricted Transfer Triggering Date and thereafter will accrue at the rate of 0.50% per annum of the principal amount of Notes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outstanding for which the Restricted Transfer Default has occurred and is continuing after the Restricted Transfer Triggering Date.</w:t>
      </w:r>
    </w:p>
    <w:p>
      <w:pPr>
        <w:spacing w:after="0" w:line="211" w:lineRule="exact"/>
        <w:rPr>
          <w:sz w:val="20"/>
          <w:szCs w:val="20"/>
          <w:color w:val="auto"/>
        </w:rPr>
      </w:pPr>
    </w:p>
    <w:p>
      <w:pPr>
        <w:ind w:right="220" w:firstLine="456"/>
        <w:spacing w:after="0" w:line="272" w:lineRule="auto"/>
        <w:rPr>
          <w:sz w:val="20"/>
          <w:szCs w:val="20"/>
          <w:color w:val="auto"/>
        </w:rPr>
      </w:pPr>
      <w:r>
        <w:rPr>
          <w:rFonts w:ascii="Arial" w:cs="Arial" w:eastAsia="Arial" w:hAnsi="Arial"/>
          <w:sz w:val="17"/>
          <w:szCs w:val="17"/>
          <w:color w:val="auto"/>
        </w:rPr>
        <w:t>Notwithstanding the foregoing, if, as of the 365th day after the last date of original issuance of the Notes offered hereby, the restrictive legend on the Notes specified in Section 2.05(c) has not been removed or the Notes are not otherwise freely tradable by Holders other than the Company’s Affiliates (without restrictions pursuant to U.S. securities law or the terms of this Indenture or the Notes), the Company may elect to designate an effective shelf registration statement for the resale of the Notes or any Common Stock issuable upon conversion of the Notes. Additional Interest shall not accrue for each day following the Restricted Transfer Triggering Date on which such registration statement remains effective and usable by Holders for the resale of the Notes or any Common Stock issuable upon conversion of the Notes. Any such registration shall be effected on terms customary for convertible notes generally offered in reliance upon Rule 144A under the Securities Act.</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Additional Interest will be payable in arrears on each Interest Payment Date following accrual in the same manner as regular interest on the Notes.</w:t>
      </w:r>
    </w:p>
    <w:p>
      <w:pPr>
        <w:spacing w:after="0" w:line="248" w:lineRule="exact"/>
        <w:rPr>
          <w:sz w:val="20"/>
          <w:szCs w:val="20"/>
          <w:color w:val="auto"/>
        </w:rPr>
      </w:pPr>
    </w:p>
    <w:p>
      <w:pPr>
        <w:ind w:firstLine="464"/>
        <w:spacing w:after="0" w:line="259" w:lineRule="auto"/>
        <w:tabs>
          <w:tab w:leader="none" w:pos="83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Additional Interest that is payable in accordance with Section 4.06(d) shall be in addition to, and not in lieu of, any Additional Interest that may be payable as a result of the Company’s election pursuant to Section 6.03; provided, however, that in no event will Additional Interest accrue at a rate per year exceeding 0.50% in the aggregate during the period beginning on, and including, the date that is six months after the last date of original issuance of the Notes through the date that is 365 days after the last date of original issuance of the Notes.</w:t>
      </w:r>
    </w:p>
    <w:p>
      <w:pPr>
        <w:spacing w:after="0" w:line="186" w:lineRule="exact"/>
        <w:rPr>
          <w:rFonts w:ascii="Arial" w:cs="Arial" w:eastAsia="Arial" w:hAnsi="Arial"/>
          <w:sz w:val="18"/>
          <w:szCs w:val="18"/>
          <w:color w:val="auto"/>
        </w:rPr>
      </w:pPr>
    </w:p>
    <w:p>
      <w:pPr>
        <w:ind w:right="80" w:firstLine="464"/>
        <w:spacing w:after="0" w:line="264" w:lineRule="auto"/>
        <w:tabs>
          <w:tab w:leader="none" w:pos="8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Additional Interest is payable by the Company pursuant to Section 4.06(d), the Company shall deliver to the Trustee an Officers’ Certificate (upon which the Trustee may rely conclusively) to that effect stating (i) the amount of such Additional Interest that is payable and (ii) the date on which such Additional Interest is payable. Unless and until a Responsible Officer of the Trustee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74" w:right="259" w:bottom="1440" w:gutter="0" w:footer="0" w:header="0"/>
        </w:sectPr>
      </w:pPr>
    </w:p>
    <w:bookmarkStart w:id="39" w:name="page40"/>
    <w:bookmarkEnd w:id="39"/>
    <w:p>
      <w:pPr>
        <w:jc w:val="both"/>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receives at the Corporate Trust Office such a certificate, the Trustee may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81"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Investment Company Act</w:t>
      </w:r>
      <w:r>
        <w:rPr>
          <w:rFonts w:ascii="Arial" w:cs="Arial" w:eastAsia="Arial" w:hAnsi="Arial"/>
          <w:sz w:val="18"/>
          <w:szCs w:val="18"/>
          <w:color w:val="auto"/>
        </w:rPr>
        <w:t>. The Company covenants that for the period of time during which Notes are outstanding, the Company shall not violate, whether or not the Company is subject to, Section 18(a)(1)(A) as modified by Section 61(a)(1) of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 or any successor provisions thereto of the Investment Company Act, but giving effect to any exemptive relief that may be granted to the Company by the Commission.</w:t>
      </w:r>
    </w:p>
    <w:p>
      <w:pPr>
        <w:spacing w:after="0" w:line="18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 xml:space="preserve">Section 4.08. </w:t>
      </w:r>
      <w:r>
        <w:rPr>
          <w:rFonts w:ascii="Arial" w:cs="Arial" w:eastAsia="Arial" w:hAnsi="Arial"/>
          <w:sz w:val="16"/>
          <w:szCs w:val="16"/>
          <w:i w:val="1"/>
          <w:iCs w:val="1"/>
          <w:color w:val="auto"/>
        </w:rPr>
        <w:t>Stay, Extension and Usury Laws</w:t>
      </w:r>
      <w:r>
        <w:rPr>
          <w:rFonts w:ascii="Arial" w:cs="Arial" w:eastAsia="Arial" w:hAnsi="Arial"/>
          <w:sz w:val="16"/>
          <w:szCs w:val="16"/>
          <w:color w:val="auto"/>
        </w:rPr>
        <w:t>. The Company covenants (to the extent that it may lawfully do so) that it shall not at any time insist upon, plead, or in any manner whatsoever claim or take the benefit or advantage of, any stay, extension or usury law or other law that would prohibit or forgive the Company from paying all or any portion of the principal of or interest on the Notes as contemplated herein, wherever enacted, now or at any time hereafter in force, or that may affect the covenants or the performance of this Indenture;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had been enacted.</w:t>
      </w:r>
    </w:p>
    <w:p>
      <w:pPr>
        <w:spacing w:after="0" w:line="165"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 xml:space="preserve">Section 4.09. </w:t>
      </w:r>
      <w:r>
        <w:rPr>
          <w:rFonts w:ascii="Arial" w:cs="Arial" w:eastAsia="Arial" w:hAnsi="Arial"/>
          <w:sz w:val="18"/>
          <w:szCs w:val="18"/>
          <w:i w:val="1"/>
          <w:iCs w:val="1"/>
          <w:color w:val="auto"/>
        </w:rPr>
        <w:t>Statement as to Compliance</w:t>
      </w:r>
      <w:r>
        <w:rPr>
          <w:rFonts w:ascii="Arial" w:cs="Arial" w:eastAsia="Arial" w:hAnsi="Arial"/>
          <w:sz w:val="18"/>
          <w:szCs w:val="18"/>
          <w:color w:val="auto"/>
        </w:rPr>
        <w:t>. The Company will deliver to the Trustee, within 120 days after the end of each fiscal year ending after the date hereof so long as any Note is outstanding hereunder, an Officers’ Certificate stating to the knowledge of the signers thereof whether the Company is in default in the performance of any of the terms, provisions or conditions of this Indenture. For purposes of this Section 4.09, such default shall be determined without regard to any period of grace or requirement of notice under this Indenture.</w:t>
      </w:r>
    </w:p>
    <w:p>
      <w:pPr>
        <w:spacing w:after="0" w:line="18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i w:val="1"/>
          <w:iCs w:val="1"/>
          <w:color w:val="auto"/>
        </w:rPr>
        <w:t>Further Instruments and Acts</w:t>
      </w:r>
      <w:r>
        <w:rPr>
          <w:rFonts w:ascii="Arial" w:cs="Arial" w:eastAsia="Arial" w:hAnsi="Arial"/>
          <w:sz w:val="18"/>
          <w:szCs w:val="18"/>
          <w:color w:val="auto"/>
        </w:rPr>
        <w:t>. Upon request of the Trustee, the Company will execute and deliver such further instruments and do such further acts as may be reasonably necessary or proper to carry out more effectively the purposes of this Indenture.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w:t>
      </w:r>
      <w:r>
        <w:rPr>
          <w:rFonts w:ascii="Arial" w:cs="Arial" w:eastAsia="Arial" w:hAnsi="Arial"/>
          <w:sz w:val="15"/>
          <w:szCs w:val="15"/>
          <w:color w:val="auto"/>
        </w:rPr>
        <w:t>ISTS OF</w:t>
      </w:r>
      <w:r>
        <w:rPr>
          <w:rFonts w:ascii="Arial" w:cs="Arial" w:eastAsia="Arial" w:hAnsi="Arial"/>
          <w:sz w:val="18"/>
          <w:szCs w:val="18"/>
          <w:color w:val="auto"/>
        </w:rPr>
        <w:t xml:space="preserve"> H</w:t>
      </w:r>
      <w:r>
        <w:rPr>
          <w:rFonts w:ascii="Arial" w:cs="Arial" w:eastAsia="Arial" w:hAnsi="Arial"/>
          <w:sz w:val="15"/>
          <w:szCs w:val="15"/>
          <w:color w:val="auto"/>
        </w:rPr>
        <w:t>OLDERS AND</w:t>
      </w:r>
      <w:r>
        <w:rPr>
          <w:rFonts w:ascii="Arial" w:cs="Arial" w:eastAsia="Arial" w:hAnsi="Arial"/>
          <w:sz w:val="18"/>
          <w:szCs w:val="18"/>
          <w:color w:val="auto"/>
        </w:rPr>
        <w:t xml:space="preserve"> R</w:t>
      </w:r>
      <w:r>
        <w:rPr>
          <w:rFonts w:ascii="Arial" w:cs="Arial" w:eastAsia="Arial" w:hAnsi="Arial"/>
          <w:sz w:val="15"/>
          <w:szCs w:val="15"/>
          <w:color w:val="auto"/>
        </w:rPr>
        <w:t>EPORTS BY THE</w:t>
      </w:r>
      <w:r>
        <w:rPr>
          <w:rFonts w:ascii="Arial" w:cs="Arial" w:eastAsia="Arial" w:hAnsi="Arial"/>
          <w:sz w:val="18"/>
          <w:szCs w:val="18"/>
          <w:color w:val="auto"/>
        </w:rPr>
        <w:t xml:space="preserve"> C</w:t>
      </w:r>
      <w:r>
        <w:rPr>
          <w:rFonts w:ascii="Arial" w:cs="Arial" w:eastAsia="Arial" w:hAnsi="Arial"/>
          <w:sz w:val="15"/>
          <w:szCs w:val="15"/>
          <w:color w:val="auto"/>
        </w:rPr>
        <w:t>OMPANY AND THE</w:t>
      </w:r>
      <w:r>
        <w:rPr>
          <w:rFonts w:ascii="Arial" w:cs="Arial" w:eastAsia="Arial" w:hAnsi="Arial"/>
          <w:sz w:val="18"/>
          <w:szCs w:val="18"/>
          <w:color w:val="auto"/>
        </w:rPr>
        <w:t xml:space="preserve"> T</w:t>
      </w:r>
      <w:r>
        <w:rPr>
          <w:rFonts w:ascii="Arial" w:cs="Arial" w:eastAsia="Arial" w:hAnsi="Arial"/>
          <w:sz w:val="15"/>
          <w:szCs w:val="15"/>
          <w:color w:val="auto"/>
        </w:rPr>
        <w:t>RUSTEE</w:t>
      </w:r>
    </w:p>
    <w:p>
      <w:pPr>
        <w:spacing w:after="0" w:line="21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i w:val="1"/>
          <w:iCs w:val="1"/>
          <w:color w:val="auto"/>
        </w:rPr>
        <w:t>Lists of Holders</w:t>
      </w:r>
      <w:r>
        <w:rPr>
          <w:rFonts w:ascii="Arial" w:cs="Arial" w:eastAsia="Arial" w:hAnsi="Arial"/>
          <w:sz w:val="17"/>
          <w:szCs w:val="17"/>
          <w:color w:val="auto"/>
        </w:rPr>
        <w:t>. The Company covenants and agrees that it will furnish or cause to be furnished to the Trustee, semi-annually, not more than 13 days after each January 15 and July 15 in each year beginning with July 15, 2017, and at such other times as the Trustee may request in writing, within 30 days after receipt by the Company of any such request (or such lesser time as the Trustee may reasonably request in order to enable it to timely provide any notice to be provided by it hereunder), a list in such form as the Trustee may reasonably require of the names and addresses of the Holders as of a date not more than 15 days (or such other date as the Trustee may reasonably request in order to so provide any such notices) prior to the time such information is furnished, except that no such list need be furnished so long as the Trustee is acting as Note Registrar.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274" w:right="279" w:bottom="1440" w:gutter="0" w:footer="0" w:header="0"/>
        </w:sectPr>
      </w:pPr>
    </w:p>
    <w:bookmarkStart w:id="40" w:name="page41"/>
    <w:bookmarkEnd w:id="40"/>
    <w:p>
      <w:pPr>
        <w:jc w:val="both"/>
        <w:ind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5.02. </w:t>
      </w:r>
      <w:r>
        <w:rPr>
          <w:rFonts w:ascii="Arial" w:cs="Arial" w:eastAsia="Arial" w:hAnsi="Arial"/>
          <w:sz w:val="16"/>
          <w:szCs w:val="16"/>
          <w:i w:val="1"/>
          <w:iCs w:val="1"/>
          <w:color w:val="auto"/>
        </w:rPr>
        <w:t>Preservation and Disclosure of Lists</w:t>
      </w:r>
      <w:r>
        <w:rPr>
          <w:rFonts w:ascii="Arial" w:cs="Arial" w:eastAsia="Arial" w:hAnsi="Arial"/>
          <w:sz w:val="16"/>
          <w:szCs w:val="16"/>
          <w:color w:val="auto"/>
        </w:rPr>
        <w:t>. The Trustee shall preserve, in as current a form as is reasonably practicable, all information as to the names and addresses of the Holders contained in the most recent list furnished to it as provided in Section 5.01 or maintained by the Trustee in its capacity as Note Registrar, if so acting. The Trustee may destroy any list furnished to it as provided in Section 5.01 upon receipt of a new list so furnished.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6</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EFAULTS AND</w:t>
      </w:r>
      <w:r>
        <w:rPr>
          <w:rFonts w:ascii="Arial" w:cs="Arial" w:eastAsia="Arial" w:hAnsi="Arial"/>
          <w:sz w:val="18"/>
          <w:szCs w:val="18"/>
          <w:color w:val="auto"/>
        </w:rPr>
        <w:t xml:space="preserve"> R</w:t>
      </w:r>
      <w:r>
        <w:rPr>
          <w:rFonts w:ascii="Arial" w:cs="Arial" w:eastAsia="Arial" w:hAnsi="Arial"/>
          <w:sz w:val="15"/>
          <w:szCs w:val="15"/>
          <w:color w:val="auto"/>
        </w:rPr>
        <w:t>EMEDIES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i w:val="1"/>
          <w:iCs w:val="1"/>
          <w:color w:val="auto"/>
        </w:rPr>
        <w:t>Events of Default</w:t>
      </w:r>
      <w:r>
        <w:rPr>
          <w:rFonts w:ascii="Arial" w:cs="Arial" w:eastAsia="Arial" w:hAnsi="Arial"/>
          <w:sz w:val="18"/>
          <w:szCs w:val="18"/>
          <w:color w:val="auto"/>
        </w:rPr>
        <w:t>. The following events shall be “</w:t>
      </w:r>
      <w:r>
        <w:rPr>
          <w:rFonts w:ascii="Arial" w:cs="Arial" w:eastAsia="Arial" w:hAnsi="Arial"/>
          <w:sz w:val="18"/>
          <w:szCs w:val="18"/>
          <w:b w:val="1"/>
          <w:bCs w:val="1"/>
          <w:color w:val="auto"/>
        </w:rPr>
        <w:t>Events of Default</w:t>
      </w:r>
      <w:r>
        <w:rPr>
          <w:rFonts w:ascii="Arial" w:cs="Arial" w:eastAsia="Arial" w:hAnsi="Arial"/>
          <w:sz w:val="18"/>
          <w:szCs w:val="18"/>
          <w:color w:val="auto"/>
        </w:rPr>
        <w:t>” with respect to the Notes:</w:t>
      </w:r>
    </w:p>
    <w:p>
      <w:pPr>
        <w:spacing w:after="0" w:line="229" w:lineRule="exact"/>
        <w:rPr>
          <w:sz w:val="20"/>
          <w:szCs w:val="20"/>
          <w:color w:val="auto"/>
        </w:rPr>
      </w:pPr>
    </w:p>
    <w:p>
      <w:pPr>
        <w:ind w:left="840" w:hanging="376"/>
        <w:spacing w:after="0"/>
        <w:tabs>
          <w:tab w:leader="none" w:pos="8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in any payment of interest on any Note when due and payable, and the default continues for a period of 30 days;</w:t>
      </w:r>
    </w:p>
    <w:p>
      <w:pPr>
        <w:spacing w:after="0" w:line="225" w:lineRule="exact"/>
        <w:rPr>
          <w:rFonts w:ascii="Arial" w:cs="Arial" w:eastAsia="Arial" w:hAnsi="Arial"/>
          <w:sz w:val="18"/>
          <w:szCs w:val="18"/>
          <w:color w:val="auto"/>
        </w:rPr>
      </w:pPr>
    </w:p>
    <w:p>
      <w:pPr>
        <w:ind w:right="240" w:firstLine="464"/>
        <w:spacing w:after="0" w:line="277" w:lineRule="auto"/>
        <w:tabs>
          <w:tab w:leader="none" w:pos="8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in the payment of principal of any Note when due and payable on the Maturity Date, upon any required repurchase, upon declaration of acceleration or otherwise;</w:t>
      </w:r>
    </w:p>
    <w:p>
      <w:pPr>
        <w:spacing w:after="0" w:line="170" w:lineRule="exact"/>
        <w:rPr>
          <w:rFonts w:ascii="Arial" w:cs="Arial" w:eastAsia="Arial" w:hAnsi="Arial"/>
          <w:sz w:val="18"/>
          <w:szCs w:val="18"/>
          <w:color w:val="auto"/>
        </w:rPr>
      </w:pPr>
    </w:p>
    <w:p>
      <w:pPr>
        <w:ind w:right="760" w:firstLine="464"/>
        <w:spacing w:after="0" w:line="277" w:lineRule="auto"/>
        <w:tabs>
          <w:tab w:leader="none" w:pos="8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the Company to comply with its obligation to convert the Notes in accordance with this Indenture upon exercise of a Holder’s conversion right, and such default is not cured within 5 Business Days;</w:t>
      </w:r>
    </w:p>
    <w:p>
      <w:pPr>
        <w:spacing w:after="0" w:line="170" w:lineRule="exact"/>
        <w:rPr>
          <w:rFonts w:ascii="Arial" w:cs="Arial" w:eastAsia="Arial" w:hAnsi="Arial"/>
          <w:sz w:val="18"/>
          <w:szCs w:val="18"/>
          <w:color w:val="auto"/>
        </w:rPr>
      </w:pPr>
    </w:p>
    <w:p>
      <w:pPr>
        <w:ind w:right="60" w:firstLine="464"/>
        <w:spacing w:after="0" w:line="277" w:lineRule="auto"/>
        <w:tabs>
          <w:tab w:leader="none" w:pos="8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the Company to issue a Fundamental Change Company Notice in accordance with Section 14.01(c) and such failure is not cured within 10 days after the due date for such notice;</w:t>
      </w:r>
    </w:p>
    <w:p>
      <w:pPr>
        <w:spacing w:after="0" w:line="170" w:lineRule="exact"/>
        <w:rPr>
          <w:rFonts w:ascii="Arial" w:cs="Arial" w:eastAsia="Arial" w:hAnsi="Arial"/>
          <w:sz w:val="18"/>
          <w:szCs w:val="18"/>
          <w:color w:val="auto"/>
        </w:rPr>
      </w:pPr>
    </w:p>
    <w:p>
      <w:pPr>
        <w:ind w:right="240" w:firstLine="464"/>
        <w:spacing w:after="0" w:line="277" w:lineRule="auto"/>
        <w:tabs>
          <w:tab w:leader="none" w:pos="8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the Company to issue notice of a specified corporate event in accordance with Section 13.01(b)(ii) or 13.01(b)(iii) and such failure is not cured within 10 days after the due date for such notice;</w:t>
      </w:r>
    </w:p>
    <w:p>
      <w:pPr>
        <w:spacing w:after="0" w:line="170" w:lineRule="exact"/>
        <w:rPr>
          <w:rFonts w:ascii="Arial" w:cs="Arial" w:eastAsia="Arial" w:hAnsi="Arial"/>
          <w:sz w:val="18"/>
          <w:szCs w:val="18"/>
          <w:color w:val="auto"/>
        </w:rPr>
      </w:pPr>
    </w:p>
    <w:p>
      <w:pPr>
        <w:ind w:right="360" w:firstLine="464"/>
        <w:spacing w:after="0" w:line="342" w:lineRule="auto"/>
        <w:tabs>
          <w:tab w:leader="none" w:pos="816" w:val="left"/>
        </w:tabs>
        <w:numPr>
          <w:ilvl w:val="0"/>
          <w:numId w:val="25"/>
        </w:numPr>
        <w:rPr>
          <w:rFonts w:ascii="Arial" w:cs="Arial" w:eastAsia="Arial" w:hAnsi="Arial"/>
          <w:sz w:val="16"/>
          <w:szCs w:val="16"/>
          <w:color w:val="auto"/>
        </w:rPr>
      </w:pPr>
      <w:r>
        <w:rPr>
          <w:rFonts w:ascii="Arial" w:cs="Arial" w:eastAsia="Arial" w:hAnsi="Arial"/>
          <w:sz w:val="16"/>
          <w:szCs w:val="16"/>
          <w:color w:val="auto"/>
        </w:rPr>
        <w:t>failure by the Company for 60 consecutive days after written notice from the Trustee or the Holders of at least 25% in principal amount of the Notes then outstanding has been received by the Company to comply with any of its other agreements contained in the Notes or this Indenture;</w:t>
      </w:r>
    </w:p>
    <w:p>
      <w:pPr>
        <w:spacing w:after="0" w:line="123" w:lineRule="exact"/>
        <w:rPr>
          <w:rFonts w:ascii="Arial" w:cs="Arial" w:eastAsia="Arial" w:hAnsi="Arial"/>
          <w:sz w:val="16"/>
          <w:szCs w:val="16"/>
          <w:color w:val="auto"/>
        </w:rPr>
      </w:pPr>
    </w:p>
    <w:p>
      <w:pPr>
        <w:ind w:left="860" w:hanging="396"/>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by the Company to comply with the obligation set forth under Section 4.07;</w:t>
      </w:r>
    </w:p>
    <w:p>
      <w:pPr>
        <w:spacing w:after="0" w:line="225" w:lineRule="exact"/>
        <w:rPr>
          <w:rFonts w:ascii="Arial" w:cs="Arial" w:eastAsia="Arial" w:hAnsi="Arial"/>
          <w:sz w:val="18"/>
          <w:szCs w:val="18"/>
          <w:color w:val="auto"/>
        </w:rPr>
      </w:pPr>
    </w:p>
    <w:p>
      <w:pPr>
        <w:ind w:right="80" w:firstLine="464"/>
        <w:spacing w:after="0" w:line="276" w:lineRule="auto"/>
        <w:tabs>
          <w:tab w:leader="none" w:pos="846"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default by the Company or any Significant Subsidiary of the Company with respect to any mortgage, agreement or other instrument under which there may be outstanding, or by which there may be secured or evidenced, any indebtedness for money borrowed in excess of $50 million in the aggregate of the Company and/or any such Significant Subsidiary, whether such indebtedness now exists or shall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41" w:name="page42"/>
    <w:bookmarkEnd w:id="41"/>
    <w:p>
      <w:pPr>
        <w:ind w:right="100" w:firstLine="464"/>
        <w:spacing w:after="0" w:line="286" w:lineRule="auto"/>
        <w:tabs>
          <w:tab w:leader="none" w:pos="806" w:val="left"/>
        </w:tabs>
        <w:numPr>
          <w:ilvl w:val="0"/>
          <w:numId w:val="2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final judgment for the payment of $50 million or more (excluding any amounts covered by insurance) rendered against the Company or any Significant Subsidiary of the Company, which judgment is not discharged or stayed within 60 days after (i) the date on which the right to appeal thereof has expired if no such appeal has commenced, or (ii) the date on which all rights to appeal have been extinguished;</w:t>
      </w:r>
    </w:p>
    <w:p>
      <w:pPr>
        <w:spacing w:after="0" w:line="165" w:lineRule="exact"/>
        <w:rPr>
          <w:rFonts w:ascii="Arial" w:cs="Arial" w:eastAsia="Arial" w:hAnsi="Arial"/>
          <w:sz w:val="17"/>
          <w:szCs w:val="17"/>
          <w:color w:val="auto"/>
        </w:rPr>
      </w:pPr>
    </w:p>
    <w:p>
      <w:pPr>
        <w:ind w:right="80" w:firstLine="464"/>
        <w:spacing w:after="0" w:line="273" w:lineRule="auto"/>
        <w:tabs>
          <w:tab w:leader="none" w:pos="806"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the Company or any Significant Subsidiary (A) shall commence a voluntary case or other proceeding seeking liquidation, reorganization or other relief with respect to the Company or any such Significant Subsidiary or its debts under any bankruptcy, insolvency or other similar law now or hereafter in effect or seeking the appointment of a trustee, receiver, liquidator, custodian or other similar official of the Company or any such Significant Subsidiary or any substantial part of its property; (B) shall consent to any such relief or to the appointment of or taking possession by any such official in an involuntary case or other proceeding commenced against it; or (C) shall make a general assignment for the benefit of creditors; or (ii) the Company shall admit in writing of its inability to pay its debts generally as they become due; or</w:t>
      </w:r>
    </w:p>
    <w:p>
      <w:pPr>
        <w:spacing w:after="0" w:line="178" w:lineRule="exact"/>
        <w:rPr>
          <w:rFonts w:ascii="Arial" w:cs="Arial" w:eastAsia="Arial" w:hAnsi="Arial"/>
          <w:sz w:val="17"/>
          <w:szCs w:val="17"/>
          <w:color w:val="auto"/>
        </w:rPr>
      </w:pPr>
    </w:p>
    <w:p>
      <w:pPr>
        <w:ind w:right="100" w:firstLine="464"/>
        <w:spacing w:after="0" w:line="257" w:lineRule="auto"/>
        <w:tabs>
          <w:tab w:leader="none" w:pos="8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involuntary case or other proceeding shall be commenced against the Company or any Significant Subsidiary seeking liquidation, reorganization or other relief with respect to the Company or such Significant Subsidiary or its debts under any bankruptcy, insolvency or other similar law now or hereafter in effect or seeking the appointment of a trustee, receiver, liquidator, custodian or other similar official of the Company or such Significant Subsidiary or any substantial part of its property, and such involuntary case or other proceeding shall remain undismissed and unstayed for a period of 60 consecutive days.</w:t>
      </w:r>
    </w:p>
    <w:p>
      <w:pPr>
        <w:spacing w:after="0" w:line="1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6.02. </w:t>
      </w:r>
      <w:r>
        <w:rPr>
          <w:rFonts w:ascii="Arial" w:cs="Arial" w:eastAsia="Arial" w:hAnsi="Arial"/>
          <w:sz w:val="16"/>
          <w:szCs w:val="16"/>
          <w:i w:val="1"/>
          <w:iCs w:val="1"/>
          <w:color w:val="auto"/>
        </w:rPr>
        <w:t>Acceleration; Rescission and Annulment</w:t>
      </w:r>
      <w:r>
        <w:rPr>
          <w:rFonts w:ascii="Arial" w:cs="Arial" w:eastAsia="Arial" w:hAnsi="Arial"/>
          <w:sz w:val="16"/>
          <w:szCs w:val="16"/>
          <w:color w:val="auto"/>
        </w:rPr>
        <w:t>. In case one or more Events of Default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 then, and in each and every such case (other than an Event of Default specified in Section 6.01(j) or Section 6.01(k) with respect to the Company, but not any of its Significant Subsidiaries), unless the principal of all of the Notes shall have already become due and payable, either the Trustee or the Holders of at least 25% in aggregate principal amount of the Notes then outstanding determined in accordance with Section 8.04, by notice in writing to the Company (and to the Trustee if given by Holders), may declare 100% of the principal of, and accrued and unpaid interest, if any, on, all the Notes to be due and payable immediately, and upon any such declaration the same shall become and shall automatically be immediately due and payable, anything in this Indenture or in the Notes contained to the contrary notwithstanding. If an Event of Default specified in Section 6.01(j) or Section 6.01(k) with respect to the Company, but not any of its Significant Subsidiaries occurs and is continuing, the principal of, and accrued and unpaid interest, if any, on, all Notes shall be automatically and immediately due and payable.</w:t>
      </w:r>
    </w:p>
    <w:p>
      <w:pPr>
        <w:spacing w:after="0" w:line="1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274" w:right="339" w:bottom="1440" w:gutter="0" w:footer="0" w:header="0"/>
        </w:sectPr>
      </w:pPr>
    </w:p>
    <w:bookmarkStart w:id="42" w:name="page43"/>
    <w:bookmarkEnd w:id="42"/>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provision, however, is subject to the condition that if, at any time after the principal of the Notes shall have been so declared due and payable, and before any judgment or decree for the payment of the moneys due shall have been obtained or entered as hereinafter provided, the Company shall pay or deliver, as the case may be, or shall deposit with the Trustee an amount of cash and/or shares of Common Stock sufficient to pay all matured installments of interest upon all the Notes, all amounts of consideration due upon the conversion of any and all converted Notes, and the principal of any and all Notes which shall have become due otherwise than by acceleration (with interest upon such principal and, to the extent that payment of such interest is enforceable under applicable law, on overdue installments of interest, at the rate or rates, if any, specified in the Notes to the date of such payment or deposit) and such amounts due to the Trustee pursuant to Section 7.06, and if any and all Events of Default under this Indenture, other than the nonpayment of the principal of Notes which shall have become due by acceleration, shall have been cured, waived, or otherwise remedied pursuant to Section 6.09, then and in every such case (except as provided in the immediately succeeding sentence) the Holders of a majority in aggregate principal amount of the Notes then outstanding, by written notice to the Company and to the Trustee, may waive all Defaults or Events of Default with respect to the Notes and rescind and annul such declaration and its consequences and such Default shall cease to exist, and any Event of Default arising therefrom shall be deemed to have been cured for every purpose of this Indenture; but no such waiver or rescission and annulment shall extend to or shall affect any subsequent Default or Event of Default, or shall impair any right consequent thereon. Notwithstanding anything to the contrary herein, no such waiver or rescission and annulment shall extend to or shall affect any Default or Event of Default resulting from (i) the nonpayment of the principal of, or accrued and unpaid interest on, any Notes, (ii) a failure to repurchase any Notes when required, (iii) a failure to pay or deliver, as the case may be, the consideration due upon conversion of the Notes or (iv) a breach of a covenant that cannot be modified or amended without the consent of each Holder pursuant to Section 10.02.</w:t>
      </w:r>
    </w:p>
    <w:p>
      <w:pPr>
        <w:spacing w:after="0" w:line="17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Additional Interest</w:t>
      </w:r>
      <w:r>
        <w:rPr>
          <w:rFonts w:ascii="Arial" w:cs="Arial" w:eastAsia="Arial" w:hAnsi="Arial"/>
          <w:sz w:val="16"/>
          <w:szCs w:val="16"/>
          <w:color w:val="auto"/>
        </w:rPr>
        <w:t>. Notwithstanding anything in this Indenture or in the Notes to the contrary, to the extent the Company elects, the sole remedy for an Event of Default relating to the Company’s failure to comply with its obligations as set forth in Section 4.06(b) shall, after the occurrence of such an Event of Default, consist exclusively of the right to receive Additional Interest on the Notes at a rate equal to (a) 0.25% per annum of the principal amount of the Notes outstanding for each day during the 90-day period beginning on, and including, the date on which such an Event of Default first occurs and (b) 0.50% per annum of the principal amount of the Notes outstanding for each day during the 90-day period beginning on, and including, the 91st day following, and including, the occurrence of such an Event of Default during which such Event of Default is continuing. Additional Interest payable pursuant to this Section 6.03 shall be in addition to, not in lieu of, any Additional Interest payable pursuant to Section 4.06(d); provided, however, that in no event will Additional Interest accrue at a rate per year exceeding 0.50% in the aggregate during the period beginning on, and including, the date that is six months after the last date of original issuance of the Notes through the date that is 365 days after the last date of original issuance of the Notes. If the Company so elects, such Additional Interest shall be payable in the same manner and on the same dates as regular interest on the Notes. On the 181st day after such Event of Default (if the Event of Default relating to the Company’s failure to file is not cured or waived prior to such 181st day), the Notes will be subject to acceleration as provided in Section 6.02. In the event the Company does not elect to pay Additional Interest following an Event of Default in accordance with this Section 6.03, the Notes shall be subject to acceleration as provided in Section 6.02.</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274" w:right="279" w:bottom="1440" w:gutter="0" w:footer="0" w:header="0"/>
        </w:sectPr>
      </w:pPr>
    </w:p>
    <w:bookmarkStart w:id="43" w:name="page44"/>
    <w:bookmarkEnd w:id="43"/>
    <w:p>
      <w:pPr>
        <w:ind w:right="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order to elect to pay Additional Interest as the sole remedy during the first 180 days after the occurrence of any Event of Default described in the immediately preceding paragraph, the Company must notify in writing all Holders of the Notes, the Trustee and the Paying Agent of such election prior to the fifth Business Day of such 180-day period. Upon the failure to timely give such notice, the Notes shall be immediately subject to acceleration as provided in Section 6.02.</w:t>
      </w:r>
    </w:p>
    <w:p>
      <w:pPr>
        <w:spacing w:after="0" w:line="18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Payments of Notes on Default; Suit Therefor</w:t>
      </w:r>
      <w:r>
        <w:rPr>
          <w:rFonts w:ascii="Arial" w:cs="Arial" w:eastAsia="Arial" w:hAnsi="Arial"/>
          <w:sz w:val="16"/>
          <w:szCs w:val="16"/>
          <w:color w:val="auto"/>
        </w:rPr>
        <w:t>. If an Event of Default described in clause (a) or (b) of Section 6.01 shall have occurred, the Company shall, upon demand of the Trustee, pay or deliver, as the case may be, to it, for the benefit of the Holders of the Notes, the whole amount then due and payable or deliverable on the Notes (i.e., principal and interest, if any, with interest on any overdue principal and interest, if any, at the rate or rates, if any, specified in the Notes at such time) and, in addition thereto, such further amount as shall be sufficient to cover any amounts due to the Trustee under Section 7.06. If the Company shall fail to pay or deliver, as the case may be, such amounts forthwith upon such demand, the Trustee, in its own name and as trustee of an express trust, may institute a judicial proceeding for the collection of the sums and amounts so due but unpaid or not delivered, may prosecute such proceeding to judgment or final decree and may enforce the same against the Company or any other obligor upon the Notes and collect the moneys or amounts adjudged or decreed to be payable or deliverable in the manner provided by law out of the property of the Company or any other obligor upon the Notes, wherever situated. In such event, the Trustee shall be entitled to be reimbursed or indemnified for any and all amounts reasonably expended in connection therewith (including fees and expenses of counsel) in accordance with the terms of Section 7.06 hereof.</w:t>
      </w:r>
    </w:p>
    <w:p>
      <w:pPr>
        <w:spacing w:after="0" w:line="169"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In the event there shall be pending proceedings for the bankruptcy or for the reorganization of the Company or any other obligor on the Notes under title 11 of the United States Code, or any other applicable law, or in case a receiver, assignee or trustee in bankruptcy or reorganization, liquidator, sequestrator or similar official shall have been appointed for or taken possession of the Company or such other obligor, the property of the Company or such other obligor, or in the event of any other judicial proceedings relative to the Company or such other obligor upon the Notes, or to the creditors or property of the Company or such other obligor, the Trustee, irrespective of whether the principal of the Notes shall then be due and payable as therein expressed or by declaration or otherwise and irrespective of whether the Trustee shall have made any demand pursuant to the provisions of this Section 6.04, shall be entitled and empowered, by intervention in such proceedings or otherwise, to file and prove a claim or claims for the whole amount of principal and accrued and unpaid interest, if any, in respect of the Notes, and, in case of any judicial proceedings, to file such proofs of claim and other papers or documents and to take such other actions as it may deem necessary or advisable in order to have the claims of the Trustee (including any claim for the reasonable compensation, expenses, disbursements and advances of the Trustee, its agents and counsel) and of the Holders allowed in such judicial proceedings relative to the Company or any other obligor on the Notes, its or their creditors, or its or their property, and to collect and receive any monies or other property payable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44" w:name="page45"/>
    <w:bookmarkEnd w:id="44"/>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deliverable on any such claims, and to distribute the same after the deduction of any amounts due the Trustee under Section 7.06; and any receiver, assignee or trustee in bankruptcy or reorganization, liquidator, custodian or similar official is hereby authorized by each of the Holders to make such payments to the Trustee, as administrative expenses, and, in the event that the Trustee shall consent to the making of such payments directly to the Holders, to pay to the Trustee any amount due it for reasonably documented compensation, expenses, advances and disbursements, including agents and counsel fees, and including any other amounts due to the Trustee under Section 7.06, incurred by it up to the date of such distribution. To the extent that such payment of reasonably documented compensation, expenses, advances and disbursements out of the estate in any such proceedings shall be denied for any reason, payment of the same shall be secured by a lien on, and shall be paid out of, any and all distributions, dividends, monies, securities and other property that the Holders of the Notes may be entitled to receive in such proceedings, whether in liquidation or under any plan of reorganization or arrangement or otherwise, prior to that of the Notes.</w:t>
      </w:r>
    </w:p>
    <w:p>
      <w:pPr>
        <w:spacing w:after="0" w:line="182"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Holder or the rights of any Holder thereof, or to authorize the Trustee to vote in respect of the claim of any Holder in any such proceeding.</w:t>
      </w:r>
    </w:p>
    <w:p>
      <w:pPr>
        <w:spacing w:after="0" w:line="181"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All rights of action and of asserting claims under this Indenture, or under any of the Notes, may be enforced by the Trustee without the possession of any of the Notes, or the production thereof at any trial or other proceeding relative thereto, and any such suit or proceeding instituted by the Trustee shall be brought in its own name as trustee of an express trust, and any recovery of judgment shall, after provision for the payment of the reasonably documented compensation, expenses, disbursements and advances of the Trustee, its agents and counsel, be for the ratable benefit of the Holders of the Notes.</w:t>
      </w:r>
    </w:p>
    <w:p>
      <w:pPr>
        <w:spacing w:after="0" w:line="154"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In any proceedings brought by the Trustee (and in any proceedings involving the interpretation of any provision of this Indenture to which the Trustee shall be a party) the Trustee shall be held to represent all the Holders of the Notes, and it shall not be necessary to make any Holders of the Notes parties to any such proceedings.</w:t>
      </w:r>
    </w:p>
    <w:p>
      <w:pPr>
        <w:spacing w:after="0" w:line="18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In case the Trustee shall have proceeded to enforce any right under this Indenture and such proceedings shall have been discontinued or abandoned because of a waiver or rescission and annulment or for any other reason or shall have been determined adversely to the Trustee, then and in every such case the Company, the Holders, and the Trustee shall, subject to any determination in such proceeding, be restored respectively to their several positions and rights hereunder, and all rights, remedies and powers of the Company, the Holders, and the Trustee shall continue as though no such proceeding had been instituted.</w:t>
      </w:r>
    </w:p>
    <w:p>
      <w:pPr>
        <w:spacing w:after="0" w:line="154" w:lineRule="exact"/>
        <w:rPr>
          <w:sz w:val="20"/>
          <w:szCs w:val="20"/>
          <w:color w:val="auto"/>
        </w:rPr>
      </w:pPr>
    </w:p>
    <w:p>
      <w:pPr>
        <w:jc w:val="both"/>
        <w:ind w:right="20" w:firstLine="456"/>
        <w:spacing w:after="0" w:line="286"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i w:val="1"/>
          <w:iCs w:val="1"/>
          <w:color w:val="auto"/>
        </w:rPr>
        <w:t>Application of Monies Collected by Trustee</w:t>
      </w:r>
      <w:r>
        <w:rPr>
          <w:rFonts w:ascii="Arial" w:cs="Arial" w:eastAsia="Arial" w:hAnsi="Arial"/>
          <w:sz w:val="17"/>
          <w:szCs w:val="17"/>
          <w:color w:val="auto"/>
        </w:rPr>
        <w:t>. Any monies collected by the Trustee pursuant to this Article 6 with respect to the Notes shall be applied, subject to applicable law, in the following order, at the date or dates fixed by the Trustee for the distribution of such monies, upon presentation of the several Notes, and stamping thereon the payment, if only partially paid, and upon surrender thereof, if fully paid: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to the payment of all amounts due the Trustee under Section 7.06;</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80"/>
          </w:cols>
          <w:pgMar w:left="240" w:top="274" w:right="279" w:bottom="1440" w:gutter="0" w:footer="0" w:header="0"/>
        </w:sectPr>
      </w:pPr>
    </w:p>
    <w:bookmarkStart w:id="45" w:name="page46"/>
    <w:bookmarkEnd w:id="45"/>
    <w:p>
      <w:pPr>
        <w:ind w:right="160" w:firstLine="456"/>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Second</w:t>
      </w:r>
      <w:r>
        <w:rPr>
          <w:rFonts w:ascii="Arial" w:cs="Arial" w:eastAsia="Arial" w:hAnsi="Arial"/>
          <w:sz w:val="18"/>
          <w:szCs w:val="18"/>
          <w:color w:val="auto"/>
        </w:rPr>
        <w:t>, in case the principal of the outstanding Notes shall not have become due and be unpaid, to the payment of interest on, and any cash due upon</w:t>
      </w:r>
      <w:r>
        <w:rPr>
          <w:rFonts w:ascii="Arial" w:cs="Arial" w:eastAsia="Arial" w:hAnsi="Arial"/>
          <w:sz w:val="18"/>
          <w:szCs w:val="18"/>
          <w:b w:val="1"/>
          <w:bCs w:val="1"/>
          <w:color w:val="auto"/>
        </w:rPr>
        <w:t xml:space="preserve"> </w:t>
      </w:r>
      <w:r>
        <w:rPr>
          <w:rFonts w:ascii="Arial" w:cs="Arial" w:eastAsia="Arial" w:hAnsi="Arial"/>
          <w:sz w:val="18"/>
          <w:szCs w:val="18"/>
          <w:color w:val="auto"/>
        </w:rPr>
        <w:t>conversion of, the Notes in default in the order of the due date of the payments of such interest and cash due upon conversion, as the case may be, with interest (to the extent that such interest has been collected by the Trustee) upon such overdue payments at the rate or rates, if any, specified in the Notes at such time, such payments to be made ratably to the Persons entitled thereto;</w:t>
      </w:r>
    </w:p>
    <w:p>
      <w:pPr>
        <w:spacing w:after="0" w:line="18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Third</w:t>
      </w:r>
      <w:r>
        <w:rPr>
          <w:rFonts w:ascii="Arial" w:cs="Arial" w:eastAsia="Arial" w:hAnsi="Arial"/>
          <w:sz w:val="18"/>
          <w:szCs w:val="18"/>
          <w:color w:val="auto"/>
        </w:rPr>
        <w:t>, in case the principal of the outstanding Notes shall have become due or, if applicable, the payment of the Fundamental Change Repurchase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or any cash due upon conversion shall have become due, by declaration or otherwise, and be unpaid to the payment of the whole amount then owing and unpaid upon the Notes for principal, interest, the Fundamental Change Repurchase Price or cash due upon conversion, if any, with interest on the overdue principal and, to the extent that such interest has been collected by the Trustee, upon overdue installments of interest at the rate or rates, if any, specified in the Notes at such time, and in case such monies shall be insufficient to pay in full the whole amounts so due and unpaid upon the Notes, then to the payment of such principal, interest, the Fundamental Change Repurchase Price or cash due upon conversion without preference or priority of any such amount over each other (including principal over interest, or of interest over principal or of any installment of interest over any other installment of interest, or of any Note over any other Note), ratably to the aggregate of such principal, accrued and unpaid interest, the Fundamental Change Repurchase Price or cash due upon conversion; and</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Fourth</w:t>
      </w:r>
      <w:r>
        <w:rPr>
          <w:rFonts w:ascii="Arial" w:cs="Arial" w:eastAsia="Arial" w:hAnsi="Arial"/>
          <w:sz w:val="18"/>
          <w:szCs w:val="18"/>
          <w:color w:val="auto"/>
        </w:rPr>
        <w:t>, to the payment of the remainder, if any, to the Company.</w:t>
      </w:r>
    </w:p>
    <w:p>
      <w:pPr>
        <w:spacing w:after="0" w:line="229"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 xml:space="preserve">Section 6.06. </w:t>
      </w:r>
      <w:r>
        <w:rPr>
          <w:rFonts w:ascii="Arial" w:cs="Arial" w:eastAsia="Arial" w:hAnsi="Arial"/>
          <w:sz w:val="16"/>
          <w:szCs w:val="16"/>
          <w:i w:val="1"/>
          <w:iCs w:val="1"/>
          <w:color w:val="auto"/>
        </w:rPr>
        <w:t>Proceedings by Holders</w:t>
      </w:r>
      <w:r>
        <w:rPr>
          <w:rFonts w:ascii="Arial" w:cs="Arial" w:eastAsia="Arial" w:hAnsi="Arial"/>
          <w:sz w:val="16"/>
          <w:szCs w:val="16"/>
          <w:color w:val="auto"/>
        </w:rPr>
        <w:t>. Except to enforce the right to receive payment of principal, the Fundamental Change Repurchase Price, if applicable, or interest when due, or the right to receive payment or delivery of the consideration due upon conversion, no Holder of any Note shall have any right by virtue of or by availing of any provision of this Indenture to institute any suit, action or proceeding in equity or at law upon or under or with respect to this Indenture, or for the appointment of a receiver, trustee, liquidator, custodian or other similar official, or for any other remedy hereunder, unless:</w:t>
      </w:r>
    </w:p>
    <w:p>
      <w:pPr>
        <w:spacing w:after="0" w:line="154" w:lineRule="exact"/>
        <w:rPr>
          <w:sz w:val="20"/>
          <w:szCs w:val="20"/>
          <w:color w:val="auto"/>
        </w:rPr>
      </w:pPr>
    </w:p>
    <w:p>
      <w:pPr>
        <w:ind w:left="840" w:hanging="376"/>
        <w:spacing w:after="0"/>
        <w:tabs>
          <w:tab w:leader="none" w:pos="8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such Holder previously shall have given to the Trustee written notice of an Event of Default and of the continuance thereof, as hereinbefore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provided;</w:t>
      </w:r>
    </w:p>
    <w:p>
      <w:pPr>
        <w:spacing w:after="0" w:line="210" w:lineRule="exact"/>
        <w:rPr>
          <w:rFonts w:ascii="Arial" w:cs="Arial" w:eastAsia="Arial" w:hAnsi="Arial"/>
          <w:sz w:val="17"/>
          <w:szCs w:val="17"/>
          <w:color w:val="auto"/>
        </w:rPr>
      </w:pPr>
    </w:p>
    <w:p>
      <w:pPr>
        <w:ind w:right="120" w:firstLine="464"/>
        <w:spacing w:after="0" w:line="277" w:lineRule="auto"/>
        <w:tabs>
          <w:tab w:leader="none" w:pos="8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Notes then outstanding shall have made written request upon the Trustee to institute such action, suit or proceeding in its own name as Trustee hereunder;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0" w:right="239" w:bottom="1440" w:gutter="0" w:footer="0" w:header="0"/>
        </w:sectPr>
      </w:pPr>
    </w:p>
    <w:bookmarkStart w:id="46" w:name="page47"/>
    <w:bookmarkEnd w:id="46"/>
    <w:p>
      <w:pPr>
        <w:ind w:right="200" w:firstLine="464"/>
        <w:spacing w:after="0" w:line="277" w:lineRule="auto"/>
        <w:tabs>
          <w:tab w:leader="none" w:pos="836"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Holders shall have offered to the Trustee such security or indemnity satisfactory to it against any costs, loss, liability or expense (including fees and expenses of its counsel) to be incurred therein or thereby;</w:t>
      </w:r>
    </w:p>
    <w:p>
      <w:pPr>
        <w:spacing w:after="0" w:line="170" w:lineRule="exact"/>
        <w:rPr>
          <w:rFonts w:ascii="Arial" w:cs="Arial" w:eastAsia="Arial" w:hAnsi="Arial"/>
          <w:sz w:val="18"/>
          <w:szCs w:val="18"/>
          <w:color w:val="auto"/>
        </w:rPr>
      </w:pPr>
    </w:p>
    <w:p>
      <w:pPr>
        <w:ind w:right="200" w:firstLine="464"/>
        <w:spacing w:after="0" w:line="277" w:lineRule="auto"/>
        <w:tabs>
          <w:tab w:leader="none" w:pos="8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Trustee for 60 days after its receipt of such notice, request and offer of security or indemnity, shall have neglected or refused to institute any such action, suit or proceeding; and</w:t>
      </w:r>
    </w:p>
    <w:p>
      <w:pPr>
        <w:spacing w:after="0" w:line="170" w:lineRule="exact"/>
        <w:rPr>
          <w:rFonts w:ascii="Arial" w:cs="Arial" w:eastAsia="Arial" w:hAnsi="Arial"/>
          <w:sz w:val="18"/>
          <w:szCs w:val="18"/>
          <w:color w:val="auto"/>
        </w:rPr>
      </w:pPr>
    </w:p>
    <w:p>
      <w:pPr>
        <w:ind w:right="220" w:firstLine="464"/>
        <w:spacing w:after="0" w:line="277" w:lineRule="auto"/>
        <w:tabs>
          <w:tab w:leader="none" w:pos="8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direction that, in the opinion of the Trustee, is inconsistent with such written request shall have been given to the Trustee by the Holders of a majority in principal amount of the Notes outstanding within such 60-day period pursuant to Section 6.09,</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it being understood and intended, and being expressly covenanted by the taker and Holder of every Note with every other taker and Holder and the Trustee that no one or more Holders shall have any right in any manner whatever by virtue of or by availing of any provision of this Indenture to affect, disturb or prejudice the rights of any other Holder, or to obtain or seek to obtain priority over or preference to any other such Holder, or to enforce any right under this Indenture, except in the manner herein provided and for the equal, ratable and common benefit of all Holders (except as otherwise provided herein). For the protection and enforcement of this Section 6.06, each and every Holder and the Trustee shall be entitled to such relief as can be given either at law or in equity.</w:t>
      </w:r>
    </w:p>
    <w:p>
      <w:pPr>
        <w:spacing w:after="0" w:line="193"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Notwithstanding any other provision of this Indenture and any provision of any Note, the right of any Holder to receive payment or delivery, as the case may be, of (w) the principal of, (x) the Fundamental Change Repurchase Price, if applicable, of, (y) accrued and unpaid interest on, and (z) the consideration due upon conversion of, such Note, on or after the respective due dates expressed or provided for in such Note or in this Indenture, or to institute suit for the enforcement of any such payment or deliver, as the case may be, on or after such respective dates against the Company shall not be impaired or affected without the consent of such Holder.</w:t>
      </w:r>
    </w:p>
    <w:p>
      <w:pPr>
        <w:spacing w:after="0" w:line="188"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i w:val="1"/>
          <w:iCs w:val="1"/>
          <w:color w:val="auto"/>
        </w:rPr>
        <w:t>Proceedings by Trustee</w:t>
      </w:r>
      <w:r>
        <w:rPr>
          <w:rFonts w:ascii="Arial" w:cs="Arial" w:eastAsia="Arial" w:hAnsi="Arial"/>
          <w:sz w:val="18"/>
          <w:szCs w:val="18"/>
          <w:color w:val="auto"/>
        </w:rPr>
        <w:t>. In case of an Event of Default the Trustee may in its discretion (and subject to the provisions of Section 7.01 and Section 7.06) proceed to protect and enforce the rights vested in it by this Indenture by such appropriate judicial proceedings as are necessary to protect and enforce any of such rights, either by suit in equity or by action at law or by proceeding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88"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Remedies Cumulative and Continuing</w:t>
      </w:r>
      <w:r>
        <w:rPr>
          <w:rFonts w:ascii="Arial" w:cs="Arial" w:eastAsia="Arial" w:hAnsi="Arial"/>
          <w:sz w:val="18"/>
          <w:szCs w:val="18"/>
          <w:color w:val="auto"/>
        </w:rPr>
        <w:t>. Except as provided in the last paragraph of Section 2.06, all powers and remedies given by this Article 6 to the Trustee or to the Holders shall, to the extent permitted by law, be deemed cumulative and not exclusive of any thereof or of any other powers and remedies available to the Trustee or the Holders of the Notes, by judicial proceedings or otherwise, to enforce the performance or observance of the covenants and agreements contained in this Indenture, and no delay or omission of the Trustee or of any Holder of any of the Notes to exercise any right or power accruing upon any Default or Event of Default shall impair any such right or power, or shall be construed to be a waiver of any such Default or Event of Default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274" w:right="259" w:bottom="1440" w:gutter="0" w:footer="0" w:header="0"/>
        </w:sectPr>
      </w:pPr>
    </w:p>
    <w:bookmarkStart w:id="47" w:name="page48"/>
    <w:bookmarkEnd w:id="47"/>
    <w:p>
      <w:pPr>
        <w:ind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any acquiescence therein; and, subject to the provisions of Section 6.06, every power and remedy given by this Article 6 or by law to the Trustee or to the Holders may be exercised from time to time, and as often as shall be deemed expedient, by the Trustee or by the Holders.</w:t>
      </w:r>
    </w:p>
    <w:p>
      <w:pPr>
        <w:spacing w:after="0" w:line="170" w:lineRule="exact"/>
        <w:rPr>
          <w:sz w:val="20"/>
          <w:szCs w:val="20"/>
          <w:color w:val="auto"/>
        </w:rPr>
      </w:pPr>
    </w:p>
    <w:p>
      <w:pPr>
        <w:ind w:right="120" w:firstLine="456"/>
        <w:spacing w:after="0" w:line="288"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Direction of Proceedings and Waiver of Defaults by Majority of Holders</w:t>
      </w:r>
      <w:r>
        <w:rPr>
          <w:rFonts w:ascii="Arial" w:cs="Arial" w:eastAsia="Arial" w:hAnsi="Arial"/>
          <w:sz w:val="16"/>
          <w:szCs w:val="16"/>
          <w:color w:val="auto"/>
        </w:rPr>
        <w:t>. The Holders of a majority in aggregate principal amount of the Notes at the time outstanding determined in accordance with Section 8.04 shall have the right to direct the time, method and place of conducting any proceeding for any remedy available to the Trustee or exercising any trust or power conferred on the Trustee with respect to Notes; provided, however, that</w:t>
      </w:r>
    </w:p>
    <w:p>
      <w:pPr>
        <w:ind w:right="100" w:firstLine="8"/>
        <w:spacing w:after="0" w:line="281" w:lineRule="auto"/>
        <w:tabs>
          <w:tab w:leader="none" w:pos="245"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such direction shall not be in conflict with any rule of law or with this Indenture, (b) the Trustee may take any other action deemed proper by the Trustee that is not inconsistent with such direction and (c) the Trustee may demand security or indemnity satisfactory to it in accordance with Section 7.01. The Trustee may refuse to follow any direction that it determines is unduly prejudicial to the rights of any other Holder or that would involve the Trustee in personal liability. The Holders of a majority in aggregate principal amount of the Notes at the time outstanding determined in accordance with Section 8.04 may on behalf of the Holders of all of the Notes waive any past Default or Event of Default hereunder and its consequences except (i) a default in the payment of accrued and unpaid interest, if any, on, or the principal of, the Notes when due that has not been cured pursuant to the provisions of Section 6.01,</w:t>
      </w:r>
    </w:p>
    <w:p>
      <w:pPr>
        <w:spacing w:after="0" w:line="4" w:lineRule="exact"/>
        <w:rPr>
          <w:rFonts w:ascii="Arial" w:cs="Arial" w:eastAsia="Arial" w:hAnsi="Arial"/>
          <w:sz w:val="16"/>
          <w:szCs w:val="16"/>
          <w:color w:val="auto"/>
        </w:rPr>
      </w:pPr>
    </w:p>
    <w:p>
      <w:pPr>
        <w:ind w:firstLine="8"/>
        <w:spacing w:after="0" w:line="269" w:lineRule="auto"/>
        <w:tabs>
          <w:tab w:leader="none" w:pos="265" w:val="left"/>
        </w:tabs>
        <w:numPr>
          <w:ilvl w:val="0"/>
          <w:numId w:val="30"/>
        </w:numPr>
        <w:rPr>
          <w:rFonts w:ascii="Arial" w:cs="Arial" w:eastAsia="Arial" w:hAnsi="Arial"/>
          <w:sz w:val="17"/>
          <w:szCs w:val="17"/>
          <w:color w:val="auto"/>
        </w:rPr>
      </w:pPr>
      <w:r>
        <w:rPr>
          <w:rFonts w:ascii="Arial" w:cs="Arial" w:eastAsia="Arial" w:hAnsi="Arial"/>
          <w:sz w:val="17"/>
          <w:szCs w:val="17"/>
          <w:color w:val="auto"/>
        </w:rPr>
        <w:t>a failure by the Company to pay or deliver, as the case may be, the consideration due upon conversion of the Notes, (iii) a default in the payment of the Fundamental Change Repurchase Price or (iv) a default in respect of a covenant or provision hereof which under Article 10 cannot be modified or amended without the consent of each Holder of an outstanding Note affected. Upon any such waiver the Company, the Trustee and the Holders of the Notes shall be restored to their former positions and rights hereunder; but no such waiver shall extend to any subsequent or other Default or Event of Default or impair any right consequent thereon. Whenever any Default or Event of Default hereunder shall have been waived as permitted by this Section 6.09, said Default or Event of Default shall for all purposes of the Notes and this Indenture be deemed to have been cured and to be not continuing; but no such waiver shall extend to any subsequent or other Default or Event of Default or impair any right consequent thereon.</w:t>
      </w:r>
    </w:p>
    <w:p>
      <w:pPr>
        <w:spacing w:after="0" w:line="18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i w:val="1"/>
          <w:iCs w:val="1"/>
          <w:color w:val="auto"/>
        </w:rPr>
        <w:t>Notice of Defaults</w:t>
      </w:r>
      <w:r>
        <w:rPr>
          <w:rFonts w:ascii="Arial" w:cs="Arial" w:eastAsia="Arial" w:hAnsi="Arial"/>
          <w:sz w:val="17"/>
          <w:szCs w:val="17"/>
          <w:color w:val="auto"/>
        </w:rPr>
        <w:t>. The Trustee shall, within 90 days after the occurrence and continuance of a Default of which a Responsible Officer has actual knowledge, deliver to all Holders as the names and addresses of such Holders appear upon the Note Register, notice of all Defaults known to a Responsible Officer, unless such Defaults shall have been cured or waived before the giving of such notice; provided that, except in the case of a Default in the payment of the principal of, or accrued and unpaid interest on, any of the Notes or a Default in the payment of the Fundamental Change Repurchase Price, if applicable, or a Default in the payment or delivery of the consideration due upon conversion, the Trustee shall be protected in withholding such notice if and so long as the Trustee in good faith determine that the withholding of such notice is in the interests of the Holders. The Trustee shall not be charged with knowledge of any fact, notice of a Default or Event of Default with respect to the Notes unless either (i) a Responsible Officer of the Trustee shall have actual knowledge of such Default or Event of Default or (ii) written notice of such fact, Default or Event or Default shall have been given by the Company or by the Holders of at least 25% of the aggregate principal amount of the Notes and received by a Responsible Officer of the Trustee and references this Indenture and the Notes.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274" w:right="259" w:bottom="1440" w:gutter="0" w:footer="0" w:header="0"/>
        </w:sectPr>
      </w:pPr>
    </w:p>
    <w:bookmarkStart w:id="48" w:name="page49"/>
    <w:bookmarkEnd w:id="48"/>
    <w:p>
      <w:pPr>
        <w:ind w:firstLine="456"/>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6.11. </w:t>
      </w:r>
      <w:r>
        <w:rPr>
          <w:rFonts w:ascii="Arial" w:cs="Arial" w:eastAsia="Arial" w:hAnsi="Arial"/>
          <w:sz w:val="17"/>
          <w:szCs w:val="17"/>
          <w:i w:val="1"/>
          <w:iCs w:val="1"/>
          <w:color w:val="auto"/>
        </w:rPr>
        <w:t>Undertaking to Pay Costs</w:t>
      </w:r>
      <w:r>
        <w:rPr>
          <w:rFonts w:ascii="Arial" w:cs="Arial" w:eastAsia="Arial" w:hAnsi="Arial"/>
          <w:sz w:val="17"/>
          <w:szCs w:val="17"/>
          <w:color w:val="auto"/>
        </w:rPr>
        <w:t>. All parties to this Indenture agree, and each Holder of any Note by its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provided that the provisions of this Section 6.11 (to the extent permitted by law) shall not apply to any suit instituted by the Trustee or to any suit instituted by any Holder for the enforcement of the payment of the principal of or accrued and unpaid interest, if any, on any Note (including, but not limited to, the Fundamental Change Repurchase Price with respect to the Notes being repurchased as provided in this Indenture) on or after the due date expressed or provided for in such Note or to any suit for the enforcement of the right to convert any Note in accordance with the provisions of Article 13.</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ONCERNING THE</w:t>
      </w:r>
      <w:r>
        <w:rPr>
          <w:rFonts w:ascii="Arial" w:cs="Arial" w:eastAsia="Arial" w:hAnsi="Arial"/>
          <w:sz w:val="18"/>
          <w:szCs w:val="18"/>
          <w:color w:val="auto"/>
        </w:rPr>
        <w:t xml:space="preserve"> T</w:t>
      </w:r>
      <w:r>
        <w:rPr>
          <w:rFonts w:ascii="Arial" w:cs="Arial" w:eastAsia="Arial" w:hAnsi="Arial"/>
          <w:sz w:val="15"/>
          <w:szCs w:val="15"/>
          <w:color w:val="auto"/>
        </w:rPr>
        <w:t>RUSTEE</w:t>
      </w:r>
    </w:p>
    <w:p>
      <w:pPr>
        <w:spacing w:after="0" w:line="211"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i w:val="1"/>
          <w:iCs w:val="1"/>
          <w:color w:val="auto"/>
        </w:rPr>
        <w:t>Duties and Responsibilities of Trustee</w:t>
      </w:r>
      <w:r>
        <w:rPr>
          <w:rFonts w:ascii="Arial" w:cs="Arial" w:eastAsia="Arial" w:hAnsi="Arial"/>
          <w:sz w:val="17"/>
          <w:szCs w:val="17"/>
          <w:color w:val="auto"/>
        </w:rPr>
        <w:t>. The Trustee, prior to the occurrence of an Event of Default and after the curing or waiver of all Events of Default that may have occurred, undertakes to perform such duties and only such duties as are specifically set forth in this Indenture, and no additional duties shall be implied or inferred. In case an Event of Default has occurred that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 under the circumstances; provided that if an Event of Default occurs and is continuing, the Trustee will be under no obligation to exercise any of the rights or powers under this Indenture at the request or direction of any of the Holders unless such Holders have offered to the Trustee indemnity or security satisfactory to it against the costs, expenses and liabilities (including fees and expenses of its counsel) that might be incurred by it in compliance with such request or direction.</w:t>
      </w:r>
    </w:p>
    <w:p>
      <w:pPr>
        <w:spacing w:after="0" w:line="179"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No provision of this Indenture shall be construed to relieve the Trustee from liability for its own grossly negligent action, its own grossly negligent failure to act or its own willful misconduct, except that:</w:t>
      </w:r>
    </w:p>
    <w:p>
      <w:pPr>
        <w:spacing w:after="0" w:line="170" w:lineRule="exact"/>
        <w:rPr>
          <w:sz w:val="20"/>
          <w:szCs w:val="20"/>
          <w:color w:val="auto"/>
        </w:rPr>
      </w:pPr>
    </w:p>
    <w:p>
      <w:pPr>
        <w:ind w:left="840" w:hanging="376"/>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prior to the occurrence of an Event of Default and after the curing or waiving of all Events of Default that may have occurred:</w:t>
      </w:r>
    </w:p>
    <w:p>
      <w:pPr>
        <w:spacing w:after="0" w:line="117" w:lineRule="exact"/>
        <w:rPr>
          <w:rFonts w:ascii="Arial" w:cs="Arial" w:eastAsia="Arial" w:hAnsi="Arial"/>
          <w:sz w:val="18"/>
          <w:szCs w:val="18"/>
          <w:color w:val="auto"/>
        </w:rPr>
      </w:pPr>
    </w:p>
    <w:p>
      <w:pPr>
        <w:jc w:val="both"/>
        <w:ind w:left="460" w:right="180" w:firstLine="443"/>
        <w:spacing w:after="0" w:line="264" w:lineRule="auto"/>
        <w:tabs>
          <w:tab w:leader="none" w:pos="1248"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duties and obligations of the Trustee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9" w:name="page50"/>
    <w:bookmarkEnd w:id="49"/>
    <w:p>
      <w:pPr>
        <w:ind w:left="440" w:right="280" w:firstLine="443"/>
        <w:spacing w:after="0" w:line="297" w:lineRule="auto"/>
        <w:tabs>
          <w:tab w:leader="none" w:pos="1278" w:val="left"/>
        </w:tabs>
        <w:numPr>
          <w:ilvl w:val="1"/>
          <w:numId w:val="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absence of bad faith or willful misconduct on the part of the Trustee, the Trustee may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provisions hereof are specifically required to be furnished to the Trustee, the Trustee shall be under a duty to examine the same to determine whether or not they conform to the requirements of this Indenture (but need not confirm or investigate the accuracy of any mathematical calculations or other facts stated therein);</w:t>
      </w:r>
    </w:p>
    <w:p>
      <w:pPr>
        <w:spacing w:after="0" w:line="158" w:lineRule="exact"/>
        <w:rPr>
          <w:rFonts w:ascii="Arial" w:cs="Arial" w:eastAsia="Arial" w:hAnsi="Arial"/>
          <w:sz w:val="16"/>
          <w:szCs w:val="16"/>
          <w:color w:val="auto"/>
        </w:rPr>
      </w:pPr>
    </w:p>
    <w:p>
      <w:pPr>
        <w:ind w:left="-20" w:right="160" w:firstLine="464"/>
        <w:spacing w:after="0" w:line="277" w:lineRule="auto"/>
        <w:tabs>
          <w:tab w:leader="none" w:pos="826"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Officers of the Trustee, unless it shall be proved that the Trustee was grossly negligent in ascertaining the pertinent facts;</w:t>
      </w:r>
    </w:p>
    <w:p>
      <w:pPr>
        <w:spacing w:after="0" w:line="170" w:lineRule="exact"/>
        <w:rPr>
          <w:rFonts w:ascii="Arial" w:cs="Arial" w:eastAsia="Arial" w:hAnsi="Arial"/>
          <w:sz w:val="18"/>
          <w:szCs w:val="18"/>
          <w:color w:val="auto"/>
        </w:rPr>
      </w:pPr>
    </w:p>
    <w:p>
      <w:pPr>
        <w:ind w:left="-20" w:right="340" w:firstLine="464"/>
        <w:spacing w:after="0" w:line="279" w:lineRule="auto"/>
        <w:tabs>
          <w:tab w:leader="none" w:pos="8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Trustee shall not be liable with respect to any action taken or omitted to be taken by it in good faith in accordance with the direction of the Holders of not less than a majority in principal amount of the Notes at the time outstanding determined as provided in Section 8.04 relating to the time, method and place of conducting any proceeding for any remedy available to the Trustee, or exercising any trust or power conferred upon the Trustee or refraining from taking any action believed in good faith to be beyond the scope of its powers, under this Indenture;</w:t>
      </w:r>
    </w:p>
    <w:p>
      <w:pPr>
        <w:spacing w:after="0" w:line="171" w:lineRule="exact"/>
        <w:rPr>
          <w:rFonts w:ascii="Arial" w:cs="Arial" w:eastAsia="Arial" w:hAnsi="Arial"/>
          <w:sz w:val="17"/>
          <w:szCs w:val="17"/>
          <w:color w:val="auto"/>
        </w:rPr>
      </w:pPr>
    </w:p>
    <w:p>
      <w:pPr>
        <w:ind w:left="-20" w:firstLine="464"/>
        <w:spacing w:after="0" w:line="277" w:lineRule="auto"/>
        <w:tabs>
          <w:tab w:leader="none" w:pos="826" w:val="left"/>
        </w:tabs>
        <w:numPr>
          <w:ilvl w:val="0"/>
          <w:numId w:val="33"/>
        </w:numPr>
        <w:rPr>
          <w:rFonts w:ascii="Arial" w:cs="Arial" w:eastAsia="Arial" w:hAnsi="Arial"/>
          <w:sz w:val="18"/>
          <w:szCs w:val="18"/>
          <w:color w:val="auto"/>
        </w:rPr>
      </w:pPr>
      <w:r>
        <w:rPr>
          <w:rFonts w:ascii="Arial" w:cs="Arial" w:eastAsia="Arial" w:hAnsi="Arial"/>
          <w:sz w:val="18"/>
          <w:szCs w:val="18"/>
          <w:color w:val="auto"/>
        </w:rPr>
        <w:t>whether or not therein provided, every provision of this Indenture relating to the conduct or affecting the liability of, or affording protection to, the Trustee shall be subject to the provisions of this Section;</w:t>
      </w:r>
    </w:p>
    <w:p>
      <w:pPr>
        <w:spacing w:after="0" w:line="170" w:lineRule="exact"/>
        <w:rPr>
          <w:rFonts w:ascii="Arial" w:cs="Arial" w:eastAsia="Arial" w:hAnsi="Arial"/>
          <w:sz w:val="18"/>
          <w:szCs w:val="18"/>
          <w:color w:val="auto"/>
        </w:rPr>
      </w:pPr>
    </w:p>
    <w:p>
      <w:pPr>
        <w:ind w:left="-20" w:right="280" w:firstLine="464"/>
        <w:spacing w:after="0" w:line="342" w:lineRule="auto"/>
        <w:tabs>
          <w:tab w:leader="none" w:pos="81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Trustee shall not be liable in respect of any payment (as to the correctness of amount, entitlement to receive or any other matters relating to payment) or notice effected by the Company or any Paying Agent or any records maintained by any co-Note Registrar with respect to the Notes;</w:t>
      </w:r>
    </w:p>
    <w:p>
      <w:pPr>
        <w:spacing w:after="0" w:line="123" w:lineRule="exact"/>
        <w:rPr>
          <w:rFonts w:ascii="Arial" w:cs="Arial" w:eastAsia="Arial" w:hAnsi="Arial"/>
          <w:sz w:val="16"/>
          <w:szCs w:val="16"/>
          <w:color w:val="auto"/>
        </w:rPr>
      </w:pPr>
    </w:p>
    <w:p>
      <w:pPr>
        <w:ind w:left="-20" w:right="20" w:firstLine="464"/>
        <w:spacing w:after="0" w:line="264" w:lineRule="auto"/>
        <w:tabs>
          <w:tab w:leader="none" w:pos="796"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party fails to deliver a notice relating to an event the fact of which, pursuant to this Indenture, requires notice to be sent to the Trustee, the Trustee may conclusively rely on its failure to receive such notice as reason to act as if no such event occurred, unless such Responsible Officer of the Trustee had actual knowledge of such event;</w:t>
      </w:r>
    </w:p>
    <w:p>
      <w:pPr>
        <w:spacing w:after="0" w:line="181" w:lineRule="exact"/>
        <w:rPr>
          <w:rFonts w:ascii="Arial" w:cs="Arial" w:eastAsia="Arial" w:hAnsi="Arial"/>
          <w:sz w:val="18"/>
          <w:szCs w:val="18"/>
          <w:color w:val="auto"/>
        </w:rPr>
      </w:pPr>
    </w:p>
    <w:p>
      <w:pPr>
        <w:ind w:left="-20" w:right="60" w:firstLine="464"/>
        <w:spacing w:after="0" w:line="276" w:lineRule="auto"/>
        <w:tabs>
          <w:tab w:leader="none" w:pos="826"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the absence of written investment direction from the Company, all cash received by the Trustee shall be placed in a non-interest bearing trust account, and in no event shall the Trustee be liable for the selection of investments or for investment losses incurred thereon or for losses incurred as a result of the liquidation of any such investment prior to its maturity date or the failure of the party directing such investments prior to its maturity date or the failure of the party directing such investment to provide timely written investment direction, and the Trustee shall have no obligation to invest or reinvest any amounts held hereunder in the absence of such written investment direction from the Company;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60" w:top="274" w:right="259" w:bottom="1440" w:gutter="0" w:footer="0" w:header="0"/>
        </w:sectPr>
      </w:pPr>
    </w:p>
    <w:bookmarkStart w:id="50" w:name="page51"/>
    <w:bookmarkEnd w:id="50"/>
    <w:p>
      <w:pPr>
        <w:jc w:val="both"/>
        <w:ind w:right="60" w:firstLine="464"/>
        <w:spacing w:after="0" w:line="264" w:lineRule="auto"/>
        <w:tabs>
          <w:tab w:leader="none" w:pos="846" w:val="left"/>
        </w:tabs>
        <w:numPr>
          <w:ilvl w:val="0"/>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the Trustee is also acting as Custodian, Note Registrar, Paying Agent, Conversion Agent, Bid Solicitation Agent or transfer agent hereunder, the rights and protections afforded to the Trustee pursuant to this Article 7 shall also be afforded to such Custodian, Note Registrar, Paying Agent, Conversion Agent, Bid Solicitation Agent or transfer agent;</w:t>
      </w:r>
    </w:p>
    <w:p>
      <w:pPr>
        <w:spacing w:after="0" w:line="181" w:lineRule="exact"/>
        <w:rPr>
          <w:rFonts w:ascii="Arial" w:cs="Arial" w:eastAsia="Arial" w:hAnsi="Arial"/>
          <w:sz w:val="18"/>
          <w:szCs w:val="18"/>
          <w:color w:val="auto"/>
        </w:rPr>
      </w:pPr>
    </w:p>
    <w:p>
      <w:pPr>
        <w:ind w:firstLine="464"/>
        <w:spacing w:after="0" w:line="264" w:lineRule="auto"/>
        <w:tabs>
          <w:tab w:leader="none" w:pos="80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shall have no responsibility with respect to any information, statement or recital in any offering memorandum or other disclosure material prepared or distributed with respect to the Notes or for compliance with any securities laws in connection with the issuance, sale, or conversion of the Notes, which shall be the sole responsibility of the Company; and</w:t>
      </w:r>
    </w:p>
    <w:p>
      <w:pPr>
        <w:spacing w:after="0" w:line="181" w:lineRule="exact"/>
        <w:rPr>
          <w:rFonts w:ascii="Arial" w:cs="Arial" w:eastAsia="Arial" w:hAnsi="Arial"/>
          <w:sz w:val="18"/>
          <w:szCs w:val="18"/>
          <w:color w:val="auto"/>
        </w:rPr>
      </w:pPr>
    </w:p>
    <w:p>
      <w:pPr>
        <w:ind w:left="820" w:hanging="356"/>
        <w:spacing w:after="0"/>
        <w:tabs>
          <w:tab w:leader="none" w:pos="8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Trustee shall not be required to give any bond or surety in respect of the performance of its powers or duties hereunder.</w:t>
      </w:r>
    </w:p>
    <w:p>
      <w:pPr>
        <w:spacing w:after="0" w:line="225" w:lineRule="exact"/>
        <w:rPr>
          <w:rFonts w:ascii="Arial" w:cs="Arial" w:eastAsia="Arial" w:hAnsi="Arial"/>
          <w:sz w:val="18"/>
          <w:szCs w:val="18"/>
          <w:color w:val="auto"/>
        </w:rPr>
      </w:pPr>
    </w:p>
    <w:p>
      <w:pPr>
        <w:ind w:left="720" w:hanging="256"/>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no circumstances shall the Trustee be liable in its individual capacity for the obligations evidenced by the Notes.</w:t>
      </w:r>
    </w:p>
    <w:p>
      <w:pPr>
        <w:spacing w:after="0" w:line="225"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i w:val="1"/>
          <w:iCs w:val="1"/>
          <w:color w:val="auto"/>
        </w:rPr>
        <w:t>Reliance on Documents, Opinions, Etc</w:t>
      </w:r>
      <w:r>
        <w:rPr>
          <w:rFonts w:ascii="Arial" w:cs="Arial" w:eastAsia="Arial" w:hAnsi="Arial"/>
          <w:sz w:val="18"/>
          <w:szCs w:val="18"/>
          <w:color w:val="auto"/>
        </w:rPr>
        <w:t>. Except as otherwise provided in Section 7.01:</w:t>
      </w:r>
    </w:p>
    <w:p>
      <w:pPr>
        <w:spacing w:after="0" w:line="225" w:lineRule="exact"/>
        <w:rPr>
          <w:sz w:val="20"/>
          <w:szCs w:val="20"/>
          <w:color w:val="auto"/>
        </w:rPr>
      </w:pPr>
    </w:p>
    <w:p>
      <w:pPr>
        <w:ind w:right="40" w:firstLine="464"/>
        <w:spacing w:after="0" w:line="264" w:lineRule="auto"/>
        <w:tabs>
          <w:tab w:leader="none" w:pos="8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may conclusively rely and shall be fully protected in acting upon any resolution, certificate, statement, instrument, opinion, report, notice, request, consent, order, bond, Note, coupon or other paper or document believed by it in good faith to be genuine and to have been signed or presented by the proper party or parties;</w:t>
      </w:r>
    </w:p>
    <w:p>
      <w:pPr>
        <w:spacing w:after="0" w:line="181" w:lineRule="exact"/>
        <w:rPr>
          <w:rFonts w:ascii="Arial" w:cs="Arial" w:eastAsia="Arial" w:hAnsi="Arial"/>
          <w:sz w:val="18"/>
          <w:szCs w:val="18"/>
          <w:color w:val="auto"/>
        </w:rPr>
      </w:pPr>
    </w:p>
    <w:p>
      <w:pPr>
        <w:ind w:right="80" w:firstLine="464"/>
        <w:spacing w:after="0" w:line="264" w:lineRule="auto"/>
        <w:tabs>
          <w:tab w:leader="none" w:pos="8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request, direction, order or demand of the Company mentioned herein shall be sufficiently evidenced by an Officers’ Certificate (unless other evidence in respect thereof be herein specifically prescribed); and any Board Resolution may be evidenced to the Trustee by a copy thereof certified by the Secretary or an Assistant Secretary of the Company;</w:t>
      </w:r>
    </w:p>
    <w:p>
      <w:pPr>
        <w:spacing w:after="0" w:line="181" w:lineRule="exact"/>
        <w:rPr>
          <w:rFonts w:ascii="Arial" w:cs="Arial" w:eastAsia="Arial" w:hAnsi="Arial"/>
          <w:sz w:val="18"/>
          <w:szCs w:val="18"/>
          <w:color w:val="auto"/>
        </w:rPr>
      </w:pPr>
    </w:p>
    <w:p>
      <w:pPr>
        <w:ind w:firstLine="464"/>
        <w:spacing w:after="0" w:line="264" w:lineRule="auto"/>
        <w:tabs>
          <w:tab w:leader="none" w:pos="8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may consult with counsel and require an Opinion of Counsel and any advice of such counsel or Opinion of Counsel shall be full and complete authorization and protection in respect of any action taken or omitted by it hereunder in good faith and in accordance with such advice or Opinion of Counsel;</w:t>
      </w:r>
    </w:p>
    <w:p>
      <w:pPr>
        <w:spacing w:after="0" w:line="181" w:lineRule="exact"/>
        <w:rPr>
          <w:rFonts w:ascii="Arial" w:cs="Arial" w:eastAsia="Arial" w:hAnsi="Arial"/>
          <w:sz w:val="18"/>
          <w:szCs w:val="18"/>
          <w:color w:val="auto"/>
        </w:rPr>
      </w:pPr>
    </w:p>
    <w:p>
      <w:pPr>
        <w:ind w:firstLine="464"/>
        <w:spacing w:after="0" w:line="264" w:lineRule="auto"/>
        <w:tabs>
          <w:tab w:leader="none" w:pos="8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or other paper or document, but the Trustee, in its discretion, may make such further inquiry or investigation into such facts or matters as it may see fit, and, if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51" w:name="page52"/>
    <w:bookmarkEnd w:id="51"/>
    <w:p>
      <w:pPr>
        <w:ind w:right="1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Trustee shall determine to make such further inquiry or investigation, it shall be entitled, at a reasonable time on any Business Day, to examine the books, records and premises of the Company, personally or by agent or attorney at the expense of the Company and shall incur no liability of any kind by reason of such inquiry or investigation;</w:t>
      </w:r>
    </w:p>
    <w:p>
      <w:pPr>
        <w:spacing w:after="0" w:line="181" w:lineRule="exact"/>
        <w:rPr>
          <w:sz w:val="20"/>
          <w:szCs w:val="20"/>
          <w:color w:val="auto"/>
        </w:rPr>
      </w:pPr>
    </w:p>
    <w:p>
      <w:pPr>
        <w:ind w:right="40" w:firstLine="464"/>
        <w:spacing w:after="0" w:line="264" w:lineRule="auto"/>
        <w:tabs>
          <w:tab w:leader="none" w:pos="8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custodians, nominees or attorneys and the Trustee shall not be responsible for any misconduct or negligence on the part of any agent, custodian, nominee or attorney appointed by it with due care hereunder; and</w:t>
      </w:r>
    </w:p>
    <w:p>
      <w:pPr>
        <w:spacing w:after="0" w:line="181" w:lineRule="exact"/>
        <w:rPr>
          <w:rFonts w:ascii="Arial" w:cs="Arial" w:eastAsia="Arial" w:hAnsi="Arial"/>
          <w:sz w:val="18"/>
          <w:szCs w:val="18"/>
          <w:color w:val="auto"/>
        </w:rPr>
      </w:pPr>
    </w:p>
    <w:p>
      <w:pPr>
        <w:ind w:left="820" w:hanging="356"/>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permissive rights of the Trustee enumerated herein shall not be construed as duties.</w:t>
      </w:r>
    </w:p>
    <w:p>
      <w:pPr>
        <w:spacing w:after="0" w:line="22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no event shall the Trustee be responsible or liable for any special, indirect, punitive or consequential loss or damage of any kind whatsoever (including but not limited to lost profits), even if the Trustee has been advised of the likelihood of such loss or damage and regardless of the form of action other than any such loss or damage caused by the Trustee’s willful misconduct or gross negligence. The Trustee shall not be charged with knowledge of any Default or Event of Default with respect to the Notes, unless either (1) a Responsible Officer shall have actual knowledge of such Default or Event of Default or (2) written notice of such Default or Event of Default shall have been given to a Responsible Officer by the Company or by any Holder of the Notes.</w:t>
      </w:r>
    </w:p>
    <w:p>
      <w:pPr>
        <w:spacing w:after="0" w:line="158" w:lineRule="exact"/>
        <w:rPr>
          <w:sz w:val="20"/>
          <w:szCs w:val="20"/>
          <w:color w:val="auto"/>
        </w:rPr>
      </w:pPr>
    </w:p>
    <w:p>
      <w:pPr>
        <w:ind w:right="240" w:firstLine="456"/>
        <w:spacing w:after="0" w:line="302" w:lineRule="auto"/>
        <w:rPr>
          <w:sz w:val="20"/>
          <w:szCs w:val="20"/>
          <w:color w:val="auto"/>
        </w:rPr>
      </w:pPr>
      <w:r>
        <w:rPr>
          <w:rFonts w:ascii="Arial" w:cs="Arial" w:eastAsia="Arial" w:hAnsi="Arial"/>
          <w:sz w:val="16"/>
          <w:szCs w:val="16"/>
          <w:color w:val="auto"/>
        </w:rPr>
        <w:t xml:space="preserve">Section 7.03. </w:t>
      </w:r>
      <w:r>
        <w:rPr>
          <w:rFonts w:ascii="Arial" w:cs="Arial" w:eastAsia="Arial" w:hAnsi="Arial"/>
          <w:sz w:val="16"/>
          <w:szCs w:val="16"/>
          <w:i w:val="1"/>
          <w:iCs w:val="1"/>
          <w:color w:val="auto"/>
        </w:rPr>
        <w:t>No Responsibility for Recitals, Etc</w:t>
      </w:r>
      <w:r>
        <w:rPr>
          <w:rFonts w:ascii="Arial" w:cs="Arial" w:eastAsia="Arial" w:hAnsi="Arial"/>
          <w:sz w:val="16"/>
          <w:szCs w:val="16"/>
          <w:color w:val="auto"/>
        </w:rPr>
        <w:t>. The recitals contained herein and in the Notes (except in the Trustee’s certificate of authentication) shall be taken as the statements of the Company, and the Trustee assumes no responsibility for the correctness of the same. The Trustee makes no representations as to the validity or sufficiency of this Indenture or of the Notes. The Trustee shall not be accountable for the use or application by the Company of any Notes or the proceeds of any Notes authenticated and delivered by the Trustee in conformity with the provisions of this Indenture.</w:t>
      </w:r>
    </w:p>
    <w:p>
      <w:pPr>
        <w:spacing w:after="0" w:line="154"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 xml:space="preserve">Section 7.04. </w:t>
      </w:r>
      <w:r>
        <w:rPr>
          <w:rFonts w:ascii="Arial" w:cs="Arial" w:eastAsia="Arial" w:hAnsi="Arial"/>
          <w:sz w:val="17"/>
          <w:szCs w:val="17"/>
          <w:i w:val="1"/>
          <w:iCs w:val="1"/>
          <w:color w:val="auto"/>
        </w:rPr>
        <w:t>Trustee, Paying Agents, Conversion Agents, Bid Solicitation Agent or Note Registrar May Own Notes</w:t>
      </w:r>
      <w:r>
        <w:rPr>
          <w:rFonts w:ascii="Arial" w:cs="Arial" w:eastAsia="Arial" w:hAnsi="Arial"/>
          <w:sz w:val="17"/>
          <w:szCs w:val="17"/>
          <w:color w:val="auto"/>
        </w:rPr>
        <w:t>. The Trustee, any Paying Agent, any Conversion Agent, Bid Solicitation Agent or Note Registrar, in its individual or any other capacity, may become the owner or pledgee of Notes with the same rights it would have if it were not the Trustee, Paying Agent, Conversion Agent, Bid Solicitation Agent or Note Registrar.</w:t>
      </w:r>
    </w:p>
    <w:p>
      <w:pPr>
        <w:spacing w:after="0" w:line="16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Monies and Shares of Common Stock to Be Held in Trust</w:t>
      </w:r>
      <w:r>
        <w:rPr>
          <w:rFonts w:ascii="Arial" w:cs="Arial" w:eastAsia="Arial" w:hAnsi="Arial"/>
          <w:sz w:val="16"/>
          <w:szCs w:val="16"/>
          <w:color w:val="auto"/>
        </w:rPr>
        <w:t>. All monies and shares of Common Stock received by the Trustee shall, until used or applied as herein provided, be held in trust for the purposes for which they were received. Money and shares of Common Stock held by the Trustee in trust hereunder need not be segregated from other funds except to the extent required by law. The Trustee shall be under no liability for interest on any money or shares of Common Stock received by it hereunder except as may be agreed from time to time by the Company and the Trustee.</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274" w:right="279" w:bottom="1440" w:gutter="0" w:footer="0" w:header="0"/>
        </w:sectPr>
      </w:pPr>
    </w:p>
    <w:bookmarkStart w:id="52" w:name="page53"/>
    <w:bookmarkEnd w:id="52"/>
    <w:p>
      <w:pPr>
        <w:ind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7.06. </w:t>
      </w:r>
      <w:r>
        <w:rPr>
          <w:rFonts w:ascii="Arial" w:cs="Arial" w:eastAsia="Arial" w:hAnsi="Arial"/>
          <w:sz w:val="16"/>
          <w:szCs w:val="16"/>
          <w:i w:val="1"/>
          <w:iCs w:val="1"/>
          <w:color w:val="auto"/>
        </w:rPr>
        <w:t>Compensation and Expenses of Trustee</w:t>
      </w:r>
      <w:r>
        <w:rPr>
          <w:rFonts w:ascii="Arial" w:cs="Arial" w:eastAsia="Arial" w:hAnsi="Arial"/>
          <w:sz w:val="16"/>
          <w:szCs w:val="16"/>
          <w:color w:val="auto"/>
        </w:rPr>
        <w:t>. The Company covenants and agrees to pay to the Trustee from time to time, and the Trustee shall be entitled to, reasonable compensation for all services rendered by it hereunder in any capacity (which shall not be limited by any provision of law in regard to the compensation of a trustee of an express trust) as mutually agreed to in writing between the Trustee and the Company, and the Company will pay or reimburse the Trustee upon its request for all reasonable expenses, disbursements and advances reasonably incurred or made by the Trustee in accordance with any of the provisions of this Indenture in any capacity thereunder (including the reasonable compensation and the expenses and disbursements of its agents and counsel and of all Persons not regularly in its employ) except any such expense, disbursement or advance as shall have been caused by its gross negligence or willful misconduct. The Company also covenants to indemnify the Trustee in any capacity under this Indenture and any other document or transaction entered into in connection herewith and its agents and any authenticating agent for, and to hold them harmless against, any loss, claim, damage, liability or expense incurred without gross negligence or willful misconduct, as finally adjudicated by a court of competent jurisdiction, on the part of the Trustee, its officers, directors, agents or employees, or such agent or authenticating agent, as the case may be, and arising out of or in connection with the acceptance or administration of this trust or in any other capacity hereunder, including the costs and expenses of defending themselves against any claim of liability in the premises. The obligations of the Company under this Section 7.06 to compensate or indemnify the Trustee and to pay or reimburse the Trustee for expenses, disbursements and advances shall be secured by a senior claim to which the Notes are hereby made subordinate on all money or property held or collected by the Trustee, except, subject to the effect of Section 6.05, funds held in trust herewith for the benefit of the Holders of particular Notes. The Trustee’s right to receive payment of any amounts due under this Section 7.06 shall not be subordinate to any other liability or indebtedness of the Company. The obligation of the Company under this Section 7.06 shall survive the satisfaction and discharge of this Indenture and the earlier resignation or removal or the Trustee. The Company need not pay for any settlement made without its consent, which consent shall not be unreasonably withheld. The indemnification provided in this Section 7.06 shall extend to the officers, directors, agents and employees of the Trustee.</w:t>
      </w:r>
    </w:p>
    <w:p>
      <w:pPr>
        <w:spacing w:after="0" w:line="173"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Without prejudice to any other rights available to the Trustee under applicable law, when the Trustee and its agents and any authenticating agent incur expenses or render services after an Event of Default specified in Section 6.01(j) or Section 6.01(k) occurs, the expenses and the compensation for the services are intended to constitute expenses of administration under any bankruptcy, insolvency or similar laws.</w:t>
      </w:r>
    </w:p>
    <w:p>
      <w:pPr>
        <w:spacing w:after="0" w:line="16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Officers’ Certificate as Evidence</w:t>
      </w:r>
      <w:r>
        <w:rPr>
          <w:rFonts w:ascii="Arial" w:cs="Arial" w:eastAsia="Arial" w:hAnsi="Arial"/>
          <w:sz w:val="18"/>
          <w:szCs w:val="18"/>
          <w:color w:val="auto"/>
        </w:rPr>
        <w:t>. Except as otherwise provided in Section 7.01, whenever in the administration of the provisions of this Indenture the Trustee shall deem it necessary or desirable that a matter be proved or established prior to taking or omitting any action hereunder, such matter (unless other evidence in respect thereof be herein specifically prescribed) may, in the absence of gross negligence and willful misconduct on the part of the Trustee, be deemed to be conclusively proved and established by an Officers’ Certificate delivered to the Trustee, and such Officers’ Certificate, in the absence of gross negligence and willful misconduct on the part of the Trustee, shall be full warrant to the Trustee for any action taken or omitted by it under the provisions of this Indenture upon the faith thereof.</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53" w:name="page54"/>
    <w:bookmarkEnd w:id="53"/>
    <w:p>
      <w:pPr>
        <w:ind w:right="120"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7.08. </w:t>
      </w:r>
      <w:r>
        <w:rPr>
          <w:rFonts w:ascii="Arial" w:cs="Arial" w:eastAsia="Arial" w:hAnsi="Arial"/>
          <w:sz w:val="18"/>
          <w:szCs w:val="18"/>
          <w:i w:val="1"/>
          <w:iCs w:val="1"/>
          <w:color w:val="auto"/>
        </w:rPr>
        <w:t>Eligibility of Trustee</w:t>
      </w:r>
      <w:r>
        <w:rPr>
          <w:rFonts w:ascii="Arial" w:cs="Arial" w:eastAsia="Arial" w:hAnsi="Arial"/>
          <w:sz w:val="18"/>
          <w:szCs w:val="18"/>
          <w:color w:val="auto"/>
        </w:rPr>
        <w:t>. There shall at all times be a Trustee hereunder which shall be a Person that is eligible pursuant to the Trust Indenture Act to act as such and has a combined capital and surplus of at least $50,000,000. If such Person publishes reports of condition at least annually, pursuant to law or to the requirements of any supervising or examining authority, then for the purposes of this Section, the combined capital and surplus of such Person shall be deemed to be its combined capital and surplus as set forth in its most recent report of condition so published. If at any time the Trustee shall cease to be eligible in accordance with the provisions of this Section, it shall resign immediately in the manner and with the effect hereinafter specified in this Article.</w:t>
      </w:r>
    </w:p>
    <w:p>
      <w:pPr>
        <w:spacing w:after="0" w:line="19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7.09. </w:t>
      </w:r>
      <w:r>
        <w:rPr>
          <w:rFonts w:ascii="Arial" w:cs="Arial" w:eastAsia="Arial" w:hAnsi="Arial"/>
          <w:sz w:val="17"/>
          <w:szCs w:val="17"/>
          <w:i w:val="1"/>
          <w:iCs w:val="1"/>
          <w:color w:val="auto"/>
        </w:rPr>
        <w:t>Resignation or Removal of Trustee.</w:t>
      </w:r>
      <w:r>
        <w:rPr>
          <w:rFonts w:ascii="Arial" w:cs="Arial" w:eastAsia="Arial" w:hAnsi="Arial"/>
          <w:sz w:val="17"/>
          <w:szCs w:val="17"/>
          <w:color w:val="auto"/>
        </w:rPr>
        <w:t xml:space="preserve"> (a) The Trustee may at any time resign by giving written notice of such resignation to the Company and by mailing notice thereof to the Holders at their addresses as they shall appear on the Note Register. Upon receiving such notice of resignation, the Company shall promptly appoint a successor trustee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to the Holders, the resigning Trustee may, upon ten Business Days’ notice to the Company and the Holders, petition any court of competent jurisdiction for the appointment of a successor trustee, or any Holder who has been a bona fide holder of a Note or Notes for at least six months may, subject to the provisions of Section 6.11, on behalf of himself and all others similarly situated, petition any such court for the appointment of a successor trustee. Such court may thereupon, after such notice, if any, as it may deem proper and prescribe, appoint a successor trustee.</w:t>
      </w:r>
    </w:p>
    <w:p>
      <w:pPr>
        <w:spacing w:after="0" w:line="182" w:lineRule="exact"/>
        <w:rPr>
          <w:sz w:val="20"/>
          <w:szCs w:val="20"/>
          <w:color w:val="auto"/>
        </w:rPr>
      </w:pPr>
    </w:p>
    <w:p>
      <w:pPr>
        <w:ind w:left="860" w:hanging="396"/>
        <w:spacing w:after="0"/>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24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7.08 and shall fail to resign after written request therefor by the Company or by any such Holder, or</w:t>
      </w:r>
    </w:p>
    <w:p>
      <w:pPr>
        <w:spacing w:after="0" w:line="62" w:lineRule="exact"/>
        <w:rPr>
          <w:rFonts w:ascii="Arial" w:cs="Arial" w:eastAsia="Arial" w:hAnsi="Arial"/>
          <w:sz w:val="18"/>
          <w:szCs w:val="18"/>
          <w:color w:val="auto"/>
        </w:rPr>
      </w:pPr>
    </w:p>
    <w:p>
      <w:pPr>
        <w:jc w:val="both"/>
        <w:ind w:left="460" w:right="80" w:firstLine="443"/>
        <w:spacing w:after="0" w:line="264" w:lineRule="auto"/>
        <w:tabs>
          <w:tab w:leader="none" w:pos="1298"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then, in either case, the Company may by a Board Resolution remove the Trustee and appoint a successor trustee by written instrument, in duplicate, executed by order of the Board of Directors, one copy of which instrument shall be delivered to the Trustee so removed and one copy to the successor trustee, or, subject to the provisions of Section 6.11, any Holder who has been a bona fide holder of a Note or Notes for at least six months may, on behalf of himself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274" w:right="279" w:bottom="1440" w:gutter="0" w:footer="0" w:header="0"/>
        </w:sectPr>
      </w:pPr>
    </w:p>
    <w:bookmarkStart w:id="54" w:name="page55"/>
    <w:bookmarkEnd w:id="54"/>
    <w:p>
      <w:pPr>
        <w:jc w:val="both"/>
        <w:ind w:firstLine="464"/>
        <w:spacing w:after="0" w:line="302" w:lineRule="auto"/>
        <w:tabs>
          <w:tab w:leader="none" w:pos="833" w:val="left"/>
        </w:tabs>
        <w:numPr>
          <w:ilvl w:val="0"/>
          <w:numId w:val="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Holders of a majority in aggregate principal amount of the Notes at the time outstanding, as determined in accordance with Section 8.04, may at any time remove the Trustee and nominate a successor trustee that shall be deemed appointed as successor trustee unless within ten days after notice to the Company of such nomination the Company objects thereto, in which case the Trustee so removed or any Holder, upon the terms and conditions and otherwise as in Section 7.09(a) provided, may petition any court of competent jurisdiction for an appointment of a successor trustee.</w:t>
      </w:r>
    </w:p>
    <w:p>
      <w:pPr>
        <w:spacing w:after="0" w:line="154" w:lineRule="exact"/>
        <w:rPr>
          <w:rFonts w:ascii="Arial" w:cs="Arial" w:eastAsia="Arial" w:hAnsi="Arial"/>
          <w:sz w:val="16"/>
          <w:szCs w:val="16"/>
          <w:color w:val="auto"/>
        </w:rPr>
      </w:pPr>
    </w:p>
    <w:p>
      <w:pPr>
        <w:ind w:right="460" w:firstLine="464"/>
        <w:spacing w:after="0" w:line="277" w:lineRule="auto"/>
        <w:tabs>
          <w:tab w:leader="none" w:pos="8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resignation or removal of the Trustee and appointment of a successor trustee pursuant to any of the provisions of this Section 7.09 shall become effective upon acceptance of appointment by the successor trustee as provided in Section 7.10.</w:t>
      </w:r>
    </w:p>
    <w:p>
      <w:pPr>
        <w:spacing w:after="0" w:line="170"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 xml:space="preserve">Section 7.10. </w:t>
      </w:r>
      <w:r>
        <w:rPr>
          <w:rFonts w:ascii="Arial" w:cs="Arial" w:eastAsia="Arial" w:hAnsi="Arial"/>
          <w:sz w:val="17"/>
          <w:szCs w:val="17"/>
          <w:i w:val="1"/>
          <w:iCs w:val="1"/>
          <w:color w:val="auto"/>
        </w:rPr>
        <w:t>Acceptance by Successor Trustee</w:t>
      </w:r>
      <w:r>
        <w:rPr>
          <w:rFonts w:ascii="Arial" w:cs="Arial" w:eastAsia="Arial" w:hAnsi="Arial"/>
          <w:sz w:val="17"/>
          <w:szCs w:val="17"/>
          <w:color w:val="auto"/>
        </w:rPr>
        <w:t>. Any successor trustee appointed as provided in Section 7.09 shall execute, acknowledge and deliver to the Company and to its predecessor trustee an instrument accepting such appointment hereunder, and thereupon the resignation or removal of the predecessor trustee shall become effective and such successor trustee, without any further act, deed or conveyance, shall become vested with all the rights, powers, duties and obligations of its predecessor hereunder, with like effect as if originally named as trustee herein; but, nevertheless, on the written request of the Company or of the successor trustee, the trustee ceasing to act shall, upon payment of any amounts then due it pursuant to the provisions of Section 7.06, execute and deliver an instrument transferring to such successor trustee all the rights and powers of the trustee so ceasing to act. Upon request of any such successor trustee, the Company shall execute any and all instruments in writing for more fully and certainly vesting in and confirming to such successor trustee all such rights and powers. Any trustee ceasing to act shall, nevertheless, retain a senior claim to which the Notes are hereby made subordinate on all money or property held or collected by such trustee as such, except for funds held in trust for the benefit of Holders of particular Notes, to secure any amounts then due it pursuant to the provisions of Section 7.06.</w:t>
      </w:r>
    </w:p>
    <w:p>
      <w:pPr>
        <w:spacing w:after="0" w:line="178"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No successor trustee shall accept appointment as provided in this Section 7.10 unless at the time of such acceptance such successor trustee shall be eligible under the provisions of Section 7.08.</w:t>
      </w:r>
    </w:p>
    <w:p>
      <w:pPr>
        <w:spacing w:after="0" w:line="170"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Upon acceptance of appointment by a successor trustee as provided in this Section 7.10, each of the Company and the successor trustee, at the written direction and at the expense of the Company shall mail or cause to be mailed notice of the succession of such trustee hereunder to the Holders at their addresses as they shall appear on the Note Register. If the Company fails to mail such notice within ten days after acceptance of appointment by the successor trustee, the successor trustee shall cause such notice to be mailed at the expense of the Company.</w:t>
      </w:r>
    </w:p>
    <w:p>
      <w:pPr>
        <w:spacing w:after="0" w:line="17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Succession by Merger, Etc</w:t>
      </w:r>
      <w:r>
        <w:rPr>
          <w:rFonts w:ascii="Arial" w:cs="Arial" w:eastAsia="Arial" w:hAnsi="Arial"/>
          <w:sz w:val="18"/>
          <w:szCs w:val="18"/>
          <w:color w:val="auto"/>
        </w:rPr>
        <w:t>. Any corporation or other entity into which the Trustee may be merged or converted or with which it may be consolidated, or any corporation or other entity resulting from any merger, conversion or consolidation to which</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55" w:name="page56"/>
    <w:bookmarkEnd w:id="55"/>
    <w:p>
      <w:pPr>
        <w:jc w:val="both"/>
        <w:ind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be a party, or any corporation or other entity succeeding to all or substantially all of the corporate trust business of the Trustee (including the administration of this Indenture), shall be the successor to the Trustee hereunder without the execution or filing of any paper or any further act on the part of any of the parties hereto; provided that in the case of any corporation or other entity succeeding to all or substantially all of the corporate trust business of the Trustee such corporation or other entity shall be eligible under the provisions of Section 7.08.</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case at the time such successor to the Trustee shall succeed to the trusts created by this Indenture, any of the Notes shall have been authenticated but not delivered, any such successor to the Trustee may adopt the certificate of authentication of any predecessor trustee or authenticating agent appointed by such predecessor trustee, and deliver such Notes so authenticated; and in case at that time any of the Notes shall not have been authenticated, any successor to the Trustee or an authenticating agent appointed by such successor trustee may authenticate such Notes either in the name of any predecessor trustee hereunder or in the name of the successor trustee; and in all such cases such certificates shall have the full force which it is anywhere in the Notes or in this Indenture provided that the certificate of the Trustee shall have;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right to adopt the certificate of authentication of any predecessor Trustee or to authenticate Notes in the name of any predecessor Trustee shall apply only to its successor or successors by merger, conversion or consolidation.</w:t>
      </w:r>
    </w:p>
    <w:p>
      <w:pPr>
        <w:spacing w:after="0" w:line="167"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i w:val="1"/>
          <w:iCs w:val="1"/>
          <w:color w:val="auto"/>
        </w:rPr>
        <w:t>Trustee’s Application for Instructions from the Company</w:t>
      </w:r>
      <w:r>
        <w:rPr>
          <w:rFonts w:ascii="Arial" w:cs="Arial" w:eastAsia="Arial" w:hAnsi="Arial"/>
          <w:sz w:val="18"/>
          <w:szCs w:val="18"/>
          <w:color w:val="auto"/>
        </w:rPr>
        <w:t>. Any application by the Trustee for written instructions from the Company (other than with regard to any action proposed to be taken or omitted to be taken by the Trustee that affects the rights of the Holders of the Notes under this Indenture)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that the Company has indicated to the Trustee should receive such application actually receives such application, unless any such officer shall have consented in writing to any earlier date), unless, prior to taking any such action (or the effective date in the case of any omission), the Trustee shall have received written instructions in accordance with this Indenture in response to such application specifying the action to be taken or omitted.</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8</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ONCERNING THE</w:t>
      </w:r>
      <w:r>
        <w:rPr>
          <w:rFonts w:ascii="Arial" w:cs="Arial" w:eastAsia="Arial" w:hAnsi="Arial"/>
          <w:sz w:val="18"/>
          <w:szCs w:val="18"/>
          <w:color w:val="auto"/>
        </w:rPr>
        <w:t xml:space="preserve"> H</w:t>
      </w:r>
      <w:r>
        <w:rPr>
          <w:rFonts w:ascii="Arial" w:cs="Arial" w:eastAsia="Arial" w:hAnsi="Arial"/>
          <w:sz w:val="15"/>
          <w:szCs w:val="15"/>
          <w:color w:val="auto"/>
        </w:rPr>
        <w:t>OLDERS</w:t>
      </w:r>
    </w:p>
    <w:p>
      <w:pPr>
        <w:spacing w:after="0" w:line="211" w:lineRule="exact"/>
        <w:rPr>
          <w:sz w:val="20"/>
          <w:szCs w:val="20"/>
          <w:color w:val="auto"/>
        </w:rPr>
      </w:pPr>
    </w:p>
    <w:p>
      <w:pPr>
        <w:jc w:val="both"/>
        <w:ind w:right="20" w:firstLine="456"/>
        <w:spacing w:after="0" w:line="257"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Action by Holders</w:t>
      </w:r>
      <w:r>
        <w:rPr>
          <w:rFonts w:ascii="Arial" w:cs="Arial" w:eastAsia="Arial" w:hAnsi="Arial"/>
          <w:sz w:val="18"/>
          <w:szCs w:val="18"/>
          <w:color w:val="auto"/>
        </w:rPr>
        <w:t>. Whenever in this Indenture it is provided that the Holders of a specified percentage in aggregate principal amount of the Notes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274" w:right="259" w:bottom="1440" w:gutter="0" w:footer="0" w:header="0"/>
        </w:sectPr>
      </w:pPr>
    </w:p>
    <w:bookmarkStart w:id="56" w:name="page57"/>
    <w:bookmarkEnd w:id="56"/>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any meeting of Holders duly called and held in accordance with the provisions of Article 9, or (c) by a combination of such instrument or instruments and any such record of such a meeting of Holders. Whenever the Company or the Trustee solicits the taking of any action by the Holders of the Notes, the Company or the Trustee may fix, but shall not be required to,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154"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i w:val="1"/>
          <w:iCs w:val="1"/>
          <w:color w:val="auto"/>
        </w:rPr>
        <w:t>Proof of Execution by Holders</w:t>
      </w:r>
      <w:r>
        <w:rPr>
          <w:rFonts w:ascii="Arial" w:cs="Arial" w:eastAsia="Arial" w:hAnsi="Arial"/>
          <w:sz w:val="17"/>
          <w:szCs w:val="17"/>
          <w:color w:val="auto"/>
        </w:rPr>
        <w:t>. Subject to the provisions of Section 7.01, Section 7.02 and Section 9.05, proof of the execution of any instrument by a Holder or its agent or proxy shall be sufficient if made in accordance with such reasonable rules and regulations as may be prescribed by the Trustee or in such manner as shall be satisfactory to the Trustee. The holding of Notes shall be proved by the Note Register or by a certificate of the Note Registrar. The record of any Holders’ meeting shall be proved in the manner provided in Section 9.06.</w:t>
      </w:r>
    </w:p>
    <w:p>
      <w:pPr>
        <w:spacing w:after="0" w:line="17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i w:val="1"/>
          <w:iCs w:val="1"/>
          <w:color w:val="auto"/>
        </w:rPr>
        <w:t>Who Are Deemed Absolute Owners</w:t>
      </w:r>
      <w:r>
        <w:rPr>
          <w:rFonts w:ascii="Arial" w:cs="Arial" w:eastAsia="Arial" w:hAnsi="Arial"/>
          <w:sz w:val="16"/>
          <w:szCs w:val="16"/>
          <w:color w:val="auto"/>
        </w:rPr>
        <w:t>. The Company, the Trustee, any authenticating agent, any Paying Agent, any Conversion Agent and any Note Registrar may deem the Person in whose name a Note shall be registered upon the Note Register to be, and may treat it as, the absolute owner of such Note (whether or not such Note shall be overdue and notwithstanding any notation of ownership or other writing thereon made by any Person other than the Company or any Note Registrar) for the purpose of receiving payment of or on account of the principal of and (subject to Section 2.03) accrued and unpaid interest on such Note, for conversion of such Note and for all other purposes; and neither the Company nor the Trustee nor any Paying Agent nor any Conversion Agent nor any Note Registrar shall be affected by any notice to the contrary. All such payments so made to any Holder for the time being, or upon its order, shall be valid, and, to the extent of the sum or sums so paid, effectual to satisfy and discharge the liability for monies payable upon any such Note. Notwithstanding anything to the contrary in this Indenture or the Notes following an Event of Default, any Holder of a beneficial interest in a Global Note may directly enforce against the Company, without the consent, solicitation, proxy, authorization or any other action of the Depositary or any other Person, such Holder’s right to exchange such beneficial interest for a Note in certificated form in accordance with the provisions of this Indenture.</w:t>
      </w:r>
    </w:p>
    <w:p>
      <w:pPr>
        <w:spacing w:after="0" w:line="169"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8.04. </w:t>
      </w:r>
      <w:r>
        <w:rPr>
          <w:rFonts w:ascii="Arial" w:cs="Arial" w:eastAsia="Arial" w:hAnsi="Arial"/>
          <w:sz w:val="17"/>
          <w:szCs w:val="17"/>
          <w:i w:val="1"/>
          <w:iCs w:val="1"/>
          <w:color w:val="auto"/>
        </w:rPr>
        <w:t>Company-Owned Notes Disregarded</w:t>
      </w:r>
      <w:r>
        <w:rPr>
          <w:rFonts w:ascii="Arial" w:cs="Arial" w:eastAsia="Arial" w:hAnsi="Arial"/>
          <w:sz w:val="17"/>
          <w:szCs w:val="17"/>
          <w:color w:val="auto"/>
        </w:rPr>
        <w:t>. In determining whether the Holders of the requisite aggregate principal amount of Notes have concurred in any direction, consent, waiver or other action under this Indenture, Notes that are owned by the Company or by any Affiliate of the Company shall be disregarded and deemed not to be outstanding for the purpose of any such determination; provided that for the purposes of determining whether the Trustee shall be protected in relying on any such direction, consent, waiver or other action only Notes that a Responsible Officer knows are so owned shall be so disregarded. Notes so owned that have been pledged in good faith may be regarded as outstanding for the purposes of this Section 8.04 if the pledgee shall establish to the satisfaction of the Trustee the pledgee’s right to so act with respect to such Notes and that the pledgee is not the Company or an Affiliate of the Company. In the case of a dispute as to such right, any decision by the Trustee taken upon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7" w:name="page58"/>
    <w:bookmarkEnd w:id="57"/>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advice of counsel shall be full protection to the Trustee. Upon request of the Trustee, the Company shall furnish to the Trustee promptly an Officers’ Certificate listing and identifying all Notes, if any, known by the Company to be owned or held by or for the account of any of the above described Persons; and, subject to Section 7.01, the Trustee shall be entitled to accept such Officers’ Certificate as conclusive evidence of the facts therein set forth and of the fact that all Notes not listed therein are outstanding for the purpose of any such determination.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i w:val="1"/>
          <w:iCs w:val="1"/>
          <w:color w:val="auto"/>
        </w:rPr>
        <w:t>Revocation of Consents; Future Holders Bound</w:t>
      </w:r>
      <w:r>
        <w:rPr>
          <w:rFonts w:ascii="Arial" w:cs="Arial" w:eastAsia="Arial" w:hAnsi="Arial"/>
          <w:sz w:val="17"/>
          <w:szCs w:val="17"/>
          <w:color w:val="auto"/>
        </w:rPr>
        <w:t>. At any time prior to (but not after) the evidencing to the Trustee, as provided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Section 8.01, of the taking of any action by the Holders of the percentage in aggregate principal amount of the Notes specified in this Indenture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such action, any Holder of a Note that is shown by the evidence to be included in the Notes the Holders of which have consented to such action may,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filing written notice with the Trustee at its Corporate Trust Office and upon proof of holding as provided in Section 8.02, revoke such action so far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concerns such Note. Except as aforesaid, any such action taken by the Holder of any Note shall be conclusive and binding upon such Holder and upon 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future Holders and owners of such Note and of any Notes issued in exchange or substitution therefor or upon registration of transfer thereof, irrespective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whether any notation in regard thereto is made upon such Note or any Note issued in exchange or substitution therefor or upon registration of transfer thereof.</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9</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w:t>
      </w:r>
      <w:r>
        <w:rPr>
          <w:rFonts w:ascii="Arial" w:cs="Arial" w:eastAsia="Arial" w:hAnsi="Arial"/>
          <w:sz w:val="15"/>
          <w:szCs w:val="15"/>
          <w:color w:val="auto"/>
        </w:rPr>
        <w:t>OLDERS</w:t>
      </w:r>
      <w:r>
        <w:rPr>
          <w:rFonts w:ascii="Arial" w:cs="Arial" w:eastAsia="Arial" w:hAnsi="Arial"/>
          <w:sz w:val="18"/>
          <w:szCs w:val="18"/>
          <w:color w:val="auto"/>
        </w:rPr>
        <w:t>’ M</w:t>
      </w:r>
      <w:r>
        <w:rPr>
          <w:rFonts w:ascii="Arial" w:cs="Arial" w:eastAsia="Arial" w:hAnsi="Arial"/>
          <w:sz w:val="15"/>
          <w:szCs w:val="15"/>
          <w:color w:val="auto"/>
        </w:rPr>
        <w:t>EETINGS</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Purpose of Meetings</w:t>
      </w:r>
      <w:r>
        <w:rPr>
          <w:rFonts w:ascii="Arial" w:cs="Arial" w:eastAsia="Arial" w:hAnsi="Arial"/>
          <w:sz w:val="18"/>
          <w:szCs w:val="18"/>
          <w:color w:val="auto"/>
        </w:rPr>
        <w:t>. A meeting of Holders may be called at any time and from time to time pursuant to the provisions of this Article 9 for any of the following purposes:</w:t>
      </w:r>
    </w:p>
    <w:p>
      <w:pPr>
        <w:spacing w:after="0" w:line="170" w:lineRule="exact"/>
        <w:rPr>
          <w:sz w:val="20"/>
          <w:szCs w:val="20"/>
          <w:color w:val="auto"/>
        </w:rPr>
      </w:pPr>
    </w:p>
    <w:p>
      <w:pPr>
        <w:ind w:right="160" w:firstLine="464"/>
        <w:spacing w:after="0" w:line="264" w:lineRule="auto"/>
        <w:tabs>
          <w:tab w:leader="none" w:pos="83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give any notice to the Company or to the Trustee or to give any directions to the Trustee permitted under this Indenture, or to consent to the waiving of any Default or Event of Default hereunder and its consequences, or to take any other action authorized to be taken by Holders pursuant to any of the provisions of Article 6;</w:t>
      </w:r>
    </w:p>
    <w:p>
      <w:pPr>
        <w:spacing w:after="0" w:line="181" w:lineRule="exact"/>
        <w:rPr>
          <w:rFonts w:ascii="Arial" w:cs="Arial" w:eastAsia="Arial" w:hAnsi="Arial"/>
          <w:sz w:val="18"/>
          <w:szCs w:val="18"/>
          <w:color w:val="auto"/>
        </w:rPr>
      </w:pPr>
    </w:p>
    <w:p>
      <w:pPr>
        <w:ind w:left="860" w:hanging="396"/>
        <w:spacing w:after="0"/>
        <w:tabs>
          <w:tab w:leader="none" w:pos="8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remove the Trustee and nominate a successor trustee pursuant to the provisions of Article 7;</w:t>
      </w:r>
    </w:p>
    <w:p>
      <w:pPr>
        <w:spacing w:after="0" w:line="225" w:lineRule="exact"/>
        <w:rPr>
          <w:rFonts w:ascii="Arial" w:cs="Arial" w:eastAsia="Arial" w:hAnsi="Arial"/>
          <w:sz w:val="18"/>
          <w:szCs w:val="18"/>
          <w:color w:val="auto"/>
        </w:rPr>
      </w:pPr>
    </w:p>
    <w:p>
      <w:pPr>
        <w:ind w:left="840" w:hanging="376"/>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consent to the execution of an indenture or indentures supplemental hereto pursuant to the provisions of Section 10.02; or</w:t>
      </w:r>
    </w:p>
    <w:p>
      <w:pPr>
        <w:spacing w:after="0" w:line="225" w:lineRule="exact"/>
        <w:rPr>
          <w:rFonts w:ascii="Arial" w:cs="Arial" w:eastAsia="Arial" w:hAnsi="Arial"/>
          <w:sz w:val="18"/>
          <w:szCs w:val="18"/>
          <w:color w:val="auto"/>
        </w:rPr>
      </w:pPr>
    </w:p>
    <w:p>
      <w:pPr>
        <w:ind w:right="100" w:firstLine="464"/>
        <w:spacing w:after="0" w:line="277" w:lineRule="auto"/>
        <w:tabs>
          <w:tab w:leader="none" w:pos="84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take any other action authorized to be taken by or on behalf of the Holders of any specified aggregate principal amount of the Notes under any other provision of this Indenture or under applicable law.</w:t>
      </w:r>
    </w:p>
    <w:p>
      <w:pPr>
        <w:spacing w:after="0" w:line="170"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i w:val="1"/>
          <w:iCs w:val="1"/>
          <w:color w:val="auto"/>
        </w:rPr>
        <w:t>Call of Meetings by Trustee</w:t>
      </w:r>
      <w:r>
        <w:rPr>
          <w:rFonts w:ascii="Arial" w:cs="Arial" w:eastAsia="Arial" w:hAnsi="Arial"/>
          <w:sz w:val="18"/>
          <w:szCs w:val="18"/>
          <w:color w:val="auto"/>
        </w:rPr>
        <w:t>. The Trustee may at any time call a meeting of Holders to take any action specified in Section 9.01, to be held at such time and at such place as the Trustee shall determine. Notice of every meeting of the Holders, setting forth the time and the place of such meeting and in general terms the action proposed to be taken at such meeting and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58" w:name="page59"/>
    <w:bookmarkEnd w:id="58"/>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establishment of any record date pursuant to Section 8.01, shall be mailed to Holders of such Notes at their addresses as they shall appear on the Note Register. Such notice shall also be mailed to the Company. Such notices shall be mailed not less than 20 nor more than 90 days prior to the date fixed for the meeting.</w:t>
      </w:r>
    </w:p>
    <w:p>
      <w:pPr>
        <w:spacing w:after="0" w:line="181" w:lineRule="exact"/>
        <w:rPr>
          <w:sz w:val="20"/>
          <w:szCs w:val="20"/>
          <w:color w:val="auto"/>
        </w:rPr>
      </w:pPr>
    </w:p>
    <w:p>
      <w:pPr>
        <w:ind w:right="520" w:firstLine="456"/>
        <w:spacing w:after="0" w:line="264" w:lineRule="auto"/>
        <w:rPr>
          <w:sz w:val="20"/>
          <w:szCs w:val="20"/>
          <w:color w:val="auto"/>
        </w:rPr>
      </w:pPr>
      <w:r>
        <w:rPr>
          <w:rFonts w:ascii="Arial" w:cs="Arial" w:eastAsia="Arial" w:hAnsi="Arial"/>
          <w:sz w:val="18"/>
          <w:szCs w:val="18"/>
          <w:color w:val="auto"/>
        </w:rPr>
        <w:t>Any meeting of Holders shall be valid without notice if the Holders of all Notes then outstanding are present in person or by proxy or if notice is waived before or after the meeting by the Holders of all Notes outstanding, and if the Company and the Trustee are either present by duly authorized representatives or have, before or after the meeting, waived notice.</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i w:val="1"/>
          <w:iCs w:val="1"/>
          <w:color w:val="auto"/>
        </w:rPr>
        <w:t>Call of Meetings by Company or Holders</w:t>
      </w:r>
      <w:r>
        <w:rPr>
          <w:rFonts w:ascii="Arial" w:cs="Arial" w:eastAsia="Arial" w:hAnsi="Arial"/>
          <w:sz w:val="17"/>
          <w:szCs w:val="17"/>
          <w:color w:val="auto"/>
        </w:rPr>
        <w:t>. In case at any time the Company, pursuant to a Board Resolution, or the Holders of at least 10% in aggregate principal amount of the Notes then outstanding, shall have requested the Trustee to call a meeting of Holders, by written request setting forth in reasonable detail the action proposed to be taken at the meeting, and the Trustee shall not have mailed the notice of such meeting within 20 days after receipt of such request, then the Company or such Holders may determine the time and the place for such meeting and may call such meeting to take any action authorized in Section 9.01, by mailing notice thereof as provided in Section 9.02.</w:t>
      </w:r>
    </w:p>
    <w:p>
      <w:pPr>
        <w:spacing w:after="0" w:line="173"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i w:val="1"/>
          <w:iCs w:val="1"/>
          <w:color w:val="auto"/>
        </w:rPr>
        <w:t>Qualifications for Voting</w:t>
      </w:r>
      <w:r>
        <w:rPr>
          <w:rFonts w:ascii="Arial" w:cs="Arial" w:eastAsia="Arial" w:hAnsi="Arial"/>
          <w:sz w:val="16"/>
          <w:szCs w:val="16"/>
          <w:color w:val="auto"/>
        </w:rPr>
        <w:t>. To be entitled to vote at any meeting of Holders a Person shall (a) be a Holder of one or more Notes on the record date pertaining to such meeting or (b) be a Person appointed by an instrument in writing as proxy by a Holder of one or more Notes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5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Regulations</w:t>
      </w:r>
      <w:r>
        <w:rPr>
          <w:rFonts w:ascii="Arial" w:cs="Arial" w:eastAsia="Arial" w:hAnsi="Arial"/>
          <w:sz w:val="18"/>
          <w:szCs w:val="18"/>
          <w:color w:val="auto"/>
        </w:rPr>
        <w:t>. Notwithstanding any other provisions of this Indenture, the Trustee may make such reasonable regulations as it may deem advisable for any meeting of Holders, in regard to proof of the holding of Notes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Trustee shall, by an instrument in writing, appoint a temporary chairman of the meeting, unless the meeting shall have been called by the Company or by Holders as provided in Section 9.03, in which case the Company or the Holders calling the meeting, as the case may be, shall in like manner appoint a temporary chairman. A permanent chairman and a permanent secretary of the meeting shall be elected by vote of the Holders of a majority in principal amount of the Notes represented at the meeting and entitled to vote at the meeting.</w:t>
      </w:r>
    </w:p>
    <w:p>
      <w:pPr>
        <w:spacing w:after="0" w:line="187"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 xml:space="preserve">Subject to the provisions of Section 8.04, at any meeting of Holders each Holder or proxyholder shall be entitled to one vote for each $1,000 principal amount of Notes held or represented by him;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vote shall be cast or counted at any meeting in respect of any Note challenged as not outstanding and ruled by the chairman of the meeting to be not outstanding.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59" w:name="page60"/>
    <w:bookmarkEnd w:id="59"/>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chairman of the meeting shall have no right to vote other than by virtue of Notes held by it or instruments in writing as aforesaid duly designating it as the proxy to vote on behalf of other Holders. Any meeting of Holders duly called pursuant to the provisions of Section 9.02 or Section 9.03 may be adjourned from time to time by the Holders of a majority of the aggregate principal amount of Notes represented at the meeting, whether or not constituting a quorum, and the meeting may be held as so adjourned without further notice.</w:t>
      </w:r>
    </w:p>
    <w:p>
      <w:pPr>
        <w:spacing w:after="0" w:line="18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 xml:space="preserve">Section 9.06. </w:t>
      </w:r>
      <w:r>
        <w:rPr>
          <w:rFonts w:ascii="Arial" w:cs="Arial" w:eastAsia="Arial" w:hAnsi="Arial"/>
          <w:sz w:val="17"/>
          <w:szCs w:val="17"/>
          <w:i w:val="1"/>
          <w:iCs w:val="1"/>
          <w:color w:val="auto"/>
        </w:rPr>
        <w:t>Voting</w:t>
      </w:r>
      <w:r>
        <w:rPr>
          <w:rFonts w:ascii="Arial" w:cs="Arial" w:eastAsia="Arial" w:hAnsi="Arial"/>
          <w:sz w:val="17"/>
          <w:szCs w:val="17"/>
          <w:color w:val="auto"/>
        </w:rPr>
        <w:t>. The vote upon any resolution submitted to any meeting of Holders shall be by written ballot on which shall be subscribed the signatures of the Holders or of their representatives by proxy and the outstanding principal amount of the Notes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mailed as provided in Section 9.02. The record shall show the principal amount of the Notes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record so signed and verified shall be conclusive evidence of the matters therein stated.</w:t>
      </w:r>
    </w:p>
    <w:p>
      <w:pPr>
        <w:spacing w:after="0" w:line="225"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 xml:space="preserve">Section 9.07. </w:t>
      </w:r>
      <w:r>
        <w:rPr>
          <w:rFonts w:ascii="Arial" w:cs="Arial" w:eastAsia="Arial" w:hAnsi="Arial"/>
          <w:sz w:val="17"/>
          <w:szCs w:val="17"/>
          <w:i w:val="1"/>
          <w:iCs w:val="1"/>
          <w:color w:val="auto"/>
        </w:rPr>
        <w:t>No Delay of Rights by Meeting</w:t>
      </w:r>
      <w:r>
        <w:rPr>
          <w:rFonts w:ascii="Arial" w:cs="Arial" w:eastAsia="Arial" w:hAnsi="Arial"/>
          <w:sz w:val="17"/>
          <w:szCs w:val="17"/>
          <w:color w:val="auto"/>
        </w:rPr>
        <w:t>. Nothing contained in this Article 9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Notes.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10</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UPPLEMENTAL</w:t>
      </w:r>
      <w:r>
        <w:rPr>
          <w:rFonts w:ascii="Arial" w:cs="Arial" w:eastAsia="Arial" w:hAnsi="Arial"/>
          <w:sz w:val="18"/>
          <w:szCs w:val="18"/>
          <w:color w:val="auto"/>
        </w:rPr>
        <w:t xml:space="preserve"> I</w:t>
      </w:r>
      <w:r>
        <w:rPr>
          <w:rFonts w:ascii="Arial" w:cs="Arial" w:eastAsia="Arial" w:hAnsi="Arial"/>
          <w:sz w:val="15"/>
          <w:szCs w:val="15"/>
          <w:color w:val="auto"/>
        </w:rPr>
        <w:t>NDENTURES</w:t>
      </w:r>
    </w:p>
    <w:p>
      <w:pPr>
        <w:spacing w:after="0" w:line="211"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i w:val="1"/>
          <w:iCs w:val="1"/>
          <w:color w:val="auto"/>
        </w:rPr>
        <w:t>Supplemental Indentures Without Consent of Holders</w:t>
      </w:r>
      <w:r>
        <w:rPr>
          <w:rFonts w:ascii="Arial" w:cs="Arial" w:eastAsia="Arial" w:hAnsi="Arial"/>
          <w:sz w:val="18"/>
          <w:szCs w:val="18"/>
          <w:color w:val="auto"/>
        </w:rPr>
        <w:t>. The Company, when authorized by the resolutions of the Board of Directors and the Trustee, at the Company’s expense and without notice, may from time to time and at any time enter into an indenture or indentures supplemental hereto for one or more of the following purposes:</w:t>
      </w:r>
    </w:p>
    <w:p>
      <w:pPr>
        <w:spacing w:after="0" w:line="181" w:lineRule="exact"/>
        <w:rPr>
          <w:sz w:val="20"/>
          <w:szCs w:val="20"/>
          <w:color w:val="auto"/>
        </w:rPr>
      </w:pPr>
    </w:p>
    <w:p>
      <w:pPr>
        <w:ind w:left="840" w:hanging="376"/>
        <w:spacing w:after="0"/>
        <w:tabs>
          <w:tab w:leader="none" w:pos="8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to cure or supplement any ambiguity, omission, defect or inconsistency as determined in good faith by the Company, as evidenced in an Officers’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Certificate;</w:t>
      </w:r>
    </w:p>
    <w:p>
      <w:pPr>
        <w:spacing w:after="0" w:line="210" w:lineRule="exact"/>
        <w:rPr>
          <w:rFonts w:ascii="Arial" w:cs="Arial" w:eastAsia="Arial" w:hAnsi="Arial"/>
          <w:sz w:val="16"/>
          <w:szCs w:val="16"/>
          <w:color w:val="auto"/>
        </w:rPr>
      </w:pPr>
    </w:p>
    <w:p>
      <w:pPr>
        <w:ind w:left="860" w:hanging="396"/>
        <w:spacing w:after="0"/>
        <w:tabs>
          <w:tab w:leader="none" w:pos="8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to provide for the assumption by a Successor Company of the obligations of the Company under this Indenture pursuant to Article 11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13.07;</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274" w:right="279" w:bottom="1440" w:gutter="0" w:footer="0" w:header="0"/>
        </w:sectPr>
      </w:pPr>
    </w:p>
    <w:bookmarkStart w:id="60" w:name="page61"/>
    <w:bookmarkEnd w:id="60"/>
    <w:p>
      <w:pPr>
        <w:ind w:left="840" w:hanging="376"/>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add guarantees with respect to the Notes;</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secure the Notes;</w:t>
      </w:r>
    </w:p>
    <w:p>
      <w:pPr>
        <w:spacing w:after="0" w:line="225" w:lineRule="exact"/>
        <w:rPr>
          <w:rFonts w:ascii="Arial" w:cs="Arial" w:eastAsia="Arial" w:hAnsi="Arial"/>
          <w:sz w:val="18"/>
          <w:szCs w:val="18"/>
          <w:color w:val="auto"/>
        </w:rPr>
      </w:pPr>
    </w:p>
    <w:p>
      <w:pPr>
        <w:ind w:left="840" w:hanging="376"/>
        <w:spacing w:after="0"/>
        <w:tabs>
          <w:tab w:leader="none" w:pos="8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to add to the covenants of the Company or Events of Default for the benefit of the Holders or surrender any right or power conferred upon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right="600" w:firstLine="464"/>
        <w:spacing w:after="0" w:line="277" w:lineRule="auto"/>
        <w:tabs>
          <w:tab w:leader="none" w:pos="81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as determined in good faith by the Company, as evidenced in an Officers’ Certificate;</w:t>
      </w:r>
    </w:p>
    <w:p>
      <w:pPr>
        <w:spacing w:after="0" w:line="170" w:lineRule="exact"/>
        <w:rPr>
          <w:rFonts w:ascii="Arial" w:cs="Arial" w:eastAsia="Arial" w:hAnsi="Arial"/>
          <w:sz w:val="18"/>
          <w:szCs w:val="18"/>
          <w:color w:val="auto"/>
        </w:rPr>
      </w:pPr>
    </w:p>
    <w:p>
      <w:pPr>
        <w:ind w:right="20" w:firstLine="464"/>
        <w:spacing w:after="0" w:line="277" w:lineRule="auto"/>
        <w:tabs>
          <w:tab w:leader="none" w:pos="84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conform the provisions of this Indenture or the Notes to the “Description of Notes” section of the Offering Memorandum as determined in good faith by the Company, as evidenced in an Officers’ Certificate;</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evidence and provide for the appointment under this Indenture of a successor Trustee; or</w:t>
      </w:r>
    </w:p>
    <w:p>
      <w:pPr>
        <w:spacing w:after="0" w:line="225" w:lineRule="exact"/>
        <w:rPr>
          <w:rFonts w:ascii="Arial" w:cs="Arial" w:eastAsia="Arial" w:hAnsi="Arial"/>
          <w:sz w:val="18"/>
          <w:szCs w:val="18"/>
          <w:color w:val="auto"/>
        </w:rPr>
      </w:pPr>
    </w:p>
    <w:p>
      <w:pPr>
        <w:ind w:right="440" w:firstLine="464"/>
        <w:spacing w:after="0" w:line="277" w:lineRule="auto"/>
        <w:tabs>
          <w:tab w:leader="none" w:pos="80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make any other change that does not adversely affect the interests of the Holders in any material respect as determined in good faith by the Company, as evidenced in an Officers’ Certificate.</w:t>
      </w:r>
    </w:p>
    <w:p>
      <w:pPr>
        <w:spacing w:after="0" w:line="170"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Upon the written request of the Company, the Trustee is hereby authorized to join with the Company in the execution of any such supplemental indenture, to make any further appropriate agreements and stipulations that may be therein contained, but the Trustee shall not be obligated to, but may in its discretion, enter into any supplemental indenture that affects the Trustee’s own rights, duties or immunities under this Indenture or otherwise.</w:t>
      </w:r>
    </w:p>
    <w:p>
      <w:pPr>
        <w:spacing w:after="0" w:line="14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Any supplemental indenture authorized by the provisions of this Section 10.01 may be executed by the Company and the Trustee without the consent of the Holders of any of the Notes at the time outstanding, notwithstanding any of the provisions of Section 10.02.</w:t>
      </w:r>
    </w:p>
    <w:p>
      <w:pPr>
        <w:spacing w:after="0" w:line="17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Supplemental Indentures with Consent of Holders</w:t>
      </w:r>
      <w:r>
        <w:rPr>
          <w:rFonts w:ascii="Arial" w:cs="Arial" w:eastAsia="Arial" w:hAnsi="Arial"/>
          <w:sz w:val="18"/>
          <w:szCs w:val="18"/>
          <w:color w:val="auto"/>
        </w:rPr>
        <w:t>. With the consent (evidenced as provided in Article 8) of the Holders of at least a majority in aggregate principal amount of the Notes then outstanding (determined in accordance with Article 8 and including, without limitation, consents obtained in connection with a repurchase of, or tender or exchange offer for, Notes), the Company, when authorized by the resolutions of the Board of Directors and the Trustee, at the Company’s expense, may from time to time and at any time enter into an indenture or indentures supplemental hereto for the purpose of adding any provisions to or changing in any manner or eliminating any of the provisions of this Indenture or any supplemental indenture or of modifying in any manner the rights of the Holders; provided, however, that, without the consent of each Holder of an outstanding Note affected, no such supplemental indenture shall:</w:t>
      </w:r>
    </w:p>
    <w:p>
      <w:pPr>
        <w:spacing w:after="0" w:line="189" w:lineRule="exact"/>
        <w:rPr>
          <w:sz w:val="20"/>
          <w:szCs w:val="20"/>
          <w:color w:val="auto"/>
        </w:rPr>
      </w:pPr>
    </w:p>
    <w:p>
      <w:pPr>
        <w:ind w:left="840" w:hanging="376"/>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 the amount of Notes whose Holders must consent to an amendment;</w:t>
      </w:r>
    </w:p>
    <w:p>
      <w:pPr>
        <w:spacing w:after="0" w:line="225" w:lineRule="exact"/>
        <w:rPr>
          <w:rFonts w:ascii="Arial" w:cs="Arial" w:eastAsia="Arial" w:hAnsi="Arial"/>
          <w:sz w:val="18"/>
          <w:szCs w:val="18"/>
          <w:color w:val="auto"/>
        </w:rPr>
      </w:pPr>
    </w:p>
    <w:p>
      <w:pPr>
        <w:ind w:left="5620" w:right="4840" w:hanging="5156"/>
        <w:spacing w:after="0" w:line="490" w:lineRule="auto"/>
        <w:tabs>
          <w:tab w:leader="none" w:pos="851"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reduce the rate of or extend the stated time for payment of interest on any Note; 51</w:t>
      </w:r>
    </w:p>
    <w:p>
      <w:pPr>
        <w:sectPr>
          <w:pgSz w:w="11900" w:h="16838" w:orient="portrait"/>
          <w:cols w:equalWidth="0" w:num="1">
            <w:col w:w="11420"/>
          </w:cols>
          <w:pgMar w:left="240" w:top="274" w:right="239" w:bottom="1440" w:gutter="0" w:footer="0" w:header="0"/>
        </w:sectPr>
      </w:pPr>
    </w:p>
    <w:bookmarkStart w:id="61" w:name="page62"/>
    <w:bookmarkEnd w:id="61"/>
    <w:p>
      <w:pPr>
        <w:ind w:left="840" w:hanging="376"/>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reduce the principal of or extend the Maturity Date of any Note;</w:t>
      </w:r>
    </w:p>
    <w:p>
      <w:pPr>
        <w:spacing w:after="0" w:line="225" w:lineRule="exact"/>
        <w:rPr>
          <w:rFonts w:ascii="Arial" w:cs="Arial" w:eastAsia="Arial" w:hAnsi="Arial"/>
          <w:sz w:val="18"/>
          <w:szCs w:val="18"/>
          <w:color w:val="auto"/>
        </w:rPr>
      </w:pPr>
    </w:p>
    <w:p>
      <w:pPr>
        <w:ind w:left="860" w:hanging="396"/>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that adversely affects the conversion rights of any Notes;</w:t>
      </w:r>
    </w:p>
    <w:p>
      <w:pPr>
        <w:spacing w:after="0" w:line="225" w:lineRule="exact"/>
        <w:rPr>
          <w:rFonts w:ascii="Arial" w:cs="Arial" w:eastAsia="Arial" w:hAnsi="Arial"/>
          <w:sz w:val="18"/>
          <w:szCs w:val="18"/>
          <w:color w:val="auto"/>
        </w:rPr>
      </w:pPr>
    </w:p>
    <w:p>
      <w:pPr>
        <w:ind w:right="600" w:firstLine="464"/>
        <w:spacing w:after="0" w:line="342" w:lineRule="auto"/>
        <w:tabs>
          <w:tab w:leader="none" w:pos="836"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reduce the Fundamental Change Repurchase Price of any Note or amend or modify in any manner adverse to the Holders the Company’s obligation to make such payments, whether through an amendment or waiver of provisions in the covenants, definitions or otherwise;</w:t>
      </w:r>
    </w:p>
    <w:p>
      <w:pPr>
        <w:spacing w:after="0" w:line="123" w:lineRule="exact"/>
        <w:rPr>
          <w:rFonts w:ascii="Arial" w:cs="Arial" w:eastAsia="Arial" w:hAnsi="Arial"/>
          <w:sz w:val="16"/>
          <w:szCs w:val="16"/>
          <w:color w:val="auto"/>
        </w:rPr>
      </w:pPr>
    </w:p>
    <w:p>
      <w:pPr>
        <w:ind w:left="820" w:hanging="356"/>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Note payable in money other than that stated in the Note;</w:t>
      </w:r>
    </w:p>
    <w:p>
      <w:pPr>
        <w:spacing w:after="0" w:line="225" w:lineRule="exact"/>
        <w:rPr>
          <w:rFonts w:ascii="Arial" w:cs="Arial" w:eastAsia="Arial" w:hAnsi="Arial"/>
          <w:sz w:val="18"/>
          <w:szCs w:val="18"/>
          <w:color w:val="auto"/>
        </w:rPr>
      </w:pPr>
    </w:p>
    <w:p>
      <w:pPr>
        <w:ind w:right="400" w:firstLine="464"/>
        <w:spacing w:after="0" w:line="277" w:lineRule="auto"/>
        <w:tabs>
          <w:tab w:leader="none" w:pos="846"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right of any Holder to receive payment of principal of and interest on such Holder’s Notes on or after the due dates therefor or to institute suit for the enforcement of any payment on or with respect to such Holder’s Note;</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reflect the replacement of Common Stock by Reference Property as described in Section 13.07; or</w:t>
      </w:r>
    </w:p>
    <w:p>
      <w:pPr>
        <w:spacing w:after="0" w:line="225" w:lineRule="exact"/>
        <w:rPr>
          <w:rFonts w:ascii="Arial" w:cs="Arial" w:eastAsia="Arial" w:hAnsi="Arial"/>
          <w:sz w:val="18"/>
          <w:szCs w:val="18"/>
          <w:color w:val="auto"/>
        </w:rPr>
      </w:pPr>
    </w:p>
    <w:p>
      <w:pPr>
        <w:ind w:right="280" w:firstLine="464"/>
        <w:spacing w:after="0" w:line="264" w:lineRule="auto"/>
        <w:tabs>
          <w:tab w:leader="none" w:pos="806"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change in this Article 10 that requires each Holder’s consent or in the waiver provisions in Section 6.01 or Section 6.09, except to increase any such percentage or to provide that other provisions of the Indenture cannot be modified or waived without the consent of the Holder of each outstanding Note affected thereby.</w:t>
      </w:r>
    </w:p>
    <w:p>
      <w:pPr>
        <w:spacing w:after="0" w:line="18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Upon the written request of the Company, and upon the filing with the Trustee of evidence of the consent of Holders as aforesaid and subject to Section 10.05,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8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Holders do not need under this Section 10.02 to approve the particular form of any proposed supplemental indenture. It shall be sufficient if such Holders approve the substance thereof. After any such supplemental indenture becomes effective, the Company shall mail to the Holders a notice briefly describing such supplemental indenture. However, the failure to give such notice to all the Holders, or any defect in the notice, will not impair or affect the validity of the supplemental indenture.</w:t>
      </w:r>
    </w:p>
    <w:p>
      <w:pPr>
        <w:spacing w:after="0" w:line="187" w:lineRule="exact"/>
        <w:rPr>
          <w:sz w:val="20"/>
          <w:szCs w:val="20"/>
          <w:color w:val="auto"/>
        </w:rPr>
      </w:pPr>
    </w:p>
    <w:p>
      <w:pPr>
        <w:jc w:val="both"/>
        <w:ind w:firstLine="456"/>
        <w:spacing w:after="0" w:line="257"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Effect of Supplemental Indentures</w:t>
      </w:r>
      <w:r>
        <w:rPr>
          <w:rFonts w:ascii="Arial" w:cs="Arial" w:eastAsia="Arial" w:hAnsi="Arial"/>
          <w:sz w:val="18"/>
          <w:szCs w:val="18"/>
          <w:color w:val="auto"/>
        </w:rPr>
        <w:t>. Upon the execution of any supplemental indenture pursuant to the provisions of this Article 10, this Indenture shall be and be deemed to be modified and amended in accordance therewith and the respective rights, limitation of rights, obligations, duties and immunities under this Indenture of the Trustee, the Company and the Holders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00"/>
          </w:cols>
          <w:pgMar w:left="240" w:top="274" w:right="359" w:bottom="1440" w:gutter="0" w:footer="0" w:header="0"/>
        </w:sectPr>
      </w:pPr>
    </w:p>
    <w:bookmarkStart w:id="62" w:name="page63"/>
    <w:bookmarkEnd w:id="62"/>
    <w:p>
      <w:pPr>
        <w:ind w:firstLine="456"/>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10.04. </w:t>
      </w:r>
      <w:r>
        <w:rPr>
          <w:rFonts w:ascii="Arial" w:cs="Arial" w:eastAsia="Arial" w:hAnsi="Arial"/>
          <w:sz w:val="18"/>
          <w:szCs w:val="18"/>
          <w:i w:val="1"/>
          <w:iCs w:val="1"/>
          <w:color w:val="auto"/>
        </w:rPr>
        <w:t>Notation on Notes</w:t>
      </w:r>
      <w:r>
        <w:rPr>
          <w:rFonts w:ascii="Arial" w:cs="Arial" w:eastAsia="Arial" w:hAnsi="Arial"/>
          <w:sz w:val="18"/>
          <w:szCs w:val="18"/>
          <w:color w:val="auto"/>
        </w:rPr>
        <w:t>. Notes authenticated and delivered after the execution of any supplemental indenture pursuant to the provisions of this Article 10 may, at the Company’s expense, bear a notation in form approved by the Trustee as to any matter provided for in such supplemental indenture. If the Company or the Trustee shall so determine, new Notes so modified as to conform, in the opinion of the Trustee and the Board of Directors, to any modification of this Indenture contained in any such supplemental indenture may, at the Company’s expense, be prepared and executed by the Company, authenticated by the Trustee (or an authenticating agent duly appointed by the Trustee pursuant to Section 16.10) and delivered in exchange for the Notes then outstanding, upon surrender of such Notes then outstanding.</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Evidence of Compliance of Supplemental Indenture to Be Furnished Trustee</w:t>
      </w:r>
      <w:r>
        <w:rPr>
          <w:rFonts w:ascii="Arial" w:cs="Arial" w:eastAsia="Arial" w:hAnsi="Arial"/>
          <w:sz w:val="18"/>
          <w:szCs w:val="18"/>
          <w:color w:val="auto"/>
        </w:rPr>
        <w:t>. In addition to the documents required by Section 16.05, the Trustee shall receive an Officers’ Certificate and an Opinion of Counsel as conclusive evidence that any supplemental indenture executed pursuant hereto complies with the requirements of this Article 10 and is permitted or authorized by the Indenture. Such Opinion of Counsel shall state that the executions of such supplemental indenture is authorized or permitted by this Indenture and constitutes the legal, valid and binding obligation of the Company, enforceable against it in accordance with its terms.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ONSOLIDATION</w:t>
      </w:r>
      <w:r>
        <w:rPr>
          <w:rFonts w:ascii="Arial" w:cs="Arial" w:eastAsia="Arial" w:hAnsi="Arial"/>
          <w:sz w:val="18"/>
          <w:szCs w:val="18"/>
          <w:color w:val="auto"/>
        </w:rPr>
        <w:t>, M</w:t>
      </w:r>
      <w:r>
        <w:rPr>
          <w:rFonts w:ascii="Arial" w:cs="Arial" w:eastAsia="Arial" w:hAnsi="Arial"/>
          <w:sz w:val="15"/>
          <w:szCs w:val="15"/>
          <w:color w:val="auto"/>
        </w:rPr>
        <w:t>ERGER</w:t>
      </w:r>
      <w:r>
        <w:rPr>
          <w:rFonts w:ascii="Arial" w:cs="Arial" w:eastAsia="Arial" w:hAnsi="Arial"/>
          <w:sz w:val="18"/>
          <w:szCs w:val="18"/>
          <w:color w:val="auto"/>
        </w:rPr>
        <w:t>, S</w:t>
      </w:r>
      <w:r>
        <w:rPr>
          <w:rFonts w:ascii="Arial" w:cs="Arial" w:eastAsia="Arial" w:hAnsi="Arial"/>
          <w:sz w:val="15"/>
          <w:szCs w:val="15"/>
          <w:color w:val="auto"/>
        </w:rPr>
        <w:t>ALE</w:t>
      </w:r>
      <w:r>
        <w:rPr>
          <w:rFonts w:ascii="Arial" w:cs="Arial" w:eastAsia="Arial" w:hAnsi="Arial"/>
          <w:sz w:val="18"/>
          <w:szCs w:val="18"/>
          <w:color w:val="auto"/>
        </w:rPr>
        <w:t>, C</w:t>
      </w:r>
      <w:r>
        <w:rPr>
          <w:rFonts w:ascii="Arial" w:cs="Arial" w:eastAsia="Arial" w:hAnsi="Arial"/>
          <w:sz w:val="15"/>
          <w:szCs w:val="15"/>
          <w:color w:val="auto"/>
        </w:rPr>
        <w:t>ONVEYANCE AND</w:t>
      </w:r>
      <w:r>
        <w:rPr>
          <w:rFonts w:ascii="Arial" w:cs="Arial" w:eastAsia="Arial" w:hAnsi="Arial"/>
          <w:sz w:val="18"/>
          <w:szCs w:val="18"/>
          <w:color w:val="auto"/>
        </w:rPr>
        <w:t xml:space="preserve"> L</w:t>
      </w:r>
      <w:r>
        <w:rPr>
          <w:rFonts w:ascii="Arial" w:cs="Arial" w:eastAsia="Arial" w:hAnsi="Arial"/>
          <w:sz w:val="15"/>
          <w:szCs w:val="15"/>
          <w:color w:val="auto"/>
        </w:rPr>
        <w:t>EASE</w:t>
      </w:r>
    </w:p>
    <w:p>
      <w:pPr>
        <w:spacing w:after="0" w:line="21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Company May Consolidate, Etc. on Certain Terms</w:t>
      </w:r>
      <w:r>
        <w:rPr>
          <w:rFonts w:ascii="Arial" w:cs="Arial" w:eastAsia="Arial" w:hAnsi="Arial"/>
          <w:sz w:val="18"/>
          <w:szCs w:val="18"/>
          <w:color w:val="auto"/>
        </w:rPr>
        <w:t>. Subject to the provisions of Section 11.02, the Company shall not consolidate with or merge with or into, or sell, convey, transfer or lease all or substantially all of its properties and assets to another Person (provided that a pledge of its assets pursuant to any Credit Facility shall be deemed not to be a sale, conveyance, transfer or lease), unless:</w:t>
      </w:r>
    </w:p>
    <w:p>
      <w:pPr>
        <w:spacing w:after="0" w:line="177" w:lineRule="exact"/>
        <w:rPr>
          <w:sz w:val="20"/>
          <w:szCs w:val="20"/>
          <w:color w:val="auto"/>
        </w:rPr>
      </w:pPr>
    </w:p>
    <w:p>
      <w:pPr>
        <w:ind w:right="40" w:firstLine="464"/>
        <w:spacing w:after="0" w:line="266" w:lineRule="auto"/>
        <w:tabs>
          <w:tab w:leader="none" w:pos="8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resulting, surviving or transferee Person (the “</w:t>
      </w:r>
      <w:r>
        <w:rPr>
          <w:rFonts w:ascii="Arial" w:cs="Arial" w:eastAsia="Arial" w:hAnsi="Arial"/>
          <w:sz w:val="18"/>
          <w:szCs w:val="18"/>
          <w:b w:val="1"/>
          <w:bCs w:val="1"/>
          <w:color w:val="auto"/>
        </w:rPr>
        <w:t>Successor Company</w:t>
      </w:r>
      <w:r>
        <w:rPr>
          <w:rFonts w:ascii="Arial" w:cs="Arial" w:eastAsia="Arial" w:hAnsi="Arial"/>
          <w:sz w:val="18"/>
          <w:szCs w:val="18"/>
          <w:color w:val="auto"/>
        </w:rPr>
        <w:t>”), if not the Company, shall be a corporation organized and existing under the laws of the United States of America, any State thereof or the District of Columbia, and the Successor Company (if not the Company) shall expressly assume, by supplemental indenture all of the obligations of the Company under the Notes and this Indenture; and</w:t>
      </w:r>
    </w:p>
    <w:p>
      <w:pPr>
        <w:spacing w:after="0" w:line="180" w:lineRule="exact"/>
        <w:rPr>
          <w:rFonts w:ascii="Arial" w:cs="Arial" w:eastAsia="Arial" w:hAnsi="Arial"/>
          <w:sz w:val="18"/>
          <w:szCs w:val="18"/>
          <w:color w:val="auto"/>
        </w:rPr>
      </w:pPr>
    </w:p>
    <w:p>
      <w:pPr>
        <w:ind w:left="860" w:hanging="396"/>
        <w:spacing w:after="0"/>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Default or Event of Default shall have occurred and be continuing under this Indenture.</w:t>
      </w:r>
    </w:p>
    <w:p>
      <w:pPr>
        <w:spacing w:after="0" w:line="248"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i w:val="1"/>
          <w:iCs w:val="1"/>
          <w:color w:val="auto"/>
        </w:rPr>
        <w:t>Successor Corporation to Be Substituted</w:t>
      </w:r>
      <w:r>
        <w:rPr>
          <w:rFonts w:ascii="Arial" w:cs="Arial" w:eastAsia="Arial" w:hAnsi="Arial"/>
          <w:sz w:val="18"/>
          <w:szCs w:val="18"/>
          <w:color w:val="auto"/>
        </w:rPr>
        <w:t>. In case of any such consolidation, merger, sale, conveyance, transfer or lease and upon the assumption by the Successor Company, by supplemental indenture, executed and delivered to the Trustee and satisfactory in form to the Trustee, of the due and punctual payment of the principal of and accrued and unpaid interest on all of the Notes, the due and punctual delivery or payment, as the case may be, of any consideration due upon conversion of the Notes and the due and punctual performance of all of the covenants and conditions of this Indenture to be performed by the Company, such Successor Company shall succeed to and be substituted for the Company, with the same effect as if it had been named herein as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63" w:name="page64"/>
    <w:bookmarkEnd w:id="63"/>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party of the first part, except in the case of a lease of all or substantially all of the Company’s properties and assets. Such Successor Company thereupon may cause to be signed, and may issue either in its own name or in the name of the Company any or all of the Notes issuable hereunder which theretofore shall not have been signed by the Company and delivered to the Trustee; and, upon the order of such Successor Company instead of the Company and subject to all the terms, conditions and limitations in this Indenture prescribed, the Trustee shall authenticate and shall deliver, or cause to be authenticated and delivered, any Notes that previously shall have been signed and delivered by the Officers of the Company to the Trustee for authentication, and any Notes that such Successor Company thereafter shall cause to be signed and delivered to the Trustee for that purpose. All the Notes so issued shall in all respects have the same legal rank and benefit under this Indenture as the Notes theretofore or thereafter issued in accordance with the terms of this Indenture as though all of such Notes had been issued at the date of the execution hereof. In the event of any such consolidation, merger, sale, conveyance or transfer (but not in the case of a lease), upon compliance with this Article 11 the Person named as the “Company” in the first paragraph of this Indenture (or any successor that shall thereafter have become such in the manner prescribed in this Article 11) may be dissolved, wound up and liquidated at any time thereafter and, except in the case of a lease, such Person shall be released from its liabilities as obligor and maker of the Notes and from its obligations under this Indenture.</w:t>
      </w:r>
    </w:p>
    <w:p>
      <w:pPr>
        <w:spacing w:after="0" w:line="173"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case of any such consolidation, merger, sale, conveyance, transfer or lease, such changes in phraseology and form (but not in substance) may be made in the Notes thereafter to be issued as may be appropriate.</w:t>
      </w:r>
    </w:p>
    <w:p>
      <w:pPr>
        <w:spacing w:after="0" w:line="17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i w:val="1"/>
          <w:iCs w:val="1"/>
          <w:color w:val="auto"/>
        </w:rPr>
        <w:t>Opinion of Counsel to Be Given to Trustee</w:t>
      </w:r>
      <w:r>
        <w:rPr>
          <w:rFonts w:ascii="Arial" w:cs="Arial" w:eastAsia="Arial" w:hAnsi="Arial"/>
          <w:sz w:val="18"/>
          <w:szCs w:val="18"/>
          <w:color w:val="auto"/>
        </w:rPr>
        <w:t>. No consolidation, merger, sale, conveyance, transfer or lease shall be effective unless the Trustee shall receive as conclusive evidence an Officers’ Certificate and an Opinion of Counsel that any such consolidation, merger, sale, conveyance, transfer or lease and any such assumption and, if a supplemental indenture is required in connection with such transaction, such supplemental indenture, complies with the provisions of this Article 11.</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12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r>
        <w:rPr>
          <w:rFonts w:ascii="Arial" w:cs="Arial" w:eastAsia="Arial" w:hAnsi="Arial"/>
          <w:sz w:val="15"/>
          <w:szCs w:val="15"/>
          <w:color w:val="auto"/>
        </w:rPr>
        <w:t>MMUNITY OF</w:t>
      </w:r>
      <w:r>
        <w:rPr>
          <w:rFonts w:ascii="Arial" w:cs="Arial" w:eastAsia="Arial" w:hAnsi="Arial"/>
          <w:sz w:val="18"/>
          <w:szCs w:val="18"/>
          <w:color w:val="auto"/>
        </w:rPr>
        <w:t xml:space="preserve"> I</w:t>
      </w:r>
      <w:r>
        <w:rPr>
          <w:rFonts w:ascii="Arial" w:cs="Arial" w:eastAsia="Arial" w:hAnsi="Arial"/>
          <w:sz w:val="15"/>
          <w:szCs w:val="15"/>
          <w:color w:val="auto"/>
        </w:rPr>
        <w:t>NCORPORATORS</w:t>
      </w:r>
      <w:r>
        <w:rPr>
          <w:rFonts w:ascii="Arial" w:cs="Arial" w:eastAsia="Arial" w:hAnsi="Arial"/>
          <w:sz w:val="18"/>
          <w:szCs w:val="18"/>
          <w:color w:val="auto"/>
        </w:rPr>
        <w:t>, S</w:t>
      </w:r>
      <w:r>
        <w:rPr>
          <w:rFonts w:ascii="Arial" w:cs="Arial" w:eastAsia="Arial" w:hAnsi="Arial"/>
          <w:sz w:val="15"/>
          <w:szCs w:val="15"/>
          <w:color w:val="auto"/>
        </w:rPr>
        <w:t>TOCKHOLDERS</w:t>
      </w:r>
      <w:r>
        <w:rPr>
          <w:rFonts w:ascii="Arial" w:cs="Arial" w:eastAsia="Arial" w:hAnsi="Arial"/>
          <w:sz w:val="18"/>
          <w:szCs w:val="18"/>
          <w:color w:val="auto"/>
        </w:rPr>
        <w:t>, O</w:t>
      </w:r>
      <w:r>
        <w:rPr>
          <w:rFonts w:ascii="Arial" w:cs="Arial" w:eastAsia="Arial" w:hAnsi="Arial"/>
          <w:sz w:val="15"/>
          <w:szCs w:val="15"/>
          <w:color w:val="auto"/>
        </w:rPr>
        <w:t>FFICERS AND</w:t>
      </w:r>
      <w:r>
        <w:rPr>
          <w:rFonts w:ascii="Arial" w:cs="Arial" w:eastAsia="Arial" w:hAnsi="Arial"/>
          <w:sz w:val="18"/>
          <w:szCs w:val="18"/>
          <w:color w:val="auto"/>
        </w:rPr>
        <w:t xml:space="preserve"> D</w:t>
      </w:r>
      <w:r>
        <w:rPr>
          <w:rFonts w:ascii="Arial" w:cs="Arial" w:eastAsia="Arial" w:hAnsi="Arial"/>
          <w:sz w:val="15"/>
          <w:szCs w:val="15"/>
          <w:color w:val="auto"/>
        </w:rPr>
        <w:t>IRECTORS</w:t>
      </w:r>
    </w:p>
    <w:p>
      <w:pPr>
        <w:spacing w:after="0" w:line="21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12.01. </w:t>
      </w:r>
      <w:r>
        <w:rPr>
          <w:rFonts w:ascii="Arial" w:cs="Arial" w:eastAsia="Arial" w:hAnsi="Arial"/>
          <w:sz w:val="17"/>
          <w:szCs w:val="17"/>
          <w:i w:val="1"/>
          <w:iCs w:val="1"/>
          <w:color w:val="auto"/>
        </w:rPr>
        <w:t>Indenture and Notes Solely Corporate Obligations</w:t>
      </w:r>
      <w:r>
        <w:rPr>
          <w:rFonts w:ascii="Arial" w:cs="Arial" w:eastAsia="Arial" w:hAnsi="Arial"/>
          <w:sz w:val="17"/>
          <w:szCs w:val="17"/>
          <w:color w:val="auto"/>
        </w:rPr>
        <w:t>. No recourse for the payment of the principal of or accrued and unpaid interest on any Note, or for any claim based thereon or otherwise in respect thereof, and no recourse under or upon any obligation, covenant or agreement of the Company in this Indenture or in any supplemental indenture or in any Note, or because of the creation of any indebtedness represented thereby, shall be had against any incorporator, stockholder, investment adviser, employee, agent, Officer,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Notes.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13</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ONVERSION OF</w:t>
      </w:r>
      <w:r>
        <w:rPr>
          <w:rFonts w:ascii="Arial" w:cs="Arial" w:eastAsia="Arial" w:hAnsi="Arial"/>
          <w:sz w:val="18"/>
          <w:szCs w:val="18"/>
          <w:color w:val="auto"/>
        </w:rPr>
        <w:t xml:space="preserve"> N</w:t>
      </w:r>
      <w:r>
        <w:rPr>
          <w:rFonts w:ascii="Arial" w:cs="Arial" w:eastAsia="Arial" w:hAnsi="Arial"/>
          <w:sz w:val="15"/>
          <w:szCs w:val="15"/>
          <w:color w:val="auto"/>
        </w:rPr>
        <w:t>OTES</w:t>
      </w:r>
    </w:p>
    <w:p>
      <w:pPr>
        <w:spacing w:after="0" w:line="21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13.01. </w:t>
      </w:r>
      <w:r>
        <w:rPr>
          <w:rFonts w:ascii="Arial" w:cs="Arial" w:eastAsia="Arial" w:hAnsi="Arial"/>
          <w:sz w:val="17"/>
          <w:szCs w:val="17"/>
          <w:i w:val="1"/>
          <w:iCs w:val="1"/>
          <w:color w:val="auto"/>
        </w:rPr>
        <w:t>Conversion Privilege.</w:t>
      </w:r>
      <w:r>
        <w:rPr>
          <w:rFonts w:ascii="Arial" w:cs="Arial" w:eastAsia="Arial" w:hAnsi="Arial"/>
          <w:sz w:val="17"/>
          <w:szCs w:val="17"/>
          <w:color w:val="auto"/>
        </w:rPr>
        <w:t xml:space="preserve"> (a) Subject to and upon compliance with the provisions of this Article 13, each Holder of a Note shall have the right, at such Holder’s option, to convert all or any portion (if the portion to be converted is $1,000 principal amount or an integral multiple thereof) of such Note (i) subject to satisfaction of the conditions described in Section 13.01(b), at any time prior to February 1, 2022 under the circumstances and during the periods set forth in Section 13.01(b), and (ii) irrespective of the conditions described in Section 13.01(b), on or after February 1, 2022 and prior to the close of business on the Scheduled Trading Day immediately preceding the Maturity Date, in each case, at an initial conversion rate of 46.8516 shares of Common Stock (subject to adjustment as provided in Section 13.04, the “</w:t>
      </w:r>
      <w:r>
        <w:rPr>
          <w:rFonts w:ascii="Arial" w:cs="Arial" w:eastAsia="Arial" w:hAnsi="Arial"/>
          <w:sz w:val="17"/>
          <w:szCs w:val="17"/>
          <w:b w:val="1"/>
          <w:bCs w:val="1"/>
          <w:color w:val="auto"/>
        </w:rPr>
        <w:t>Conversion Rate</w:t>
      </w:r>
      <w:r>
        <w:rPr>
          <w:rFonts w:ascii="Arial" w:cs="Arial" w:eastAsia="Arial" w:hAnsi="Arial"/>
          <w:sz w:val="17"/>
          <w:szCs w:val="17"/>
          <w:color w:val="auto"/>
        </w:rPr>
        <w:t>”) per $1,000 principal amount of Notes (subject to the settlement provisions of Section 13.02, the “</w:t>
      </w:r>
      <w:r>
        <w:rPr>
          <w:rFonts w:ascii="Arial" w:cs="Arial" w:eastAsia="Arial" w:hAnsi="Arial"/>
          <w:sz w:val="17"/>
          <w:szCs w:val="17"/>
          <w:b w:val="1"/>
          <w:bCs w:val="1"/>
          <w:color w:val="auto"/>
        </w:rPr>
        <w:t>Conversion Obligation</w:t>
      </w:r>
      <w:r>
        <w:rPr>
          <w:rFonts w:ascii="Arial" w:cs="Arial" w:eastAsia="Arial" w:hAnsi="Arial"/>
          <w:sz w:val="17"/>
          <w:szCs w:val="17"/>
          <w:color w:val="auto"/>
        </w:rPr>
        <w:t>”).</w:t>
      </w:r>
    </w:p>
    <w:p>
      <w:pPr>
        <w:spacing w:after="0" w:line="178" w:lineRule="exact"/>
        <w:rPr>
          <w:sz w:val="20"/>
          <w:szCs w:val="20"/>
          <w:color w:val="auto"/>
        </w:rPr>
      </w:pPr>
    </w:p>
    <w:p>
      <w:pPr>
        <w:ind w:firstLine="464"/>
        <w:spacing w:after="0" w:line="285" w:lineRule="auto"/>
        <w:tabs>
          <w:tab w:leader="none" w:pos="846" w:val="left"/>
        </w:tabs>
        <w:numPr>
          <w:ilvl w:val="0"/>
          <w:numId w:val="45"/>
        </w:numPr>
        <w:rPr>
          <w:rFonts w:ascii="Arial" w:cs="Arial" w:eastAsia="Arial" w:hAnsi="Arial"/>
          <w:sz w:val="16"/>
          <w:szCs w:val="16"/>
          <w:color w:val="auto"/>
        </w:rPr>
      </w:pPr>
      <w:r>
        <w:rPr>
          <w:rFonts w:ascii="Arial" w:cs="Arial" w:eastAsia="Arial" w:hAnsi="Arial"/>
          <w:sz w:val="16"/>
          <w:szCs w:val="16"/>
          <w:color w:val="auto"/>
        </w:rPr>
        <w:t>(i) Prior to the close of business on the Business Day immediately preceding February 1, 2022, the Notes may be surrendered for conversion during the five Business Day period immediately after any five consecutive Trading Day period (the “</w:t>
      </w:r>
      <w:r>
        <w:rPr>
          <w:rFonts w:ascii="Arial" w:cs="Arial" w:eastAsia="Arial" w:hAnsi="Arial"/>
          <w:sz w:val="16"/>
          <w:szCs w:val="16"/>
          <w:b w:val="1"/>
          <w:bCs w:val="1"/>
          <w:color w:val="auto"/>
        </w:rPr>
        <w:t>Measurement Period</w:t>
      </w:r>
      <w:r>
        <w:rPr>
          <w:rFonts w:ascii="Arial" w:cs="Arial" w:eastAsia="Arial" w:hAnsi="Arial"/>
          <w:sz w:val="16"/>
          <w:szCs w:val="16"/>
          <w:color w:val="auto"/>
        </w:rPr>
        <w:t>”) in which the Trading Price per $1,000 principal amount of Notes, as determined following a request by a Holder of Notes in accordance with this subsection (b)(i), for each Trading Day of the Measurement Period was less than 98% of the product of the Last Reported Sale Price of the Common Stock and the Conversion Rate on each such Trading Day. The Trading Prices shall be determined by the Bid Solicitation Agent pursuant to this subsection (b)(i) and the definition of Trading Price set forth in this Indenture. The Company shall provide written notice to the Bid Solicitation Agent of the three independent nationally recognized securities dealers selected by the Company pursuant to the definition of Trading Price, along with appropriate contact information for each. The Bid Solicitation Agent shall have no obligation to determine the Trading Price per $1,000 principal amount of Notes unless the Company has requested such determination; and the Company shall have no obligation to make such request unless Holders of at least $2,000,000 aggregate principal amount of Notes provide the Company with reasonable evidence that the Trading Price per $1,000 principal amount of Notes would be less than 98% of the product of the Last Reported Sale Price of the Common Stock and the Conversion Rate, at which time the Company shall instruct the Bid Solicitation Agent to determine in the manner provided herein the Trading Price per $1,000 principal amount of Notes beginning on the next Trading Day and on each successive Trading Day until the Trading Price per Note is greater than or equal to 98% of the product of the Last Reported Sale Price of the Common Stock and the Conversion Rate. If the Company does not instruct the Bid Solicitation Agent to determine the Trading Price per $1,000 principal amount of Notes when obligated as provided in the preceding sentence, or if the Company instructs the Bid Solicitation Agent to obtain bids and the Bid Solicitation Agent fails to make such determination, then, in either case, the Trading Price per $1,000 principal amount of Notes shall be deemed to be less than 98% of the product of the Last Reported Sale Price of the Common Stock and the Conversion Rate on each Trading Day of such failure. If the Trading Price condition set forth above has been met, the Company shall so notify the Holders, the Trustee and the Conversion Agent (if other than the Trustee). If, at any time after the Trading Price condition set forth above has been met, the Trading Price per $1,000 principal amount of Notes is greater than or equal to 98% of the product of the Last Reported Sale Price of the Common Stock and the applicable Conversion Rate, the Company shall so notify the Holders of the Notes, the Trustee and the Conversion Agent (if other than the Trustee).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65" w:name="page66"/>
    <w:bookmarkEnd w:id="65"/>
    <w:p>
      <w:pPr>
        <w:ind w:left="860" w:hanging="396"/>
        <w:spacing w:after="0"/>
        <w:tabs>
          <w:tab w:leader="none" w:pos="86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prior to the close of business on the Business Day immediately preceding February 1, 2022, the Company elects to:</w:t>
      </w:r>
    </w:p>
    <w:p>
      <w:pPr>
        <w:spacing w:after="0" w:line="117" w:lineRule="exact"/>
        <w:rPr>
          <w:rFonts w:ascii="Arial" w:cs="Arial" w:eastAsia="Arial" w:hAnsi="Arial"/>
          <w:sz w:val="18"/>
          <w:szCs w:val="18"/>
          <w:color w:val="auto"/>
        </w:rPr>
      </w:pPr>
    </w:p>
    <w:p>
      <w:pPr>
        <w:ind w:left="460" w:right="100" w:firstLine="443"/>
        <w:spacing w:after="0" w:line="259" w:lineRule="auto"/>
        <w:tabs>
          <w:tab w:leader="none" w:pos="1328" w:val="left"/>
        </w:tabs>
        <w:numPr>
          <w:ilvl w:val="1"/>
          <w:numId w:val="46"/>
        </w:numPr>
        <w:rPr>
          <w:rFonts w:ascii="Arial" w:cs="Arial" w:eastAsia="Arial" w:hAnsi="Arial"/>
          <w:sz w:val="18"/>
          <w:szCs w:val="18"/>
          <w:color w:val="auto"/>
        </w:rPr>
      </w:pPr>
      <w:r>
        <w:rPr>
          <w:rFonts w:ascii="Arial" w:cs="Arial" w:eastAsia="Arial" w:hAnsi="Arial"/>
          <w:sz w:val="18"/>
          <w:szCs w:val="18"/>
          <w:color w:val="auto"/>
        </w:rPr>
        <w:t>issue to all or substantially all holders of its Common Stock any rights, options or warrants entitling them, for a period of not more than 45 calendar days after the announcement date of such issuance, to subscribe for or purchase shares of its Common Stock, at a price per share that is less than the average of the Last Reported Sale Prices of the Common Stock for the 10 consecutive Trading Day period ending on, and including, the Trading Day immediately preceding the date of announcement of such issuance; or</w:t>
      </w:r>
    </w:p>
    <w:p>
      <w:pPr>
        <w:spacing w:after="0" w:line="78" w:lineRule="exact"/>
        <w:rPr>
          <w:rFonts w:ascii="Arial" w:cs="Arial" w:eastAsia="Arial" w:hAnsi="Arial"/>
          <w:sz w:val="18"/>
          <w:szCs w:val="18"/>
          <w:color w:val="auto"/>
        </w:rPr>
      </w:pPr>
    </w:p>
    <w:p>
      <w:pPr>
        <w:jc w:val="both"/>
        <w:ind w:left="460" w:right="40" w:firstLine="443"/>
        <w:spacing w:after="0" w:line="264" w:lineRule="auto"/>
        <w:tabs>
          <w:tab w:leader="none" w:pos="1318"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distribute to all or substantially all holders of its Common Stock the Company’s assets, debt securities or rights to purchase securities of the Company, which distribution has a per share value, as reasonably determined by the Board of Directors, exceeding 10% of the Last Reported Sale Price of the Common Stock on the Trading Day preceding the date of announcement for such distribution,</w:t>
      </w:r>
    </w:p>
    <w:p>
      <w:pPr>
        <w:spacing w:after="0" w:line="18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then, in either case, the Company shall notify all Holders of the Notes, the Trustee and the Conversion Agent (if other than the Trustee) at least 45 Scheduled Trading Days prior to the Ex-Dividend Date for such issuance or distribution. Once the Company has given such notice, the Notes may be surrendered for conversion at any time until the earlier of (1) the close of business on the Business Day immediately preceding the Ex-Dividend Date for such issuance or distribution and (2) the Company’s announcement that such issuance or distribution will not take place, even if the Notes are not otherwise convertible at such time. Notwithstanding the foregoing, no Notes may be surrendered for conversion if Holders participate, at the same time and upon the same terms as holders of the Common Stock and solely as a result of holding the Notes, in any of the transactions described in clauses (A) or (B) of this subsection (ii) without having to convert their Notes as if they held a number of shares of Common Stock equal to the Conversion Rate,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principal amount (expressed in thousands) of Notes held by such Holder. For purposes of Section 13.01(b)(ii)(A), in determining whether any rights, options or warrants entitle the holders to subscribe for or purchase shares of the Common Stock at less than such average of the Last Reported Sale Prices of the Common Stock for the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88" w:lineRule="exact"/>
        <w:rPr>
          <w:sz w:val="20"/>
          <w:szCs w:val="20"/>
          <w:color w:val="auto"/>
        </w:rPr>
      </w:pPr>
    </w:p>
    <w:p>
      <w:pPr>
        <w:ind w:right="220" w:firstLine="464"/>
        <w:spacing w:after="0" w:line="277" w:lineRule="auto"/>
        <w:tabs>
          <w:tab w:leader="none" w:pos="906"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 transaction or event that constitutes a Fundamental Change or a Make-Whole Fundamental Change occurs prior to the close of business on the Business Day immediately preceding February 1, 2022, regardless of whether a Holder has the right to</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66" w:name="page67"/>
    <w:bookmarkEnd w:id="66"/>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require the Company to repurchase the Notes pursuant to Section 14.01, or if the Company is a party to a consolidation, merger, binding share exchange, or transfer or lease of all or substantially all of its assets, pursuant to which the Common Stock would be converted into cash, securities or other assets, the Notes may be surrendered for conversion at any time from or after the date that is 45 Scheduled Trading Days prior to the anticipated effective date of the transaction (or, if later, the Business Day after the Company gives notice of such transaction) until 35 Trading Days after the actual effective date of such transaction or, if such transaction also constitutes a Fundamental Change, until the related Fundamental Change Repurchase Date. The Company shall notify Holders, the Trustee and the Conversion Agent (if other than the Trustee) (i) as promptly as practicable following the date the Company publicly announces such transaction but in no event less than 45 Scheduled Trading Days prior to the anticipated effective date of such transaction (if the effective date of the transaction is known to the Company definitively at that time) or (ii) if the Company does not have knowledge of such transaction at least 45 Scheduled Trading Days prior to the anticipated effective date of such transaction, within two Business Days of the date upon which the Company receives notice, or otherwise becomes aware, of such transaction but in no event later than the actual effective date of such transaction.</w:t>
      </w:r>
    </w:p>
    <w:p>
      <w:pPr>
        <w:spacing w:after="0" w:line="169" w:lineRule="exact"/>
        <w:rPr>
          <w:sz w:val="20"/>
          <w:szCs w:val="20"/>
          <w:color w:val="auto"/>
        </w:rPr>
      </w:pPr>
    </w:p>
    <w:p>
      <w:pPr>
        <w:ind w:right="100" w:firstLine="464"/>
        <w:spacing w:after="0" w:line="272" w:lineRule="auto"/>
        <w:tabs>
          <w:tab w:leader="none" w:pos="896" w:val="left"/>
        </w:tabs>
        <w:numPr>
          <w:ilvl w:val="0"/>
          <w:numId w:val="48"/>
        </w:numPr>
        <w:rPr>
          <w:rFonts w:ascii="Arial" w:cs="Arial" w:eastAsia="Arial" w:hAnsi="Arial"/>
          <w:sz w:val="17"/>
          <w:szCs w:val="17"/>
          <w:color w:val="auto"/>
        </w:rPr>
      </w:pPr>
      <w:r>
        <w:rPr>
          <w:rFonts w:ascii="Arial" w:cs="Arial" w:eastAsia="Arial" w:hAnsi="Arial"/>
          <w:sz w:val="17"/>
          <w:szCs w:val="17"/>
          <w:color w:val="auto"/>
        </w:rPr>
        <w:t>Prior to the close of business on the Business Day immediately preceding February 1, 2022, the Notes may be surrendered for conversion during any calendar quarter commencing after the calendar quarter ending on June 30, 2017 (and only during such calendar quarter), if the Last Reported Sale Price of the Common Stock for at least 20 Trading Days (whether or not consecutive) during the period of 30 consecutive Trading Days ending on the last Trading Day of the immediately preceding calendar quarter as reported to the Conversion Agent by the Company is greater than or equal to 130% of the Conversion Price on each applicable Trading Day. The Company shall determine at the beginning of each calendar quarter commencing after June 30, 2017whether the Notes may be surrendered for conversion in accordance with this clause (iv) and shall notify the Trustee and the Conversion Agent (if not the Trustee) in writing if the Notes become convertible in accordance with this clause (iv).</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Conversion Procedure; Settlement Upon Conversion</w:t>
      </w:r>
      <w:r>
        <w:rPr>
          <w:rFonts w:ascii="Arial" w:cs="Arial" w:eastAsia="Arial" w:hAnsi="Arial"/>
          <w:sz w:val="18"/>
          <w:szCs w:val="18"/>
          <w:color w:val="auto"/>
        </w:rPr>
        <w:t>.</w:t>
      </w:r>
    </w:p>
    <w:p>
      <w:pPr>
        <w:spacing w:after="0" w:line="117" w:lineRule="exact"/>
        <w:rPr>
          <w:sz w:val="20"/>
          <w:szCs w:val="20"/>
          <w:color w:val="auto"/>
        </w:rPr>
      </w:pPr>
    </w:p>
    <w:p>
      <w:pPr>
        <w:ind w:right="80" w:firstLine="464"/>
        <w:spacing w:after="0" w:line="276" w:lineRule="auto"/>
        <w:tabs>
          <w:tab w:leader="none" w:pos="836" w:val="left"/>
        </w:tabs>
        <w:numPr>
          <w:ilvl w:val="0"/>
          <w:numId w:val="49"/>
        </w:numPr>
        <w:rPr>
          <w:rFonts w:ascii="Arial" w:cs="Arial" w:eastAsia="Arial" w:hAnsi="Arial"/>
          <w:sz w:val="17"/>
          <w:szCs w:val="17"/>
          <w:color w:val="auto"/>
        </w:rPr>
      </w:pPr>
      <w:r>
        <w:rPr>
          <w:rFonts w:ascii="Arial" w:cs="Arial" w:eastAsia="Arial" w:hAnsi="Arial"/>
          <w:sz w:val="17"/>
          <w:szCs w:val="17"/>
          <w:color w:val="auto"/>
        </w:rPr>
        <w:t>Subject to this Section 13.02, Section 13.03(b) and Section 13.07(a), upon conversion of any Note, the Company shall pay or deliver, as the case may be, to the converting Holder, in respect of each $1,000 principal amount of Notes being converted, cash (“</w:t>
      </w:r>
      <w:r>
        <w:rPr>
          <w:rFonts w:ascii="Arial" w:cs="Arial" w:eastAsia="Arial" w:hAnsi="Arial"/>
          <w:sz w:val="17"/>
          <w:szCs w:val="17"/>
          <w:b w:val="1"/>
          <w:bCs w:val="1"/>
          <w:color w:val="auto"/>
        </w:rPr>
        <w:t>Cash Settlement</w:t>
      </w:r>
      <w:r>
        <w:rPr>
          <w:rFonts w:ascii="Arial" w:cs="Arial" w:eastAsia="Arial" w:hAnsi="Arial"/>
          <w:sz w:val="17"/>
          <w:szCs w:val="17"/>
          <w:color w:val="auto"/>
        </w:rPr>
        <w:t>”), shares of Common Stock, together with cash, if applicable, in lieu of any fractional share of Common Stock in accordance with subsection (j) of this Section 13.02 (“</w:t>
      </w:r>
      <w:r>
        <w:rPr>
          <w:rFonts w:ascii="Arial" w:cs="Arial" w:eastAsia="Arial" w:hAnsi="Arial"/>
          <w:sz w:val="17"/>
          <w:szCs w:val="17"/>
          <w:b w:val="1"/>
          <w:bCs w:val="1"/>
          <w:color w:val="auto"/>
        </w:rPr>
        <w:t>Physical</w:t>
      </w:r>
      <w:r>
        <w:rPr>
          <w:rFonts w:ascii="Arial" w:cs="Arial" w:eastAsia="Arial" w:hAnsi="Arial"/>
          <w:sz w:val="17"/>
          <w:szCs w:val="17"/>
          <w:color w:val="auto"/>
        </w:rPr>
        <w:t xml:space="preserve"> </w:t>
      </w:r>
      <w:r>
        <w:rPr>
          <w:rFonts w:ascii="Arial" w:cs="Arial" w:eastAsia="Arial" w:hAnsi="Arial"/>
          <w:sz w:val="17"/>
          <w:szCs w:val="17"/>
          <w:b w:val="1"/>
          <w:bCs w:val="1"/>
          <w:color w:val="auto"/>
        </w:rPr>
        <w:t>Settlement</w:t>
      </w:r>
      <w:r>
        <w:rPr>
          <w:rFonts w:ascii="Arial" w:cs="Arial" w:eastAsia="Arial" w:hAnsi="Arial"/>
          <w:sz w:val="17"/>
          <w:szCs w:val="17"/>
          <w:color w:val="auto"/>
        </w:rPr>
        <w:t>”) or a combination of cash and shares of Common Stock, together with cash, if applicable, in lieu of any fractional share of Common Stock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subsection (j) of this Section 13.02 (“</w:t>
      </w:r>
      <w:r>
        <w:rPr>
          <w:rFonts w:ascii="Arial" w:cs="Arial" w:eastAsia="Arial" w:hAnsi="Arial"/>
          <w:sz w:val="17"/>
          <w:szCs w:val="17"/>
          <w:b w:val="1"/>
          <w:bCs w:val="1"/>
          <w:color w:val="auto"/>
        </w:rPr>
        <w:t>Combination Settlement</w:t>
      </w:r>
      <w:r>
        <w:rPr>
          <w:rFonts w:ascii="Arial" w:cs="Arial" w:eastAsia="Arial" w:hAnsi="Arial"/>
          <w:sz w:val="17"/>
          <w:szCs w:val="17"/>
          <w:color w:val="auto"/>
        </w:rPr>
        <w:t>”), at its election, as set forth in this Section 13.02.</w:t>
      </w:r>
    </w:p>
    <w:p>
      <w:pPr>
        <w:spacing w:after="0" w:line="64" w:lineRule="exact"/>
        <w:rPr>
          <w:rFonts w:ascii="Arial" w:cs="Arial" w:eastAsia="Arial" w:hAnsi="Arial"/>
          <w:sz w:val="17"/>
          <w:szCs w:val="17"/>
          <w:color w:val="auto"/>
        </w:rPr>
      </w:pPr>
    </w:p>
    <w:p>
      <w:pPr>
        <w:ind w:left="1240" w:hanging="337"/>
        <w:spacing w:after="0"/>
        <w:tabs>
          <w:tab w:leader="none" w:pos="124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conversions occurring on or after February 1, 2022 shall be settled using the same Settlement Method.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67" w:name="page68"/>
    <w:bookmarkEnd w:id="67"/>
    <w:p>
      <w:pPr>
        <w:ind w:right="140" w:firstLine="443"/>
        <w:spacing w:after="0" w:line="264" w:lineRule="auto"/>
        <w:tabs>
          <w:tab w:leader="none" w:pos="838" w:val="left"/>
        </w:tabs>
        <w:numPr>
          <w:ilvl w:val="0"/>
          <w:numId w:val="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February 1, 2022, the Company shall use the same Settlement Method for all conversions occurring on the same Conversion Date, but the Company shall not have any obligation to use the same Settlement Method with respect to conversions that occur on different Conversion Dates.</w:t>
      </w:r>
    </w:p>
    <w:p>
      <w:pPr>
        <w:spacing w:after="0" w:line="73" w:lineRule="exact"/>
        <w:rPr>
          <w:rFonts w:ascii="Arial" w:cs="Arial" w:eastAsia="Arial" w:hAnsi="Arial"/>
          <w:sz w:val="18"/>
          <w:szCs w:val="18"/>
          <w:color w:val="auto"/>
        </w:rPr>
      </w:pPr>
    </w:p>
    <w:p>
      <w:pPr>
        <w:ind w:right="20" w:firstLine="443"/>
        <w:spacing w:after="0" w:line="269" w:lineRule="auto"/>
        <w:tabs>
          <w:tab w:leader="none" w:pos="888" w:val="left"/>
        </w:tabs>
        <w:numPr>
          <w:ilvl w:val="0"/>
          <w:numId w:val="50"/>
        </w:numPr>
        <w:rPr>
          <w:rFonts w:ascii="Arial" w:cs="Arial" w:eastAsia="Arial" w:hAnsi="Arial"/>
          <w:sz w:val="17"/>
          <w:szCs w:val="17"/>
          <w:color w:val="auto"/>
        </w:rPr>
      </w:pPr>
      <w:r>
        <w:rPr>
          <w:rFonts w:ascii="Arial" w:cs="Arial" w:eastAsia="Arial" w:hAnsi="Arial"/>
          <w:sz w:val="17"/>
          <w:szCs w:val="17"/>
          <w:color w:val="auto"/>
        </w:rPr>
        <w:t>If, in respect of any Conversion Date (or any conversions of Notes occurring during the period beginning on, and including, February 1, 2022 and ending on, and including, the Scheduled Trading Day immediately preceding the Maturity Date, as the case may be), the Company elects to deliver a notice (the “</w:t>
      </w:r>
      <w:r>
        <w:rPr>
          <w:rFonts w:ascii="Arial" w:cs="Arial" w:eastAsia="Arial" w:hAnsi="Arial"/>
          <w:sz w:val="17"/>
          <w:szCs w:val="17"/>
          <w:b w:val="1"/>
          <w:bCs w:val="1"/>
          <w:color w:val="auto"/>
        </w:rPr>
        <w:t>Settlement Notice</w:t>
      </w:r>
      <w:r>
        <w:rPr>
          <w:rFonts w:ascii="Arial" w:cs="Arial" w:eastAsia="Arial" w:hAnsi="Arial"/>
          <w:sz w:val="17"/>
          <w:szCs w:val="17"/>
          <w:color w:val="auto"/>
        </w:rPr>
        <w:t>”) of the relevant Settlement Method in respect of such Conversion Date (or such period, as the case may be), the Company, through the Trustee, shall deliver such Settlement Notice to converting Holders no later than the close of business on the Trading Day immediately following the relevant Conversion Date (or, in the case of any conversions occurring on or after February 1, 2022, no later than February 1, 2022). If the Company does not elect a Settlement Method prior to the deadline set forth in the immediately preceding sentence, the Company shall no longer have the right to elect Cash Settlement or Physical Settlement and the Company shall be deemed to have elected Combination Settlement in respect of its Conversion Obligation, and the Specified Dollar Amount per $1,000 principal amount of Notes shall be equal to $1,000. Such Settlement Notice shall specify the relevant Settlement Method and in the case of an election of Combination Settlement, the relevant Settlement Notice shall indicate the Specified Dollar Amount. If the Company delivers a Settlement Notice electing Combination Settlement in respect of its Conversion Obligation but does not indicate a Specified Dollar Amount in such Settlement Notice, the Specified Dollar Amount per $1,000 principal amount of Notes shall be deemed to be $1,000.</w:t>
      </w:r>
    </w:p>
    <w:p>
      <w:pPr>
        <w:spacing w:after="0" w:line="71" w:lineRule="exact"/>
        <w:rPr>
          <w:rFonts w:ascii="Arial" w:cs="Arial" w:eastAsia="Arial" w:hAnsi="Arial"/>
          <w:sz w:val="17"/>
          <w:szCs w:val="17"/>
          <w:color w:val="auto"/>
        </w:rPr>
      </w:pPr>
    </w:p>
    <w:p>
      <w:pPr>
        <w:ind w:left="880" w:hanging="437"/>
        <w:spacing w:after="0"/>
        <w:tabs>
          <w:tab w:leader="none" w:pos="8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cash, shares of Common Stock or combination of cash and shares of Common Stock in respect of any conversion of Notes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Amount</w:t>
      </w:r>
      <w:r>
        <w:rPr>
          <w:rFonts w:ascii="Arial" w:cs="Arial" w:eastAsia="Arial" w:hAnsi="Arial"/>
          <w:sz w:val="18"/>
          <w:szCs w:val="18"/>
          <w:color w:val="auto"/>
        </w:rPr>
        <w:t>”) shall be computed by the Company as follows:</w:t>
      </w:r>
    </w:p>
    <w:p>
      <w:pPr>
        <w:spacing w:after="0" w:line="103" w:lineRule="exact"/>
        <w:rPr>
          <w:sz w:val="20"/>
          <w:szCs w:val="20"/>
          <w:color w:val="auto"/>
        </w:rPr>
      </w:pPr>
    </w:p>
    <w:p>
      <w:pPr>
        <w:ind w:left="460" w:firstLine="421"/>
        <w:spacing w:after="0" w:line="264" w:lineRule="auto"/>
        <w:tabs>
          <w:tab w:leader="none" w:pos="131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Company elects to satisfy its Conversion Obligation in respect of such conversion by Physical Settlement, the Company shall deliver to the converting Holder in respect of each $1,000 principal amount of Notes being converted a number of shares of Common Stock equal to the Conversion Rate in effect on the Conversion Date;</w:t>
      </w:r>
    </w:p>
    <w:p>
      <w:pPr>
        <w:spacing w:after="0" w:line="73" w:lineRule="exact"/>
        <w:rPr>
          <w:rFonts w:ascii="Arial" w:cs="Arial" w:eastAsia="Arial" w:hAnsi="Arial"/>
          <w:sz w:val="18"/>
          <w:szCs w:val="18"/>
          <w:color w:val="auto"/>
        </w:rPr>
      </w:pPr>
    </w:p>
    <w:p>
      <w:pPr>
        <w:ind w:left="460" w:right="140" w:firstLine="421"/>
        <w:spacing w:after="0" w:line="286" w:lineRule="auto"/>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the Company elects to satisfy its Conversion Obligation in respect of such conversion by Cash Settlement, the Company shall pay to the converting Holder in respect of each $1,000 principal amount of Notes being converted an amount in cash equal to the sum of the Daily Conversion Values for each of the 40 consecutive Trading Days during the related Observation Period; and</w:t>
      </w:r>
    </w:p>
    <w:p>
      <w:pPr>
        <w:spacing w:after="0" w:line="57" w:lineRule="exact"/>
        <w:rPr>
          <w:rFonts w:ascii="Arial" w:cs="Arial" w:eastAsia="Arial" w:hAnsi="Arial"/>
          <w:sz w:val="17"/>
          <w:szCs w:val="17"/>
          <w:color w:val="auto"/>
        </w:rPr>
      </w:pPr>
    </w:p>
    <w:p>
      <w:pPr>
        <w:ind w:left="460" w:right="500" w:firstLine="421"/>
        <w:spacing w:after="0" w:line="259"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the Company elects (or is deemed to have elected) to satisfy its Conversion Obligation in respect of such conversion by Combination Settlement, the Company shall pay or deliver, as the case may be, in respect of each $1,000 principal amount of Notes being converted, a Settlement Amount equal to the sum of the Daily Settlement Amounts for each of the 40 consecutive Trading Days during the related Observation Period.</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960"/>
          </w:cols>
          <w:pgMar w:left="700" w:top="274" w:right="239" w:bottom="1440" w:gutter="0" w:footer="0" w:header="0"/>
        </w:sectPr>
      </w:pPr>
    </w:p>
    <w:bookmarkStart w:id="68" w:name="page69"/>
    <w:bookmarkEnd w:id="68"/>
    <w:p>
      <w:pPr>
        <w:ind w:left="460" w:firstLine="443"/>
        <w:spacing w:after="0" w:line="255" w:lineRule="auto"/>
        <w:tabs>
          <w:tab w:leader="none" w:pos="1285" w:val="left"/>
        </w:tabs>
        <w:numPr>
          <w:ilvl w:val="1"/>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Daily Settlement Amounts (if applicable) and the Daily Conversion Values (if applicable) shall be determined by the Company promptly following the last day of the Observation Period. Promptly after such determination of the Daily Settlement Amounts or the Daily Conversion Values, as the case may be, and the amount of cash payable in lieu of any fractional share, the Company shall notify the Trustee and the Conversion Agent (if other than the Trustee) of the Daily Settlement Amounts or the Daily Conversion Values, as the case may be, and the amount of cash payable in lieu of fractional shares of Common Stock. The Trustee and the Conversion Agent (if other than the Trustee) shall have no responsibility for any such determination.</w:t>
      </w:r>
    </w:p>
    <w:p>
      <w:pPr>
        <w:spacing w:after="0" w:line="193" w:lineRule="exact"/>
        <w:rPr>
          <w:rFonts w:ascii="Arial" w:cs="Arial" w:eastAsia="Arial" w:hAnsi="Arial"/>
          <w:sz w:val="18"/>
          <w:szCs w:val="18"/>
          <w:color w:val="auto"/>
        </w:rPr>
      </w:pPr>
    </w:p>
    <w:p>
      <w:pPr>
        <w:ind w:firstLine="464"/>
        <w:spacing w:after="0" w:line="287" w:lineRule="auto"/>
        <w:tabs>
          <w:tab w:leader="none" w:pos="846" w:val="left"/>
        </w:tabs>
        <w:numPr>
          <w:ilvl w:val="0"/>
          <w:numId w:val="53"/>
        </w:numPr>
        <w:rPr>
          <w:rFonts w:ascii="Arial" w:cs="Arial" w:eastAsia="Arial" w:hAnsi="Arial"/>
          <w:sz w:val="16"/>
          <w:szCs w:val="16"/>
          <w:color w:val="auto"/>
        </w:rPr>
      </w:pPr>
      <w:r>
        <w:rPr>
          <w:rFonts w:ascii="Arial" w:cs="Arial" w:eastAsia="Arial" w:hAnsi="Arial"/>
          <w:sz w:val="16"/>
          <w:szCs w:val="16"/>
          <w:color w:val="auto"/>
        </w:rPr>
        <w:t>Subject to Section 13.02(e), before any Holder of a Note shall be entitled to convert a Note as set forth above, such Holder shall (i) in the case of a Global Note, comply with the procedures of the Depositary in effect at that time and, if required, pay funds equal to interest payable on the next Interest Payment Date to which such Holder is not entitled as set forth in Section 13.02(h) and (ii) in the case of a Physical Note (1) complete, manually sign and deliver an irrevocable notice to the Conversion Agent as set forth in the Form of Notice of Conversion (or a facsimile thereof) (a “</w:t>
      </w:r>
      <w:r>
        <w:rPr>
          <w:rFonts w:ascii="Arial" w:cs="Arial" w:eastAsia="Arial" w:hAnsi="Arial"/>
          <w:sz w:val="16"/>
          <w:szCs w:val="16"/>
          <w:b w:val="1"/>
          <w:bCs w:val="1"/>
          <w:color w:val="auto"/>
        </w:rPr>
        <w:t>Notice of Conversion</w:t>
      </w:r>
      <w:r>
        <w:rPr>
          <w:rFonts w:ascii="Arial" w:cs="Arial" w:eastAsia="Arial" w:hAnsi="Arial"/>
          <w:sz w:val="16"/>
          <w:szCs w:val="16"/>
          <w:color w:val="auto"/>
        </w:rPr>
        <w:t>”) at the office of the Conversion Agent and state in writing therein the principal amount of Notes to be converted and the name or names (with addresses) in which such Holder wishes the certificate or certificates for any shares of Common Stock to be delivered upon settlement of the Conversion Obligation to be registered, (2) surrender such Notes, duly endorsed to the Company or in blank (and accompanied by appropriate endorsement and transfer documents), at the office of the Conversion Agent, (3) if required, furnish appropriate endorsements and transfer documents and (4) if required, pay funds equal to interest payable on the next Interest Payment Date as set forth in Section 13.02(h). The Trustee (and, if different, the Conversion Agent) shall notify the Company of any conversion pursuant to this Article 13 on the Conversion Date for such conversion. No Notice of Conversion with respect to any Notes may be surrendered by a Holder thereof if such Holder has also delivered a Fundamental Change Repurchase Notice to the Paying Agent in respect of such Notes and not validly withdrawn such Fundamental Change Repurchase Notice in accordance with Section 14.02.</w:t>
      </w:r>
    </w:p>
    <w:p>
      <w:pPr>
        <w:spacing w:after="0" w:line="169"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If more than one Note shall be surrendered for conversion at one time by the same Holder, the Conversion Obligation with respect to such Notes shall be computed on the basis of the aggregate principal amount of the Notes (or specified portions thereof to the extent permitted thereby) so surrendered.</w:t>
      </w:r>
    </w:p>
    <w:p>
      <w:pPr>
        <w:spacing w:after="0" w:line="120" w:lineRule="exact"/>
        <w:rPr>
          <w:sz w:val="20"/>
          <w:szCs w:val="20"/>
          <w:color w:val="auto"/>
        </w:rPr>
      </w:pPr>
    </w:p>
    <w:p>
      <w:pPr>
        <w:ind w:right="100" w:firstLine="464"/>
        <w:spacing w:after="0" w:line="266" w:lineRule="auto"/>
        <w:tabs>
          <w:tab w:leader="none" w:pos="826"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Note shall be deemed to have been converted immediately prior to the close of business on the date (the “</w:t>
      </w:r>
      <w:r>
        <w:rPr>
          <w:rFonts w:ascii="Arial" w:cs="Arial" w:eastAsia="Arial" w:hAnsi="Arial"/>
          <w:sz w:val="18"/>
          <w:szCs w:val="18"/>
          <w:b w:val="1"/>
          <w:bCs w:val="1"/>
          <w:color w:val="auto"/>
        </w:rPr>
        <w:t>Conversion Date</w:t>
      </w:r>
      <w:r>
        <w:rPr>
          <w:rFonts w:ascii="Arial" w:cs="Arial" w:eastAsia="Arial" w:hAnsi="Arial"/>
          <w:sz w:val="18"/>
          <w:szCs w:val="18"/>
          <w:color w:val="auto"/>
        </w:rPr>
        <w:t>”) that the Holder has complied with the requirements set forth in subsection (b) above. Except as provided in Section 13.03(b) and in Section 13.07, the Company shall pay or deliver, as the case may be, the consideration due in respect of the Conversion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274" w:right="259" w:bottom="1440" w:gutter="0" w:footer="0" w:header="0"/>
        </w:sectPr>
      </w:pPr>
    </w:p>
    <w:bookmarkStart w:id="69" w:name="page70"/>
    <w:bookmarkEnd w:id="69"/>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Obligation on the third Business Day immediately following the relevant Conversion Date, if the Company elects Physical Settlement, or on the third Business Day immediately following the last Trading Day of the Observation Period, in the case of any other Settlement Method. If any shares of Common Stock are due to converting Holders, the Company shall issue or cause to be issued, and deliver to such Holder, or such Holder’s nominee or nominees, certificates or a book-entry transfer through the Depositary for the full number of shares of Common Stock to which such Holder shall be entitled in satisfaction of the portion of the Company’s Conversion Obligation that consists of shares of Common Stock, and, on or prior to such issuance, the Company shall give the Conversion Agent notice of the number of shares of Common Stock being so issued and the method by which the issuance shall take place. Any required funds due to a converting Holder in connection with a Cash Settlement or Combination Settlement shall be delivered to the Paying Agent and such Holder, or such Holder’s nominee or nominees, in accordance with the procedures set forth in Section 14.03.</w:t>
      </w:r>
    </w:p>
    <w:p>
      <w:pPr>
        <w:spacing w:after="0" w:line="179" w:lineRule="exact"/>
        <w:rPr>
          <w:sz w:val="20"/>
          <w:szCs w:val="20"/>
          <w:color w:val="auto"/>
        </w:rPr>
      </w:pPr>
    </w:p>
    <w:p>
      <w:pPr>
        <w:ind w:firstLine="464"/>
        <w:spacing w:after="0" w:line="255" w:lineRule="auto"/>
        <w:tabs>
          <w:tab w:leader="none" w:pos="8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case any Note shall be surrendered for partial conversion, the Company shall execute and the Trustee shall authenticate and deliver to or upon the written order of the Holder of the Note so surrendered a new Note or Notes in authorized denominations in an aggregate principal amount equal to the unconverted portion of the surrendered Note, without payment of any service charge by the converting Holder but, if required by the Company or Trustee, with payment by the converting Holder of a sum sufficient to cover any transfer tax or similar governmental charge required by law or that may be imposed in connection therewith as a result of the name of the Holder of the new Notes issued upon such conversion being different from the name of the Holder of the old Notes surrendered for such conversion.</w:t>
      </w:r>
    </w:p>
    <w:p>
      <w:pPr>
        <w:spacing w:after="0" w:line="193" w:lineRule="exact"/>
        <w:rPr>
          <w:rFonts w:ascii="Arial" w:cs="Arial" w:eastAsia="Arial" w:hAnsi="Arial"/>
          <w:sz w:val="18"/>
          <w:szCs w:val="18"/>
          <w:color w:val="auto"/>
        </w:rPr>
      </w:pPr>
    </w:p>
    <w:p>
      <w:pPr>
        <w:ind w:right="60" w:firstLine="464"/>
        <w:spacing w:after="0" w:line="257" w:lineRule="auto"/>
        <w:tabs>
          <w:tab w:leader="none" w:pos="836"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 Holder submits a Note for conversion, the Company shall pay any documentary, stamp or similar issue or transfer tax due on the issue of any shares of Common Stock upon conversion, unless the tax is due because the Holder requests such shares to be issued in a name other than the Holder’s name, in which case the Holder shall pay that tax. The Conversion Agent may refuse to deliver the certificates representing the shares of Common Stock being issued in a name other than the Holder’s name until the Trustee receives a sum sufficient to pay any tax that is due by such Holder in accordance with the immediately preceding sentence.</w:t>
      </w:r>
    </w:p>
    <w:p>
      <w:pPr>
        <w:spacing w:after="0" w:line="188" w:lineRule="exact"/>
        <w:rPr>
          <w:rFonts w:ascii="Arial" w:cs="Arial" w:eastAsia="Arial" w:hAnsi="Arial"/>
          <w:sz w:val="18"/>
          <w:szCs w:val="18"/>
          <w:color w:val="auto"/>
        </w:rPr>
      </w:pPr>
    </w:p>
    <w:p>
      <w:pPr>
        <w:ind w:right="60" w:firstLine="464"/>
        <w:spacing w:after="0" w:line="277" w:lineRule="auto"/>
        <w:tabs>
          <w:tab w:leader="none" w:pos="816"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Except as provided in Section 13.04, no adjustment shall be made for dividends on any shares issued upon the conversion of any Note as provided in this Article 14.</w:t>
      </w:r>
    </w:p>
    <w:p>
      <w:pPr>
        <w:spacing w:after="0" w:line="170" w:lineRule="exact"/>
        <w:rPr>
          <w:rFonts w:ascii="Arial" w:cs="Arial" w:eastAsia="Arial" w:hAnsi="Arial"/>
          <w:sz w:val="18"/>
          <w:szCs w:val="18"/>
          <w:color w:val="auto"/>
        </w:rPr>
      </w:pPr>
    </w:p>
    <w:p>
      <w:pPr>
        <w:ind w:right="280" w:firstLine="464"/>
        <w:spacing w:after="0" w:line="264" w:lineRule="auto"/>
        <w:tabs>
          <w:tab w:leader="none" w:pos="8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the conversion of an interest in a Global Note, the Trustee, or the Custodian at the direction of the Trustee, shall make a notation on such Global Note as to the reduction in the principal amount represented thereby. The Company shall notify the Trustee in writing of any conversion of Notes effected through any Conversion Agent other than the Trustee.</w:t>
      </w:r>
    </w:p>
    <w:p>
      <w:pPr>
        <w:spacing w:after="0" w:line="181" w:lineRule="exact"/>
        <w:rPr>
          <w:rFonts w:ascii="Arial" w:cs="Arial" w:eastAsia="Arial" w:hAnsi="Arial"/>
          <w:sz w:val="18"/>
          <w:szCs w:val="18"/>
          <w:color w:val="auto"/>
        </w:rPr>
      </w:pPr>
    </w:p>
    <w:p>
      <w:pPr>
        <w:ind w:right="140" w:firstLine="464"/>
        <w:spacing w:after="0" w:line="259" w:lineRule="auto"/>
        <w:tabs>
          <w:tab w:leader="none" w:pos="8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Upon conversion, a Holder shall not receive any cash payment for accrued and unpaid interest, if any, except as set forth below. The Company’s settlement of the Conversion Obligation shall be deemed to satisfy in full its obligation to pay the principal amount of the Note and accrued and unpaid interest, if any, to, but not including, the Conversion Date. As a result, accrued and unpaid interest, if any, to, but not including, the Conversion Date shall be deemed to be paid in full rather than cancelled,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70" w:name="page71"/>
    <w:bookmarkEnd w:id="70"/>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extinguished or forfeited. Upon a conversion of Notes into a combination of cash and shares of Common Stock, accrued and unpaid interest will be deemed to be paid first out of the cash paid upon such conversion. Notwithstanding the foregoing, if Notes are converted after the close of business on a Regular Record Date, Holders of such Notes as of the close of business on such Regular Record Date will receive the full amount of interest payable on such Notes on the corresponding Interest Payment Date notwithstanding the conversion. Notes surrendered for conversion during the period from the close of business on any Regular Record Date to the open of business on the immediately following Interest Payment Date must be accompanied by funds equal to the amount of interest payable on the Notes so converted;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payment shall be required (1) for conversions following the Regular Record Date immediately preceding the Maturity Date; (2) if the Company has specified a Fundamental Change Repurchase Date that is after a Regular Record Date and on or prior to the Business Day immediately following the corresponding Interest Payment Date; or (3) to the extent of any Defaulted Amounts, if any Defaulted Amounts exist at the time of conversion with respect to such Note.</w:t>
      </w:r>
    </w:p>
    <w:p>
      <w:pPr>
        <w:spacing w:after="0" w:line="182" w:lineRule="exact"/>
        <w:rPr>
          <w:sz w:val="20"/>
          <w:szCs w:val="20"/>
          <w:color w:val="auto"/>
        </w:rPr>
      </w:pPr>
    </w:p>
    <w:p>
      <w:pPr>
        <w:ind w:firstLine="464"/>
        <w:spacing w:after="0" w:line="273" w:lineRule="auto"/>
        <w:tabs>
          <w:tab w:leader="none" w:pos="80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Person in whose name the certificate for any shares of Common Stock delivered upon conversion is registered shall be treated as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in each case solely for the purpose of receiving or participating in any dividend, distribution, issuance, share split or combination, tender or exchange offer or any other event that would lead to a Conversion Rate adjustment as described in Section 13.04. Upon a conversion of Notes, such Person shall no longer be a Holder of such Notes surrendered for conversion.</w:t>
      </w:r>
    </w:p>
    <w:p>
      <w:pPr>
        <w:spacing w:after="0" w:line="178" w:lineRule="exact"/>
        <w:rPr>
          <w:rFonts w:ascii="Arial" w:cs="Arial" w:eastAsia="Arial" w:hAnsi="Arial"/>
          <w:sz w:val="17"/>
          <w:szCs w:val="17"/>
          <w:color w:val="auto"/>
        </w:rPr>
      </w:pPr>
    </w:p>
    <w:p>
      <w:pPr>
        <w:ind w:right="60" w:firstLine="464"/>
        <w:spacing w:after="0" w:line="255" w:lineRule="auto"/>
        <w:tabs>
          <w:tab w:leader="none" w:pos="80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shall not issue any fractional share of Common Stock upon conversion of the Notes and shall instead pay cash in lieu of any fractional share of Common Stock issuable upon conversion based on the Daily VWAP on the relevant Conversion Date (in the case of Physical Settlement) or based on the Daily VWAP on the last Trading Day of the relevant Observation Period (in the case of Combination Settlement). For each Note surrendered for conversion, if the Company has elected Combination Settlement, the full number of shares that shall be issued upon conversion thereof shall be computed on the basis of the aggregate Daily Settlement Amounts for the applicable Observation Period and any fractional shares remaining after such computation shall be paid in cash.</w:t>
      </w:r>
    </w:p>
    <w:p>
      <w:pPr>
        <w:spacing w:after="0" w:line="193" w:lineRule="exact"/>
        <w:rPr>
          <w:rFonts w:ascii="Arial" w:cs="Arial" w:eastAsia="Arial" w:hAnsi="Arial"/>
          <w:sz w:val="18"/>
          <w:szCs w:val="18"/>
          <w:color w:val="auto"/>
        </w:rPr>
      </w:pPr>
    </w:p>
    <w:p>
      <w:pPr>
        <w:ind w:right="40" w:firstLine="464"/>
        <w:spacing w:after="0" w:line="255" w:lineRule="auto"/>
        <w:tabs>
          <w:tab w:leader="none" w:pos="846"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Notwithstanding anything to the contrary herein, no Holder shall be entitled to receive shares of Common Stock upon conversion to the extent (but only to the extent) that such receipt would cause such converting Holder to become, directly or indirectly, a “beneficial owner” (within the meaning of Section 13(d) of the Exchange Act and the rules and regulations promulgated thereunder) of more than 5.0% of the shares of Common Stock outstanding at such time (the “</w:t>
      </w:r>
      <w:r>
        <w:rPr>
          <w:rFonts w:ascii="Arial" w:cs="Arial" w:eastAsia="Arial" w:hAnsi="Arial"/>
          <w:sz w:val="18"/>
          <w:szCs w:val="18"/>
          <w:b w:val="1"/>
          <w:bCs w:val="1"/>
          <w:color w:val="auto"/>
        </w:rPr>
        <w:t>Limitation</w:t>
      </w:r>
      <w:r>
        <w:rPr>
          <w:rFonts w:ascii="Arial" w:cs="Arial" w:eastAsia="Arial" w:hAnsi="Arial"/>
          <w:sz w:val="18"/>
          <w:szCs w:val="18"/>
          <w:color w:val="auto"/>
        </w:rPr>
        <w:t>”). Any purported delivery of shares of Common Stock upon conversion of Notes shall be void and have no effect to the extent (but only to the extent) that such delivery would result in the converting Holder becoming the beneficial owner of more than the Limitation. If any delivery of shares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71" w:name="page72"/>
    <w:bookmarkEnd w:id="71"/>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Common Stock owed to a Holder upon conversion of Notes is not made, in whole or in part, as a result of the Limitation, the Company’s obligation to make such delivery shall not be extinguished and the Company shall deliver such shares as promptly as practicable after any such converting Holder gives notice to the Company that such delivery would not result in it being the beneficial owner of more than 5.0% of the shares of Common Stock outstanding at such time. The Limitation shall no longer apply following the effective date of any Fundamental Change.</w:t>
      </w:r>
    </w:p>
    <w:p>
      <w:pPr>
        <w:spacing w:after="0" w:line="171"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 xml:space="preserve">Section 13.03. </w:t>
      </w:r>
      <w:r>
        <w:rPr>
          <w:rFonts w:ascii="Arial" w:cs="Arial" w:eastAsia="Arial" w:hAnsi="Arial"/>
          <w:sz w:val="16"/>
          <w:szCs w:val="16"/>
          <w:i w:val="1"/>
          <w:iCs w:val="1"/>
          <w:color w:val="auto"/>
        </w:rPr>
        <w:t>Increased Conversion Rate Applicable to Certain Notes Surrendered in Connection with Make-Whole Fundamental Changes.</w:t>
      </w:r>
      <w:r>
        <w:rPr>
          <w:rFonts w:ascii="Arial" w:cs="Arial" w:eastAsia="Arial" w:hAnsi="Arial"/>
          <w:sz w:val="16"/>
          <w:szCs w:val="16"/>
          <w:color w:val="auto"/>
        </w:rPr>
        <w:t xml:space="preserve"> (a) If a Make-Whole Fundamental Change occurs and a Holder elects to convert its Notes in connection with such Make-Whole Fundamental Change, the Company shall, under the circumstances described below, increase the Conversion Rate for the Notes so surrendered for conversion by a number of additional shares of Common Stock (the “</w:t>
      </w:r>
      <w:r>
        <w:rPr>
          <w:rFonts w:ascii="Arial" w:cs="Arial" w:eastAsia="Arial" w:hAnsi="Arial"/>
          <w:sz w:val="16"/>
          <w:szCs w:val="16"/>
          <w:b w:val="1"/>
          <w:bCs w:val="1"/>
          <w:color w:val="auto"/>
        </w:rPr>
        <w:t>Additional Shares</w:t>
      </w:r>
      <w:r>
        <w:rPr>
          <w:rFonts w:ascii="Arial" w:cs="Arial" w:eastAsia="Arial" w:hAnsi="Arial"/>
          <w:sz w:val="16"/>
          <w:szCs w:val="16"/>
          <w:color w:val="auto"/>
        </w:rPr>
        <w:t>”), as described below. A conversion of Notes shall be deemed for these purposes to be “in connection with” such Make-Whole Fundamental Change if the relevant Notice of Conversion is received by the Conversion Agent from, and including, the Effective Date of the Make-Whole Fundamental Change up to, and including, the Business Day immediately prior to the related Fundamental Change Repurchase Date (or, in the case of a Make-Whole Fundamental Change that would have been a Fundamental Change but for the proviso in clause (b) of the definition thereof, the 35th calendar day immediately following the Effective Date of such Make-Whole Fundamental Change).</w:t>
      </w:r>
    </w:p>
    <w:p>
      <w:pPr>
        <w:spacing w:after="0" w:line="166" w:lineRule="exact"/>
        <w:rPr>
          <w:sz w:val="20"/>
          <w:szCs w:val="20"/>
          <w:color w:val="auto"/>
        </w:rPr>
      </w:pPr>
    </w:p>
    <w:p>
      <w:pPr>
        <w:ind w:firstLine="464"/>
        <w:spacing w:after="0" w:line="289" w:lineRule="auto"/>
        <w:tabs>
          <w:tab w:leader="none" w:pos="846"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Upon surrender of Notes for conversion in connection with a Make-Whole Fundamental Change pursuant to Section 13.01(b)(iii), the Company shall, at its option, satisfy the related Conversion Obligation by Physical Settlement, Cash Settlement or Combination Settlement in accordance with Section 13.02;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at the effective time of a Make-Whole Fundamental Change described in clause (b) of the definition of Fundamental Change, the Reference Property is composed entirely of cash, for any conversion of Notes following the Effective Date of such Make-Whole Fundamental Change, the Conversion Obligation per $1,000 principal amount of converted Notes shall be calculated based solely on the Stock Price for the transaction and shall be deemed to be an amount of cash per $1,000 principal amount of converted Notes equal to the Conversion Rate (including any adjustment for Additional Shares),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such Stock Price. In such event, the Conversion Obligation shall be paid to Holders in cash on the third Business Day following the Conversion Date. The Company shall notify the Holders of Notes of the Effective Date of any Make-Whole Fundamental Change and issue a press release announcing such Effective Date no later than five Business Days after such Effective Date.</w:t>
      </w:r>
    </w:p>
    <w:p>
      <w:pPr>
        <w:spacing w:after="0" w:line="166" w:lineRule="exact"/>
        <w:rPr>
          <w:rFonts w:ascii="Arial" w:cs="Arial" w:eastAsia="Arial" w:hAnsi="Arial"/>
          <w:sz w:val="16"/>
          <w:szCs w:val="16"/>
          <w:color w:val="auto"/>
        </w:rPr>
      </w:pPr>
    </w:p>
    <w:p>
      <w:pPr>
        <w:ind w:right="80" w:firstLine="464"/>
        <w:spacing w:after="0" w:line="297" w:lineRule="auto"/>
        <w:tabs>
          <w:tab w:leader="none" w:pos="833"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number of Additional Shares, if any, by which the Conversion Rate shall be increased shall be determined by reference to the table below, based on the date on which the Make-Whole Fundamental Change occurs or becomes effective (the “</w:t>
      </w:r>
      <w:r>
        <w:rPr>
          <w:rFonts w:ascii="Arial" w:cs="Arial" w:eastAsia="Arial" w:hAnsi="Arial"/>
          <w:sz w:val="16"/>
          <w:szCs w:val="16"/>
          <w:b w:val="1"/>
          <w:bCs w:val="1"/>
          <w:color w:val="auto"/>
        </w:rPr>
        <w:t>Effective Date</w:t>
      </w:r>
      <w:r>
        <w:rPr>
          <w:rFonts w:ascii="Arial" w:cs="Arial" w:eastAsia="Arial" w:hAnsi="Arial"/>
          <w:sz w:val="16"/>
          <w:szCs w:val="16"/>
          <w:color w:val="auto"/>
        </w:rPr>
        <w:t>”) and the price (the “</w:t>
      </w:r>
      <w:r>
        <w:rPr>
          <w:rFonts w:ascii="Arial" w:cs="Arial" w:eastAsia="Arial" w:hAnsi="Arial"/>
          <w:sz w:val="16"/>
          <w:szCs w:val="16"/>
          <w:b w:val="1"/>
          <w:bCs w:val="1"/>
          <w:color w:val="auto"/>
        </w:rPr>
        <w:t>Stock Price</w:t>
      </w:r>
      <w:r>
        <w:rPr>
          <w:rFonts w:ascii="Arial" w:cs="Arial" w:eastAsia="Arial" w:hAnsi="Arial"/>
          <w:sz w:val="16"/>
          <w:szCs w:val="16"/>
          <w:color w:val="auto"/>
        </w:rPr>
        <w:t>”) paid (or deemed to be paid) per share of the Common Stock in the Make-Whole Fundamental Change. If the holders of the Common Stock receive only cash in a Make-Whole Fundamental Change described in clause (b) of the definition of Fundamental Change, the Stock Price shall be the cash amount paid per share. Otherwise, the Stock Price shall be the average of the Last Reported Sale Prices of the Common Stock over the five Trading Day period ending on, and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72" w:name="page73"/>
    <w:bookmarkEnd w:id="72"/>
    <w:p>
      <w:pPr>
        <w:ind w:right="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including, the Trading Day immediately preceding the Effective Date of the Make-Whole Fundamental Change. The Board of Directors shall make appropriate adjustments to the Stock Price, in its good faith determination, to account for any adjustment to the Conversion Rate that becomes effective, or any event requiring an adjustment to the Conversion Rate where the Ex-Dividend Date of the event occurs, during such five consecutive Trading Day period.</w:t>
      </w:r>
    </w:p>
    <w:p>
      <w:pPr>
        <w:spacing w:after="0" w:line="147" w:lineRule="exact"/>
        <w:rPr>
          <w:sz w:val="20"/>
          <w:szCs w:val="20"/>
          <w:color w:val="auto"/>
        </w:rPr>
      </w:pPr>
    </w:p>
    <w:p>
      <w:pPr>
        <w:ind w:right="20" w:firstLine="464"/>
        <w:spacing w:after="0" w:line="257" w:lineRule="auto"/>
        <w:tabs>
          <w:tab w:leader="none" w:pos="843"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Stock Prices set forth in the column headings of the table below shall be adjusted as of any date on which the Conversion Rate of the Notes is otherwise adjusted. The adjusted Stock Prices shall equal the Stock Prices applicable immediately prior to such adjustment,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a fraction, the numerator of which is the Conversion Rate immediately prior to such adjustment giving rise to the Stock Price adjustment and the denominator of which is the Conversion Rate as so adjusted. The number of Additional Shares set forth in the table below shall be adjusted in the same manner and at the same time as the Conversion Rate as set forth in Section 13.04.</w:t>
      </w:r>
    </w:p>
    <w:p>
      <w:pPr>
        <w:spacing w:after="0" w:line="188" w:lineRule="exact"/>
        <w:rPr>
          <w:rFonts w:ascii="Arial" w:cs="Arial" w:eastAsia="Arial" w:hAnsi="Arial"/>
          <w:sz w:val="18"/>
          <w:szCs w:val="18"/>
          <w:color w:val="auto"/>
        </w:rPr>
      </w:pPr>
    </w:p>
    <w:p>
      <w:pPr>
        <w:ind w:right="60" w:firstLine="464"/>
        <w:spacing w:after="0" w:line="277" w:lineRule="auto"/>
        <w:tabs>
          <w:tab w:leader="none" w:pos="83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table sets forth the number of Additional Shares to be received per $1,000 principal amount of Notes pursuant to this Section 13.03 for each Stock Price and Effective Date set forth below:</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Effective Stock Price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Effective Date</w:t>
            </w:r>
          </w:p>
        </w:tc>
        <w:tc>
          <w:tcPr>
            <w:tcW w:w="384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$18.56</w:t>
            </w:r>
          </w:p>
        </w:tc>
        <w:tc>
          <w:tcPr>
            <w:tcW w:w="20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$19.00</w:t>
            </w:r>
          </w:p>
        </w:tc>
        <w:tc>
          <w:tcPr>
            <w:tcW w:w="20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$20.00</w:t>
            </w:r>
          </w:p>
        </w:tc>
        <w:tc>
          <w:tcPr>
            <w:tcW w:w="220" w:type="dxa"/>
            <w:vAlign w:val="bottom"/>
          </w:tcPr>
          <w:p>
            <w:pPr>
              <w:spacing w:after="0"/>
              <w:rPr>
                <w:sz w:val="16"/>
                <w:szCs w:val="16"/>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$21.34</w:t>
            </w:r>
          </w:p>
        </w:tc>
        <w:tc>
          <w:tcPr>
            <w:tcW w:w="20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$22.00</w:t>
            </w:r>
          </w:p>
        </w:tc>
        <w:tc>
          <w:tcPr>
            <w:tcW w:w="20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$23.00</w:t>
            </w:r>
          </w:p>
        </w:tc>
        <w:tc>
          <w:tcPr>
            <w:tcW w:w="200" w:type="dxa"/>
            <w:vAlign w:val="bottom"/>
          </w:tcPr>
          <w:p>
            <w:pPr>
              <w:spacing w:after="0"/>
              <w:rPr>
                <w:sz w:val="16"/>
                <w:szCs w:val="16"/>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$24.00</w:t>
            </w:r>
          </w:p>
        </w:tc>
        <w:tc>
          <w:tcPr>
            <w:tcW w:w="20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$25.00</w:t>
            </w:r>
          </w:p>
        </w:tc>
        <w:tc>
          <w:tcPr>
            <w:tcW w:w="220" w:type="dxa"/>
            <w:vAlign w:val="bottom"/>
          </w:tcPr>
          <w:p>
            <w:pPr>
              <w:spacing w:after="0"/>
              <w:rPr>
                <w:sz w:val="16"/>
                <w:szCs w:val="16"/>
                <w:color w:val="auto"/>
              </w:rPr>
            </w:pPr>
          </w:p>
        </w:tc>
        <w:tc>
          <w:tcPr>
            <w:tcW w:w="540" w:type="dxa"/>
            <w:vAlign w:val="bottom"/>
          </w:tcPr>
          <w:p>
            <w:pPr>
              <w:ind w:left="80"/>
              <w:spacing w:after="0"/>
              <w:rPr>
                <w:sz w:val="20"/>
                <w:szCs w:val="20"/>
                <w:color w:val="auto"/>
              </w:rPr>
            </w:pPr>
            <w:r>
              <w:rPr>
                <w:rFonts w:ascii="Arial" w:cs="Arial" w:eastAsia="Arial" w:hAnsi="Arial"/>
                <w:sz w:val="14"/>
                <w:szCs w:val="14"/>
                <w:b w:val="1"/>
                <w:bCs w:val="1"/>
                <w:color w:val="auto"/>
              </w:rPr>
              <w:t>$26.00</w:t>
            </w:r>
          </w:p>
        </w:tc>
        <w:tc>
          <w:tcPr>
            <w:tcW w:w="100" w:type="dxa"/>
            <w:vAlign w:val="bottom"/>
          </w:tcPr>
          <w:p>
            <w:pPr>
              <w:spacing w:after="0"/>
              <w:rPr>
                <w:sz w:val="16"/>
                <w:szCs w:val="16"/>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1, 2017</w:t>
            </w: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7.0277</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5.9013</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3.7035</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7"/>
              </w:rPr>
              <w:t>1.5722</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0.8804</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0.2578</w:t>
            </w:r>
          </w:p>
        </w:tc>
        <w:tc>
          <w:tcPr>
            <w:tcW w:w="2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0.0366</w:t>
            </w:r>
          </w:p>
        </w:tc>
        <w:tc>
          <w:tcPr>
            <w:tcW w:w="2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0.0000</w:t>
            </w:r>
          </w:p>
        </w:tc>
        <w:tc>
          <w:tcPr>
            <w:tcW w:w="2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3"/>
              </w:rPr>
              <w:t>0.0000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August 1, 2017</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7.0277</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6.0068</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3.7905</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1.6299</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0.9227</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0.2780</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0.0425</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0.0001</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0.0000</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2018</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7.0277</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6.2508</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3.9882</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1.7584</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1.0169</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0.3224</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0.0554</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0.0012</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August 1, 2019</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7.0277</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6.4124</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4.1058</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1.8171</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1.0538</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0.3372</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0.0594</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0.0016</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0.0000</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2020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7.0277</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6.4291</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4.0777</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1.7472</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0.9836</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0.2925</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0.0450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0.0004</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August 1, 2021</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7.0277</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6.0106</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3.6160</w:t>
            </w:r>
          </w:p>
        </w:tc>
        <w:tc>
          <w:tcPr>
            <w:tcW w:w="740" w:type="dxa"/>
            <w:vAlign w:val="bottom"/>
            <w:gridSpan w:val="2"/>
          </w:tcPr>
          <w:p>
            <w:pPr>
              <w:ind w:left="40"/>
              <w:spacing w:after="0"/>
              <w:rPr>
                <w:sz w:val="20"/>
                <w:szCs w:val="20"/>
                <w:color w:val="auto"/>
              </w:rPr>
            </w:pPr>
            <w:r>
              <w:rPr>
                <w:rFonts w:ascii="Arial" w:cs="Arial" w:eastAsia="Arial" w:hAnsi="Arial"/>
                <w:sz w:val="18"/>
                <w:szCs w:val="18"/>
                <w:color w:val="auto"/>
              </w:rPr>
              <w:t>1.3150</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0.6387</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0.1326</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0.0084</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0.0000</w:t>
            </w:r>
          </w:p>
        </w:tc>
        <w:tc>
          <w:tcPr>
            <w:tcW w:w="640" w:type="dxa"/>
            <w:vAlign w:val="bottom"/>
            <w:gridSpan w:val="2"/>
          </w:tcPr>
          <w:p>
            <w:pPr>
              <w:ind w:left="60"/>
              <w:spacing w:after="0"/>
              <w:rPr>
                <w:sz w:val="20"/>
                <w:szCs w:val="20"/>
                <w:color w:val="auto"/>
              </w:rPr>
            </w:pPr>
            <w:r>
              <w:rPr>
                <w:rFonts w:ascii="Arial" w:cs="Arial" w:eastAsia="Arial" w:hAnsi="Arial"/>
                <w:sz w:val="18"/>
                <w:szCs w:val="18"/>
                <w:color w:val="auto"/>
              </w:rPr>
              <w:t>0.0000</w:t>
            </w: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1, 2022</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7.0277</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5.7800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3.1484</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0.0000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c>
          <w:tcPr>
            <w:tcW w:w="6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0.0000</w:t>
            </w: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exact Stock Prices and Effective Dates may not be set forth in the table above, in which case:</w:t>
      </w:r>
    </w:p>
    <w:p>
      <w:pPr>
        <w:spacing w:after="0" w:line="117" w:lineRule="exact"/>
        <w:rPr>
          <w:sz w:val="20"/>
          <w:szCs w:val="20"/>
          <w:color w:val="auto"/>
        </w:rPr>
      </w:pPr>
    </w:p>
    <w:p>
      <w:pPr>
        <w:ind w:left="460" w:right="180" w:firstLine="443"/>
        <w:spacing w:after="0" w:line="264" w:lineRule="auto"/>
        <w:tabs>
          <w:tab w:leader="none" w:pos="12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Stock Price is between two Stock Prices in the table above or the Effective Date is between two Effective Dates in the table, the number of Additional Shares shall be determined by a straight-line interpolation between the number of Additional Shares set forth for the higher and lower Stock Prices and the earlier and later Effective Dates, as applicable, based on a 365-day year;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4" w:right="239" w:bottom="1440" w:gutter="0" w:footer="0" w:header="0"/>
        </w:sectPr>
      </w:pPr>
    </w:p>
    <w:bookmarkStart w:id="73" w:name="page74"/>
    <w:bookmarkEnd w:id="73"/>
    <w:p>
      <w:pPr>
        <w:ind w:left="460" w:right="420" w:firstLine="443"/>
        <w:spacing w:after="0" w:line="308" w:lineRule="auto"/>
        <w:tabs>
          <w:tab w:leader="none" w:pos="1298" w:val="left"/>
        </w:tabs>
        <w:numPr>
          <w:ilvl w:val="0"/>
          <w:numId w:val="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Stock Price is greater than $26.00 per share (subject to adjustment in the same manner as the Stock Prices set forth in the column headings of the table above pursuant to subsection (d) above), no Additional Shares shall be added to the Conversion Rate; and</w:t>
      </w:r>
    </w:p>
    <w:p>
      <w:pPr>
        <w:spacing w:after="0" w:line="38" w:lineRule="exact"/>
        <w:rPr>
          <w:rFonts w:ascii="Arial" w:cs="Arial" w:eastAsia="Arial" w:hAnsi="Arial"/>
          <w:sz w:val="17"/>
          <w:szCs w:val="17"/>
          <w:color w:val="auto"/>
        </w:rPr>
      </w:pPr>
    </w:p>
    <w:p>
      <w:pPr>
        <w:ind w:left="460" w:right="580" w:firstLine="443"/>
        <w:spacing w:after="0" w:line="308" w:lineRule="auto"/>
        <w:tabs>
          <w:tab w:leader="none" w:pos="1348"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the Stock Price is less than $18.56 per share (subject to adjustment in the same manner as the Stock Prices set forth in the column headings of the table above pursuant to subsection (d) above), no Additional Shares shall be added to the Conversion Rate.</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Notwithstanding the foregoing, in no event shall the total number of shares of Common Stock issuable upon conversion exceed 53.8793 per $1,000 principal amount of Notes, subject to adjustment in the same manner as the Conversion Rate pursuant to Section 13.04.</w:t>
      </w:r>
    </w:p>
    <w:p>
      <w:pPr>
        <w:spacing w:after="0" w:line="170" w:lineRule="exact"/>
        <w:rPr>
          <w:sz w:val="20"/>
          <w:szCs w:val="20"/>
          <w:color w:val="auto"/>
        </w:rPr>
      </w:pPr>
    </w:p>
    <w:p>
      <w:pPr>
        <w:ind w:right="820" w:firstLine="464"/>
        <w:spacing w:after="0" w:line="277" w:lineRule="auto"/>
        <w:tabs>
          <w:tab w:leader="none" w:pos="816"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Nothing in this Section 13.03 shall prevent an adjustment to the Conversion Rate pursuant to Section 13.04 in respect of a Make-Whole Fundamental Change.</w:t>
      </w:r>
    </w:p>
    <w:p>
      <w:pPr>
        <w:spacing w:after="0" w:line="170"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 xml:space="preserve">Section 13.04. </w:t>
      </w:r>
      <w:r>
        <w:rPr>
          <w:rFonts w:ascii="Arial" w:cs="Arial" w:eastAsia="Arial" w:hAnsi="Arial"/>
          <w:sz w:val="17"/>
          <w:szCs w:val="17"/>
          <w:i w:val="1"/>
          <w:iCs w:val="1"/>
          <w:color w:val="auto"/>
        </w:rPr>
        <w:t>Adjustment of Conversion Rate.</w:t>
      </w:r>
      <w:r>
        <w:rPr>
          <w:rFonts w:ascii="Arial" w:cs="Arial" w:eastAsia="Arial" w:hAnsi="Arial"/>
          <w:sz w:val="17"/>
          <w:szCs w:val="17"/>
          <w:color w:val="auto"/>
        </w:rPr>
        <w:t xml:space="preserve"> The Conversion Rate shall be adjusted from time to time by the Company if any of the following events occurs, except that the Company shall not make any adjustments to the Conversion Rate if Holders of the Notes participate (other than in the case of a share split or share combination), at the same time and upon the same terms as holders of the Common Stock and solely as a result of holding the Notes, in any of the transactions described in this Section 13.04, without having to convert their Notes, as if they held a number of shares of Common Stock equal to the Conversion Rate, multiplied by the principal amount (expressed in thousands) of Notes held by such Holder.</w:t>
      </w:r>
    </w:p>
    <w:p>
      <w:pPr>
        <w:spacing w:after="0" w:line="173" w:lineRule="exact"/>
        <w:rPr>
          <w:sz w:val="20"/>
          <w:szCs w:val="20"/>
          <w:color w:val="auto"/>
        </w:rPr>
      </w:pPr>
    </w:p>
    <w:p>
      <w:pPr>
        <w:ind w:right="480" w:firstLine="464"/>
        <w:spacing w:after="0" w:line="277" w:lineRule="auto"/>
        <w:tabs>
          <w:tab w:leader="none" w:pos="8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Company exclusively issues shares of Common Stock as a dividend or distribution on shares of its Common Stock, or if the Company effects a share split or share combination, the Conversion Rate shall be adjusted based on the following formula: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60" w:type="dxa"/>
            <w:vAlign w:val="bottom"/>
            <w:vMerge w:val="restart"/>
          </w:tcPr>
          <w:p>
            <w:pPr>
              <w:ind w:left="4180"/>
              <w:spacing w:after="0"/>
              <w:rPr>
                <w:sz w:val="20"/>
                <w:szCs w:val="20"/>
                <w:color w:val="auto"/>
              </w:rPr>
            </w:pPr>
            <w:r>
              <w:rPr>
                <w:rFonts w:ascii="Arial" w:cs="Arial" w:eastAsia="Arial" w:hAnsi="Arial"/>
                <w:sz w:val="18"/>
                <w:szCs w:val="18"/>
                <w:color w:val="auto"/>
              </w:rPr>
              <w:t>CR' = CR</w:t>
            </w:r>
            <w:r>
              <w:rPr>
                <w:rFonts w:ascii="Arial" w:cs="Arial" w:eastAsia="Arial" w:hAnsi="Arial"/>
                <w:sz w:val="15"/>
                <w:szCs w:val="15"/>
                <w:color w:val="auto"/>
              </w:rPr>
              <w:t>0</w:t>
            </w:r>
            <w:r>
              <w:rPr>
                <w:rFonts w:ascii="Arial" w:cs="Arial" w:eastAsia="Arial" w:hAnsi="Arial"/>
                <w:sz w:val="18"/>
                <w:szCs w:val="18"/>
                <w:color w:val="auto"/>
              </w:rPr>
              <w:t xml:space="preserve"> ×</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OS'</w:t>
            </w: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60" w:type="dxa"/>
            <w:vAlign w:val="bottom"/>
            <w:vMerge w:val="continue"/>
          </w:tcPr>
          <w:p>
            <w:pPr>
              <w:spacing w:after="0"/>
              <w:rPr>
                <w:sz w:val="23"/>
                <w:szCs w:val="23"/>
                <w:color w:val="auto"/>
              </w:rPr>
            </w:pPr>
          </w:p>
        </w:tc>
        <w:tc>
          <w:tcPr>
            <w:tcW w:w="5340" w:type="dxa"/>
            <w:vAlign w:val="bottom"/>
            <w:gridSpan w:val="2"/>
          </w:tcPr>
          <w:p>
            <w:pPr>
              <w:jc w:val="center"/>
              <w:ind w:right="4880"/>
              <w:spacing w:after="0"/>
              <w:rPr>
                <w:sz w:val="20"/>
                <w:szCs w:val="20"/>
                <w:color w:val="auto"/>
              </w:rPr>
            </w:pPr>
            <w:r>
              <w:rPr>
                <w:rFonts w:ascii="Arial" w:cs="Arial" w:eastAsia="Arial" w:hAnsi="Arial"/>
                <w:sz w:val="18"/>
                <w:szCs w:val="18"/>
                <w:color w:val="auto"/>
                <w:w w:val="87"/>
              </w:rPr>
              <w:t>OS</w:t>
            </w:r>
            <w:r>
              <w:rPr>
                <w:rFonts w:ascii="Arial" w:cs="Arial" w:eastAsia="Arial" w:hAnsi="Arial"/>
                <w:sz w:val="15"/>
                <w:szCs w:val="15"/>
                <w:color w:val="auto"/>
                <w:w w:val="87"/>
              </w:rPr>
              <w:t>0</w:t>
            </w:r>
          </w:p>
        </w:tc>
        <w:tc>
          <w:tcPr>
            <w:tcW w:w="0" w:type="dxa"/>
            <w:vAlign w:val="bottom"/>
          </w:tcPr>
          <w:p>
            <w:pPr>
              <w:spacing w:after="0"/>
              <w:rPr>
                <w:sz w:val="1"/>
                <w:szCs w:val="1"/>
                <w:color w:val="auto"/>
              </w:rPr>
            </w:pPr>
          </w:p>
        </w:tc>
      </w:tr>
      <w:tr>
        <w:trPr>
          <w:trHeight w:val="454"/>
        </w:trPr>
        <w:tc>
          <w:tcPr>
            <w:tcW w:w="540" w:type="dxa"/>
            <w:vAlign w:val="bottom"/>
          </w:tcPr>
          <w:p>
            <w:pPr>
              <w:spacing w:after="0"/>
              <w:rPr>
                <w:sz w:val="20"/>
                <w:szCs w:val="20"/>
                <w:color w:val="auto"/>
              </w:rPr>
            </w:pPr>
            <w:r>
              <w:rPr>
                <w:rFonts w:ascii="Arial" w:cs="Arial" w:eastAsia="Arial" w:hAnsi="Arial"/>
                <w:sz w:val="18"/>
                <w:szCs w:val="18"/>
                <w:color w:val="auto"/>
                <w:w w:val="96"/>
              </w:rPr>
              <w:t>where,</w:t>
            </w:r>
          </w:p>
        </w:tc>
        <w:tc>
          <w:tcPr>
            <w:tcW w:w="2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0" w:type="dxa"/>
            <w:vAlign w:val="bottom"/>
            <w:gridSpan w:val="3"/>
          </w:tcPr>
          <w:p>
            <w:pPr>
              <w:ind w:left="100"/>
              <w:spacing w:after="0"/>
              <w:rPr>
                <w:sz w:val="20"/>
                <w:szCs w:val="20"/>
                <w:color w:val="auto"/>
              </w:rPr>
            </w:pPr>
            <w:r>
              <w:rPr>
                <w:rFonts w:ascii="Arial" w:cs="Arial" w:eastAsia="Arial" w:hAnsi="Arial"/>
                <w:sz w:val="18"/>
                <w:szCs w:val="18"/>
                <w:color w:val="auto"/>
                <w:w w:val="91"/>
              </w:rPr>
              <w:t>the Conversion Rate in effect immediately prior to the open of business on the Ex-Dividend Date of such dividend or distribution, or immediately</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0" w:type="dxa"/>
            <w:vAlign w:val="bottom"/>
            <w:gridSpan w:val="3"/>
          </w:tcPr>
          <w:p>
            <w:pPr>
              <w:ind w:left="100"/>
              <w:spacing w:after="0"/>
              <w:rPr>
                <w:sz w:val="20"/>
                <w:szCs w:val="20"/>
                <w:color w:val="auto"/>
              </w:rPr>
            </w:pPr>
            <w:r>
              <w:rPr>
                <w:rFonts w:ascii="Arial" w:cs="Arial" w:eastAsia="Arial" w:hAnsi="Arial"/>
                <w:sz w:val="18"/>
                <w:szCs w:val="18"/>
                <w:color w:val="auto"/>
              </w:rPr>
              <w:t>prior to the effectiveness of such share split or share combination, as applicable;</w:t>
            </w: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CR'</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0" w:type="dxa"/>
            <w:vAlign w:val="bottom"/>
            <w:gridSpan w:val="3"/>
          </w:tcPr>
          <w:p>
            <w:pPr>
              <w:ind w:left="100"/>
              <w:spacing w:after="0"/>
              <w:rPr>
                <w:sz w:val="20"/>
                <w:szCs w:val="20"/>
                <w:color w:val="auto"/>
              </w:rPr>
            </w:pPr>
            <w:r>
              <w:rPr>
                <w:rFonts w:ascii="Arial" w:cs="Arial" w:eastAsia="Arial" w:hAnsi="Arial"/>
                <w:sz w:val="18"/>
                <w:szCs w:val="18"/>
                <w:color w:val="auto"/>
                <w:w w:val="93"/>
              </w:rPr>
              <w:t>the Conversion Rate in effect immediately after the open of business on such Ex-Dividend Date or immediately after the effectiveness of such</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60" w:type="dxa"/>
            <w:vAlign w:val="bottom"/>
          </w:tcPr>
          <w:p>
            <w:pPr>
              <w:ind w:left="100"/>
              <w:spacing w:after="0"/>
              <w:rPr>
                <w:sz w:val="20"/>
                <w:szCs w:val="20"/>
                <w:color w:val="auto"/>
              </w:rPr>
            </w:pPr>
            <w:r>
              <w:rPr>
                <w:rFonts w:ascii="Arial" w:cs="Arial" w:eastAsia="Arial" w:hAnsi="Arial"/>
                <w:sz w:val="18"/>
                <w:szCs w:val="18"/>
                <w:color w:val="auto"/>
              </w:rPr>
              <w:t>share split or share combination, as applicable;</w:t>
            </w:r>
          </w:p>
        </w:tc>
        <w:tc>
          <w:tcPr>
            <w:tcW w:w="46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60" w:type="dxa"/>
            <w:vAlign w:val="bottom"/>
          </w:tcPr>
          <w:p>
            <w:pPr>
              <w:ind w:left="4800"/>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color w:val="auto"/>
        </w:rPr>
        <w:t>OS</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ind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shares of Common Stock outstanding immediately prior to the open of business on such Ex-Dividend Date or immediately prior to the effectiveness of such share split or share combination, as applicable;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-387985</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320" w:space="600"/>
            <w:col w:w="10480"/>
          </w:cols>
          <w:pgMar w:left="240" w:top="274" w:right="259" w:bottom="1440" w:gutter="0" w:footer="0" w:header="0"/>
        </w:sectPr>
      </w:pPr>
    </w:p>
    <w:p>
      <w:pPr>
        <w:spacing w:after="0"/>
        <w:rPr>
          <w:sz w:val="20"/>
          <w:szCs w:val="20"/>
          <w:color w:val="auto"/>
        </w:rPr>
      </w:pPr>
      <w:r>
        <w:rPr>
          <w:rFonts w:ascii="Arial" w:cs="Arial" w:eastAsia="Arial" w:hAnsi="Arial"/>
          <w:sz w:val="17"/>
          <w:szCs w:val="17"/>
          <w:color w:val="auto"/>
        </w:rPr>
        <w:t>OS'</w:t>
      </w:r>
    </w:p>
    <w:p>
      <w:pPr>
        <w:spacing w:after="0" w:line="20" w:lineRule="exact"/>
        <w:rPr>
          <w:sz w:val="20"/>
          <w:szCs w:val="20"/>
          <w:color w:val="auto"/>
        </w:rPr>
      </w:pPr>
      <w:r>
        <w:rPr>
          <w:sz w:val="20"/>
          <w:szCs w:val="20"/>
          <w:color w:val="auto"/>
        </w:rPr>
        <w:br w:type="column"/>
      </w:r>
    </w:p>
    <w:p>
      <w:pPr>
        <w:ind w:right="84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shares of Common Stock outstanding immediately after giving effect to such dividend, distribution, share split or share combination.</w:t>
      </w:r>
    </w:p>
    <w:p>
      <w:pPr>
        <w:spacing w:after="0" w:line="170" w:lineRule="exact"/>
        <w:rPr>
          <w:sz w:val="20"/>
          <w:szCs w:val="20"/>
          <w:color w:val="auto"/>
        </w:rPr>
      </w:pPr>
    </w:p>
    <w:p>
      <w:pPr>
        <w:sectPr>
          <w:pgSz w:w="11900" w:h="16838" w:orient="portrait"/>
          <w:cols w:equalWidth="0" w:num="2">
            <w:col w:w="280" w:space="640"/>
            <w:col w:w="10480"/>
          </w:cols>
          <w:pgMar w:left="240" w:top="274" w:right="259" w:bottom="1440" w:gutter="0" w:footer="0" w:header="0"/>
          <w:type w:val="continuous"/>
        </w:sectPr>
      </w:pPr>
    </w:p>
    <w:p>
      <w:pPr>
        <w:ind w:right="60"/>
        <w:spacing w:after="0" w:line="257" w:lineRule="auto"/>
        <w:rPr>
          <w:sz w:val="20"/>
          <w:szCs w:val="20"/>
          <w:color w:val="auto"/>
        </w:rPr>
      </w:pPr>
      <w:r>
        <w:rPr>
          <w:rFonts w:ascii="Arial" w:cs="Arial" w:eastAsia="Arial" w:hAnsi="Arial"/>
          <w:sz w:val="18"/>
          <w:szCs w:val="18"/>
          <w:color w:val="auto"/>
        </w:rPr>
        <w:t>Any adjustment made under this Section 13.04(a) shall become effective immediately after the open of business on the Ex-Dividend Date for such dividend or distribution, or immediately after the effectiveness of such share split or share combination, as applicable. If any dividend or distribution of the type described in this Section 13.04(a) is declared but not so paid or made, the Conversion Rate shall be immediately readjusted, effective as of the date the Board of Directors determines not to pay such dividend or distribution, to the Conversion Rate that would then be in effect if such dividend or distribution had not been declared.</w:t>
      </w:r>
    </w:p>
    <w:p>
      <w:pPr>
        <w:spacing w:after="0" w:line="188" w:lineRule="exact"/>
        <w:rPr>
          <w:sz w:val="20"/>
          <w:szCs w:val="20"/>
          <w:color w:val="auto"/>
        </w:rPr>
      </w:pPr>
    </w:p>
    <w:p>
      <w:pPr>
        <w:ind w:right="60" w:firstLine="464"/>
        <w:spacing w:after="0" w:line="302" w:lineRule="auto"/>
        <w:tabs>
          <w:tab w:leader="none" w:pos="846" w:val="left"/>
        </w:tabs>
        <w:numPr>
          <w:ilvl w:val="0"/>
          <w:numId w:val="63"/>
        </w:numPr>
        <w:rPr>
          <w:rFonts w:ascii="Arial" w:cs="Arial" w:eastAsia="Arial" w:hAnsi="Arial"/>
          <w:sz w:val="16"/>
          <w:szCs w:val="16"/>
          <w:color w:val="auto"/>
        </w:rPr>
      </w:pPr>
      <w:r>
        <w:rPr>
          <w:rFonts w:ascii="Arial" w:cs="Arial" w:eastAsia="Arial" w:hAnsi="Arial"/>
          <w:sz w:val="16"/>
          <w:szCs w:val="16"/>
          <w:color w:val="auto"/>
        </w:rPr>
        <w:t>If the Company issues to all or substantially all holders of its Common Stock any rights, options or warrants entitling them, for a period of not more than 45 calendar days after the issuance date for such distribution, to subscribe for or purchase shares of the Common Stock at a price per share that is less than the average of the Last Reported Sale Prices of the Common Stock for the 10 consecutive Trading Day period ending on, and including, the Trading Day immediately preceding the date of announcement of such issuance, the Conversion Rate shall be adjusted based on the following formula: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20" w:type="dxa"/>
            <w:vAlign w:val="bottom"/>
            <w:vMerge w:val="restart"/>
          </w:tcPr>
          <w:p>
            <w:pPr>
              <w:ind w:left="3940"/>
              <w:spacing w:after="0"/>
              <w:rPr>
                <w:sz w:val="20"/>
                <w:szCs w:val="20"/>
                <w:color w:val="auto"/>
              </w:rPr>
            </w:pPr>
            <w:r>
              <w:rPr>
                <w:rFonts w:ascii="Arial" w:cs="Arial" w:eastAsia="Arial" w:hAnsi="Arial"/>
                <w:sz w:val="18"/>
                <w:szCs w:val="18"/>
                <w:color w:val="auto"/>
              </w:rPr>
              <w:t>CR' = CR</w:t>
            </w:r>
            <w:r>
              <w:rPr>
                <w:rFonts w:ascii="Arial" w:cs="Arial" w:eastAsia="Arial" w:hAnsi="Arial"/>
                <w:sz w:val="15"/>
                <w:szCs w:val="15"/>
                <w:color w:val="auto"/>
              </w:rPr>
              <w:t>0</w:t>
            </w:r>
            <w:r>
              <w:rPr>
                <w:rFonts w:ascii="Arial" w:cs="Arial" w:eastAsia="Arial" w:hAnsi="Arial"/>
                <w:sz w:val="18"/>
                <w:szCs w:val="18"/>
                <w:color w:val="auto"/>
              </w:rPr>
              <w:t xml:space="preserve"> ×</w:t>
            </w:r>
          </w:p>
        </w:tc>
        <w:tc>
          <w:tcPr>
            <w:tcW w:w="8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 X</w:t>
            </w: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20" w:type="dxa"/>
            <w:vAlign w:val="bottom"/>
            <w:vMerge w:val="continue"/>
          </w:tcPr>
          <w:p>
            <w:pPr>
              <w:spacing w:after="0"/>
              <w:rPr>
                <w:sz w:val="10"/>
                <w:szCs w:val="10"/>
                <w:color w:val="auto"/>
              </w:rPr>
            </w:pPr>
          </w:p>
        </w:tc>
        <w:tc>
          <w:tcPr>
            <w:tcW w:w="3880" w:type="dxa"/>
            <w:vAlign w:val="bottom"/>
            <w:gridSpan w:val="2"/>
            <w:vMerge w:val="restart"/>
          </w:tcPr>
          <w:p>
            <w:pPr>
              <w:ind w:left="100"/>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r>
              <w:rPr>
                <w:rFonts w:ascii="Arial" w:cs="Arial" w:eastAsia="Arial" w:hAnsi="Arial"/>
                <w:sz w:val="18"/>
                <w:szCs w:val="18"/>
                <w:color w:val="auto"/>
              </w:rPr>
              <w:t xml:space="preserve"> + Y</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540" w:type="dxa"/>
            <w:vAlign w:val="bottom"/>
          </w:tcPr>
          <w:p>
            <w:pPr>
              <w:spacing w:after="0"/>
              <w:rPr>
                <w:sz w:val="20"/>
                <w:szCs w:val="20"/>
                <w:color w:val="auto"/>
              </w:rPr>
            </w:pPr>
            <w:r>
              <w:rPr>
                <w:rFonts w:ascii="Arial" w:cs="Arial" w:eastAsia="Arial" w:hAnsi="Arial"/>
                <w:sz w:val="18"/>
                <w:szCs w:val="18"/>
                <w:color w:val="auto"/>
                <w:w w:val="96"/>
              </w:rPr>
              <w:t>where,</w:t>
            </w:r>
          </w:p>
        </w:tc>
        <w:tc>
          <w:tcPr>
            <w:tcW w:w="2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900" w:type="dxa"/>
            <w:vAlign w:val="bottom"/>
            <w:gridSpan w:val="3"/>
          </w:tcPr>
          <w:p>
            <w:pPr>
              <w:ind w:left="100"/>
              <w:spacing w:after="0"/>
              <w:rPr>
                <w:sz w:val="20"/>
                <w:szCs w:val="20"/>
                <w:color w:val="auto"/>
              </w:rPr>
            </w:pPr>
            <w:r>
              <w:rPr>
                <w:rFonts w:ascii="Arial" w:cs="Arial" w:eastAsia="Arial" w:hAnsi="Arial"/>
                <w:sz w:val="18"/>
                <w:szCs w:val="18"/>
                <w:color w:val="auto"/>
                <w:w w:val="95"/>
              </w:rPr>
              <w:t>the Conversion Rate in effect immediately prior to the open of business on the Ex-Dividend Date for such issuance;</w:t>
            </w:r>
          </w:p>
        </w:tc>
        <w:tc>
          <w:tcPr>
            <w:tcW w:w="0" w:type="dxa"/>
            <w:vAlign w:val="bottom"/>
          </w:tcPr>
          <w:p>
            <w:pPr>
              <w:spacing w:after="0"/>
              <w:rPr>
                <w:sz w:val="1"/>
                <w:szCs w:val="1"/>
                <w:color w:val="auto"/>
              </w:rPr>
            </w:pPr>
          </w:p>
        </w:tc>
      </w:tr>
      <w:tr>
        <w:trPr>
          <w:trHeight w:val="305"/>
        </w:trPr>
        <w:tc>
          <w:tcPr>
            <w:tcW w:w="540" w:type="dxa"/>
            <w:vAlign w:val="bottom"/>
          </w:tcPr>
          <w:p>
            <w:pPr>
              <w:spacing w:after="0"/>
              <w:rPr>
                <w:sz w:val="20"/>
                <w:szCs w:val="20"/>
                <w:color w:val="auto"/>
              </w:rPr>
            </w:pPr>
            <w:r>
              <w:rPr>
                <w:rFonts w:ascii="Arial" w:cs="Arial" w:eastAsia="Arial" w:hAnsi="Arial"/>
                <w:sz w:val="18"/>
                <w:szCs w:val="18"/>
                <w:color w:val="auto"/>
              </w:rPr>
              <w:t>CR'</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900" w:type="dxa"/>
            <w:vAlign w:val="bottom"/>
            <w:gridSpan w:val="3"/>
          </w:tcPr>
          <w:p>
            <w:pPr>
              <w:ind w:left="10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c>
          <w:tcPr>
            <w:tcW w:w="0" w:type="dxa"/>
            <w:vAlign w:val="bottom"/>
          </w:tcPr>
          <w:p>
            <w:pPr>
              <w:spacing w:after="0"/>
              <w:rPr>
                <w:sz w:val="1"/>
                <w:szCs w:val="1"/>
                <w:color w:val="auto"/>
              </w:rPr>
            </w:pPr>
          </w:p>
        </w:tc>
      </w:tr>
      <w:tr>
        <w:trPr>
          <w:trHeight w:val="343"/>
        </w:trPr>
        <w:tc>
          <w:tcPr>
            <w:tcW w:w="540" w:type="dxa"/>
            <w:vAlign w:val="bottom"/>
          </w:tcPr>
          <w:p>
            <w:pPr>
              <w:spacing w:after="0"/>
              <w:rPr>
                <w:sz w:val="20"/>
                <w:szCs w:val="20"/>
                <w:color w:val="auto"/>
              </w:rPr>
            </w:pPr>
            <w:r>
              <w:rPr>
                <w:rFonts w:ascii="Arial" w:cs="Arial" w:eastAsia="Arial" w:hAnsi="Arial"/>
                <w:sz w:val="18"/>
                <w:szCs w:val="18"/>
                <w:color w:val="auto"/>
              </w:rPr>
              <w:t>OS</w:t>
            </w:r>
            <w:r>
              <w:rPr>
                <w:rFonts w:ascii="Arial" w:cs="Arial" w:eastAsia="Arial" w:hAnsi="Arial"/>
                <w:sz w:val="15"/>
                <w:szCs w:val="15"/>
                <w:color w:val="auto"/>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900" w:type="dxa"/>
            <w:vAlign w:val="bottom"/>
            <w:gridSpan w:val="3"/>
          </w:tcPr>
          <w:p>
            <w:pPr>
              <w:ind w:left="100"/>
              <w:spacing w:after="0"/>
              <w:rPr>
                <w:sz w:val="20"/>
                <w:szCs w:val="20"/>
                <w:color w:val="auto"/>
              </w:rPr>
            </w:pPr>
            <w:r>
              <w:rPr>
                <w:rFonts w:ascii="Arial" w:cs="Arial" w:eastAsia="Arial" w:hAnsi="Arial"/>
                <w:sz w:val="18"/>
                <w:szCs w:val="18"/>
                <w:color w:val="auto"/>
                <w:w w:val="90"/>
              </w:rPr>
              <w:t>the number of shares of Common Stock outstanding immediately prior to the open of business on such Ex-Dividend Date;</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00" w:hanging="592"/>
        <w:spacing w:after="0"/>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the total number of shares of Common Stock issuable pursuant to such rights, options or warrants; and</w:t>
      </w:r>
    </w:p>
    <w:p>
      <w:pPr>
        <w:spacing w:after="0" w:line="117" w:lineRule="exact"/>
        <w:rPr>
          <w:sz w:val="20"/>
          <w:szCs w:val="20"/>
          <w:color w:val="auto"/>
        </w:rPr>
      </w:pPr>
    </w:p>
    <w:p>
      <w:pPr>
        <w:ind w:left="920" w:right="140" w:hanging="912"/>
        <w:spacing w:after="0" w:line="286" w:lineRule="auto"/>
        <w:tabs>
          <w:tab w:leader="none" w:pos="592"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 the number of shares of Common Stock equal to the aggregate price payable to exercise such rights, options or warrants, </w:t>
      </w:r>
      <w:r>
        <w:rPr>
          <w:rFonts w:ascii="Arial" w:cs="Arial" w:eastAsia="Arial" w:hAnsi="Arial"/>
          <w:sz w:val="17"/>
          <w:szCs w:val="17"/>
          <w:i w:val="1"/>
          <w:iCs w:val="1"/>
          <w:color w:val="auto"/>
        </w:rPr>
        <w:t>divided by</w:t>
      </w:r>
      <w:r>
        <w:rPr>
          <w:rFonts w:ascii="Arial" w:cs="Arial" w:eastAsia="Arial" w:hAnsi="Arial"/>
          <w:sz w:val="17"/>
          <w:szCs w:val="17"/>
          <w:color w:val="auto"/>
        </w:rPr>
        <w:t xml:space="preserve"> the average of the Last Reported Sale Prices of the Common Stock over the 10 consecutive Trading Day period ending on, and including, the Trading Day immediately preceding the date of announcement of the issuance of such rights, options or warrants.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274" w:right="259" w:bottom="1440" w:gutter="0" w:footer="0" w:header="0"/>
          <w:type w:val="continuous"/>
        </w:sectPr>
      </w:pPr>
    </w:p>
    <w:bookmarkStart w:id="75" w:name="page76"/>
    <w:bookmarkEnd w:id="75"/>
    <w:p>
      <w:pPr>
        <w:ind w:right="10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increase made under this Section 13.04(b) shall be made successively whenever any such rights, options or warrants are issued and shall become effective immediately after the open of business on the Ex-Dividend Date for such issuance. To the extent that shares of the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Common Stock actually delivered. If such rights, options or warrants are not so issued, the Conversion Rate shall be decreased to the Conversion Rate that would then be in effect if such Ex-Dividend Date for such issuance had not occurred.</w:t>
      </w:r>
    </w:p>
    <w:p>
      <w:pPr>
        <w:spacing w:after="0" w:line="17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For purposes of this Section 13.04(b), in determining whether any rights, options or warrants entitle the holders to subscribe for or purchase shares of the Common Stock at less than such average of the Last Reported Sale Prices of the Common Stock for the 10 consecutive Trading Day period ending on, and including, the Trading Day immediately preceding the date of announcement of such issuance, and in determining the aggregate offering price of such shares of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58" w:lineRule="exact"/>
        <w:rPr>
          <w:sz w:val="20"/>
          <w:szCs w:val="20"/>
          <w:color w:val="auto"/>
        </w:rPr>
      </w:pPr>
    </w:p>
    <w:p>
      <w:pPr>
        <w:ind w:right="80" w:firstLine="464"/>
        <w:spacing w:after="0" w:line="288" w:lineRule="auto"/>
        <w:tabs>
          <w:tab w:leader="none" w:pos="836" w:val="left"/>
        </w:tabs>
        <w:numPr>
          <w:ilvl w:val="1"/>
          <w:numId w:val="66"/>
        </w:numPr>
        <w:rPr>
          <w:rFonts w:ascii="Arial" w:cs="Arial" w:eastAsia="Arial" w:hAnsi="Arial"/>
          <w:sz w:val="16"/>
          <w:szCs w:val="16"/>
          <w:color w:val="auto"/>
        </w:rPr>
      </w:pPr>
      <w:r>
        <w:rPr>
          <w:rFonts w:ascii="Arial" w:cs="Arial" w:eastAsia="Arial" w:hAnsi="Arial"/>
          <w:sz w:val="16"/>
          <w:szCs w:val="16"/>
          <w:color w:val="auto"/>
        </w:rPr>
        <w:t>If the Company distributes shares of its Capital Stock, evidences of its indebtedness, other assets or property of the Company or rights, options or warrants to acquire its Capital Stock or other securities, to all or substantially all holders of the Common Stock, excluding (i) dividends, distributions or issuances as to which an adjustment was effected pursuant to Section 13.04(a) or Section 13.04(b), (ii) dividends or distributions paid exclusively in cash and</w:t>
      </w:r>
    </w:p>
    <w:p>
      <w:pPr>
        <w:ind w:right="120" w:firstLine="8"/>
        <w:spacing w:after="0" w:line="255" w:lineRule="auto"/>
        <w:tabs>
          <w:tab w:leader="none" w:pos="315" w:val="left"/>
        </w:tabs>
        <w:numPr>
          <w:ilvl w:val="0"/>
          <w:numId w:val="67"/>
        </w:numPr>
        <w:rPr>
          <w:rFonts w:ascii="Arial" w:cs="Arial" w:eastAsia="Arial" w:hAnsi="Arial"/>
          <w:sz w:val="18"/>
          <w:szCs w:val="18"/>
          <w:color w:val="auto"/>
        </w:rPr>
      </w:pPr>
      <w:r>
        <w:rPr>
          <w:rFonts w:ascii="Arial" w:cs="Arial" w:eastAsia="Arial" w:hAnsi="Arial"/>
          <w:sz w:val="18"/>
          <w:szCs w:val="18"/>
          <w:color w:val="auto"/>
        </w:rPr>
        <w:t>Spin-Offs as to which the provisions set forth below in this Section 13.04(c) shall apply (any of such shares of Capital Stock, evidences of indebtedness, other assets or property or rights, options or warrants to acquire Capital Stock or other securities of the Company, the “</w:t>
      </w:r>
      <w:r>
        <w:rPr>
          <w:rFonts w:ascii="Arial" w:cs="Arial" w:eastAsia="Arial" w:hAnsi="Arial"/>
          <w:sz w:val="18"/>
          <w:szCs w:val="18"/>
          <w:b w:val="1"/>
          <w:bCs w:val="1"/>
          <w:color w:val="auto"/>
        </w:rPr>
        <w:t>Distributed Property</w:t>
      </w:r>
      <w:r>
        <w:rPr>
          <w:rFonts w:ascii="Arial" w:cs="Arial" w:eastAsia="Arial" w:hAnsi="Arial"/>
          <w:sz w:val="18"/>
          <w:szCs w:val="18"/>
          <w:color w:val="auto"/>
        </w:rPr>
        <w:t>”), then the Conversion Rate shall be adjusted based on the following formula: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0" w:type="dxa"/>
            <w:vAlign w:val="bottom"/>
            <w:vMerge w:val="restart"/>
          </w:tcPr>
          <w:p>
            <w:pPr>
              <w:ind w:left="3920"/>
              <w:spacing w:after="0"/>
              <w:rPr>
                <w:sz w:val="20"/>
                <w:szCs w:val="20"/>
                <w:color w:val="auto"/>
              </w:rPr>
            </w:pPr>
            <w:r>
              <w:rPr>
                <w:rFonts w:ascii="Arial" w:cs="Arial" w:eastAsia="Arial" w:hAnsi="Arial"/>
                <w:sz w:val="18"/>
                <w:szCs w:val="18"/>
                <w:color w:val="auto"/>
              </w:rPr>
              <w:t>CR' = CR</w:t>
            </w:r>
            <w:r>
              <w:rPr>
                <w:rFonts w:ascii="Arial" w:cs="Arial" w:eastAsia="Arial" w:hAnsi="Arial"/>
                <w:sz w:val="15"/>
                <w:szCs w:val="15"/>
                <w:color w:val="auto"/>
              </w:rPr>
              <w:t>0</w:t>
            </w:r>
            <w:r>
              <w:rPr>
                <w:rFonts w:ascii="Arial" w:cs="Arial" w:eastAsia="Arial" w:hAnsi="Arial"/>
                <w:sz w:val="18"/>
                <w:szCs w:val="18"/>
                <w:color w:val="auto"/>
              </w:rPr>
              <w:t xml:space="preserve"> ×</w:t>
            </w:r>
          </w:p>
        </w:tc>
        <w:tc>
          <w:tcPr>
            <w:tcW w:w="5280" w:type="dxa"/>
            <w:vAlign w:val="bottom"/>
            <w:gridSpan w:val="2"/>
          </w:tcPr>
          <w:p>
            <w:pPr>
              <w:jc w:val="center"/>
              <w:ind w:right="4400"/>
              <w:spacing w:after="0"/>
              <w:rPr>
                <w:sz w:val="20"/>
                <w:szCs w:val="20"/>
                <w:color w:val="auto"/>
              </w:rPr>
            </w:pPr>
            <w:r>
              <w:rPr>
                <w:rFonts w:ascii="Arial" w:cs="Arial" w:eastAsia="Arial" w:hAnsi="Arial"/>
                <w:sz w:val="18"/>
                <w:szCs w:val="18"/>
                <w:color w:val="auto"/>
                <w:w w:val="86"/>
              </w:rPr>
              <w:t>SP</w:t>
            </w:r>
            <w:r>
              <w:rPr>
                <w:rFonts w:ascii="Arial" w:cs="Arial" w:eastAsia="Arial" w:hAnsi="Arial"/>
                <w:sz w:val="15"/>
                <w:szCs w:val="15"/>
                <w:color w:val="auto"/>
                <w:w w:val="86"/>
              </w:rPr>
              <w:t>0</w:t>
            </w:r>
          </w:p>
        </w:tc>
        <w:tc>
          <w:tcPr>
            <w:tcW w:w="0" w:type="dxa"/>
            <w:vAlign w:val="bottom"/>
          </w:tcPr>
          <w:p>
            <w:pPr>
              <w:spacing w:after="0"/>
              <w:rPr>
                <w:sz w:val="1"/>
                <w:szCs w:val="1"/>
                <w:color w:val="auto"/>
              </w:rPr>
            </w:pPr>
          </w:p>
        </w:tc>
      </w:tr>
      <w:tr>
        <w:trPr>
          <w:trHeight w:val="269"/>
        </w:trPr>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0" w:type="dxa"/>
            <w:vAlign w:val="bottom"/>
            <w:vMerge w:val="continue"/>
          </w:tcPr>
          <w:p>
            <w:pPr>
              <w:spacing w:after="0"/>
              <w:rPr>
                <w:sz w:val="23"/>
                <w:szCs w:val="23"/>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SP</w:t>
            </w:r>
            <w:r>
              <w:rPr>
                <w:rFonts w:ascii="Arial" w:cs="Arial" w:eastAsia="Arial" w:hAnsi="Arial"/>
                <w:sz w:val="15"/>
                <w:szCs w:val="15"/>
                <w:color w:val="auto"/>
                <w:w w:val="92"/>
              </w:rPr>
              <w:t>0</w:t>
            </w:r>
            <w:r>
              <w:rPr>
                <w:rFonts w:ascii="Arial" w:cs="Arial" w:eastAsia="Arial" w:hAnsi="Arial"/>
                <w:sz w:val="18"/>
                <w:szCs w:val="18"/>
                <w:color w:val="auto"/>
                <w:w w:val="92"/>
              </w:rPr>
              <w:t xml:space="preserve"> – FMV</w:t>
            </w:r>
          </w:p>
        </w:tc>
        <w:tc>
          <w:tcPr>
            <w:tcW w:w="4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560" w:type="dxa"/>
            <w:vAlign w:val="bottom"/>
          </w:tcPr>
          <w:p>
            <w:pPr>
              <w:spacing w:after="0"/>
              <w:rPr>
                <w:sz w:val="20"/>
                <w:szCs w:val="20"/>
                <w:color w:val="auto"/>
              </w:rPr>
            </w:pPr>
            <w:r>
              <w:rPr>
                <w:rFonts w:ascii="Arial" w:cs="Arial" w:eastAsia="Arial" w:hAnsi="Arial"/>
                <w:sz w:val="18"/>
                <w:szCs w:val="18"/>
                <w:color w:val="auto"/>
                <w:w w:val="99"/>
              </w:rPr>
              <w:t>where,</w:t>
            </w:r>
          </w:p>
        </w:tc>
        <w:tc>
          <w:tcPr>
            <w:tcW w:w="2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6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rPr>
              <w:t>the Conversion Rate in effect immediately prior to the open of business on the Ex-Dividend Date for such distribution;</w:t>
            </w:r>
          </w:p>
        </w:tc>
        <w:tc>
          <w:tcPr>
            <w:tcW w:w="0" w:type="dxa"/>
            <w:vAlign w:val="bottom"/>
          </w:tcPr>
          <w:p>
            <w:pPr>
              <w:spacing w:after="0"/>
              <w:rPr>
                <w:sz w:val="1"/>
                <w:szCs w:val="1"/>
                <w:color w:val="auto"/>
              </w:rPr>
            </w:pPr>
          </w:p>
        </w:tc>
      </w:tr>
      <w:tr>
        <w:trPr>
          <w:trHeight w:val="305"/>
        </w:trPr>
        <w:tc>
          <w:tcPr>
            <w:tcW w:w="560" w:type="dxa"/>
            <w:vAlign w:val="bottom"/>
          </w:tcPr>
          <w:p>
            <w:pPr>
              <w:spacing w:after="0"/>
              <w:rPr>
                <w:sz w:val="20"/>
                <w:szCs w:val="20"/>
                <w:color w:val="auto"/>
              </w:rPr>
            </w:pPr>
            <w:r>
              <w:rPr>
                <w:rFonts w:ascii="Arial" w:cs="Arial" w:eastAsia="Arial" w:hAnsi="Arial"/>
                <w:sz w:val="18"/>
                <w:szCs w:val="18"/>
                <w:color w:val="auto"/>
              </w:rPr>
              <w:t>CR'</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rPr>
              <w:t>the Conversion Rate in effect immediately after the open of business on such Ex-Dividend Date;</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w w:val="90"/>
              </w:rPr>
              <w:t>the average of the Last Reported Sale Prices of the Common Stock over the 10 consecutive Trading Day period ending on, and including, the</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rPr>
              <w:t>Trading Day immediately preceding the Ex-Dividend Date for such distribution; and</w:t>
            </w:r>
          </w:p>
        </w:tc>
        <w:tc>
          <w:tcPr>
            <w:tcW w:w="0" w:type="dxa"/>
            <w:vAlign w:val="bottom"/>
          </w:tcPr>
          <w:p>
            <w:pPr>
              <w:spacing w:after="0"/>
              <w:rPr>
                <w:sz w:val="1"/>
                <w:szCs w:val="1"/>
                <w:color w:val="auto"/>
              </w:rPr>
            </w:pPr>
          </w:p>
        </w:tc>
      </w:tr>
      <w:tr>
        <w:trPr>
          <w:trHeight w:val="310"/>
        </w:trPr>
        <w:tc>
          <w:tcPr>
            <w:tcW w:w="560" w:type="dxa"/>
            <w:vAlign w:val="bottom"/>
          </w:tcPr>
          <w:p>
            <w:pPr>
              <w:spacing w:after="0"/>
              <w:rPr>
                <w:sz w:val="20"/>
                <w:szCs w:val="20"/>
                <w:color w:val="auto"/>
              </w:rPr>
            </w:pPr>
            <w:r>
              <w:rPr>
                <w:rFonts w:ascii="Arial" w:cs="Arial" w:eastAsia="Arial" w:hAnsi="Arial"/>
                <w:sz w:val="18"/>
                <w:szCs w:val="18"/>
                <w:color w:val="auto"/>
              </w:rPr>
              <w:t>FMV</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w w:val="94"/>
              </w:rPr>
              <w:t>the fair market value (as determined by the Board of Directors) of the Distributed Property with respect to each outstanding share of the</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80" w:type="dxa"/>
            <w:vAlign w:val="bottom"/>
            <w:gridSpan w:val="3"/>
          </w:tcPr>
          <w:p>
            <w:pPr>
              <w:ind w:left="120"/>
              <w:spacing w:after="0"/>
              <w:rPr>
                <w:sz w:val="20"/>
                <w:szCs w:val="20"/>
                <w:color w:val="auto"/>
              </w:rPr>
            </w:pPr>
            <w:r>
              <w:rPr>
                <w:rFonts w:ascii="Arial" w:cs="Arial" w:eastAsia="Arial" w:hAnsi="Arial"/>
                <w:sz w:val="18"/>
                <w:szCs w:val="18"/>
                <w:color w:val="auto"/>
              </w:rPr>
              <w:t>Common Stock on the Ex-Dividend Date for such distribution.</w:t>
            </w:r>
          </w:p>
        </w:tc>
        <w:tc>
          <w:tcPr>
            <w:tcW w:w="0" w:type="dxa"/>
            <w:vAlign w:val="bottom"/>
          </w:tcPr>
          <w:p>
            <w:pPr>
              <w:spacing w:after="0"/>
              <w:rPr>
                <w:sz w:val="1"/>
                <w:szCs w:val="1"/>
                <w:color w:val="auto"/>
              </w:rPr>
            </w:pPr>
          </w:p>
        </w:tc>
      </w:tr>
      <w:tr>
        <w:trPr>
          <w:trHeight w:val="365"/>
        </w:trPr>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0" w:type="dxa"/>
            <w:vAlign w:val="bottom"/>
          </w:tcPr>
          <w:p>
            <w:pPr>
              <w:ind w:left="4800"/>
              <w:spacing w:after="0"/>
              <w:rPr>
                <w:sz w:val="20"/>
                <w:szCs w:val="20"/>
                <w:color w:val="auto"/>
              </w:rPr>
            </w:pPr>
            <w:r>
              <w:rPr>
                <w:rFonts w:ascii="Arial" w:cs="Arial" w:eastAsia="Arial" w:hAnsi="Arial"/>
                <w:sz w:val="18"/>
                <w:szCs w:val="18"/>
                <w:color w:val="auto"/>
                <w:w w:val="89"/>
              </w:rPr>
              <w:t>66</w:t>
            </w:r>
          </w:p>
        </w:tc>
        <w:tc>
          <w:tcPr>
            <w:tcW w:w="8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6" w:name="page77"/>
    <w:bookmarkEnd w:id="76"/>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increase made under the portion of this Section 13.04(c) above shall become effective immediately after the open of business on the Ex-Dividend Date for such distribution. If such distribution is not so paid or made, the Conversion Rate shall be decreased to the Conversion Rate that would then be in effect if such dividend or distribution had not been declared. Notwithstanding the foregoing, if “FMV” (as defined above) is equal to or greater than “SP</w:t>
      </w:r>
      <w:r>
        <w:rPr>
          <w:rFonts w:ascii="Arial" w:cs="Arial" w:eastAsia="Arial" w:hAnsi="Arial"/>
          <w:sz w:val="15"/>
          <w:szCs w:val="15"/>
          <w:color w:val="auto"/>
        </w:rPr>
        <w:t>0</w:t>
      </w:r>
      <w:r>
        <w:rPr>
          <w:rFonts w:ascii="Arial" w:cs="Arial" w:eastAsia="Arial" w:hAnsi="Arial"/>
          <w:sz w:val="18"/>
          <w:szCs w:val="18"/>
          <w:color w:val="auto"/>
        </w:rPr>
        <w:t>” (as defined above), in lieu of the foregoing increase, each Holder of a Note shall receive, in respect of each $1,000 principal amount thereof, at the same time and upon the same terms as holders of the Common Stock receive the Distributed Property, the amount of Distributed Property such Holder would have received if such Holder owned a number of shares of Common Stock equal to the Conversion Rate in effect on the Ex-Dividend Date for the distribution. If the Board of Directors determines the “FMV” (as defined above) of any distribution for purposes of this Section 13.04(c) by reference to the actual or when-issued trading market for any securities, it shall in doing so consider the prices in such market over the same period used in computing the Last Reported Sale Prices of the Common Stock over the 10 consecutive Trading Day period ending on, and including, the Trading Day immediately preceding the Ex-Dividend Date for such distribution.</w:t>
      </w:r>
    </w:p>
    <w:p>
      <w:pPr>
        <w:spacing w:after="0" w:line="19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With respect to an adjustment pursuant to this Section 13.04(c) where there has been a payment of a dividend or other distribution on the Common Stock of shares of Capital Stock of any class or series, or similar equity interest, of or relating to a Subsidiary or other business unit of the Company, that are, or, when issued, will be, listed or admitted for trading on a U.S. national securities exchange (a “</w:t>
      </w:r>
      <w:r>
        <w:rPr>
          <w:rFonts w:ascii="Arial" w:cs="Arial" w:eastAsia="Arial" w:hAnsi="Arial"/>
          <w:sz w:val="18"/>
          <w:szCs w:val="18"/>
          <w:b w:val="1"/>
          <w:bCs w:val="1"/>
          <w:color w:val="auto"/>
        </w:rPr>
        <w:t>Spin-Off</w:t>
      </w:r>
      <w:r>
        <w:rPr>
          <w:rFonts w:ascii="Arial" w:cs="Arial" w:eastAsia="Arial" w:hAnsi="Arial"/>
          <w:sz w:val="18"/>
          <w:szCs w:val="18"/>
          <w:color w:val="auto"/>
        </w:rPr>
        <w:t>”), the Conversion Rate shall be adjusted based on the following formula: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00" w:type="dxa"/>
            <w:vAlign w:val="bottom"/>
          </w:tcPr>
          <w:p>
            <w:pPr>
              <w:spacing w:after="0"/>
              <w:rPr>
                <w:sz w:val="21"/>
                <w:szCs w:val="21"/>
                <w:color w:val="auto"/>
              </w:rPr>
            </w:pPr>
          </w:p>
        </w:tc>
        <w:tc>
          <w:tcPr>
            <w:tcW w:w="5200" w:type="dxa"/>
            <w:vAlign w:val="bottom"/>
            <w:vMerge w:val="restart"/>
          </w:tcPr>
          <w:p>
            <w:pPr>
              <w:ind w:left="4120"/>
              <w:spacing w:after="0"/>
              <w:rPr>
                <w:sz w:val="20"/>
                <w:szCs w:val="20"/>
                <w:color w:val="auto"/>
              </w:rPr>
            </w:pPr>
            <w:r>
              <w:rPr>
                <w:rFonts w:ascii="Arial" w:cs="Arial" w:eastAsia="Arial" w:hAnsi="Arial"/>
                <w:sz w:val="18"/>
                <w:szCs w:val="18"/>
                <w:color w:val="auto"/>
              </w:rPr>
              <w:t>CR' = CR</w:t>
            </w:r>
            <w:r>
              <w:rPr>
                <w:rFonts w:ascii="Arial" w:cs="Arial" w:eastAsia="Arial" w:hAnsi="Arial"/>
                <w:sz w:val="15"/>
                <w:szCs w:val="15"/>
                <w:color w:val="auto"/>
              </w:rPr>
              <w:t>0</w:t>
            </w:r>
            <w:r>
              <w:rPr>
                <w:rFonts w:ascii="Arial" w:cs="Arial" w:eastAsia="Arial" w:hAnsi="Arial"/>
                <w:sz w:val="18"/>
                <w:szCs w:val="18"/>
                <w:color w:val="auto"/>
              </w:rPr>
              <w:t xml:space="preserve"> ×</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FMV</w:t>
            </w:r>
            <w:r>
              <w:rPr>
                <w:rFonts w:ascii="Arial" w:cs="Arial" w:eastAsia="Arial" w:hAnsi="Arial"/>
                <w:sz w:val="15"/>
                <w:szCs w:val="15"/>
                <w:color w:val="auto"/>
                <w:w w:val="97"/>
              </w:rPr>
              <w:t>0</w:t>
            </w:r>
            <w:r>
              <w:rPr>
                <w:rFonts w:ascii="Arial" w:cs="Arial" w:eastAsia="Arial" w:hAnsi="Arial"/>
                <w:sz w:val="18"/>
                <w:szCs w:val="18"/>
                <w:color w:val="auto"/>
                <w:w w:val="97"/>
              </w:rPr>
              <w:t xml:space="preserve"> + MP</w:t>
            </w:r>
            <w:r>
              <w:rPr>
                <w:rFonts w:ascii="Arial" w:cs="Arial" w:eastAsia="Arial" w:hAnsi="Arial"/>
                <w:sz w:val="15"/>
                <w:szCs w:val="15"/>
                <w:color w:val="auto"/>
                <w:w w:val="97"/>
              </w:rPr>
              <w:t>0</w:t>
            </w:r>
          </w:p>
        </w:tc>
        <w:tc>
          <w:tcPr>
            <w:tcW w:w="4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600" w:type="dxa"/>
            <w:vAlign w:val="bottom"/>
          </w:tcPr>
          <w:p>
            <w:pPr>
              <w:spacing w:after="0"/>
              <w:rPr>
                <w:sz w:val="10"/>
                <w:szCs w:val="10"/>
                <w:color w:val="auto"/>
              </w:rPr>
            </w:pPr>
          </w:p>
        </w:tc>
        <w:tc>
          <w:tcPr>
            <w:tcW w:w="5200" w:type="dxa"/>
            <w:vAlign w:val="bottom"/>
            <w:vMerge w:val="continue"/>
          </w:tcPr>
          <w:p>
            <w:pPr>
              <w:spacing w:after="0"/>
              <w:rPr>
                <w:sz w:val="10"/>
                <w:szCs w:val="10"/>
                <w:color w:val="auto"/>
              </w:rPr>
            </w:pPr>
          </w:p>
        </w:tc>
        <w:tc>
          <w:tcPr>
            <w:tcW w:w="5600" w:type="dxa"/>
            <w:vAlign w:val="bottom"/>
            <w:gridSpan w:val="2"/>
            <w:vMerge w:val="restart"/>
          </w:tcPr>
          <w:p>
            <w:pPr>
              <w:jc w:val="center"/>
              <w:ind w:right="4600"/>
              <w:spacing w:after="0"/>
              <w:rPr>
                <w:sz w:val="20"/>
                <w:szCs w:val="20"/>
                <w:color w:val="auto"/>
              </w:rPr>
            </w:pPr>
            <w:r>
              <w:rPr>
                <w:rFonts w:ascii="Arial" w:cs="Arial" w:eastAsia="Arial" w:hAnsi="Arial"/>
                <w:sz w:val="18"/>
                <w:szCs w:val="18"/>
                <w:color w:val="auto"/>
                <w:w w:val="90"/>
              </w:rPr>
              <w:t>MP</w:t>
            </w:r>
            <w:r>
              <w:rPr>
                <w:rFonts w:ascii="Arial" w:cs="Arial" w:eastAsia="Arial" w:hAnsi="Arial"/>
                <w:sz w:val="15"/>
                <w:szCs w:val="15"/>
                <w:color w:val="auto"/>
                <w:w w:val="90"/>
              </w:rPr>
              <w:t>0</w:t>
            </w: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5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600" w:type="dxa"/>
            <w:vAlign w:val="bottom"/>
          </w:tcPr>
          <w:p>
            <w:pPr>
              <w:spacing w:after="0"/>
              <w:rPr>
                <w:sz w:val="20"/>
                <w:szCs w:val="20"/>
                <w:color w:val="auto"/>
              </w:rPr>
            </w:pPr>
            <w:r>
              <w:rPr>
                <w:rFonts w:ascii="Arial" w:cs="Arial" w:eastAsia="Arial" w:hAnsi="Arial"/>
                <w:sz w:val="18"/>
                <w:szCs w:val="18"/>
                <w:color w:val="auto"/>
              </w:rPr>
              <w:t>where,</w:t>
            </w:r>
          </w:p>
        </w:tc>
        <w:tc>
          <w:tcPr>
            <w:tcW w:w="5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0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10800" w:type="dxa"/>
            <w:vAlign w:val="bottom"/>
            <w:gridSpan w:val="3"/>
          </w:tcPr>
          <w:p>
            <w:pPr>
              <w:ind w:left="100"/>
              <w:spacing w:after="0"/>
              <w:rPr>
                <w:sz w:val="20"/>
                <w:szCs w:val="20"/>
                <w:color w:val="auto"/>
              </w:rPr>
            </w:pPr>
            <w:r>
              <w:rPr>
                <w:rFonts w:ascii="Arial" w:cs="Arial" w:eastAsia="Arial" w:hAnsi="Arial"/>
                <w:sz w:val="18"/>
                <w:szCs w:val="18"/>
                <w:color w:val="auto"/>
              </w:rPr>
              <w:t>=   the Conversion Rate in effect immediately prior to the open of business on the Ex-Dividend Date of the Spin-Off;</w:t>
            </w:r>
          </w:p>
        </w:tc>
        <w:tc>
          <w:tcPr>
            <w:tcW w:w="0" w:type="dxa"/>
            <w:vAlign w:val="bottom"/>
          </w:tcPr>
          <w:p>
            <w:pPr>
              <w:spacing w:after="0"/>
              <w:rPr>
                <w:sz w:val="1"/>
                <w:szCs w:val="1"/>
                <w:color w:val="auto"/>
              </w:rPr>
            </w:pPr>
          </w:p>
        </w:tc>
      </w:tr>
      <w:tr>
        <w:trPr>
          <w:trHeight w:val="305"/>
        </w:trPr>
        <w:tc>
          <w:tcPr>
            <w:tcW w:w="600" w:type="dxa"/>
            <w:vAlign w:val="bottom"/>
          </w:tcPr>
          <w:p>
            <w:pPr>
              <w:spacing w:after="0"/>
              <w:rPr>
                <w:sz w:val="20"/>
                <w:szCs w:val="20"/>
                <w:color w:val="auto"/>
              </w:rPr>
            </w:pPr>
            <w:r>
              <w:rPr>
                <w:rFonts w:ascii="Arial" w:cs="Arial" w:eastAsia="Arial" w:hAnsi="Arial"/>
                <w:sz w:val="18"/>
                <w:szCs w:val="18"/>
                <w:color w:val="auto"/>
              </w:rPr>
              <w:t>CR'</w:t>
            </w:r>
          </w:p>
        </w:tc>
        <w:tc>
          <w:tcPr>
            <w:tcW w:w="10800" w:type="dxa"/>
            <w:vAlign w:val="bottom"/>
            <w:gridSpan w:val="3"/>
          </w:tcPr>
          <w:p>
            <w:pPr>
              <w:ind w:left="100"/>
              <w:spacing w:after="0"/>
              <w:rPr>
                <w:sz w:val="20"/>
                <w:szCs w:val="20"/>
                <w:color w:val="auto"/>
              </w:rPr>
            </w:pPr>
            <w:r>
              <w:rPr>
                <w:rFonts w:ascii="Arial" w:cs="Arial" w:eastAsia="Arial" w:hAnsi="Arial"/>
                <w:sz w:val="18"/>
                <w:szCs w:val="18"/>
                <w:color w:val="auto"/>
              </w:rPr>
              <w:t>=   the Conversion Rate in effect immediately after the open of business on the Ex-Dividend Date of the Spin-Off;</w:t>
            </w:r>
          </w:p>
        </w:tc>
        <w:tc>
          <w:tcPr>
            <w:tcW w:w="0" w:type="dxa"/>
            <w:vAlign w:val="bottom"/>
          </w:tcPr>
          <w:p>
            <w:pPr>
              <w:spacing w:after="0"/>
              <w:rPr>
                <w:sz w:val="1"/>
                <w:szCs w:val="1"/>
                <w:color w:val="auto"/>
              </w:rPr>
            </w:pPr>
          </w:p>
        </w:tc>
      </w:tr>
      <w:tr>
        <w:trPr>
          <w:trHeight w:val="310"/>
        </w:trPr>
        <w:tc>
          <w:tcPr>
            <w:tcW w:w="600" w:type="dxa"/>
            <w:vAlign w:val="bottom"/>
          </w:tcPr>
          <w:p>
            <w:pPr>
              <w:spacing w:after="0"/>
              <w:rPr>
                <w:sz w:val="20"/>
                <w:szCs w:val="20"/>
                <w:color w:val="auto"/>
              </w:rPr>
            </w:pPr>
            <w:r>
              <w:rPr>
                <w:rFonts w:ascii="Arial" w:cs="Arial" w:eastAsia="Arial" w:hAnsi="Arial"/>
                <w:sz w:val="18"/>
                <w:szCs w:val="18"/>
                <w:color w:val="auto"/>
              </w:rPr>
              <w:t>FMV</w:t>
            </w:r>
            <w:r>
              <w:rPr>
                <w:rFonts w:ascii="Arial" w:cs="Arial" w:eastAsia="Arial" w:hAnsi="Arial"/>
                <w:sz w:val="15"/>
                <w:szCs w:val="15"/>
                <w:color w:val="auto"/>
              </w:rPr>
              <w:t>0</w:t>
            </w:r>
          </w:p>
        </w:tc>
        <w:tc>
          <w:tcPr>
            <w:tcW w:w="10800" w:type="dxa"/>
            <w:vAlign w:val="bottom"/>
            <w:gridSpan w:val="3"/>
          </w:tcPr>
          <w:p>
            <w:pPr>
              <w:ind w:left="100"/>
              <w:spacing w:after="0"/>
              <w:rPr>
                <w:sz w:val="20"/>
                <w:szCs w:val="20"/>
                <w:color w:val="auto"/>
              </w:rPr>
            </w:pPr>
            <w:r>
              <w:rPr>
                <w:rFonts w:ascii="Arial" w:cs="Arial" w:eastAsia="Arial" w:hAnsi="Arial"/>
                <w:sz w:val="18"/>
                <w:szCs w:val="18"/>
                <w:color w:val="auto"/>
                <w:w w:val="97"/>
              </w:rPr>
              <w:t>=   the average of the Last Reported Sale Prices of the Capital Stock or similar equity interest distributed to holders of the Common Stock</w:t>
            </w: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10800" w:type="dxa"/>
            <w:vAlign w:val="bottom"/>
            <w:gridSpan w:val="3"/>
          </w:tcPr>
          <w:p>
            <w:pPr>
              <w:ind w:left="420"/>
              <w:spacing w:after="0"/>
              <w:rPr>
                <w:sz w:val="20"/>
                <w:szCs w:val="20"/>
                <w:color w:val="auto"/>
              </w:rPr>
            </w:pPr>
            <w:r>
              <w:rPr>
                <w:rFonts w:ascii="Arial" w:cs="Arial" w:eastAsia="Arial" w:hAnsi="Arial"/>
                <w:sz w:val="18"/>
                <w:szCs w:val="18"/>
                <w:color w:val="auto"/>
                <w:w w:val="90"/>
              </w:rPr>
              <w:t>applicable to one share of the Common Stock (determined by reference to the definition of Last Reported Sale Price as set forth in Section 1.01</w:t>
            </w:r>
          </w:p>
        </w:tc>
        <w:tc>
          <w:tcPr>
            <w:tcW w:w="0" w:type="dxa"/>
            <w:vAlign w:val="bottom"/>
          </w:tcPr>
          <w:p>
            <w:pPr>
              <w:spacing w:after="0"/>
              <w:rPr>
                <w:sz w:val="1"/>
                <w:szCs w:val="1"/>
                <w:color w:val="auto"/>
              </w:rPr>
            </w:pPr>
          </w:p>
        </w:tc>
      </w:tr>
      <w:tr>
        <w:trPr>
          <w:trHeight w:val="212"/>
        </w:trPr>
        <w:tc>
          <w:tcPr>
            <w:tcW w:w="600" w:type="dxa"/>
            <w:vAlign w:val="bottom"/>
          </w:tcPr>
          <w:p>
            <w:pPr>
              <w:spacing w:after="0"/>
              <w:rPr>
                <w:sz w:val="18"/>
                <w:szCs w:val="18"/>
                <w:color w:val="auto"/>
              </w:rPr>
            </w:pPr>
          </w:p>
        </w:tc>
        <w:tc>
          <w:tcPr>
            <w:tcW w:w="10800" w:type="dxa"/>
            <w:vAlign w:val="bottom"/>
            <w:gridSpan w:val="3"/>
          </w:tcPr>
          <w:p>
            <w:pPr>
              <w:ind w:left="420"/>
              <w:spacing w:after="0"/>
              <w:rPr>
                <w:sz w:val="20"/>
                <w:szCs w:val="20"/>
                <w:color w:val="auto"/>
              </w:rPr>
            </w:pPr>
            <w:r>
              <w:rPr>
                <w:rFonts w:ascii="Arial" w:cs="Arial" w:eastAsia="Arial" w:hAnsi="Arial"/>
                <w:sz w:val="18"/>
                <w:szCs w:val="18"/>
                <w:color w:val="auto"/>
                <w:w w:val="91"/>
              </w:rPr>
              <w:t>as if references therein to Common Stock were to such Capital Stock or similar equity interest) over the first 10 consecutive Trading Day period</w:t>
            </w: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10800" w:type="dxa"/>
            <w:vAlign w:val="bottom"/>
            <w:gridSpan w:val="3"/>
          </w:tcPr>
          <w:p>
            <w:pPr>
              <w:ind w:left="420"/>
              <w:spacing w:after="0"/>
              <w:rPr>
                <w:sz w:val="20"/>
                <w:szCs w:val="20"/>
                <w:color w:val="auto"/>
              </w:rPr>
            </w:pPr>
            <w:r>
              <w:rPr>
                <w:rFonts w:ascii="Arial" w:cs="Arial" w:eastAsia="Arial" w:hAnsi="Arial"/>
                <w:sz w:val="18"/>
                <w:szCs w:val="18"/>
                <w:color w:val="auto"/>
              </w:rPr>
              <w:t>after, and including, the Ex-Dividend Date of the Spin-Off (the “</w:t>
            </w:r>
            <w:r>
              <w:rPr>
                <w:rFonts w:ascii="Arial" w:cs="Arial" w:eastAsia="Arial" w:hAnsi="Arial"/>
                <w:sz w:val="18"/>
                <w:szCs w:val="18"/>
                <w:b w:val="1"/>
                <w:bCs w:val="1"/>
                <w:color w:val="auto"/>
              </w:rPr>
              <w:t>Valuation Period</w:t>
            </w:r>
            <w:r>
              <w:rPr>
                <w:rFonts w:ascii="Arial" w:cs="Arial" w:eastAsia="Arial" w:hAnsi="Arial"/>
                <w:sz w:val="18"/>
                <w:szCs w:val="18"/>
                <w:color w:val="auto"/>
              </w:rPr>
              <w:t>”); and</w:t>
            </w:r>
          </w:p>
        </w:tc>
        <w:tc>
          <w:tcPr>
            <w:tcW w:w="0" w:type="dxa"/>
            <w:vAlign w:val="bottom"/>
          </w:tcPr>
          <w:p>
            <w:pPr>
              <w:spacing w:after="0"/>
              <w:rPr>
                <w:sz w:val="1"/>
                <w:szCs w:val="1"/>
                <w:color w:val="auto"/>
              </w:rPr>
            </w:pPr>
          </w:p>
        </w:tc>
      </w:tr>
      <w:tr>
        <w:trPr>
          <w:trHeight w:val="343"/>
        </w:trPr>
        <w:tc>
          <w:tcPr>
            <w:tcW w:w="600" w:type="dxa"/>
            <w:vAlign w:val="bottom"/>
          </w:tcPr>
          <w:p>
            <w:pPr>
              <w:spacing w:after="0"/>
              <w:rPr>
                <w:sz w:val="20"/>
                <w:szCs w:val="20"/>
                <w:color w:val="auto"/>
              </w:rPr>
            </w:pPr>
            <w:r>
              <w:rPr>
                <w:rFonts w:ascii="Arial" w:cs="Arial" w:eastAsia="Arial" w:hAnsi="Arial"/>
                <w:sz w:val="18"/>
                <w:szCs w:val="18"/>
                <w:color w:val="auto"/>
              </w:rPr>
              <w:t>MP</w:t>
            </w:r>
            <w:r>
              <w:rPr>
                <w:rFonts w:ascii="Arial" w:cs="Arial" w:eastAsia="Arial" w:hAnsi="Arial"/>
                <w:sz w:val="15"/>
                <w:szCs w:val="15"/>
                <w:color w:val="auto"/>
              </w:rPr>
              <w:t>0</w:t>
            </w:r>
          </w:p>
        </w:tc>
        <w:tc>
          <w:tcPr>
            <w:tcW w:w="10800" w:type="dxa"/>
            <w:vAlign w:val="bottom"/>
            <w:gridSpan w:val="3"/>
          </w:tcPr>
          <w:p>
            <w:pPr>
              <w:ind w:left="100"/>
              <w:spacing w:after="0"/>
              <w:rPr>
                <w:sz w:val="20"/>
                <w:szCs w:val="20"/>
                <w:color w:val="auto"/>
              </w:rPr>
            </w:pPr>
            <w:r>
              <w:rPr>
                <w:rFonts w:ascii="Arial" w:cs="Arial" w:eastAsia="Arial" w:hAnsi="Arial"/>
                <w:sz w:val="18"/>
                <w:szCs w:val="18"/>
                <w:color w:val="auto"/>
              </w:rPr>
              <w:t>=   the average of the Last Reported Sale Prices of the Common Stock over the Valuation Period.</w:t>
            </w:r>
          </w:p>
        </w:tc>
        <w:tc>
          <w:tcPr>
            <w:tcW w:w="0" w:type="dxa"/>
            <w:vAlign w:val="bottom"/>
          </w:tcPr>
          <w:p>
            <w:pPr>
              <w:spacing w:after="0"/>
              <w:rPr>
                <w:sz w:val="1"/>
                <w:szCs w:val="1"/>
                <w:color w:val="auto"/>
              </w:rPr>
            </w:pPr>
          </w:p>
        </w:tc>
      </w:tr>
      <w:tr>
        <w:trPr>
          <w:trHeight w:val="346"/>
        </w:trPr>
        <w:tc>
          <w:tcPr>
            <w:tcW w:w="600" w:type="dxa"/>
            <w:vAlign w:val="bottom"/>
          </w:tcPr>
          <w:p>
            <w:pPr>
              <w:spacing w:after="0"/>
              <w:rPr>
                <w:sz w:val="24"/>
                <w:szCs w:val="24"/>
                <w:color w:val="auto"/>
              </w:rPr>
            </w:pPr>
          </w:p>
        </w:tc>
        <w:tc>
          <w:tcPr>
            <w:tcW w:w="6200" w:type="dxa"/>
            <w:vAlign w:val="bottom"/>
            <w:gridSpan w:val="2"/>
          </w:tcPr>
          <w:p>
            <w:pPr>
              <w:ind w:left="5020"/>
              <w:spacing w:after="0"/>
              <w:rPr>
                <w:sz w:val="20"/>
                <w:szCs w:val="20"/>
                <w:color w:val="auto"/>
              </w:rPr>
            </w:pPr>
            <w:r>
              <w:rPr>
                <w:rFonts w:ascii="Arial" w:cs="Arial" w:eastAsia="Arial" w:hAnsi="Arial"/>
                <w:sz w:val="18"/>
                <w:szCs w:val="18"/>
                <w:color w:val="auto"/>
              </w:rPr>
              <w:t>67</w:t>
            </w: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7" w:name="page78"/>
    <w:bookmarkEnd w:id="77"/>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adjustment to the Conversion Rate under the preceding paragraph shall occur on the last Trading Day of the Valuation Period but will be given effect as of the open of business on the Ex-Dividend Date of the Spin-Off;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respect of any conversion during the Valuation Period, references in the portion of this Section 13.04(c) related to Spin-Offs to 10 Trading Days shall be deemed to be replaced with such lesser number of Trading Days as have elapsed between the Ex-Dividend Date of such Spin-Off and the Conversion Date in determining the Conversion Rate.</w:t>
      </w:r>
    </w:p>
    <w:p>
      <w:pPr>
        <w:spacing w:after="0" w:line="17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purposes of this Section 13.04(c) (and subject in all respect to Section 13.11), rights, options or warrants distributed by the Company to all holders of its Common Stock entitling them to subscribe for or purchase shares of the Company’s Capital Stock, including Common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shares of the Common Stock; (ii) are not exercisable; and (iii) are also issued in respect of future issuances of the Common Stock, shall be deemed not to have been distributed for purposes of this Section 13.04(c) (and no adjustment to the Conversion Rate under this Section 13.04(c) will be required) until the occurrence of the earliest Trigger Event, whereupon such rights, options or warrants shall be deemed to have been distributed and an appropriate adjustment (if any is required) to the Conversion Rate shall be made under this Section 13.04(c).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this Section 13.04(c)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Common Stock with respect to such rights, options or warrants (assuming such holder had retained such rights, options or warrants), made to all holders of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274" w:right="259" w:bottom="1440" w:gutter="0" w:footer="0" w:header="0"/>
        </w:sectPr>
      </w:pPr>
    </w:p>
    <w:bookmarkStart w:id="78" w:name="page79"/>
    <w:bookmarkEnd w:id="78"/>
    <w:p>
      <w:pPr>
        <w:ind w:right="2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Section 13.04(a), Section 13.04(b) and this Section 13.04(c), any dividend or distribution to which this Section 13.04(c) is applicable that also includes one or both of:</w:t>
      </w:r>
    </w:p>
    <w:p>
      <w:pPr>
        <w:spacing w:after="0" w:line="166" w:lineRule="exact"/>
        <w:rPr>
          <w:sz w:val="20"/>
          <w:szCs w:val="20"/>
          <w:color w:val="auto"/>
        </w:rPr>
      </w:pPr>
    </w:p>
    <w:p>
      <w:pPr>
        <w:ind w:left="900" w:hanging="43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dividend or distribution of shares of Common Stock to which Section 13.04(a) is applicable (the “</w:t>
      </w:r>
      <w:r>
        <w:rPr>
          <w:rFonts w:ascii="Arial" w:cs="Arial" w:eastAsia="Arial" w:hAnsi="Arial"/>
          <w:sz w:val="18"/>
          <w:szCs w:val="18"/>
          <w:b w:val="1"/>
          <w:bCs w:val="1"/>
          <w:color w:val="auto"/>
        </w:rPr>
        <w:t>Clause A Distribution</w:t>
      </w:r>
      <w:r>
        <w:rPr>
          <w:rFonts w:ascii="Arial" w:cs="Arial" w:eastAsia="Arial" w:hAnsi="Arial"/>
          <w:sz w:val="18"/>
          <w:szCs w:val="18"/>
          <w:color w:val="auto"/>
        </w:rPr>
        <w:t>”); or</w:t>
      </w:r>
    </w:p>
    <w:p>
      <w:pPr>
        <w:spacing w:after="0" w:line="225" w:lineRule="exact"/>
        <w:rPr>
          <w:rFonts w:ascii="Arial" w:cs="Arial" w:eastAsia="Arial" w:hAnsi="Arial"/>
          <w:sz w:val="18"/>
          <w:szCs w:val="18"/>
          <w:color w:val="auto"/>
        </w:rPr>
      </w:pPr>
    </w:p>
    <w:p>
      <w:pPr>
        <w:ind w:left="880" w:hanging="416"/>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dividend or distribution of rights, options or warrants to which Section 13.04(b) is applicable (the “</w:t>
      </w:r>
      <w:r>
        <w:rPr>
          <w:rFonts w:ascii="Arial" w:cs="Arial" w:eastAsia="Arial" w:hAnsi="Arial"/>
          <w:sz w:val="18"/>
          <w:szCs w:val="18"/>
          <w:b w:val="1"/>
          <w:bCs w:val="1"/>
          <w:color w:val="auto"/>
        </w:rPr>
        <w:t>Clause B Distribution</w:t>
      </w:r>
      <w:r>
        <w:rPr>
          <w:rFonts w:ascii="Arial" w:cs="Arial" w:eastAsia="Arial" w:hAnsi="Arial"/>
          <w:sz w:val="18"/>
          <w:szCs w:val="18"/>
          <w:color w:val="auto"/>
        </w:rPr>
        <w:t>”),</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then (1) such dividend or distribution, other than the Clause A Distribution and the Clause B Distribution, shall be deemed to be a dividend or distribution to which this Section 13.04(c) is applicable (the “</w:t>
      </w:r>
      <w:r>
        <w:rPr>
          <w:rFonts w:ascii="Arial" w:cs="Arial" w:eastAsia="Arial" w:hAnsi="Arial"/>
          <w:sz w:val="16"/>
          <w:szCs w:val="16"/>
          <w:b w:val="1"/>
          <w:bCs w:val="1"/>
          <w:color w:val="auto"/>
        </w:rPr>
        <w:t>Clause C Distribution</w:t>
      </w:r>
      <w:r>
        <w:rPr>
          <w:rFonts w:ascii="Arial" w:cs="Arial" w:eastAsia="Arial" w:hAnsi="Arial"/>
          <w:sz w:val="16"/>
          <w:szCs w:val="16"/>
          <w:color w:val="auto"/>
        </w:rPr>
        <w:t>”) and any Conversion Rate adjustment required by this Section 13.04(c) with respect to such Clause C Distribution shall then be made, and (2) the Clause A Distribution and Clause B Distribution shall be deemed to immediately follow the Clause C Distribution and any Conversion Rate adjustment required by Section 13.04(a) and Section 13.04(b) with respect thereto shall then be made, except that, if determined by the Company (I) the “Ex-Dividend Date” of the Clause A Distribution and the Clause B Distribution shall be deemed to be the Ex-Dividend Date of the Clause C Distribution and (II) any shares of Common Stock included in the Clause A Distribution or Clause B Distribution shall be deemed not to be “outstanding immediately prior to the open of business on such Ex-Dividend Date or effective date” within the meaning of Section 13.04(a) or “outstanding immediately prior to the open of business on such Ex-Dividend Date” within the meaning of Section 13.04(b).</w:t>
      </w:r>
    </w:p>
    <w:p>
      <w:pPr>
        <w:spacing w:after="0" w:line="166" w:lineRule="exact"/>
        <w:rPr>
          <w:sz w:val="20"/>
          <w:szCs w:val="20"/>
          <w:color w:val="auto"/>
        </w:rPr>
      </w:pPr>
    </w:p>
    <w:p>
      <w:pPr>
        <w:jc w:val="both"/>
        <w:ind w:right="680" w:firstLine="464"/>
        <w:spacing w:after="0" w:line="264" w:lineRule="auto"/>
        <w:tabs>
          <w:tab w:leader="none" w:pos="8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any cash dividend or distribution is made by the Company to all or substantially all holders of the Common Stock, other than a regular, quarterly cash dividend that does not exceed $0.39 per share (the “</w:t>
      </w:r>
      <w:r>
        <w:rPr>
          <w:rFonts w:ascii="Arial" w:cs="Arial" w:eastAsia="Arial" w:hAnsi="Arial"/>
          <w:sz w:val="18"/>
          <w:szCs w:val="18"/>
          <w:b w:val="1"/>
          <w:bCs w:val="1"/>
          <w:color w:val="auto"/>
        </w:rPr>
        <w:t>Initial Dividend Threshold</w:t>
      </w:r>
      <w:r>
        <w:rPr>
          <w:rFonts w:ascii="Arial" w:cs="Arial" w:eastAsia="Arial" w:hAnsi="Arial"/>
          <w:sz w:val="18"/>
          <w:szCs w:val="18"/>
          <w:color w:val="auto"/>
        </w:rPr>
        <w:t>”), the Conversion Rate shall be adjusted based on the following formula: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140" w:type="dxa"/>
            <w:vAlign w:val="bottom"/>
            <w:vMerge w:val="restart"/>
          </w:tcPr>
          <w:p>
            <w:pPr>
              <w:ind w:left="4060"/>
              <w:spacing w:after="0"/>
              <w:rPr>
                <w:sz w:val="20"/>
                <w:szCs w:val="20"/>
                <w:color w:val="auto"/>
              </w:rPr>
            </w:pPr>
            <w:r>
              <w:rPr>
                <w:rFonts w:ascii="Arial" w:cs="Arial" w:eastAsia="Arial" w:hAnsi="Arial"/>
                <w:sz w:val="18"/>
                <w:szCs w:val="18"/>
                <w:color w:val="auto"/>
              </w:rPr>
              <w:t>CR' = CR</w:t>
            </w:r>
            <w:r>
              <w:rPr>
                <w:rFonts w:ascii="Arial" w:cs="Arial" w:eastAsia="Arial" w:hAnsi="Arial"/>
                <w:sz w:val="15"/>
                <w:szCs w:val="15"/>
                <w:color w:val="auto"/>
              </w:rPr>
              <w:t>0</w:t>
            </w:r>
            <w:r>
              <w:rPr>
                <w:rFonts w:ascii="Arial" w:cs="Arial" w:eastAsia="Arial" w:hAnsi="Arial"/>
                <w:sz w:val="18"/>
                <w:szCs w:val="18"/>
                <w:color w:val="auto"/>
              </w:rPr>
              <w:t xml:space="preserve"> ×</w:t>
            </w:r>
          </w:p>
        </w:tc>
        <w:tc>
          <w:tcPr>
            <w:tcW w:w="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5"/>
              </w:rPr>
              <w:t>SP</w:t>
            </w:r>
            <w:r>
              <w:rPr>
                <w:rFonts w:ascii="Arial" w:cs="Arial" w:eastAsia="Arial" w:hAnsi="Arial"/>
                <w:sz w:val="15"/>
                <w:szCs w:val="15"/>
                <w:color w:val="auto"/>
                <w:w w:val="85"/>
              </w:rPr>
              <w:t>0</w:t>
            </w:r>
            <w:r>
              <w:rPr>
                <w:rFonts w:ascii="Arial" w:cs="Arial" w:eastAsia="Arial" w:hAnsi="Arial"/>
                <w:sz w:val="18"/>
                <w:szCs w:val="18"/>
                <w:color w:val="auto"/>
                <w:w w:val="85"/>
              </w:rPr>
              <w:t xml:space="preserve"> – T</w:t>
            </w:r>
          </w:p>
        </w:tc>
        <w:tc>
          <w:tcPr>
            <w:tcW w:w="4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140" w:type="dxa"/>
            <w:vAlign w:val="bottom"/>
            <w:vMerge w:val="continue"/>
          </w:tcPr>
          <w:p>
            <w:pPr>
              <w:spacing w:after="0"/>
              <w:rPr>
                <w:sz w:val="10"/>
                <w:szCs w:val="10"/>
                <w:color w:val="auto"/>
              </w:rPr>
            </w:pPr>
          </w:p>
        </w:tc>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r>
              <w:rPr>
                <w:rFonts w:ascii="Arial" w:cs="Arial" w:eastAsia="Arial" w:hAnsi="Arial"/>
                <w:sz w:val="18"/>
                <w:szCs w:val="18"/>
                <w:color w:val="auto"/>
              </w:rPr>
              <w:t xml:space="preserve"> – C</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4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540" w:type="dxa"/>
            <w:vAlign w:val="bottom"/>
          </w:tcPr>
          <w:p>
            <w:pPr>
              <w:spacing w:after="0"/>
              <w:rPr>
                <w:sz w:val="20"/>
                <w:szCs w:val="20"/>
                <w:color w:val="auto"/>
              </w:rPr>
            </w:pPr>
            <w:r>
              <w:rPr>
                <w:rFonts w:ascii="Arial" w:cs="Arial" w:eastAsia="Arial" w:hAnsi="Arial"/>
                <w:sz w:val="18"/>
                <w:szCs w:val="18"/>
                <w:color w:val="auto"/>
                <w:w w:val="96"/>
              </w:rPr>
              <w:t>where,</w:t>
            </w:r>
          </w:p>
        </w:tc>
        <w:tc>
          <w:tcPr>
            <w:tcW w:w="2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5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w w:val="97"/>
              </w:rPr>
              <w:t>the Conversion Rate in effect immediately prior to the open of business on the Ex-Dividend Date for such dividend or distribution;</w:t>
            </w:r>
          </w:p>
        </w:tc>
        <w:tc>
          <w:tcPr>
            <w:tcW w:w="0" w:type="dxa"/>
            <w:vAlign w:val="bottom"/>
          </w:tcPr>
          <w:p>
            <w:pPr>
              <w:spacing w:after="0"/>
              <w:rPr>
                <w:sz w:val="1"/>
                <w:szCs w:val="1"/>
                <w:color w:val="auto"/>
              </w:rPr>
            </w:pPr>
          </w:p>
        </w:tc>
      </w:tr>
      <w:tr>
        <w:trPr>
          <w:trHeight w:val="305"/>
        </w:trPr>
        <w:tc>
          <w:tcPr>
            <w:tcW w:w="540" w:type="dxa"/>
            <w:vAlign w:val="bottom"/>
          </w:tcPr>
          <w:p>
            <w:pPr>
              <w:spacing w:after="0"/>
              <w:rPr>
                <w:sz w:val="20"/>
                <w:szCs w:val="20"/>
                <w:color w:val="auto"/>
              </w:rPr>
            </w:pPr>
            <w:r>
              <w:rPr>
                <w:rFonts w:ascii="Arial" w:cs="Arial" w:eastAsia="Arial" w:hAnsi="Arial"/>
                <w:sz w:val="18"/>
                <w:szCs w:val="18"/>
                <w:color w:val="auto"/>
              </w:rPr>
              <w:t>CR'</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w w:val="98"/>
              </w:rPr>
              <w:t>the Conversion Rate in effect immediately after the open of business on the Ex-Dividend Date for such dividend or distribution;</w:t>
            </w: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SP</w:t>
            </w:r>
            <w:r>
              <w:rPr>
                <w:rFonts w:ascii="Arial" w:cs="Arial" w:eastAsia="Arial" w:hAnsi="Arial"/>
                <w:sz w:val="15"/>
                <w:szCs w:val="15"/>
                <w:color w:val="auto"/>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w w:val="91"/>
              </w:rPr>
              <w:t>the Last Reported Sale Price of the Common Stock on the Trading Day immediately preceding the Ex-Dividend Date for such dividend or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60" w:type="dxa"/>
            <w:vAlign w:val="bottom"/>
            <w:gridSpan w:val="3"/>
          </w:tcPr>
          <w:p>
            <w:pPr>
              <w:ind w:left="100"/>
              <w:spacing w:after="0"/>
              <w:rPr>
                <w:sz w:val="20"/>
                <w:szCs w:val="20"/>
                <w:color w:val="auto"/>
              </w:rPr>
            </w:pPr>
            <w:r>
              <w:rPr>
                <w:rFonts w:ascii="Arial" w:cs="Arial" w:eastAsia="Arial" w:hAnsi="Arial"/>
                <w:sz w:val="18"/>
                <w:szCs w:val="18"/>
                <w:color w:val="auto"/>
              </w:rPr>
              <w:t>distribution;</w:t>
            </w: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40" w:type="dxa"/>
            <w:vAlign w:val="bottom"/>
          </w:tcPr>
          <w:p>
            <w:pPr>
              <w:ind w:left="4800"/>
              <w:spacing w:after="0"/>
              <w:rPr>
                <w:sz w:val="20"/>
                <w:szCs w:val="20"/>
                <w:color w:val="auto"/>
              </w:rPr>
            </w:pPr>
            <w:r>
              <w:rPr>
                <w:rFonts w:ascii="Arial" w:cs="Arial" w:eastAsia="Arial" w:hAnsi="Arial"/>
                <w:sz w:val="18"/>
                <w:szCs w:val="18"/>
                <w:color w:val="auto"/>
              </w:rPr>
              <w:t>69</w:t>
            </w:r>
          </w:p>
        </w:tc>
        <w:tc>
          <w:tcPr>
            <w:tcW w:w="5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9" w:name="page80"/>
    <w:bookmarkEnd w:id="79"/>
    <w:p>
      <w:pPr>
        <w:ind w:left="920" w:right="720" w:hanging="912"/>
        <w:spacing w:after="0" w:line="277" w:lineRule="auto"/>
        <w:tabs>
          <w:tab w:leader="none" w:pos="592"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 the Initial Dividend Threshold;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dividend or distribution is not a regular quarterly cash dividend, the Initial Dividend Threshold shall be deemed to be zero; and</w:t>
      </w:r>
    </w:p>
    <w:p>
      <w:pPr>
        <w:spacing w:after="0" w:line="62" w:lineRule="exact"/>
        <w:rPr>
          <w:sz w:val="20"/>
          <w:szCs w:val="20"/>
          <w:color w:val="auto"/>
        </w:rPr>
      </w:pPr>
    </w:p>
    <w:p>
      <w:pPr>
        <w:ind w:left="600" w:hanging="592"/>
        <w:spacing w:after="0"/>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the amount in cash per share the Company distributes to holders of its Common Stock.</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 xml:space="preserve">The Initial Dividend Threshold shall be subject to adjustment in a manner inversely proportional to adjustments to the Conversion 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adjustment shall be made to the Initial Dividend Threshold for any adjustment to the Conversion Rate pursuant to this Section 13.04(d).</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increase pursuant to this Section 13.04(d)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the Conversion Rate that would then be in effect if such dividend or distribution had not been declared. Notwithstanding the foregoing, if “C” (as defined above) is equal to or greater than “SP</w:t>
      </w:r>
      <w:r>
        <w:rPr>
          <w:rFonts w:ascii="Arial" w:cs="Arial" w:eastAsia="Arial" w:hAnsi="Arial"/>
          <w:sz w:val="14"/>
          <w:szCs w:val="14"/>
          <w:color w:val="auto"/>
        </w:rPr>
        <w:t>0</w:t>
      </w:r>
      <w:r>
        <w:rPr>
          <w:rFonts w:ascii="Arial" w:cs="Arial" w:eastAsia="Arial" w:hAnsi="Arial"/>
          <w:sz w:val="17"/>
          <w:szCs w:val="17"/>
          <w:color w:val="auto"/>
        </w:rPr>
        <w:t>” (as defined above), in lieu of the foregoing increase, each Holder of a Note shall receive, for each $1,000 principal amount of Notes, at the same time and upon the same terms as holders of shares of the Common Stock, the amount of cash that such Holder would have received if such Holder owned a number of shares of Common Stock equal to the Conversion Rate on the Ex-Dividend Date for such cash dividend or distribution.</w:t>
      </w:r>
    </w:p>
    <w:p>
      <w:pPr>
        <w:spacing w:after="0" w:line="178" w:lineRule="exact"/>
        <w:rPr>
          <w:sz w:val="20"/>
          <w:szCs w:val="20"/>
          <w:color w:val="auto"/>
        </w:rPr>
      </w:pPr>
    </w:p>
    <w:p>
      <w:pPr>
        <w:ind w:right="260" w:firstLine="464"/>
        <w:spacing w:after="0" w:line="259" w:lineRule="auto"/>
        <w:tabs>
          <w:tab w:leader="none" w:pos="836"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the Company or any of its Subsidiaries make a payment in respect of a tender or exchange offer for the Common Stock, to the extent that the cash and value of any other consideration included in the payment per share of the Common Stock exceeds the Last Reported Sale Price of the Common Stock on the Trading Day next succeeding the last date on which tenders or exchanges may be made pursuant to such tender or exchange offer, the Conversion Rate shall be adjusted based on the following formula: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780" w:type="dxa"/>
            <w:vAlign w:val="bottom"/>
            <w:vMerge w:val="restart"/>
          </w:tcPr>
          <w:p>
            <w:pPr>
              <w:ind w:left="3780"/>
              <w:spacing w:after="0"/>
              <w:rPr>
                <w:sz w:val="20"/>
                <w:szCs w:val="20"/>
                <w:color w:val="auto"/>
              </w:rPr>
            </w:pPr>
            <w:r>
              <w:rPr>
                <w:rFonts w:ascii="Arial" w:cs="Arial" w:eastAsia="Arial" w:hAnsi="Arial"/>
                <w:sz w:val="18"/>
                <w:szCs w:val="18"/>
                <w:color w:val="auto"/>
                <w:w w:val="98"/>
              </w:rPr>
              <w:t>CR' = CR</w:t>
            </w:r>
            <w:r>
              <w:rPr>
                <w:rFonts w:ascii="Arial" w:cs="Arial" w:eastAsia="Arial" w:hAnsi="Arial"/>
                <w:sz w:val="15"/>
                <w:szCs w:val="15"/>
                <w:color w:val="auto"/>
                <w:w w:val="98"/>
              </w:rPr>
              <w:t>0</w:t>
            </w:r>
            <w:r>
              <w:rPr>
                <w:rFonts w:ascii="Arial" w:cs="Arial" w:eastAsia="Arial" w:hAnsi="Arial"/>
                <w:sz w:val="18"/>
                <w:szCs w:val="18"/>
                <w:color w:val="auto"/>
                <w:w w:val="98"/>
              </w:rPr>
              <w:t xml:space="preserve"> ×</w:t>
            </w:r>
          </w:p>
        </w:tc>
        <w:tc>
          <w:tcPr>
            <w:tcW w:w="80" w:type="dxa"/>
            <w:vAlign w:val="bottom"/>
          </w:tcPr>
          <w:p>
            <w:pPr>
              <w:spacing w:after="0"/>
              <w:rPr>
                <w:sz w:val="21"/>
                <w:szCs w:val="21"/>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AC + (SP'×OS')</w:t>
            </w:r>
          </w:p>
        </w:tc>
        <w:tc>
          <w:tcPr>
            <w:tcW w:w="4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7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720" w:type="dxa"/>
            <w:vAlign w:val="bottom"/>
            <w:gridSpan w:val="2"/>
            <w:vMerge w:val="restart"/>
          </w:tcPr>
          <w:p>
            <w:pPr>
              <w:jc w:val="center"/>
              <w:ind w:right="4480"/>
              <w:spacing w:after="0"/>
              <w:rPr>
                <w:sz w:val="20"/>
                <w:szCs w:val="20"/>
                <w:color w:val="auto"/>
              </w:rPr>
            </w:pPr>
            <w:r>
              <w:rPr>
                <w:rFonts w:ascii="Arial" w:cs="Arial" w:eastAsia="Arial" w:hAnsi="Arial"/>
                <w:sz w:val="18"/>
                <w:szCs w:val="18"/>
                <w:color w:val="auto"/>
                <w:w w:val="87"/>
              </w:rPr>
              <w:t>OS</w:t>
            </w:r>
            <w:r>
              <w:rPr>
                <w:rFonts w:ascii="Arial" w:cs="Arial" w:eastAsia="Arial" w:hAnsi="Arial"/>
                <w:sz w:val="15"/>
                <w:szCs w:val="15"/>
                <w:color w:val="auto"/>
                <w:w w:val="87"/>
              </w:rPr>
              <w:t>0</w:t>
            </w:r>
            <w:r>
              <w:rPr>
                <w:rFonts w:ascii="Arial" w:cs="Arial" w:eastAsia="Arial" w:hAnsi="Arial"/>
                <w:sz w:val="18"/>
                <w:szCs w:val="18"/>
                <w:color w:val="auto"/>
                <w:w w:val="87"/>
              </w:rPr>
              <w:t xml:space="preserve"> × SP'</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54"/>
        </w:trPr>
        <w:tc>
          <w:tcPr>
            <w:tcW w:w="540" w:type="dxa"/>
            <w:vAlign w:val="bottom"/>
          </w:tcPr>
          <w:p>
            <w:pPr>
              <w:spacing w:after="0"/>
              <w:rPr>
                <w:sz w:val="20"/>
                <w:szCs w:val="20"/>
                <w:color w:val="auto"/>
              </w:rPr>
            </w:pPr>
            <w:r>
              <w:rPr>
                <w:rFonts w:ascii="Arial" w:cs="Arial" w:eastAsia="Arial" w:hAnsi="Arial"/>
                <w:sz w:val="18"/>
                <w:szCs w:val="18"/>
                <w:color w:val="auto"/>
                <w:w w:val="96"/>
              </w:rPr>
              <w:t>where,</w:t>
            </w:r>
          </w:p>
        </w:tc>
        <w:tc>
          <w:tcPr>
            <w:tcW w:w="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0" w:type="dxa"/>
            <w:vAlign w:val="bottom"/>
          </w:tcPr>
          <w:p>
            <w:pPr>
              <w:spacing w:after="0"/>
              <w:rPr>
                <w:sz w:val="20"/>
                <w:szCs w:val="20"/>
                <w:color w:val="auto"/>
              </w:rPr>
            </w:pPr>
            <w:r>
              <w:rPr>
                <w:rFonts w:ascii="Arial" w:cs="Arial" w:eastAsia="Arial" w:hAnsi="Arial"/>
                <w:sz w:val="18"/>
                <w:szCs w:val="18"/>
                <w:color w:val="auto"/>
              </w:rPr>
              <w:t>CR</w:t>
            </w:r>
            <w:r>
              <w:rPr>
                <w:rFonts w:ascii="Arial" w:cs="Arial" w:eastAsia="Arial" w:hAnsi="Arial"/>
                <w:sz w:val="15"/>
                <w:szCs w:val="15"/>
                <w:color w:val="auto"/>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580" w:type="dxa"/>
            <w:vAlign w:val="bottom"/>
            <w:gridSpan w:val="4"/>
          </w:tcPr>
          <w:p>
            <w:pPr>
              <w:ind w:left="100"/>
              <w:spacing w:after="0"/>
              <w:rPr>
                <w:sz w:val="20"/>
                <w:szCs w:val="20"/>
                <w:color w:val="auto"/>
              </w:rPr>
            </w:pPr>
            <w:r>
              <w:rPr>
                <w:rFonts w:ascii="Arial" w:cs="Arial" w:eastAsia="Arial" w:hAnsi="Arial"/>
                <w:sz w:val="18"/>
                <w:szCs w:val="18"/>
                <w:color w:val="auto"/>
                <w:w w:val="96"/>
              </w:rPr>
              <w:t>the Conversion Rate in effect immediately prior to the open of business on the Trading Day immediately following the date such tender or</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exchange offer expires;</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CR'</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580" w:type="dxa"/>
            <w:vAlign w:val="bottom"/>
            <w:gridSpan w:val="4"/>
          </w:tcPr>
          <w:p>
            <w:pPr>
              <w:ind w:left="100"/>
              <w:spacing w:after="0"/>
              <w:rPr>
                <w:sz w:val="20"/>
                <w:szCs w:val="20"/>
                <w:color w:val="auto"/>
              </w:rPr>
            </w:pPr>
            <w:r>
              <w:rPr>
                <w:rFonts w:ascii="Arial" w:cs="Arial" w:eastAsia="Arial" w:hAnsi="Arial"/>
                <w:sz w:val="18"/>
                <w:szCs w:val="18"/>
                <w:color w:val="auto"/>
                <w:w w:val="90"/>
              </w:rPr>
              <w:t>the Conversion Rate in effect immediately after the open of business on the Trading Day immediately following the date such tender or exchange</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offer expires;</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40" w:type="dxa"/>
            <w:vAlign w:val="bottom"/>
          </w:tcPr>
          <w:p>
            <w:pPr>
              <w:spacing w:after="0"/>
              <w:rPr>
                <w:sz w:val="20"/>
                <w:szCs w:val="20"/>
                <w:color w:val="auto"/>
              </w:rPr>
            </w:pPr>
            <w:r>
              <w:rPr>
                <w:rFonts w:ascii="Arial" w:cs="Arial" w:eastAsia="Arial" w:hAnsi="Arial"/>
                <w:sz w:val="18"/>
                <w:szCs w:val="18"/>
                <w:color w:val="auto"/>
              </w:rPr>
              <w:t>AC</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580" w:type="dxa"/>
            <w:vAlign w:val="bottom"/>
            <w:gridSpan w:val="4"/>
          </w:tcPr>
          <w:p>
            <w:pPr>
              <w:ind w:left="100"/>
              <w:spacing w:after="0"/>
              <w:rPr>
                <w:sz w:val="20"/>
                <w:szCs w:val="20"/>
                <w:color w:val="auto"/>
              </w:rPr>
            </w:pPr>
            <w:r>
              <w:rPr>
                <w:rFonts w:ascii="Arial" w:cs="Arial" w:eastAsia="Arial" w:hAnsi="Arial"/>
                <w:sz w:val="18"/>
                <w:szCs w:val="18"/>
                <w:color w:val="auto"/>
                <w:w w:val="93"/>
              </w:rPr>
              <w:t>the aggregate value of all cash and any other consideration (as determined by the Board of Directors) paid or payable for shares of Common</w:t>
            </w: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Stock purchased in such tender or exchange offer;</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1320" w:type="dxa"/>
            <w:vAlign w:val="bottom"/>
            <w:gridSpan w:val="2"/>
          </w:tcPr>
          <w:p>
            <w:pPr>
              <w:jc w:val="right"/>
              <w:ind w:right="1030"/>
              <w:spacing w:after="0"/>
              <w:rPr>
                <w:sz w:val="20"/>
                <w:szCs w:val="20"/>
                <w:color w:val="auto"/>
              </w:rPr>
            </w:pPr>
            <w:r>
              <w:rPr>
                <w:rFonts w:ascii="Arial" w:cs="Arial" w:eastAsia="Arial" w:hAnsi="Arial"/>
                <w:sz w:val="18"/>
                <w:szCs w:val="18"/>
                <w:color w:val="auto"/>
                <w:w w:val="89"/>
              </w:rPr>
              <w:t>70</w:t>
            </w:r>
          </w:p>
        </w:tc>
        <w:tc>
          <w:tcPr>
            <w:tcW w:w="4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274" w:right="25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OS</w:t>
      </w:r>
      <w:r>
        <w:rPr>
          <w:rFonts w:ascii="Arial" w:cs="Arial" w:eastAsia="Arial" w:hAnsi="Arial"/>
          <w:sz w:val="13"/>
          <w:szCs w:val="13"/>
          <w:color w:val="auto"/>
        </w:rPr>
        <w:t>0</w:t>
      </w:r>
    </w:p>
    <w:p>
      <w:pPr>
        <w:spacing w:after="0" w:line="20" w:lineRule="exact"/>
        <w:rPr>
          <w:sz w:val="20"/>
          <w:szCs w:val="20"/>
          <w:color w:val="auto"/>
        </w:rPr>
      </w:pPr>
      <w:r>
        <w:rPr>
          <w:sz w:val="20"/>
          <w:szCs w:val="20"/>
          <w:color w:val="auto"/>
        </w:rPr>
        <w:br w:type="column"/>
      </w:r>
    </w:p>
    <w:p>
      <w:pPr>
        <w:ind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number of shares of Common Stock outstanding immediately prior to the date such tender or exchange offer expires (prior to giving effect to the purchase of all shares of Common Stock accepted for purchase or exchange in such tender or exchange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-387985</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2" w:lineRule="exact"/>
        <w:rPr>
          <w:sz w:val="20"/>
          <w:szCs w:val="20"/>
          <w:color w:val="auto"/>
        </w:rPr>
      </w:pPr>
    </w:p>
    <w:p>
      <w:pPr>
        <w:sectPr>
          <w:pgSz w:w="11900" w:h="16838" w:orient="portrait"/>
          <w:cols w:equalWidth="0" w:num="2">
            <w:col w:w="320" w:space="600"/>
            <w:col w:w="10420"/>
          </w:cols>
          <w:pgMar w:left="240" w:top="274" w:right="319" w:bottom="1440" w:gutter="0" w:footer="0" w:header="0"/>
        </w:sectPr>
      </w:pPr>
    </w:p>
    <w:p>
      <w:pPr>
        <w:spacing w:after="0"/>
        <w:rPr>
          <w:sz w:val="20"/>
          <w:szCs w:val="20"/>
          <w:color w:val="auto"/>
        </w:rPr>
      </w:pPr>
      <w:r>
        <w:rPr>
          <w:rFonts w:ascii="Arial" w:cs="Arial" w:eastAsia="Arial" w:hAnsi="Arial"/>
          <w:sz w:val="17"/>
          <w:szCs w:val="17"/>
          <w:color w:val="auto"/>
        </w:rPr>
        <w:t>OS'</w:t>
      </w:r>
    </w:p>
    <w:p>
      <w:pPr>
        <w:spacing w:after="0" w:line="20" w:lineRule="exact"/>
        <w:rPr>
          <w:sz w:val="20"/>
          <w:szCs w:val="20"/>
          <w:color w:val="auto"/>
        </w:rPr>
      </w:pPr>
      <w:r>
        <w:rPr>
          <w:sz w:val="20"/>
          <w:szCs w:val="20"/>
          <w:color w:val="auto"/>
        </w:rPr>
        <w:br w:type="column"/>
      </w:r>
    </w:p>
    <w:p>
      <w:pPr>
        <w:ind w:right="140" w:hanging="319"/>
        <w:spacing w:after="0" w:line="308" w:lineRule="auto"/>
        <w:rPr>
          <w:sz w:val="20"/>
          <w:szCs w:val="20"/>
          <w:color w:val="auto"/>
        </w:rPr>
      </w:pPr>
      <w:r>
        <w:rPr>
          <w:rFonts w:ascii="Arial" w:cs="Arial" w:eastAsia="Arial" w:hAnsi="Arial"/>
          <w:sz w:val="17"/>
          <w:szCs w:val="17"/>
          <w:color w:val="auto"/>
        </w:rPr>
        <w:t>=</w:t>
      </w:r>
      <w:r>
        <w:rPr>
          <w:sz w:val="20"/>
          <w:szCs w:val="20"/>
          <w:color w:val="auto"/>
        </w:rPr>
        <w:t xml:space="preserve"> </w:t>
      </w:r>
      <w:r>
        <w:rPr>
          <w:rFonts w:ascii="Arial" w:cs="Arial" w:eastAsia="Arial" w:hAnsi="Arial"/>
          <w:sz w:val="17"/>
          <w:szCs w:val="17"/>
          <w:color w:val="auto"/>
        </w:rPr>
        <w:t>the number of shares of Common Stock outstanding immediately after the date such tender or exchange offer expires (after giving effect to the purchase of all shares of Common Stock accepted for purchase or exchange in such tender or exchange offer); and</w:t>
      </w:r>
    </w:p>
    <w:p>
      <w:pPr>
        <w:spacing w:after="0" w:line="38" w:lineRule="exact"/>
        <w:rPr>
          <w:sz w:val="20"/>
          <w:szCs w:val="20"/>
          <w:color w:val="auto"/>
        </w:rPr>
      </w:pPr>
    </w:p>
    <w:p>
      <w:pPr>
        <w:sectPr>
          <w:pgSz w:w="11900" w:h="16838" w:orient="portrait"/>
          <w:cols w:equalWidth="0" w:num="2">
            <w:col w:w="280" w:space="640"/>
            <w:col w:w="10420"/>
          </w:cols>
          <w:pgMar w:left="240" w:top="274" w:right="319" w:bottom="1440" w:gutter="0" w:footer="0" w:header="0"/>
          <w:type w:val="continuous"/>
        </w:sectPr>
      </w:pPr>
    </w:p>
    <w:p>
      <w:pPr>
        <w:spacing w:after="0"/>
        <w:rPr>
          <w:sz w:val="20"/>
          <w:szCs w:val="20"/>
          <w:color w:val="auto"/>
        </w:rPr>
      </w:pPr>
      <w:r>
        <w:rPr>
          <w:rFonts w:ascii="Arial" w:cs="Arial" w:eastAsia="Arial" w:hAnsi="Arial"/>
          <w:sz w:val="15"/>
          <w:szCs w:val="15"/>
          <w:color w:val="auto"/>
        </w:rPr>
        <w:t>SP'</w:t>
      </w:r>
    </w:p>
    <w:p>
      <w:pPr>
        <w:spacing w:after="0" w:line="20" w:lineRule="exact"/>
        <w:rPr>
          <w:sz w:val="20"/>
          <w:szCs w:val="20"/>
          <w:color w:val="auto"/>
        </w:rPr>
      </w:pPr>
      <w:r>
        <w:rPr>
          <w:sz w:val="20"/>
          <w:szCs w:val="20"/>
          <w:color w:val="auto"/>
        </w:rPr>
        <w:br w:type="column"/>
      </w:r>
    </w:p>
    <w:p>
      <w:pPr>
        <w:ind w:right="80" w:hanging="319"/>
        <w:spacing w:after="0" w:line="277" w:lineRule="auto"/>
        <w:rPr>
          <w:sz w:val="20"/>
          <w:szCs w:val="20"/>
          <w:color w:val="auto"/>
        </w:rPr>
      </w:pPr>
      <w:r>
        <w:rPr>
          <w:rFonts w:ascii="Arial" w:cs="Arial" w:eastAsia="Arial" w:hAnsi="Arial"/>
          <w:sz w:val="18"/>
          <w:szCs w:val="18"/>
          <w:color w:val="auto"/>
        </w:rPr>
        <w:t>=</w:t>
      </w:r>
      <w:r>
        <w:rPr>
          <w:sz w:val="20"/>
          <w:szCs w:val="20"/>
          <w:color w:val="auto"/>
        </w:rPr>
        <w:t xml:space="preserve"> </w:t>
      </w:r>
      <w:r>
        <w:rPr>
          <w:rFonts w:ascii="Arial" w:cs="Arial" w:eastAsia="Arial" w:hAnsi="Arial"/>
          <w:sz w:val="18"/>
          <w:szCs w:val="18"/>
          <w:color w:val="auto"/>
        </w:rPr>
        <w:t>the average of the Last Reported Sale Prices of the Common Stock over the 10 consecutive Trading Day period commencing on, and including, the Trading Day next succeeding the date such tender or exchange offer expires.</w:t>
      </w:r>
    </w:p>
    <w:p>
      <w:pPr>
        <w:spacing w:after="0" w:line="170" w:lineRule="exact"/>
        <w:rPr>
          <w:sz w:val="20"/>
          <w:szCs w:val="20"/>
          <w:color w:val="auto"/>
        </w:rPr>
      </w:pPr>
    </w:p>
    <w:p>
      <w:pPr>
        <w:sectPr>
          <w:pgSz w:w="11900" w:h="16838" w:orient="portrait"/>
          <w:cols w:equalWidth="0" w:num="2">
            <w:col w:w="240" w:space="680"/>
            <w:col w:w="10420"/>
          </w:cols>
          <w:pgMar w:left="240" w:top="274" w:right="319" w:bottom="1440" w:gutter="0" w:footer="0" w:header="0"/>
          <w:type w:val="continuous"/>
        </w:sectPr>
      </w:pPr>
    </w:p>
    <w:p>
      <w:pPr>
        <w:ind w:right="120"/>
        <w:spacing w:after="0" w:line="255" w:lineRule="auto"/>
        <w:rPr>
          <w:sz w:val="20"/>
          <w:szCs w:val="20"/>
          <w:color w:val="auto"/>
        </w:rPr>
      </w:pPr>
      <w:r>
        <w:rPr>
          <w:rFonts w:ascii="Arial" w:cs="Arial" w:eastAsia="Arial" w:hAnsi="Arial"/>
          <w:sz w:val="18"/>
          <w:szCs w:val="18"/>
          <w:color w:val="auto"/>
        </w:rPr>
        <w:t xml:space="preserve">The adjustment to the Conversion Rate under this Section 13.04(e) shall occur at the close of business on the 10th Trading Day immediately following, and including, the Trading Day next succeeding the date such tender or exchange offer expires but will be given effect as of the open of business on the Trading Day next succeeding the date such tender or exchange offer expires;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respect of any conversion within the 10 Trading Days immediately following, and including, the expiration date of any tender or exchange offer, references in this Section 13.04(e) with respect to 10 Trading Days shall be deemed replaced with such lesser number of Trading Days as have elapsed between the date that such tender or exchange offer expires and the Conversion Date in determining the Conversion Rate.</w:t>
      </w:r>
    </w:p>
    <w:p>
      <w:pPr>
        <w:spacing w:after="0" w:line="193" w:lineRule="exact"/>
        <w:rPr>
          <w:sz w:val="20"/>
          <w:szCs w:val="20"/>
          <w:color w:val="auto"/>
        </w:rPr>
      </w:pPr>
    </w:p>
    <w:p>
      <w:pPr>
        <w:ind w:right="20" w:firstLine="464"/>
        <w:spacing w:after="0" w:line="302" w:lineRule="auto"/>
        <w:tabs>
          <w:tab w:leader="none" w:pos="813" w:val="left"/>
        </w:tabs>
        <w:numPr>
          <w:ilvl w:val="0"/>
          <w:numId w:val="73"/>
        </w:numPr>
        <w:rPr>
          <w:rFonts w:ascii="Arial" w:cs="Arial" w:eastAsia="Arial" w:hAnsi="Arial"/>
          <w:sz w:val="16"/>
          <w:szCs w:val="16"/>
          <w:color w:val="auto"/>
        </w:rPr>
      </w:pPr>
      <w:r>
        <w:rPr>
          <w:rFonts w:ascii="Arial" w:cs="Arial" w:eastAsia="Arial" w:hAnsi="Arial"/>
          <w:sz w:val="16"/>
          <w:szCs w:val="16"/>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In the absence of an Officers’ Certificate being filed with the Trustee (and the Conversion Agent if not the Trustee), the Trustee may assume without inquiry that the Conversion Rate has not been adjusted and that the last Conversion Rate of which it has knowledge remains in effect.</w:t>
      </w:r>
    </w:p>
    <w:p>
      <w:pPr>
        <w:spacing w:after="0" w:line="154" w:lineRule="exact"/>
        <w:rPr>
          <w:rFonts w:ascii="Arial" w:cs="Arial" w:eastAsia="Arial" w:hAnsi="Arial"/>
          <w:sz w:val="16"/>
          <w:szCs w:val="16"/>
          <w:color w:val="auto"/>
        </w:rPr>
      </w:pPr>
    </w:p>
    <w:p>
      <w:pPr>
        <w:ind w:right="100" w:firstLine="464"/>
        <w:spacing w:after="0" w:line="255" w:lineRule="auto"/>
        <w:tabs>
          <w:tab w:leader="none" w:pos="8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this Section 13.04 or any other provision of this Indenture or the Notes, if a Conversion Rate adjustment becomes effective on any Ex-Dividend Date, and a Holder that has converted its Notes on or after such Ex-Dividend Date and on or prior to the related Record Date would be treated as the record holder of the shares of Common Stock as of the related Conversion Date as described under Section 13.02(i) based on an adjusted Conversion Rate for such Ex-Dividend Date, then, notwithstanding the Conversion Rate adjustment provisions in this Section 13.04, the Conversion Rate adjustment relating to such Ex-Dividend Date shall not be made for such converting Holder. Instead, such Holder shall be treated as if such Holder were the record owner of the shares of Common Stock on an unadjusted basis and participate in the related dividend, distribution or other event giving rise to such adjustment.</w:t>
      </w:r>
    </w:p>
    <w:p>
      <w:pPr>
        <w:spacing w:after="0" w:line="189" w:lineRule="exact"/>
        <w:rPr>
          <w:rFonts w:ascii="Arial" w:cs="Arial" w:eastAsia="Arial" w:hAnsi="Arial"/>
          <w:sz w:val="18"/>
          <w:szCs w:val="18"/>
          <w:color w:val="auto"/>
        </w:rPr>
      </w:pPr>
    </w:p>
    <w:p>
      <w:pPr>
        <w:ind w:right="220" w:firstLine="464"/>
        <w:spacing w:after="0" w:line="264" w:lineRule="auto"/>
        <w:tabs>
          <w:tab w:leader="none" w:pos="846"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Except as stated herein, the Company shall not adjust the Conversion Rate for the issuance of shares of its Common Stock or any securities convertible into or exchangeable for shares of its Common Stock or the right to purchase shares of its Common Stock or such convertible or exchangeable securities.</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340"/>
          </w:cols>
          <w:pgMar w:left="240" w:top="274" w:right="319" w:bottom="1440" w:gutter="0" w:footer="0" w:header="0"/>
          <w:type w:val="continuous"/>
        </w:sectPr>
      </w:pPr>
    </w:p>
    <w:bookmarkStart w:id="81" w:name="page82"/>
    <w:bookmarkEnd w:id="81"/>
    <w:p>
      <w:pPr>
        <w:ind w:left="-20" w:firstLine="464"/>
        <w:spacing w:after="0" w:line="288" w:lineRule="auto"/>
        <w:tabs>
          <w:tab w:leader="none" w:pos="786" w:val="left"/>
        </w:tabs>
        <w:numPr>
          <w:ilvl w:val="0"/>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to those adjustments required by clauses (a), (b), (c), (d) and (e) of this Section 13.04, and to the extent permitted by applicable law and subject to the applicable rules of The New York Stock Exchange, the Company from time to time may increase the Conversion Rate by any amount for a period of at least 20 Business Days if the Board of Directors determines that such increase would be in the Company’s best interest. In addition, but subject to the same limitations set forth in the immediately preceding sentence, the Company may (but is not required to) increase the Conversion Rate to avoid or diminish any income tax to holders of Common Stock or rights to purchase Common Stock in connection with a dividend or distribution of shares (or rights to acquire shares) or similar event. The Company will not take any action that would result in an adjustment of the Conversion Rate, pursuant to clauses (a), (b), (c), (d) and (e) of this Section 13.04, in such a manner as to result in the reduction of the Conversion Price to less than the par value per share of the Common Stock. Whenever the Conversion Rate is adjusted pursuant to either of the preceding two sentences, the Company shall mail to the Holder of each Note at its last address appearing on the Note Register a notice of the increase at least 15 days prior to the date the adjusted Conversion Rate takes effect, and such notice shall state the adjusted Conversion Rate and the period during which it will be in effect.</w:t>
      </w:r>
    </w:p>
    <w:p>
      <w:pPr>
        <w:spacing w:after="0" w:line="169" w:lineRule="exact"/>
        <w:rPr>
          <w:rFonts w:ascii="Arial" w:cs="Arial" w:eastAsia="Arial" w:hAnsi="Arial"/>
          <w:sz w:val="16"/>
          <w:szCs w:val="16"/>
          <w:color w:val="auto"/>
        </w:rPr>
      </w:pPr>
    </w:p>
    <w:p>
      <w:pPr>
        <w:ind w:left="800" w:hanging="356"/>
        <w:spacing w:after="0"/>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Article 13, the Conversion Rate shall not be adjusted:</w:t>
      </w:r>
    </w:p>
    <w:p>
      <w:pPr>
        <w:spacing w:after="0" w:line="117" w:lineRule="exact"/>
        <w:rPr>
          <w:rFonts w:ascii="Arial" w:cs="Arial" w:eastAsia="Arial" w:hAnsi="Arial"/>
          <w:sz w:val="18"/>
          <w:szCs w:val="18"/>
          <w:color w:val="auto"/>
        </w:rPr>
      </w:pPr>
    </w:p>
    <w:p>
      <w:pPr>
        <w:ind w:left="440" w:right="380" w:firstLine="443"/>
        <w:spacing w:after="0" w:line="342" w:lineRule="auto"/>
        <w:tabs>
          <w:tab w:leader="none" w:pos="1228" w:val="left"/>
        </w:tabs>
        <w:numPr>
          <w:ilvl w:val="1"/>
          <w:numId w:val="74"/>
        </w:numPr>
        <w:rPr>
          <w:rFonts w:ascii="Arial" w:cs="Arial" w:eastAsia="Arial" w:hAnsi="Arial"/>
          <w:sz w:val="16"/>
          <w:szCs w:val="16"/>
          <w:color w:val="auto"/>
        </w:rPr>
      </w:pPr>
      <w:r>
        <w:rPr>
          <w:rFonts w:ascii="Arial" w:cs="Arial" w:eastAsia="Arial" w:hAnsi="Arial"/>
          <w:sz w:val="16"/>
          <w:szCs w:val="16"/>
          <w:color w:val="auto"/>
        </w:rPr>
        <w:t>upon the issuance of any shares of Common Stock pursuant to any present or future plan providing for the reinvestment of dividends or interest payable on the Company’s securities and the investment of additional optional amounts in shares of Common Stock under any plan;</w:t>
      </w:r>
    </w:p>
    <w:p>
      <w:pPr>
        <w:spacing w:after="0" w:line="15" w:lineRule="exact"/>
        <w:rPr>
          <w:rFonts w:ascii="Arial" w:cs="Arial" w:eastAsia="Arial" w:hAnsi="Arial"/>
          <w:sz w:val="16"/>
          <w:szCs w:val="16"/>
          <w:color w:val="auto"/>
        </w:rPr>
      </w:pPr>
    </w:p>
    <w:p>
      <w:pPr>
        <w:ind w:left="440" w:right="60" w:firstLine="443"/>
        <w:spacing w:after="0" w:line="277" w:lineRule="auto"/>
        <w:tabs>
          <w:tab w:leader="none" w:pos="1278" w:val="left"/>
        </w:tabs>
        <w:numPr>
          <w:ilvl w:val="1"/>
          <w:numId w:val="74"/>
        </w:numPr>
        <w:rPr>
          <w:rFonts w:ascii="Arial" w:cs="Arial" w:eastAsia="Arial" w:hAnsi="Arial"/>
          <w:sz w:val="18"/>
          <w:szCs w:val="18"/>
          <w:color w:val="auto"/>
        </w:rPr>
      </w:pPr>
      <w:r>
        <w:rPr>
          <w:rFonts w:ascii="Arial" w:cs="Arial" w:eastAsia="Arial" w:hAnsi="Arial"/>
          <w:sz w:val="18"/>
          <w:szCs w:val="18"/>
          <w:color w:val="auto"/>
        </w:rPr>
        <w:t>upon the issuance of any shares of Common Stock or options or rights to purchase those shares pursuant to any present or future employee, director or consultant benefit plan or program of or assumed by the Company or any of the Company’s Subsidiaries;</w:t>
      </w:r>
    </w:p>
    <w:p>
      <w:pPr>
        <w:spacing w:after="0" w:line="62" w:lineRule="exact"/>
        <w:rPr>
          <w:rFonts w:ascii="Arial" w:cs="Arial" w:eastAsia="Arial" w:hAnsi="Arial"/>
          <w:sz w:val="18"/>
          <w:szCs w:val="18"/>
          <w:color w:val="auto"/>
        </w:rPr>
      </w:pPr>
    </w:p>
    <w:p>
      <w:pPr>
        <w:ind w:left="440" w:right="240" w:firstLine="443"/>
        <w:spacing w:after="0" w:line="277" w:lineRule="auto"/>
        <w:tabs>
          <w:tab w:leader="none" w:pos="1328" w:val="left"/>
        </w:tabs>
        <w:numPr>
          <w:ilvl w:val="1"/>
          <w:numId w:val="74"/>
        </w:numPr>
        <w:rPr>
          <w:rFonts w:ascii="Arial" w:cs="Arial" w:eastAsia="Arial" w:hAnsi="Arial"/>
          <w:sz w:val="18"/>
          <w:szCs w:val="18"/>
          <w:color w:val="auto"/>
        </w:rPr>
      </w:pPr>
      <w:r>
        <w:rPr>
          <w:rFonts w:ascii="Arial" w:cs="Arial" w:eastAsia="Arial" w:hAnsi="Arial"/>
          <w:sz w:val="18"/>
          <w:szCs w:val="18"/>
          <w:color w:val="auto"/>
        </w:rPr>
        <w:t>upon the issuance of any shares of the Common Stock pursuant to any option, warrant, right or exercisable, exchangeable or convertible security not described in clause (ii) of this subsection and outstanding as of the date the Notes were first issued;</w:t>
      </w:r>
    </w:p>
    <w:p>
      <w:pPr>
        <w:spacing w:after="0" w:line="62" w:lineRule="exact"/>
        <w:rPr>
          <w:rFonts w:ascii="Arial" w:cs="Arial" w:eastAsia="Arial" w:hAnsi="Arial"/>
          <w:sz w:val="18"/>
          <w:szCs w:val="18"/>
          <w:color w:val="auto"/>
        </w:rPr>
      </w:pPr>
    </w:p>
    <w:p>
      <w:pPr>
        <w:ind w:left="1320" w:hanging="437"/>
        <w:spacing w:after="0"/>
        <w:tabs>
          <w:tab w:leader="none" w:pos="13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solely for a change in the par value of the Common Stock or a change in the Company’s jurisdiction of incorporation; or</w:t>
      </w:r>
    </w:p>
    <w:p>
      <w:pPr>
        <w:spacing w:after="0" w:line="117" w:lineRule="exact"/>
        <w:rPr>
          <w:rFonts w:ascii="Arial" w:cs="Arial" w:eastAsia="Arial" w:hAnsi="Arial"/>
          <w:sz w:val="18"/>
          <w:szCs w:val="18"/>
          <w:color w:val="auto"/>
        </w:rPr>
      </w:pPr>
    </w:p>
    <w:p>
      <w:pPr>
        <w:ind w:left="1280" w:hanging="397"/>
        <w:spacing w:after="0"/>
        <w:tabs>
          <w:tab w:leader="none" w:pos="12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for accrued and unpaid interest, if any.</w:t>
      </w:r>
    </w:p>
    <w:p>
      <w:pPr>
        <w:spacing w:after="0" w:line="225" w:lineRule="exact"/>
        <w:rPr>
          <w:rFonts w:ascii="Arial" w:cs="Arial" w:eastAsia="Arial" w:hAnsi="Arial"/>
          <w:sz w:val="18"/>
          <w:szCs w:val="18"/>
          <w:color w:val="auto"/>
        </w:rPr>
      </w:pPr>
    </w:p>
    <w:p>
      <w:pPr>
        <w:ind w:left="-20" w:right="20" w:firstLine="464"/>
        <w:spacing w:after="0" w:line="264" w:lineRule="auto"/>
        <w:tabs>
          <w:tab w:leader="none" w:pos="816"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calculations and other determinations under this Article 13 shall be made by the Company and shall be made to the nearest one-ten thousandth (1/10,000) of a share. The Company shall not be required to make an adjustment in the Conversion Rate unless the adjustment would require a change of at least 1% in the Conversion Rate. However, the Company shall carry forward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60" w:top="274" w:right="259" w:bottom="1440" w:gutter="0" w:footer="0" w:header="0"/>
        </w:sectPr>
      </w:pPr>
    </w:p>
    <w:bookmarkStart w:id="82" w:name="page83"/>
    <w:bookmarkEnd w:id="82"/>
    <w:p>
      <w:pPr>
        <w:ind w:right="1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adjustments that are less than 1% of the Conversion Rate and make such carried forward adjustment, regardless of whether the aggregate adjustment is less than 1%, on the Conversion Date for any Notes and on each Trading Day of any Observation Period for any converted Notes.</w:t>
      </w:r>
    </w:p>
    <w:p>
      <w:pPr>
        <w:spacing w:after="0" w:line="147" w:lineRule="exact"/>
        <w:rPr>
          <w:sz w:val="20"/>
          <w:szCs w:val="20"/>
          <w:color w:val="auto"/>
        </w:rPr>
      </w:pPr>
    </w:p>
    <w:p>
      <w:pPr>
        <w:ind w:firstLine="464"/>
        <w:spacing w:after="0" w:line="271" w:lineRule="auto"/>
        <w:tabs>
          <w:tab w:leader="none" w:pos="803" w:val="left"/>
        </w:tabs>
        <w:numPr>
          <w:ilvl w:val="0"/>
          <w:numId w:val="75"/>
        </w:numPr>
        <w:rPr>
          <w:rFonts w:ascii="Arial" w:cs="Arial" w:eastAsia="Arial" w:hAnsi="Arial"/>
          <w:sz w:val="17"/>
          <w:szCs w:val="17"/>
          <w:color w:val="auto"/>
        </w:rPr>
      </w:pPr>
      <w:r>
        <w:rPr>
          <w:rFonts w:ascii="Arial" w:cs="Arial" w:eastAsia="Arial" w:hAnsi="Arial"/>
          <w:sz w:val="17"/>
          <w:szCs w:val="17"/>
          <w:color w:val="auto"/>
        </w:rPr>
        <w:t>Whenever the Conversion Rate is adjusted as herein provided, the Company shall promptly file with the Trustee (and the Conversion Agent if not the Trustee) an Officers’ Certificate setting forth the Conversion Rate after such adjustment and setting forth a brief statement of the facts requiring such adjustment. Unless and until a Responsible Officer of the Trustee (and Conversion Agent, if applicable) shall have received such Officers’ Certificate, the Trustee (and Conversion Agent, if applicable) shall not be deemed to have knowledge of any adjustment of the Conversion Rate and may assume without inquiry that the last Conversion Rate of which it has knowledge is still in effect. Promptly after delivery of such certificate, the Company shall prepare a notice of such adjustment of the Conversion Rate setting forth the adjusted Conversion Rate and the date on which each adjustment becomes effective and shall mail such notice of such adjustment of the Conversion Rate to each Holder at its last address appearing on the Note Register of this Indenture. Failure to deliver such notice shall not affect the legality or validity of any such adjustment.</w:t>
      </w:r>
    </w:p>
    <w:p>
      <w:pPr>
        <w:spacing w:after="0" w:line="179"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Adjustments of Prices</w:t>
      </w:r>
      <w:r>
        <w:rPr>
          <w:rFonts w:ascii="Arial" w:cs="Arial" w:eastAsia="Arial" w:hAnsi="Arial"/>
          <w:sz w:val="18"/>
          <w:szCs w:val="18"/>
          <w:color w:val="auto"/>
        </w:rPr>
        <w:t>. Whenever any provision of this Indenture requires the Company to calculate the Last Reported Sale Prices, the Daily VWAPs, the Daily Conversion Values or the Daily Settlement Amounts over a span of multiple days (including an Observation Period and the period for determining the Stock Price for purposes of a Make-Whole Fundamental Change), the Board of Directors shall make appropriate adjustments to each to account for any adjustment to the Conversion Rate that becomes effective, or any event requiring an adjustment to the Conversion Rate where the Ex-Dividend Date of the event occurs, at any time during the period when the Last Reported Sale Prices, the Daily VWAPs, the Daily Conversion Values or the Daily Settlement Amounts are to be calculated.</w:t>
      </w:r>
    </w:p>
    <w:p>
      <w:pPr>
        <w:spacing w:after="0" w:line="193"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 xml:space="preserve">Section 13.06. </w:t>
      </w:r>
      <w:r>
        <w:rPr>
          <w:rFonts w:ascii="Arial" w:cs="Arial" w:eastAsia="Arial" w:hAnsi="Arial"/>
          <w:sz w:val="16"/>
          <w:szCs w:val="16"/>
          <w:i w:val="1"/>
          <w:iCs w:val="1"/>
          <w:color w:val="auto"/>
        </w:rPr>
        <w:t>Shares to Be Fully Paid</w:t>
      </w:r>
      <w:r>
        <w:rPr>
          <w:rFonts w:ascii="Arial" w:cs="Arial" w:eastAsia="Arial" w:hAnsi="Arial"/>
          <w:sz w:val="16"/>
          <w:szCs w:val="16"/>
          <w:color w:val="auto"/>
        </w:rPr>
        <w:t>. The Company shall provide, free from preemptive rights, out of its authorized but unissued shares, sufficient shares of Common Stock to provide for conversion of the Notes from time to time as such Notes are presented for conversion (assuming that at the time of computation of such number of shares, all such Notes would be converted by a single Holder and that Physical Settlement is applicable).</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13.07. </w:t>
      </w:r>
      <w:r>
        <w:rPr>
          <w:rFonts w:ascii="Arial" w:cs="Arial" w:eastAsia="Arial" w:hAnsi="Arial"/>
          <w:sz w:val="18"/>
          <w:szCs w:val="18"/>
          <w:i w:val="1"/>
          <w:iCs w:val="1"/>
          <w:color w:val="auto"/>
        </w:rPr>
        <w:t>Effect of Recapitalizations, Reclassifications and Changes of the Common Stock</w:t>
      </w:r>
      <w:r>
        <w:rPr>
          <w:rFonts w:ascii="Arial" w:cs="Arial" w:eastAsia="Arial" w:hAnsi="Arial"/>
          <w:sz w:val="18"/>
          <w:szCs w:val="18"/>
          <w:color w:val="auto"/>
        </w:rPr>
        <w:t>.</w:t>
      </w:r>
    </w:p>
    <w:p>
      <w:pPr>
        <w:spacing w:after="0" w:line="117" w:lineRule="exact"/>
        <w:rPr>
          <w:sz w:val="20"/>
          <w:szCs w:val="20"/>
          <w:color w:val="auto"/>
        </w:rPr>
      </w:pPr>
    </w:p>
    <w:p>
      <w:pPr>
        <w:ind w:left="840" w:hanging="376"/>
        <w:spacing w:after="0"/>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 the case of:</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248"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recapitalization, reclassification or change of the Common Stock (other than changes resulting from a subdivision or combination or a change solely in par value),</w:t>
      </w:r>
    </w:p>
    <w:p>
      <w:pPr>
        <w:spacing w:after="0" w:line="62" w:lineRule="exact"/>
        <w:rPr>
          <w:rFonts w:ascii="Arial" w:cs="Arial" w:eastAsia="Arial" w:hAnsi="Arial"/>
          <w:sz w:val="18"/>
          <w:szCs w:val="18"/>
          <w:color w:val="auto"/>
        </w:rPr>
      </w:pPr>
    </w:p>
    <w:p>
      <w:pPr>
        <w:ind w:left="1300" w:hanging="397"/>
        <w:spacing w:after="0"/>
        <w:tabs>
          <w:tab w:leader="none" w:pos="13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consolidation, merger or combination involving the Company,</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60"/>
          </w:cols>
          <w:pgMar w:left="240" w:top="274" w:right="299" w:bottom="1440" w:gutter="0" w:footer="0" w:header="0"/>
        </w:sectPr>
      </w:pPr>
    </w:p>
    <w:bookmarkStart w:id="83" w:name="page84"/>
    <w:bookmarkEnd w:id="83"/>
    <w:p>
      <w:pPr>
        <w:ind w:left="1360" w:hanging="457"/>
        <w:spacing w:after="0"/>
        <w:tabs>
          <w:tab w:leader="none" w:pos="1360" w:val="left"/>
        </w:tabs>
        <w:numPr>
          <w:ilvl w:val="0"/>
          <w:numId w:val="7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sale, lease or other transfer to a third party of all or substantially all of the Company and the Company’s Subsidiaries’ consolidated</w:t>
      </w:r>
    </w:p>
    <w:p>
      <w:pPr>
        <w:spacing w:after="0" w:line="4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assets or</w:t>
      </w:r>
    </w:p>
    <w:p>
      <w:pPr>
        <w:spacing w:after="0" w:line="102" w:lineRule="exact"/>
        <w:rPr>
          <w:rFonts w:ascii="Arial" w:cs="Arial" w:eastAsia="Arial" w:hAnsi="Arial"/>
          <w:sz w:val="16"/>
          <w:szCs w:val="16"/>
          <w:color w:val="auto"/>
        </w:rPr>
      </w:pPr>
    </w:p>
    <w:p>
      <w:pPr>
        <w:ind w:left="1340" w:hanging="437"/>
        <w:spacing w:after="0"/>
        <w:tabs>
          <w:tab w:leader="none" w:pos="13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statutory share exchange,</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each case, as a result of which the Common Stock then outstanding would be converted into, or exchanged for, stock, other securities, other property or assets (including cash or any combination thereof) (any such event, a “</w:t>
      </w:r>
      <w:r>
        <w:rPr>
          <w:rFonts w:ascii="Arial" w:cs="Arial" w:eastAsia="Arial" w:hAnsi="Arial"/>
          <w:sz w:val="16"/>
          <w:szCs w:val="16"/>
          <w:b w:val="1"/>
          <w:bCs w:val="1"/>
          <w:color w:val="auto"/>
        </w:rPr>
        <w:t>Merger Event</w:t>
      </w:r>
      <w:r>
        <w:rPr>
          <w:rFonts w:ascii="Arial" w:cs="Arial" w:eastAsia="Arial" w:hAnsi="Arial"/>
          <w:sz w:val="16"/>
          <w:szCs w:val="16"/>
          <w:color w:val="auto"/>
        </w:rPr>
        <w:t>”), then, at and after the effective time of such Merger Event, the right to convert each $1,000 principal amount of Notes shall be changed into a right to convert such principal amount of Notes into the kind and amount of shares of stock, other securities or other property or assets (including cash or any combination thereof) that a holder of a number of shares of Common Stock equal to the Conversion Rate immediately prior to such Merger Event would have owned or been entitled to receive (the “</w:t>
      </w:r>
      <w:r>
        <w:rPr>
          <w:rFonts w:ascii="Arial" w:cs="Arial" w:eastAsia="Arial" w:hAnsi="Arial"/>
          <w:sz w:val="16"/>
          <w:szCs w:val="16"/>
          <w:b w:val="1"/>
          <w:bCs w:val="1"/>
          <w:color w:val="auto"/>
        </w:rPr>
        <w:t>Reference Property</w:t>
      </w:r>
      <w:r>
        <w:rPr>
          <w:rFonts w:ascii="Arial" w:cs="Arial" w:eastAsia="Arial" w:hAnsi="Arial"/>
          <w:sz w:val="16"/>
          <w:szCs w:val="16"/>
          <w:color w:val="auto"/>
        </w:rPr>
        <w:t>”, with each “</w:t>
      </w:r>
      <w:r>
        <w:rPr>
          <w:rFonts w:ascii="Arial" w:cs="Arial" w:eastAsia="Arial" w:hAnsi="Arial"/>
          <w:sz w:val="16"/>
          <w:szCs w:val="16"/>
          <w:b w:val="1"/>
          <w:bCs w:val="1"/>
          <w:color w:val="auto"/>
        </w:rPr>
        <w:t>unit of</w:t>
      </w:r>
      <w:r>
        <w:rPr>
          <w:rFonts w:ascii="Arial" w:cs="Arial" w:eastAsia="Arial" w:hAnsi="Arial"/>
          <w:sz w:val="16"/>
          <w:szCs w:val="16"/>
          <w:color w:val="auto"/>
        </w:rPr>
        <w:t xml:space="preserve"> </w:t>
      </w:r>
      <w:r>
        <w:rPr>
          <w:rFonts w:ascii="Arial" w:cs="Arial" w:eastAsia="Arial" w:hAnsi="Arial"/>
          <w:sz w:val="16"/>
          <w:szCs w:val="16"/>
          <w:b w:val="1"/>
          <w:bCs w:val="1"/>
          <w:color w:val="auto"/>
        </w:rPr>
        <w:t>Reference Property</w:t>
      </w:r>
      <w:r>
        <w:rPr>
          <w:rFonts w:ascii="Arial" w:cs="Arial" w:eastAsia="Arial" w:hAnsi="Arial"/>
          <w:sz w:val="16"/>
          <w:szCs w:val="16"/>
          <w:color w:val="auto"/>
        </w:rPr>
        <w:t>” meaning the kind and amount of Reference Property that a holder of one share of Common Stock is entitled to receive) upon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Merger Event and, prior to or at the effective time of such Merger Event, the Company or the successor or purchasing Person, as the case may be, shall execute with the Trustee a supplemental indenture permitted under Section 10.01(b) providing for such change in the right to convert each $1,000 principal amount of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and after the effective time of the Merger Event (A) the Company shall continue to have the right to determine the form of consideration to be paid or delivered, as the case may be, upon conversion of Notes in accordance with Section 13.02 and (B) (I) any amount payable in cash upon conversion of the Notes in accordance with Section 13.02 shall continue to be payable in cash, (II) any shares of Common Stock that the Company would have been required to deliver upon conversion of the Notes in accordance with Section 13.02 shall instead be deliverable in the amount and type of Reference Property that a holder of that number of shares of Common Stock would have been entitled to receive in such Merger Event and (III) the Daily VWAP shall be calculated based on the value of a unit of Reference Property.</w:t>
      </w:r>
    </w:p>
    <w:p>
      <w:pPr>
        <w:spacing w:after="0" w:line="172"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If the Merger Event causes the Common Stock to be converted into, or exchanged for, the right to receive more than a single type of consideration (determined based in part upon any form of stockholder election), then (i) the Reference Property into which the Notes will be convertible shall be deemed to be the weighted average of the types and amounts of consideration received by the holders of Common Stock that affirmatively make such an election, and</w:t>
      </w:r>
    </w:p>
    <w:p>
      <w:pPr>
        <w:ind w:right="100" w:firstLine="8"/>
        <w:spacing w:after="0" w:line="269" w:lineRule="auto"/>
        <w:tabs>
          <w:tab w:leader="none" w:pos="265"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the unit of Reference Property for purposes of the immediately preceding paragraph shall refer to the consideration referred to in clause (i) attributable to one share of Common Stock. The Company shall notify Holders, the Trustee and the Conversion Agent (if other than the Trustee) of such weighted average as soon as practicable after such determination is made. If the holders receive only cash in such Merger Event, then for all conversions that occur after the effective date of such Merger Event (x) the consideration due upon conversion of each $1,000 principal amount of Notes shall be solely cash in an amount equal to the Conversion Rate in effect on the Conversion Date (as may be increased by any Additional Shares pursuant to Section 13.03), </w:t>
      </w:r>
      <w:r>
        <w:rPr>
          <w:rFonts w:ascii="Arial" w:cs="Arial" w:eastAsia="Arial" w:hAnsi="Arial"/>
          <w:sz w:val="17"/>
          <w:szCs w:val="17"/>
          <w:i w:val="1"/>
          <w:iCs w:val="1"/>
          <w:color w:val="auto"/>
        </w:rPr>
        <w:t>multiplied by</w:t>
      </w:r>
      <w:r>
        <w:rPr>
          <w:rFonts w:ascii="Arial" w:cs="Arial" w:eastAsia="Arial" w:hAnsi="Arial"/>
          <w:sz w:val="17"/>
          <w:szCs w:val="17"/>
          <w:color w:val="auto"/>
        </w:rPr>
        <w:t xml:space="preserve"> the price paid per share of Common Stock in such Merger Event and (y) the Company shall satisfy the Conversion Obligation by paying cash to converting Holders on the third Business Day immediately following the relevant Conversion Date.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84" w:name="page85"/>
    <w:bookmarkEnd w:id="84"/>
    <w:p>
      <w:pPr>
        <w:ind w:right="40" w:firstLine="456"/>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supplemental indenture described in the second immediately preceding paragraph shall provide for adjustments that shall be as nearly equivalent as is possible to the adjustments provided for in this Article 13. If, in the case of any Merger Event, the Reference Property includes shares of stock, securities or other property or assets (including cash or any combination thereof) of a Person other than the successor or purchasing corporation, as the case may be, in such Merger Event, then such supplemental indenture shall also be executed by such other Person and shall contain such additional provisions to protect the interests of the Holders of the Notes as the Board of Directors shall reasonably consider necessary by reason of the foregoing, including to the extent required by the Board of Directors and practicable the provisions providing for the purchase rights set forth in Article 14.</w:t>
      </w:r>
    </w:p>
    <w:p>
      <w:pPr>
        <w:spacing w:after="0" w:line="165" w:lineRule="exact"/>
        <w:rPr>
          <w:sz w:val="20"/>
          <w:szCs w:val="20"/>
          <w:color w:val="auto"/>
        </w:rPr>
      </w:pPr>
    </w:p>
    <w:p>
      <w:pPr>
        <w:ind w:firstLine="464"/>
        <w:spacing w:after="0" w:line="273" w:lineRule="auto"/>
        <w:tabs>
          <w:tab w:leader="none" w:pos="846" w:val="left"/>
        </w:tabs>
        <w:numPr>
          <w:ilvl w:val="1"/>
          <w:numId w:val="79"/>
        </w:numPr>
        <w:rPr>
          <w:rFonts w:ascii="Arial" w:cs="Arial" w:eastAsia="Arial" w:hAnsi="Arial"/>
          <w:sz w:val="17"/>
          <w:szCs w:val="17"/>
          <w:color w:val="auto"/>
        </w:rPr>
      </w:pPr>
      <w:r>
        <w:rPr>
          <w:rFonts w:ascii="Arial" w:cs="Arial" w:eastAsia="Arial" w:hAnsi="Arial"/>
          <w:sz w:val="17"/>
          <w:szCs w:val="17"/>
          <w:color w:val="auto"/>
        </w:rPr>
        <w:t>In the event the Company shall execute a supplemental indenture pursuant to subsection (a) of this Section 13.07, the Company shall promptly file with the Trustee an Officers’ Certificate briefly stating the reasons therefore, the kind or amount of cash, securities or property or asset that will comprise the Reference Property after any such Merger Event, any adjustment to be made with respect thereto and that all conditions precedent have been complied with, and shall promptly mail notice thereof to all Holders. The Company shall cause notice of the execution of such supplemental indenture to be mailed to each Holder, at its address appearing on the Note Register provided for in this Indenture, within 20 days after execution thereof. Failure to deliver such notice shall not affect the legality or validity of such supplemental indenture.</w:t>
      </w:r>
    </w:p>
    <w:p>
      <w:pPr>
        <w:spacing w:after="0" w:line="178" w:lineRule="exact"/>
        <w:rPr>
          <w:rFonts w:ascii="Arial" w:cs="Arial" w:eastAsia="Arial" w:hAnsi="Arial"/>
          <w:sz w:val="17"/>
          <w:szCs w:val="17"/>
          <w:color w:val="auto"/>
        </w:rPr>
      </w:pPr>
    </w:p>
    <w:p>
      <w:pPr>
        <w:ind w:right="180" w:firstLine="464"/>
        <w:spacing w:after="0" w:line="312" w:lineRule="auto"/>
        <w:tabs>
          <w:tab w:leader="none" w:pos="833"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Company shall not become a party to any Merger Event unless its terms are consistent with this Section 13.07 in all material respects. None of the foregoing provisions shall affect the right of a Holder of Notes to convert its Notes into cash, shares of Common Stock or a combination of cash and shares of Common Stock, as applicable, as set forth in Section 13.01 and Section 13.02 prior to the effective date of such Merger Event.</w:t>
      </w:r>
    </w:p>
    <w:p>
      <w:pPr>
        <w:spacing w:after="0" w:line="146" w:lineRule="exact"/>
        <w:rPr>
          <w:rFonts w:ascii="Arial" w:cs="Arial" w:eastAsia="Arial" w:hAnsi="Arial"/>
          <w:sz w:val="16"/>
          <w:szCs w:val="16"/>
          <w:color w:val="auto"/>
        </w:rPr>
      </w:pPr>
    </w:p>
    <w:p>
      <w:pPr>
        <w:ind w:left="860" w:hanging="396"/>
        <w:spacing w:after="0"/>
        <w:tabs>
          <w:tab w:leader="none" w:pos="860"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above provisions of this Section shall similarly apply to successive Merger Events.</w:t>
      </w:r>
    </w:p>
    <w:p>
      <w:pPr>
        <w:spacing w:after="0" w:line="225" w:lineRule="exact"/>
        <w:rPr>
          <w:rFonts w:ascii="Arial" w:cs="Arial" w:eastAsia="Arial" w:hAnsi="Arial"/>
          <w:sz w:val="18"/>
          <w:szCs w:val="18"/>
          <w:color w:val="auto"/>
        </w:rPr>
      </w:pPr>
    </w:p>
    <w:p>
      <w:pPr>
        <w:ind w:left="840" w:hanging="376"/>
        <w:spacing w:after="0"/>
        <w:tabs>
          <w:tab w:leader="none" w:pos="8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In connection with any Merger Event, the Initial Dividend Threshold shall be subject to adjustment as described in clause (i), clause (ii) or clause</w:t>
      </w:r>
    </w:p>
    <w:p>
      <w:pPr>
        <w:spacing w:after="0" w:line="46" w:lineRule="exact"/>
        <w:rPr>
          <w:rFonts w:ascii="Arial" w:cs="Arial" w:eastAsia="Arial" w:hAnsi="Arial"/>
          <w:sz w:val="16"/>
          <w:szCs w:val="16"/>
          <w:color w:val="auto"/>
        </w:rPr>
      </w:pPr>
    </w:p>
    <w:p>
      <w:pPr>
        <w:ind w:left="320" w:hanging="312"/>
        <w:spacing w:after="0"/>
        <w:tabs>
          <w:tab w:leader="none" w:pos="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below, as the case may be.</w:t>
      </w:r>
    </w:p>
    <w:p>
      <w:pPr>
        <w:spacing w:after="0" w:line="102" w:lineRule="exact"/>
        <w:rPr>
          <w:rFonts w:ascii="Arial" w:cs="Arial" w:eastAsia="Arial" w:hAnsi="Arial"/>
          <w:sz w:val="18"/>
          <w:szCs w:val="18"/>
          <w:color w:val="auto"/>
        </w:rPr>
      </w:pPr>
    </w:p>
    <w:p>
      <w:pPr>
        <w:ind w:left="460" w:right="160" w:firstLine="443"/>
        <w:spacing w:after="0" w:line="257" w:lineRule="auto"/>
        <w:tabs>
          <w:tab w:leader="none" w:pos="1248" w:val="left"/>
        </w:tabs>
        <w:numPr>
          <w:ilvl w:val="2"/>
          <w:numId w:val="80"/>
        </w:numPr>
        <w:rPr>
          <w:rFonts w:ascii="Arial" w:cs="Arial" w:eastAsia="Arial" w:hAnsi="Arial"/>
          <w:sz w:val="18"/>
          <w:szCs w:val="18"/>
          <w:color w:val="auto"/>
        </w:rPr>
      </w:pPr>
      <w:r>
        <w:rPr>
          <w:rFonts w:ascii="Arial" w:cs="Arial" w:eastAsia="Arial" w:hAnsi="Arial"/>
          <w:sz w:val="18"/>
          <w:szCs w:val="18"/>
          <w:color w:val="auto"/>
        </w:rPr>
        <w:t>In the case of a Merger Event in which the Reference Property (determined, as appropriate, pursuant to subsection (a) above and excluding any dissenters’ appraisal rights) is composed entirely of shares of common stock (the “</w:t>
      </w:r>
      <w:r>
        <w:rPr>
          <w:rFonts w:ascii="Arial" w:cs="Arial" w:eastAsia="Arial" w:hAnsi="Arial"/>
          <w:sz w:val="18"/>
          <w:szCs w:val="18"/>
          <w:b w:val="1"/>
          <w:bCs w:val="1"/>
          <w:color w:val="auto"/>
        </w:rPr>
        <w:t>Merger Common Stock</w:t>
      </w:r>
      <w:r>
        <w:rPr>
          <w:rFonts w:ascii="Arial" w:cs="Arial" w:eastAsia="Arial" w:hAnsi="Arial"/>
          <w:sz w:val="18"/>
          <w:szCs w:val="18"/>
          <w:color w:val="auto"/>
        </w:rPr>
        <w:t xml:space="preserve">”), the Initial Dividend Threshold at and after the effective time of such Merger Event will be equal to (x) the Initial Dividend Threshold immediately prior to the effective time of such Merger Event,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(y) the number of shares of Merger Common Stock that a holder of one share of Common Stock would receive in such Merger Event (such quotient rounded down to nearest cent).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85" w:name="page86"/>
    <w:bookmarkEnd w:id="85"/>
    <w:p>
      <w:pPr>
        <w:jc w:val="both"/>
        <w:ind w:left="460" w:right="120" w:firstLine="443"/>
        <w:spacing w:after="0" w:line="288" w:lineRule="auto"/>
        <w:tabs>
          <w:tab w:leader="none" w:pos="1298" w:val="left"/>
        </w:tabs>
        <w:numPr>
          <w:ilvl w:val="1"/>
          <w:numId w:val="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case of a Merger Event in which the Reference Property (determined, as appropriate, pursuant to subsection (a) above and excluding any dissenters’ appraisal rights) is composed in part of shares of Merger Common Stock, the Initial Dividend Threshold at and after the effective time of such Merger Event will be equal to (x) the Initial Dividend Threshold immediately prior to the effective time of such Merger Event, </w:t>
      </w:r>
      <w:r>
        <w:rPr>
          <w:rFonts w:ascii="Arial" w:cs="Arial" w:eastAsia="Arial" w:hAnsi="Arial"/>
          <w:sz w:val="16"/>
          <w:szCs w:val="16"/>
          <w:i w:val="1"/>
          <w:iCs w:val="1"/>
          <w:color w:val="auto"/>
        </w:rPr>
        <w:t>multiplied by</w:t>
      </w:r>
    </w:p>
    <w:p>
      <w:pPr>
        <w:ind w:left="720" w:hanging="256"/>
        <w:spacing w:after="0"/>
        <w:tabs>
          <w:tab w:leader="none" w:pos="7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Merger Valuation Percentage for such Merger Event (such product rounded down to nearest cent).</w:t>
      </w:r>
    </w:p>
    <w:p>
      <w:pPr>
        <w:spacing w:after="0" w:line="102" w:lineRule="exact"/>
        <w:rPr>
          <w:rFonts w:ascii="Arial" w:cs="Arial" w:eastAsia="Arial" w:hAnsi="Arial"/>
          <w:sz w:val="18"/>
          <w:szCs w:val="18"/>
          <w:color w:val="auto"/>
        </w:rPr>
      </w:pPr>
    </w:p>
    <w:p>
      <w:pPr>
        <w:ind w:left="460" w:right="480" w:firstLine="443"/>
        <w:spacing w:after="0" w:line="264" w:lineRule="auto"/>
        <w:tabs>
          <w:tab w:leader="none" w:pos="1348" w:val="left"/>
        </w:tabs>
        <w:numPr>
          <w:ilvl w:val="1"/>
          <w:numId w:val="82"/>
        </w:numPr>
        <w:rPr>
          <w:rFonts w:ascii="Arial" w:cs="Arial" w:eastAsia="Arial" w:hAnsi="Arial"/>
          <w:sz w:val="18"/>
          <w:szCs w:val="18"/>
          <w:color w:val="auto"/>
        </w:rPr>
      </w:pPr>
      <w:r>
        <w:rPr>
          <w:rFonts w:ascii="Arial" w:cs="Arial" w:eastAsia="Arial" w:hAnsi="Arial"/>
          <w:sz w:val="18"/>
          <w:szCs w:val="18"/>
          <w:color w:val="auto"/>
        </w:rPr>
        <w:t>For the avoidance of doubt, in the case of a Merger Event in which the Reference Property (determined, as appropriate, pursuant to subsection (a) above and excluding any dissenters’ appraisal rights) is composed entirely of consideration other than shares of common stock, the Initial Dividend Threshold at and after the effective time of such Merger Event will be equal to zero.</w:t>
      </w:r>
    </w:p>
    <w:p>
      <w:pPr>
        <w:spacing w:after="0" w:line="181" w:lineRule="exact"/>
        <w:rPr>
          <w:sz w:val="20"/>
          <w:szCs w:val="20"/>
          <w:color w:val="auto"/>
        </w:rPr>
      </w:pPr>
    </w:p>
    <w:p>
      <w:pPr>
        <w:ind w:right="20" w:firstLine="456"/>
        <w:spacing w:after="0" w:line="342" w:lineRule="auto"/>
        <w:rPr>
          <w:sz w:val="20"/>
          <w:szCs w:val="20"/>
          <w:color w:val="auto"/>
        </w:rPr>
      </w:pPr>
      <w:r>
        <w:rPr>
          <w:rFonts w:ascii="Arial" w:cs="Arial" w:eastAsia="Arial" w:hAnsi="Arial"/>
          <w:sz w:val="16"/>
          <w:szCs w:val="16"/>
          <w:color w:val="auto"/>
        </w:rPr>
        <w:t xml:space="preserve">Section 13.08. </w:t>
      </w:r>
      <w:r>
        <w:rPr>
          <w:rFonts w:ascii="Arial" w:cs="Arial" w:eastAsia="Arial" w:hAnsi="Arial"/>
          <w:sz w:val="16"/>
          <w:szCs w:val="16"/>
          <w:i w:val="1"/>
          <w:iCs w:val="1"/>
          <w:color w:val="auto"/>
        </w:rPr>
        <w:t>Certain Covenants.</w:t>
      </w:r>
      <w:r>
        <w:rPr>
          <w:rFonts w:ascii="Arial" w:cs="Arial" w:eastAsia="Arial" w:hAnsi="Arial"/>
          <w:sz w:val="16"/>
          <w:szCs w:val="16"/>
          <w:color w:val="auto"/>
        </w:rPr>
        <w:t xml:space="preserve"> (a) The Company covenants that all shares of Common Stock issued upon conversion of Notes will be fully paid and non-assessable by the Company and free from all taxes, liens and charges (other than those created by the Holder) with respect to the issue thereof.</w:t>
      </w:r>
    </w:p>
    <w:p>
      <w:pPr>
        <w:spacing w:after="0" w:line="124" w:lineRule="exact"/>
        <w:rPr>
          <w:sz w:val="20"/>
          <w:szCs w:val="20"/>
          <w:color w:val="auto"/>
        </w:rPr>
      </w:pPr>
    </w:p>
    <w:p>
      <w:pPr>
        <w:ind w:firstLine="464"/>
        <w:spacing w:after="0" w:line="312" w:lineRule="auto"/>
        <w:tabs>
          <w:tab w:leader="none" w:pos="843"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covenants that, if any shares of Common Stock to be provided for the purpose of conversion of Notes hereunder require registration with or approval of any governmental authority under any federal or state law before such shares may be validly issued upon conversion, the Company will, to the extent then permitted by the rules and interpretations of the Commission, secure such registration or approval, as the case may be.</w:t>
      </w:r>
    </w:p>
    <w:p>
      <w:pPr>
        <w:spacing w:after="0" w:line="146" w:lineRule="exact"/>
        <w:rPr>
          <w:rFonts w:ascii="Arial" w:cs="Arial" w:eastAsia="Arial" w:hAnsi="Arial"/>
          <w:sz w:val="16"/>
          <w:szCs w:val="16"/>
          <w:color w:val="auto"/>
        </w:rPr>
      </w:pPr>
    </w:p>
    <w:p>
      <w:pPr>
        <w:ind w:right="60" w:firstLine="464"/>
        <w:spacing w:after="0" w:line="264" w:lineRule="auto"/>
        <w:tabs>
          <w:tab w:leader="none" w:pos="833"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further covenants that if at any time the Common Stock shall be listed on any national securities exchange or automated quotation system the Company will list and keep listed, so long as the Common Stock shall be so listed on such exchange or automated quotation system, any Common Stock issuable upon conversion of the Notes.</w:t>
      </w:r>
    </w:p>
    <w:p>
      <w:pPr>
        <w:spacing w:after="0" w:line="18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 xml:space="preserve">Section 13.09. </w:t>
      </w:r>
      <w:r>
        <w:rPr>
          <w:rFonts w:ascii="Arial" w:cs="Arial" w:eastAsia="Arial" w:hAnsi="Arial"/>
          <w:sz w:val="17"/>
          <w:szCs w:val="17"/>
          <w:i w:val="1"/>
          <w:iCs w:val="1"/>
          <w:color w:val="auto"/>
        </w:rPr>
        <w:t>Responsibility of Trustee</w:t>
      </w:r>
      <w:r>
        <w:rPr>
          <w:rFonts w:ascii="Arial" w:cs="Arial" w:eastAsia="Arial" w:hAnsi="Arial"/>
          <w:sz w:val="17"/>
          <w:szCs w:val="17"/>
          <w:color w:val="auto"/>
        </w:rPr>
        <w:t>. The Trustee and any other Conversion Agent shall not at any time be under any duty or responsibility to any Holder to determine the Conversion Rate (or any adjustment thereto) or whether any facts exist that may require any adjustment (including any increase) of the Conversion Rate, or with respect to the nature or extent or calculation of any such adjustment when made, or with respect to the method employed, or herein or in any supplemental indenture provided to be employed, in making the same. The Trustee and any other Conversion Agent shall not be accountable with respect to the validity or value (or the kind or amount) of any shares of Common Stock, or of any securities, property or cash that may at any time be issued or delivered upon the conversion of any Note; and the Trustee and any other Conversion Agent make no representations with respect thereto. Neither the Trustee nor any Conversion Agent shall be responsible for any failure of the Company to issue, transfer or deliver any shares of Common Stock or stock certificates or other securities or property or cash upon the surrender of any Note for the purpose of conversion or to comply with any of the duties, responsibilities or covenants of the Company contained in this Article. Without limiting the generality of the foregoing, neither the Trustee nor any Conversion Agent shall be under any responsibility to determine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86" w:name="page87"/>
    <w:bookmarkEnd w:id="8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correctness of any provisions contained in any supplemental indenture entered into pursuant to Section 13.07 relating either to the kind or amount of shares of stock or securities or property (including cash) receivable by Holders upon the conversion of their Notes after any event referred to in such Section 13.07 or to any adjustment to be made with respect thereto, but, subject to the provisions of Section 7.01, may accept (without any independent investigation) as conclusive evidence of the correctness of any such provisions, and shall be protected in relying upon, the Officers’ Certificate (which the Company shall be obligated to file with the Trustee prior to the execution of any such supplemental indenture) with respect thereto. Neither the Trustee nor the Conversion Agent shall be responsible for determining whether any event contemplated by Section 13.01(b) has occurred that makes the Notes eligible for conversion or no longer eligible therefor until the Company has delivered to the Trustee and the Conversion Agent the notices referred to in Section 13.01(b) with respect to the commencement or termination of such conversion rights, on which notices the Trustee and the Conversion Agent may conclusively rely, and the Company agrees to deliver such notices to the Trustee and the Conversion Agent immediately after the occurrence of any such event or at such other times as shall be provided for in Section 13.01(b).</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13.10. </w:t>
      </w:r>
      <w:r>
        <w:rPr>
          <w:rFonts w:ascii="Arial" w:cs="Arial" w:eastAsia="Arial" w:hAnsi="Arial"/>
          <w:sz w:val="18"/>
          <w:szCs w:val="18"/>
          <w:i w:val="1"/>
          <w:iCs w:val="1"/>
          <w:color w:val="auto"/>
        </w:rPr>
        <w:t>Notice to Holders Prior to Certain Actions</w:t>
      </w:r>
      <w:r>
        <w:rPr>
          <w:rFonts w:ascii="Arial" w:cs="Arial" w:eastAsia="Arial" w:hAnsi="Arial"/>
          <w:sz w:val="18"/>
          <w:szCs w:val="18"/>
          <w:color w:val="auto"/>
        </w:rPr>
        <w:t>. In case of any:</w:t>
      </w:r>
    </w:p>
    <w:p>
      <w:pPr>
        <w:spacing w:after="0" w:line="225" w:lineRule="exact"/>
        <w:rPr>
          <w:sz w:val="20"/>
          <w:szCs w:val="20"/>
          <w:color w:val="auto"/>
        </w:rPr>
      </w:pPr>
    </w:p>
    <w:p>
      <w:pPr>
        <w:ind w:right="880" w:firstLine="464"/>
        <w:spacing w:after="0" w:line="277" w:lineRule="auto"/>
        <w:tabs>
          <w:tab w:leader="none" w:pos="836"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action by the Company or one of its Subsidiaries that would require an adjustment in the Conversion Rate pursuant to Section 13.04 or Section 13.11;</w:t>
      </w:r>
    </w:p>
    <w:p>
      <w:pPr>
        <w:spacing w:after="0" w:line="170" w:lineRule="exact"/>
        <w:rPr>
          <w:rFonts w:ascii="Arial" w:cs="Arial" w:eastAsia="Arial" w:hAnsi="Arial"/>
          <w:sz w:val="18"/>
          <w:szCs w:val="18"/>
          <w:color w:val="auto"/>
        </w:rPr>
      </w:pPr>
    </w:p>
    <w:p>
      <w:pPr>
        <w:ind w:left="860" w:hanging="396"/>
        <w:spacing w:after="0"/>
        <w:tabs>
          <w:tab w:leader="none" w:pos="8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Merger Event; or</w:t>
      </w:r>
    </w:p>
    <w:p>
      <w:pPr>
        <w:spacing w:after="0" w:line="225" w:lineRule="exact"/>
        <w:rPr>
          <w:rFonts w:ascii="Arial" w:cs="Arial" w:eastAsia="Arial" w:hAnsi="Arial"/>
          <w:sz w:val="18"/>
          <w:szCs w:val="18"/>
          <w:color w:val="auto"/>
        </w:rPr>
      </w:pPr>
    </w:p>
    <w:p>
      <w:pPr>
        <w:ind w:left="840" w:hanging="376"/>
        <w:spacing w:after="0"/>
        <w:tabs>
          <w:tab w:leader="none" w:pos="8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voluntary or involuntary dissolution, liquidation or winding-up of the Company or any of its Significant Subsidiaries;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then, in each case (unless notice of such event is otherwise required pursuant to another provision of this Indenture), the Company shall cause to be filed with the Trustee and the Conversion Agent (if other than the Trustee) and to be mailed to each Holder at its address appearing on the Note Register, as promptly as possible but in any event at least 20 days prior to the applicable date hereinafter specified, a notice stating (i) the date on which a record is to be taken for the purpose of such action by the Company or one of its Subsidiaries or, if a record is not to be taken, the date as of which the holders of Common Stock of record are to be determined for the purposes of such action by the Company or one of its Subsidiaries, or (ii) the date on which such Merger Event, dissolution, liquidation or winding-up is expected to become effective or occur, and the date as of which it is expected that holders of Common Stock of record shall be entitled to exchange their Common Stock for securities or other property deliverable upon such Merger Event, dissolution, liquidation or winding-up, if any. Failure to give such notice, or any defect therein, shall not affect the legality or validity of such action by the Company or one of its Subsidiaries, Merger Event, dissolution, liquidation or winding-up.</w:t>
      </w:r>
    </w:p>
    <w:p>
      <w:pPr>
        <w:spacing w:after="0" w:line="182"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i w:val="1"/>
          <w:iCs w:val="1"/>
          <w:color w:val="auto"/>
        </w:rPr>
        <w:t>Stockholder Rights Plans</w:t>
      </w:r>
      <w:r>
        <w:rPr>
          <w:rFonts w:ascii="Arial" w:cs="Arial" w:eastAsia="Arial" w:hAnsi="Arial"/>
          <w:sz w:val="18"/>
          <w:szCs w:val="18"/>
          <w:color w:val="auto"/>
        </w:rPr>
        <w:t>. To the extent that the Company has a rights plan in effect upon conversion of the Notes, each share of Common Stock, if any, issued upon such conversion shall be entitled to receive the appropriate number of rights, if any, and the certificates representing the Common Stock issued upon such conversion shall bear such legends, if any, in each case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87" w:name="page88"/>
    <w:bookmarkEnd w:id="87"/>
    <w:p>
      <w:pPr>
        <w:ind w:right="1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may be provided by the terms of any such stockholder rights plan, as the same may be amended from time to time. If at the time of conversion, however, the rights have separated from the shares of Common Stock in accordance with the provisions of the applicable stockholder rights plan so that the Holders would not be entitled to receive any rights in respect of Common Stock, if any, issuable upon conversion of the Notes, the Conversion Rate shall be adjusted at the time of separation as if the Company distributed to all or substantially all holders of Common Stock Distributed Property as provided in Section 13.04(c), subject to readjustment in the event of the expiration, termination or redemption of such rights.</w:t>
      </w:r>
    </w:p>
    <w:p>
      <w:pPr>
        <w:spacing w:after="0" w:line="173"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 xml:space="preserve">Section 13.12. </w:t>
      </w:r>
      <w:r>
        <w:rPr>
          <w:rFonts w:ascii="Arial" w:cs="Arial" w:eastAsia="Arial" w:hAnsi="Arial"/>
          <w:sz w:val="17"/>
          <w:szCs w:val="17"/>
          <w:i w:val="1"/>
          <w:iCs w:val="1"/>
          <w:color w:val="auto"/>
        </w:rPr>
        <w:t>Limit on Issuance of Shares of Common Stock Upon Conversion</w:t>
      </w:r>
      <w:r>
        <w:rPr>
          <w:rFonts w:ascii="Arial" w:cs="Arial" w:eastAsia="Arial" w:hAnsi="Arial"/>
          <w:sz w:val="17"/>
          <w:szCs w:val="17"/>
          <w:color w:val="auto"/>
        </w:rPr>
        <w:t>. Notwithstanding anything to the contrary in this Indenture, if an event occurs (including pursuant to Section 13.03 and subsections Section 13.04(b), Section 13.04(c), Section 13.04(d), Section 13.04(e) and Section 13.04(i) of Section 13.04) that would result in an increase in the Conversion Rate by an amount in excess of limitations imposed by any shareholder approval rules or listing standards of any national or regional securities exchange (including the New York Stock Exchange) that are applicable to the Company, the Company will, at its option, either obtain stockholder approval of any issuance of Common Stock upon conversion of the Notes in excess of such limitations or deliver cash in lieu of any shares of Common Stock otherwise deliverable upon conversions in excess of such limitations based on the Daily VWAP on each Trading Day of the relevant Observation Period in respect of which, in lieu of delivering shares of Common Stock, the Company delivers cash pursuant to this Section 13.12. Notwithstanding anything to the contrary herein, to the extent required by the New York Stock Exchange, the Company will obtain stockholder approval prior to (i) taking any action described in Section 13.04(i) that would result in delivery of Common Stock upon conversion of the Notes in excess of limitations imposed by the New York Stock Exchange that are applicable to the Company, (ii) engaging in a Make-Whole Fundamental Change that would result in delivery of Common Stock upon conversion of the Notes in excess of limitations imposed by the New York Stock Exchange that are applicable to the Company or (iii) electing Combination Settlement.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i w:val="1"/>
          <w:iCs w:val="1"/>
          <w:color w:val="auto"/>
        </w:rPr>
        <w:t>U .S. Federal Income Tax Reporting Obligations in Connection with Conversion Rate Adjustments.</w:t>
      </w:r>
    </w:p>
    <w:p>
      <w:pPr>
        <w:spacing w:after="0" w:line="225" w:lineRule="exact"/>
        <w:rPr>
          <w:sz w:val="20"/>
          <w:szCs w:val="20"/>
          <w:color w:val="auto"/>
        </w:rPr>
      </w:pPr>
    </w:p>
    <w:p>
      <w:pPr>
        <w:jc w:val="center"/>
        <w:ind w:left="260"/>
        <w:spacing w:after="0" w:line="254" w:lineRule="auto"/>
        <w:rPr>
          <w:sz w:val="20"/>
          <w:szCs w:val="20"/>
          <w:color w:val="auto"/>
        </w:rPr>
      </w:pPr>
      <w:r>
        <w:rPr>
          <w:rFonts w:ascii="Arial" w:cs="Arial" w:eastAsia="Arial" w:hAnsi="Arial"/>
          <w:sz w:val="18"/>
          <w:szCs w:val="18"/>
          <w:color w:val="auto"/>
        </w:rPr>
        <w:t>ARTICLE 14 I</w:t>
      </w:r>
      <w:r>
        <w:rPr>
          <w:rFonts w:ascii="Arial" w:cs="Arial" w:eastAsia="Arial" w:hAnsi="Arial"/>
          <w:sz w:val="15"/>
          <w:szCs w:val="15"/>
          <w:color w:val="auto"/>
        </w:rPr>
        <w:t>N THE EVENT OF ANY DEEMED DISTRIBUTION</w:t>
      </w:r>
      <w:r>
        <w:rPr>
          <w:rFonts w:ascii="Arial" w:cs="Arial" w:eastAsia="Arial" w:hAnsi="Arial"/>
          <w:sz w:val="18"/>
          <w:szCs w:val="18"/>
          <w:color w:val="auto"/>
        </w:rPr>
        <w:t xml:space="preserve"> (</w:t>
      </w:r>
      <w:r>
        <w:rPr>
          <w:rFonts w:ascii="Arial" w:cs="Arial" w:eastAsia="Arial" w:hAnsi="Arial"/>
          <w:sz w:val="15"/>
          <w:szCs w:val="15"/>
          <w:color w:val="auto"/>
        </w:rPr>
        <w:t>FOR</w:t>
      </w:r>
      <w:r>
        <w:rPr>
          <w:rFonts w:ascii="Arial" w:cs="Arial" w:eastAsia="Arial" w:hAnsi="Arial"/>
          <w:sz w:val="18"/>
          <w:szCs w:val="18"/>
          <w:color w:val="auto"/>
        </w:rPr>
        <w:t xml:space="preserve"> U.S. </w:t>
      </w:r>
      <w:r>
        <w:rPr>
          <w:rFonts w:ascii="Arial" w:cs="Arial" w:eastAsia="Arial" w:hAnsi="Arial"/>
          <w:sz w:val="15"/>
          <w:szCs w:val="15"/>
          <w:color w:val="auto"/>
        </w:rPr>
        <w:t>FEDERAL INCOME TAX PURPOSES</w:t>
      </w:r>
      <w:r>
        <w:rPr>
          <w:rFonts w:ascii="Arial" w:cs="Arial" w:eastAsia="Arial" w:hAnsi="Arial"/>
          <w:sz w:val="18"/>
          <w:szCs w:val="18"/>
          <w:color w:val="auto"/>
        </w:rPr>
        <w:t xml:space="preserve">) </w:t>
      </w:r>
      <w:r>
        <w:rPr>
          <w:rFonts w:ascii="Arial" w:cs="Arial" w:eastAsia="Arial" w:hAnsi="Arial"/>
          <w:sz w:val="15"/>
          <w:szCs w:val="15"/>
          <w:color w:val="auto"/>
        </w:rPr>
        <w:t>RESULTING FROM AN ADJUSTMENT TO THE</w:t>
      </w:r>
      <w:r>
        <w:rPr>
          <w:rFonts w:ascii="Arial" w:cs="Arial" w:eastAsia="Arial" w:hAnsi="Arial"/>
          <w:sz w:val="18"/>
          <w:szCs w:val="18"/>
          <w:color w:val="auto"/>
        </w:rPr>
        <w:t xml:space="preserve"> C</w:t>
      </w:r>
      <w:r>
        <w:rPr>
          <w:rFonts w:ascii="Arial" w:cs="Arial" w:eastAsia="Arial" w:hAnsi="Arial"/>
          <w:sz w:val="15"/>
          <w:szCs w:val="15"/>
          <w:color w:val="auto"/>
        </w:rPr>
        <w:t>ONVERSION</w:t>
      </w:r>
      <w:r>
        <w:rPr>
          <w:rFonts w:ascii="Arial" w:cs="Arial" w:eastAsia="Arial" w:hAnsi="Arial"/>
          <w:sz w:val="18"/>
          <w:szCs w:val="18"/>
          <w:color w:val="auto"/>
        </w:rPr>
        <w:t xml:space="preserve"> R</w:t>
      </w:r>
      <w:r>
        <w:rPr>
          <w:rFonts w:ascii="Arial" w:cs="Arial" w:eastAsia="Arial" w:hAnsi="Arial"/>
          <w:sz w:val="15"/>
          <w:szCs w:val="15"/>
          <w:color w:val="auto"/>
        </w:rPr>
        <w:t>ATE</w:t>
      </w:r>
      <w:r>
        <w:rPr>
          <w:rFonts w:ascii="Arial" w:cs="Arial" w:eastAsia="Arial" w:hAnsi="Arial"/>
          <w:sz w:val="18"/>
          <w:szCs w:val="18"/>
          <w:color w:val="auto"/>
        </w:rPr>
        <w:t xml:space="preserve">, </w:t>
      </w:r>
      <w:r>
        <w:rPr>
          <w:rFonts w:ascii="Arial" w:cs="Arial" w:eastAsia="Arial" w:hAnsi="Arial"/>
          <w:sz w:val="15"/>
          <w:szCs w:val="15"/>
          <w:color w:val="auto"/>
        </w:rPr>
        <w:t>THE</w:t>
      </w:r>
      <w:r>
        <w:rPr>
          <w:rFonts w:ascii="Arial" w:cs="Arial" w:eastAsia="Arial" w:hAnsi="Arial"/>
          <w:sz w:val="18"/>
          <w:szCs w:val="18"/>
          <w:color w:val="auto"/>
        </w:rPr>
        <w:t xml:space="preserve"> C</w:t>
      </w:r>
      <w:r>
        <w:rPr>
          <w:rFonts w:ascii="Arial" w:cs="Arial" w:eastAsia="Arial" w:hAnsi="Arial"/>
          <w:sz w:val="15"/>
          <w:szCs w:val="15"/>
          <w:color w:val="auto"/>
        </w:rPr>
        <w:t>OMPANY WILL COMPLY WITH ITS OBLIGATIONS TO REPORT SUCH DEEMED DISTRIBUTION</w:t>
      </w:r>
      <w:r>
        <w:rPr>
          <w:rFonts w:ascii="Arial" w:cs="Arial" w:eastAsia="Arial" w:hAnsi="Arial"/>
          <w:sz w:val="18"/>
          <w:szCs w:val="18"/>
          <w:color w:val="auto"/>
        </w:rPr>
        <w:t xml:space="preserve">, </w:t>
      </w:r>
      <w:r>
        <w:rPr>
          <w:rFonts w:ascii="Arial" w:cs="Arial" w:eastAsia="Arial" w:hAnsi="Arial"/>
          <w:sz w:val="15"/>
          <w:szCs w:val="15"/>
          <w:color w:val="auto"/>
        </w:rPr>
        <w:t>FOR</w:t>
      </w:r>
      <w:r>
        <w:rPr>
          <w:rFonts w:ascii="Arial" w:cs="Arial" w:eastAsia="Arial" w:hAnsi="Arial"/>
          <w:sz w:val="18"/>
          <w:szCs w:val="18"/>
          <w:color w:val="auto"/>
        </w:rPr>
        <w:t xml:space="preserve"> U.S. </w:t>
      </w:r>
      <w:r>
        <w:rPr>
          <w:rFonts w:ascii="Arial" w:cs="Arial" w:eastAsia="Arial" w:hAnsi="Arial"/>
          <w:sz w:val="15"/>
          <w:szCs w:val="15"/>
          <w:color w:val="auto"/>
        </w:rPr>
        <w:t>FEDERAL INCOME TAX</w:t>
      </w:r>
      <w:r>
        <w:rPr>
          <w:rFonts w:ascii="Arial" w:cs="Arial" w:eastAsia="Arial" w:hAnsi="Arial"/>
          <w:sz w:val="18"/>
          <w:szCs w:val="18"/>
          <w:color w:val="auto"/>
        </w:rPr>
        <w:t xml:space="preserve"> </w:t>
      </w:r>
      <w:r>
        <w:rPr>
          <w:rFonts w:ascii="Arial" w:cs="Arial" w:eastAsia="Arial" w:hAnsi="Arial"/>
          <w:sz w:val="15"/>
          <w:szCs w:val="15"/>
          <w:color w:val="auto"/>
        </w:rPr>
        <w:t>PURPOSES</w:t>
      </w:r>
      <w:r>
        <w:rPr>
          <w:rFonts w:ascii="Arial" w:cs="Arial" w:eastAsia="Arial" w:hAnsi="Arial"/>
          <w:sz w:val="18"/>
          <w:szCs w:val="18"/>
          <w:color w:val="auto"/>
        </w:rPr>
        <w:t>. I</w:t>
      </w:r>
      <w:r>
        <w:rPr>
          <w:rFonts w:ascii="Arial" w:cs="Arial" w:eastAsia="Arial" w:hAnsi="Arial"/>
          <w:sz w:val="15"/>
          <w:szCs w:val="15"/>
          <w:color w:val="auto"/>
        </w:rPr>
        <w:t>N ACCORDANCE WITH THE FOREGOING</w:t>
      </w:r>
      <w:r>
        <w:rPr>
          <w:rFonts w:ascii="Arial" w:cs="Arial" w:eastAsia="Arial" w:hAnsi="Arial"/>
          <w:sz w:val="18"/>
          <w:szCs w:val="18"/>
          <w:color w:val="auto"/>
        </w:rPr>
        <w:t>,</w:t>
      </w:r>
      <w:r>
        <w:rPr>
          <w:rFonts w:ascii="Arial" w:cs="Arial" w:eastAsia="Arial" w:hAnsi="Arial"/>
          <w:sz w:val="15"/>
          <w:szCs w:val="15"/>
          <w:color w:val="auto"/>
        </w:rPr>
        <w:t xml:space="preserve"> THE </w:t>
      </w:r>
      <w:r>
        <w:rPr>
          <w:rFonts w:ascii="Arial" w:cs="Arial" w:eastAsia="Arial" w:hAnsi="Arial"/>
          <w:sz w:val="18"/>
          <w:szCs w:val="18"/>
          <w:color w:val="auto"/>
        </w:rPr>
        <w:t>C</w:t>
      </w:r>
      <w:r>
        <w:rPr>
          <w:rFonts w:ascii="Arial" w:cs="Arial" w:eastAsia="Arial" w:hAnsi="Arial"/>
          <w:sz w:val="15"/>
          <w:szCs w:val="15"/>
          <w:color w:val="auto"/>
        </w:rPr>
        <w:t xml:space="preserve">OMPANY MAY SATISFY ITS REPORTING OBLIGATIONS BY POSTING A COPY OF </w:t>
      </w:r>
      <w:r>
        <w:rPr>
          <w:rFonts w:ascii="Arial" w:cs="Arial" w:eastAsia="Arial" w:hAnsi="Arial"/>
          <w:sz w:val="18"/>
          <w:szCs w:val="18"/>
          <w:color w:val="auto"/>
        </w:rPr>
        <w:t>IRS F</w:t>
      </w:r>
      <w:r>
        <w:rPr>
          <w:rFonts w:ascii="Arial" w:cs="Arial" w:eastAsia="Arial" w:hAnsi="Arial"/>
          <w:sz w:val="15"/>
          <w:szCs w:val="15"/>
          <w:color w:val="auto"/>
        </w:rPr>
        <w:t xml:space="preserve">ORM </w:t>
      </w:r>
      <w:r>
        <w:rPr>
          <w:rFonts w:ascii="Arial" w:cs="Arial" w:eastAsia="Arial" w:hAnsi="Arial"/>
          <w:sz w:val="18"/>
          <w:szCs w:val="18"/>
          <w:color w:val="auto"/>
        </w:rPr>
        <w:t>8937</w:t>
      </w:r>
      <w:r>
        <w:rPr>
          <w:rFonts w:ascii="Arial" w:cs="Arial" w:eastAsia="Arial" w:hAnsi="Arial"/>
          <w:sz w:val="15"/>
          <w:szCs w:val="15"/>
          <w:color w:val="auto"/>
        </w:rPr>
        <w:t xml:space="preserve"> ON ITS WEBSITE IN A TIMELY MANNER</w:t>
      </w:r>
      <w:r>
        <w:rPr>
          <w:rFonts w:ascii="Arial" w:cs="Arial" w:eastAsia="Arial" w:hAnsi="Arial"/>
          <w:sz w:val="18"/>
          <w:szCs w:val="18"/>
          <w:color w:val="auto"/>
        </w:rPr>
        <w:t>.</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w:t>
      </w:r>
      <w:r>
        <w:rPr>
          <w:rFonts w:ascii="Arial" w:cs="Arial" w:eastAsia="Arial" w:hAnsi="Arial"/>
          <w:sz w:val="15"/>
          <w:szCs w:val="15"/>
          <w:color w:val="auto"/>
        </w:rPr>
        <w:t>EPURCHASE OF</w:t>
      </w:r>
      <w:r>
        <w:rPr>
          <w:rFonts w:ascii="Arial" w:cs="Arial" w:eastAsia="Arial" w:hAnsi="Arial"/>
          <w:sz w:val="18"/>
          <w:szCs w:val="18"/>
          <w:color w:val="auto"/>
        </w:rPr>
        <w:t xml:space="preserve"> N</w:t>
      </w:r>
      <w:r>
        <w:rPr>
          <w:rFonts w:ascii="Arial" w:cs="Arial" w:eastAsia="Arial" w:hAnsi="Arial"/>
          <w:sz w:val="15"/>
          <w:szCs w:val="15"/>
          <w:color w:val="auto"/>
        </w:rPr>
        <w:t>OTES AT</w:t>
      </w:r>
      <w:r>
        <w:rPr>
          <w:rFonts w:ascii="Arial" w:cs="Arial" w:eastAsia="Arial" w:hAnsi="Arial"/>
          <w:sz w:val="18"/>
          <w:szCs w:val="18"/>
          <w:color w:val="auto"/>
        </w:rPr>
        <w:t xml:space="preserve"> O</w:t>
      </w:r>
      <w:r>
        <w:rPr>
          <w:rFonts w:ascii="Arial" w:cs="Arial" w:eastAsia="Arial" w:hAnsi="Arial"/>
          <w:sz w:val="15"/>
          <w:szCs w:val="15"/>
          <w:color w:val="auto"/>
        </w:rPr>
        <w:t>PTION OF</w:t>
      </w:r>
      <w:r>
        <w:rPr>
          <w:rFonts w:ascii="Arial" w:cs="Arial" w:eastAsia="Arial" w:hAnsi="Arial"/>
          <w:sz w:val="18"/>
          <w:szCs w:val="18"/>
          <w:color w:val="auto"/>
        </w:rPr>
        <w:t xml:space="preserve"> H</w:t>
      </w:r>
      <w:r>
        <w:rPr>
          <w:rFonts w:ascii="Arial" w:cs="Arial" w:eastAsia="Arial" w:hAnsi="Arial"/>
          <w:sz w:val="15"/>
          <w:szCs w:val="15"/>
          <w:color w:val="auto"/>
        </w:rPr>
        <w:t>OLDERS</w:t>
      </w:r>
    </w:p>
    <w:p>
      <w:pPr>
        <w:spacing w:after="0" w:line="21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 xml:space="preserve">Section 14.01. </w:t>
      </w:r>
      <w:r>
        <w:rPr>
          <w:rFonts w:ascii="Arial" w:cs="Arial" w:eastAsia="Arial" w:hAnsi="Arial"/>
          <w:sz w:val="18"/>
          <w:szCs w:val="18"/>
          <w:i w:val="1"/>
          <w:iCs w:val="1"/>
          <w:color w:val="auto"/>
        </w:rPr>
        <w:t>Repurchase at Option of Holders Upon a Fundamental Change.</w:t>
      </w:r>
      <w:r>
        <w:rPr>
          <w:rFonts w:ascii="Arial" w:cs="Arial" w:eastAsia="Arial" w:hAnsi="Arial"/>
          <w:sz w:val="18"/>
          <w:szCs w:val="18"/>
          <w:color w:val="auto"/>
        </w:rPr>
        <w:t xml:space="preserve"> (a) If a Fundamental Change occurs at any time, each Holder shall have the right, at such Holder’s option, to require the Company to repurchase for cash all of such Holder’s Notes, or any portion thereof that is equal to $1,000 or an integral multiple of $1,000, on the date (the “</w:t>
      </w:r>
      <w:r>
        <w:rPr>
          <w:rFonts w:ascii="Arial" w:cs="Arial" w:eastAsia="Arial" w:hAnsi="Arial"/>
          <w:sz w:val="18"/>
          <w:szCs w:val="18"/>
          <w:b w:val="1"/>
          <w:bCs w:val="1"/>
          <w:color w:val="auto"/>
        </w:rPr>
        <w:t>Fundamental Change Repurchase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88" w:name="page89"/>
    <w:bookmarkEnd w:id="88"/>
    <w:p>
      <w:pPr>
        <w:ind w:right="40"/>
        <w:spacing w:after="0" w:line="25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w:t>
      </w:r>
      <w:r>
        <w:rPr>
          <w:rFonts w:ascii="Arial" w:cs="Arial" w:eastAsia="Arial" w:hAnsi="Arial"/>
          <w:sz w:val="18"/>
          <w:szCs w:val="18"/>
          <w:color w:val="auto"/>
        </w:rPr>
        <w:t>”) specified by the Company that is not less than 20 Business Days or more than 35 Business Days following the date of the Fundamental Change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Notice (with such Fundamental Change Repurchase Date being subject to postponement by a number of days by which the Company’s Fundamental Change Repurchase Notice is delivered to Holders beyond the deadline set forth in Section 14.01(c)), at a repurchase price equal to 100% of the principal amount thereof, plus accrued and unpaid interest thereon to, but excluding, the Fundamental Change Repurchase Date (the “</w:t>
      </w:r>
      <w:r>
        <w:rPr>
          <w:rFonts w:ascii="Arial" w:cs="Arial" w:eastAsia="Arial" w:hAnsi="Arial"/>
          <w:sz w:val="18"/>
          <w:szCs w:val="18"/>
          <w:b w:val="1"/>
          <w:bCs w:val="1"/>
          <w:color w:val="auto"/>
        </w:rPr>
        <w:t>Fundamental Change</w:t>
      </w:r>
      <w:r>
        <w:rPr>
          <w:rFonts w:ascii="Arial" w:cs="Arial" w:eastAsia="Arial" w:hAnsi="Arial"/>
          <w:sz w:val="18"/>
          <w:szCs w:val="18"/>
          <w:color w:val="auto"/>
        </w:rPr>
        <w:t xml:space="preserve"> </w:t>
      </w:r>
      <w:r>
        <w:rPr>
          <w:rFonts w:ascii="Arial" w:cs="Arial" w:eastAsia="Arial" w:hAnsi="Arial"/>
          <w:sz w:val="18"/>
          <w:szCs w:val="18"/>
          <w:b w:val="1"/>
          <w:bCs w:val="1"/>
          <w:color w:val="auto"/>
        </w:rPr>
        <w:t>Repurchase Price</w:t>
      </w:r>
      <w:r>
        <w:rPr>
          <w:rFonts w:ascii="Arial" w:cs="Arial" w:eastAsia="Arial" w:hAnsi="Arial"/>
          <w:sz w:val="18"/>
          <w:szCs w:val="18"/>
          <w:color w:val="auto"/>
        </w:rPr>
        <w:t>”), unless the Fundamental Change Repurchase Date falls after a Regular Record Date but on or prior to the Interest Payment Date 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Regular Record Date relates, in which case the Company shall instead pay the full amount of accrued and unpaid interest to Holders of record as of such Regular Record Date, and the Fundamental Change Repurchase Price shall be equal to 100% of the principal amount of Notes to be repurchased pursuant to this Article 14.</w:t>
      </w:r>
    </w:p>
    <w:p>
      <w:pPr>
        <w:spacing w:after="0" w:line="189" w:lineRule="exact"/>
        <w:rPr>
          <w:sz w:val="20"/>
          <w:szCs w:val="20"/>
          <w:color w:val="auto"/>
        </w:rPr>
      </w:pPr>
    </w:p>
    <w:p>
      <w:pPr>
        <w:ind w:left="860" w:hanging="396"/>
        <w:spacing w:after="0"/>
        <w:tabs>
          <w:tab w:leader="none" w:pos="8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Repurchases of Notes under this Section 14.01 shall be made, at the option of the Holder thereof, upon:</w:t>
      </w:r>
    </w:p>
    <w:p>
      <w:pPr>
        <w:spacing w:after="0" w:line="113" w:lineRule="exact"/>
        <w:rPr>
          <w:rFonts w:ascii="Arial" w:cs="Arial" w:eastAsia="Arial" w:hAnsi="Arial"/>
          <w:sz w:val="18"/>
          <w:szCs w:val="18"/>
          <w:color w:val="auto"/>
        </w:rPr>
      </w:pPr>
    </w:p>
    <w:p>
      <w:pPr>
        <w:ind w:left="460" w:firstLine="443"/>
        <w:spacing w:after="0" w:line="261" w:lineRule="auto"/>
        <w:tabs>
          <w:tab w:leader="none" w:pos="124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delivery to the Paying Agent by a Holder of a duly completed notice (the “</w:t>
      </w:r>
      <w:r>
        <w:rPr>
          <w:rFonts w:ascii="Arial" w:cs="Arial" w:eastAsia="Arial" w:hAnsi="Arial"/>
          <w:sz w:val="18"/>
          <w:szCs w:val="18"/>
          <w:b w:val="1"/>
          <w:bCs w:val="1"/>
          <w:color w:val="auto"/>
        </w:rPr>
        <w:t>Fundamental Change Repurchase Notice</w:t>
      </w:r>
      <w:r>
        <w:rPr>
          <w:rFonts w:ascii="Arial" w:cs="Arial" w:eastAsia="Arial" w:hAnsi="Arial"/>
          <w:sz w:val="18"/>
          <w:szCs w:val="18"/>
          <w:color w:val="auto"/>
        </w:rPr>
        <w:t>”) in the form set forth in Attachment 2 to the Form of Note attached hereto as Exhibit A, if the Notes are Physical Notes, or in compliance with the Depositary’s procedures for surrendering interests in Global Notes, if the Notes are Global Notes, in each case on or before the close of business on the Business Day immediately preceding the Fundamental Change Repurchase Date; and</w:t>
      </w:r>
    </w:p>
    <w:p>
      <w:pPr>
        <w:spacing w:after="0" w:line="75" w:lineRule="exact"/>
        <w:rPr>
          <w:rFonts w:ascii="Arial" w:cs="Arial" w:eastAsia="Arial" w:hAnsi="Arial"/>
          <w:sz w:val="18"/>
          <w:szCs w:val="18"/>
          <w:color w:val="auto"/>
        </w:rPr>
      </w:pPr>
    </w:p>
    <w:p>
      <w:pPr>
        <w:ind w:left="460" w:firstLine="443"/>
        <w:spacing w:after="0" w:line="259" w:lineRule="auto"/>
        <w:tabs>
          <w:tab w:leader="none" w:pos="1298" w:val="left"/>
        </w:tabs>
        <w:numPr>
          <w:ilvl w:val="1"/>
          <w:numId w:val="85"/>
        </w:numPr>
        <w:rPr>
          <w:rFonts w:ascii="Arial" w:cs="Arial" w:eastAsia="Arial" w:hAnsi="Arial"/>
          <w:sz w:val="18"/>
          <w:szCs w:val="18"/>
          <w:color w:val="auto"/>
        </w:rPr>
      </w:pPr>
      <w:r>
        <w:rPr>
          <w:rFonts w:ascii="Arial" w:cs="Arial" w:eastAsia="Arial" w:hAnsi="Arial"/>
          <w:sz w:val="18"/>
          <w:szCs w:val="18"/>
          <w:color w:val="auto"/>
        </w:rPr>
        <w:t>delivery of the Notes, if the Notes are Physical Notes, to the Paying Agent at any time after delivery of the Fundamental Change Repurchase Notice (together with all necessary endorsements for transfer) at the Corporate Trust Office of the Paying Agent, or book-entry transfer of the Notes, if the Notes are Global Notes, in compliance with the procedures of the Depositary, in each case such delivery being a condition to receipt by the Holder of the Fundamental Change Repurchase Price therefor.</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Fundamental Change Repurchase Notice in respect of any Notes to be repurchased shall state:</w:t>
      </w:r>
    </w:p>
    <w:p>
      <w:pPr>
        <w:spacing w:after="0" w:line="117" w:lineRule="exact"/>
        <w:rPr>
          <w:sz w:val="20"/>
          <w:szCs w:val="20"/>
          <w:color w:val="auto"/>
        </w:rPr>
      </w:pPr>
    </w:p>
    <w:p>
      <w:pPr>
        <w:ind w:left="1260" w:hanging="357"/>
        <w:spacing w:after="0"/>
        <w:tabs>
          <w:tab w:leader="none" w:pos="12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case of Physical Notes, the certificate numbers of the Notes to be delivered for repurchase;</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portion of the principal amount of Notes to be repurchased, which must be $1,000 or an integral multiple thereof; and</w:t>
      </w:r>
    </w:p>
    <w:p>
      <w:pPr>
        <w:spacing w:after="0" w:line="117" w:lineRule="exact"/>
        <w:rPr>
          <w:rFonts w:ascii="Arial" w:cs="Arial" w:eastAsia="Arial" w:hAnsi="Arial"/>
          <w:sz w:val="18"/>
          <w:szCs w:val="18"/>
          <w:color w:val="auto"/>
        </w:rPr>
      </w:pPr>
    </w:p>
    <w:p>
      <w:pPr>
        <w:ind w:left="1360" w:hanging="457"/>
        <w:spacing w:after="0"/>
        <w:tabs>
          <w:tab w:leader="none" w:pos="1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the Notes are to be repurchased by the Company pursuant to the applicable provisions of the Notes and this Indenture;</w:t>
      </w:r>
    </w:p>
    <w:p>
      <w:pPr>
        <w:spacing w:after="0" w:line="225" w:lineRule="exact"/>
        <w:rPr>
          <w:sz w:val="20"/>
          <w:szCs w:val="20"/>
          <w:color w:val="auto"/>
        </w:rPr>
      </w:pPr>
    </w:p>
    <w:p>
      <w:pPr>
        <w:jc w:val="center"/>
        <w:ind w:right="320"/>
        <w:spacing w:after="0" w:line="44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Notes are Global Notes, the Fundamental Change Repurchase Notice must comply with appropriate Depositary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79</w:t>
      </w:r>
    </w:p>
    <w:p>
      <w:pPr>
        <w:sectPr>
          <w:pgSz w:w="11900" w:h="16838" w:orient="portrait"/>
          <w:cols w:equalWidth="0" w:num="1">
            <w:col w:w="11400"/>
          </w:cols>
          <w:pgMar w:left="240" w:top="270" w:right="259" w:bottom="1440" w:gutter="0" w:footer="0" w:header="0"/>
        </w:sectPr>
      </w:pPr>
    </w:p>
    <w:bookmarkStart w:id="89" w:name="page90"/>
    <w:bookmarkEnd w:id="89"/>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herein to the contrary, any Holder delivering to the Paying Agent a Fundamental Change Repurchase Notice contemplated by this Section 14.01 shall have the right to withdraw, in whole or in part, such Fundamental Change Repurchase Notice at any time prior to the close of business on the Business Day immediately preceding the Fundamental Change Repurchase Date by delivery of a written notice of withdrawal to the Paying Agent in accordance with Section 14.02.</w:t>
      </w:r>
    </w:p>
    <w:p>
      <w:pPr>
        <w:spacing w:after="0" w:line="187"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The Paying Agent shall promptly notify the Company of the receipt by it of any Fundamental Change Repurchase Notice or written notice of withdrawal thereof.</w:t>
      </w:r>
    </w:p>
    <w:p>
      <w:pPr>
        <w:spacing w:after="0" w:line="170" w:lineRule="exact"/>
        <w:rPr>
          <w:sz w:val="20"/>
          <w:szCs w:val="20"/>
          <w:color w:val="auto"/>
        </w:rPr>
      </w:pPr>
    </w:p>
    <w:p>
      <w:pPr>
        <w:ind w:right="60" w:firstLine="464"/>
        <w:spacing w:after="0" w:line="272" w:lineRule="auto"/>
        <w:tabs>
          <w:tab w:leader="none" w:pos="836" w:val="left"/>
        </w:tabs>
        <w:numPr>
          <w:ilvl w:val="0"/>
          <w:numId w:val="87"/>
        </w:numPr>
        <w:rPr>
          <w:rFonts w:ascii="Arial" w:cs="Arial" w:eastAsia="Arial" w:hAnsi="Arial"/>
          <w:sz w:val="17"/>
          <w:szCs w:val="17"/>
          <w:color w:val="auto"/>
        </w:rPr>
      </w:pPr>
      <w:r>
        <w:rPr>
          <w:rFonts w:ascii="Arial" w:cs="Arial" w:eastAsia="Arial" w:hAnsi="Arial"/>
          <w:sz w:val="17"/>
          <w:szCs w:val="17"/>
          <w:color w:val="auto"/>
        </w:rPr>
        <w:t>On or before the 20th calendar day after the date that the Fundamental Change occurred, the Company shall provide to all Holders of Notes and the Trustee and the Paying Agent (in the case of a Paying Agent other than the Trustee) a written notice (the “</w:t>
      </w:r>
      <w:r>
        <w:rPr>
          <w:rFonts w:ascii="Arial" w:cs="Arial" w:eastAsia="Arial" w:hAnsi="Arial"/>
          <w:sz w:val="17"/>
          <w:szCs w:val="17"/>
          <w:b w:val="1"/>
          <w:bCs w:val="1"/>
          <w:color w:val="auto"/>
        </w:rPr>
        <w:t>Fundamental Change Company Notice</w:t>
      </w:r>
      <w:r>
        <w:rPr>
          <w:rFonts w:ascii="Arial" w:cs="Arial" w:eastAsia="Arial" w:hAnsi="Arial"/>
          <w:sz w:val="17"/>
          <w:szCs w:val="17"/>
          <w:color w:val="auto"/>
        </w:rPr>
        <w:t>”) of the occurrence of the effective date of the Fundamental Change and of the repurchase right at the option of the Holders arising as a result thereof. Such notice shall be by first class mail or, in the case of Global Notes, in accordance with the applicable procedures of the Depositary. Simultaneously with providing such notice, the Company shall publish a notice containing the information set forth in the Fundamental Change Company Notice in a newspaper of general circulation in The City of New York or publish such information on the Company’s website or through such other public medium as the Company may use at that time. Each Fundamental Change Company Notice shall specify:</w:t>
      </w:r>
    </w:p>
    <w:p>
      <w:pPr>
        <w:spacing w:after="0" w:line="69" w:lineRule="exact"/>
        <w:rPr>
          <w:rFonts w:ascii="Arial" w:cs="Arial" w:eastAsia="Arial" w:hAnsi="Arial"/>
          <w:sz w:val="17"/>
          <w:szCs w:val="17"/>
          <w:color w:val="auto"/>
        </w:rPr>
      </w:pPr>
    </w:p>
    <w:p>
      <w:pPr>
        <w:ind w:left="1260" w:hanging="357"/>
        <w:spacing w:after="0"/>
        <w:tabs>
          <w:tab w:leader="none" w:pos="12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events causing the Fundamental Change;</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date of the Fundamental Change;</w:t>
      </w:r>
    </w:p>
    <w:p>
      <w:pPr>
        <w:spacing w:after="0" w:line="117" w:lineRule="exact"/>
        <w:rPr>
          <w:rFonts w:ascii="Arial" w:cs="Arial" w:eastAsia="Arial" w:hAnsi="Arial"/>
          <w:sz w:val="18"/>
          <w:szCs w:val="18"/>
          <w:color w:val="auto"/>
        </w:rPr>
      </w:pPr>
    </w:p>
    <w:p>
      <w:pPr>
        <w:ind w:left="1360" w:hanging="457"/>
        <w:spacing w:after="0"/>
        <w:tabs>
          <w:tab w:leader="none" w:pos="136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last date on which a Holder may exercise the repurchase right pursuant to this Article 14;</w:t>
      </w:r>
    </w:p>
    <w:p>
      <w:pPr>
        <w:spacing w:after="0" w:line="117" w:lineRule="exact"/>
        <w:rPr>
          <w:rFonts w:ascii="Arial" w:cs="Arial" w:eastAsia="Arial" w:hAnsi="Arial"/>
          <w:sz w:val="18"/>
          <w:szCs w:val="18"/>
          <w:color w:val="auto"/>
        </w:rPr>
      </w:pPr>
    </w:p>
    <w:p>
      <w:pPr>
        <w:ind w:left="1340" w:hanging="437"/>
        <w:spacing w:after="0"/>
        <w:tabs>
          <w:tab w:leader="none" w:pos="13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Fundamental Change Repurchase Price;</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Fundamental Change Repurchase Date;</w:t>
      </w:r>
    </w:p>
    <w:p>
      <w:pPr>
        <w:spacing w:after="0" w:line="117" w:lineRule="exact"/>
        <w:rPr>
          <w:rFonts w:ascii="Arial" w:cs="Arial" w:eastAsia="Arial" w:hAnsi="Arial"/>
          <w:sz w:val="18"/>
          <w:szCs w:val="18"/>
          <w:color w:val="auto"/>
        </w:rPr>
      </w:pPr>
    </w:p>
    <w:p>
      <w:pPr>
        <w:ind w:left="1340" w:hanging="437"/>
        <w:spacing w:after="0"/>
        <w:tabs>
          <w:tab w:leader="none" w:pos="13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 if applicable;</w:t>
      </w:r>
    </w:p>
    <w:p>
      <w:pPr>
        <w:spacing w:after="0" w:line="117" w:lineRule="exact"/>
        <w:rPr>
          <w:rFonts w:ascii="Arial" w:cs="Arial" w:eastAsia="Arial" w:hAnsi="Arial"/>
          <w:sz w:val="18"/>
          <w:szCs w:val="18"/>
          <w:color w:val="auto"/>
        </w:rPr>
      </w:pPr>
    </w:p>
    <w:p>
      <w:pPr>
        <w:ind w:left="1400" w:hanging="497"/>
        <w:spacing w:after="0"/>
        <w:tabs>
          <w:tab w:leader="none" w:pos="1400" w:val="left"/>
        </w:tabs>
        <w:numPr>
          <w:ilvl w:val="1"/>
          <w:numId w:val="87"/>
        </w:numPr>
        <w:rPr>
          <w:rFonts w:ascii="Arial" w:cs="Arial" w:eastAsia="Arial" w:hAnsi="Arial"/>
          <w:sz w:val="18"/>
          <w:szCs w:val="18"/>
          <w:color w:val="auto"/>
        </w:rPr>
      </w:pPr>
      <w:r>
        <w:rPr>
          <w:rFonts w:ascii="Arial" w:cs="Arial" w:eastAsia="Arial" w:hAnsi="Arial"/>
          <w:sz w:val="18"/>
          <w:szCs w:val="18"/>
          <w:color w:val="auto"/>
        </w:rPr>
        <w:t>if applicable, the Conversion Rate and any adjustments to the Conversion Rate;</w:t>
      </w:r>
    </w:p>
    <w:p>
      <w:pPr>
        <w:spacing w:after="0" w:line="117" w:lineRule="exact"/>
        <w:rPr>
          <w:rFonts w:ascii="Arial" w:cs="Arial" w:eastAsia="Arial" w:hAnsi="Arial"/>
          <w:sz w:val="18"/>
          <w:szCs w:val="18"/>
          <w:color w:val="auto"/>
        </w:rPr>
      </w:pPr>
    </w:p>
    <w:p>
      <w:pPr>
        <w:ind w:left="460" w:right="440" w:firstLine="443"/>
        <w:spacing w:after="0" w:line="342" w:lineRule="auto"/>
        <w:tabs>
          <w:tab w:leader="none" w:pos="1438" w:val="left"/>
        </w:tabs>
        <w:numPr>
          <w:ilvl w:val="1"/>
          <w:numId w:val="87"/>
        </w:numPr>
        <w:rPr>
          <w:rFonts w:ascii="Arial" w:cs="Arial" w:eastAsia="Arial" w:hAnsi="Arial"/>
          <w:sz w:val="16"/>
          <w:szCs w:val="16"/>
          <w:color w:val="auto"/>
        </w:rPr>
      </w:pPr>
      <w:r>
        <w:rPr>
          <w:rFonts w:ascii="Arial" w:cs="Arial" w:eastAsia="Arial" w:hAnsi="Arial"/>
          <w:sz w:val="16"/>
          <w:szCs w:val="16"/>
          <w:color w:val="auto"/>
        </w:rPr>
        <w:t>if applicable, that the Notes with respect to which a Fundamental Change Repurchase Notice has been delivered by a Holder may be converted only if the Holder withdraws the Fundamental Change Repurchase Notice in accordance with the terms of this Indenture; and</w:t>
      </w:r>
    </w:p>
    <w:p>
      <w:pPr>
        <w:spacing w:after="0" w:line="15" w:lineRule="exact"/>
        <w:rPr>
          <w:rFonts w:ascii="Arial" w:cs="Arial" w:eastAsia="Arial" w:hAnsi="Arial"/>
          <w:sz w:val="16"/>
          <w:szCs w:val="16"/>
          <w:color w:val="auto"/>
        </w:rPr>
      </w:pPr>
    </w:p>
    <w:p>
      <w:pPr>
        <w:ind w:left="1340" w:hanging="437"/>
        <w:spacing w:after="0"/>
        <w:tabs>
          <w:tab w:leader="none" w:pos="134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procedures that Holders must follow to require the Company to repurchase their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90" w:name="page91"/>
    <w:bookmarkEnd w:id="90"/>
    <w:p>
      <w:pPr>
        <w:ind w:right="3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failure of the Company to give the foregoing notices and no defect therein shall limit the Holders’ repurchase rights or affect the validity of the proceedings for the repurchase of the Notes pursuant to this Section 14.01.</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 xml:space="preserve">At the Company’s request, the Trustee shall give such notice in the Company’s name and at the Company’s expense;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all cases, the text of such Company Notice shall be prepared by the Company.</w:t>
      </w:r>
    </w:p>
    <w:p>
      <w:pPr>
        <w:spacing w:after="0" w:line="170" w:lineRule="exact"/>
        <w:rPr>
          <w:sz w:val="20"/>
          <w:szCs w:val="20"/>
          <w:color w:val="auto"/>
        </w:rPr>
      </w:pPr>
    </w:p>
    <w:p>
      <w:pPr>
        <w:ind w:firstLine="464"/>
        <w:spacing w:after="0" w:line="291" w:lineRule="auto"/>
        <w:tabs>
          <w:tab w:leader="none" w:pos="846"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Notwithstanding the foregoing, no Notes may be repurchased by the Company on any date at the option of the Holders upon a Fundamental Change if the principal amount of the Notes has been accelerated, and such acceleration has not been rescinded, on or prior to such date (except in the case of an acceleration resulting from a Default by the Company in the payment of the Fundamental Change Repurchase Price with respect to such Notes). The Paying Agent will promptly return to the respective Holders thereof any Physical Notes held by it during the acceleration of the Notes (except in the case of an acceleration resulting from a Default by the Company in the payment of the Fundamental Change Repurchase Price with respect to such Notes), or any instructions for book-entry transfer of the Notes in compliance with the procedures of the Depositary shall be deemed to have been cancelled, and, upon such return or cancellation, as the case may be, the Fundamental Change Repurchase Notice with respect thereto shall be deemed to have been withdrawn.</w:t>
      </w:r>
    </w:p>
    <w:p>
      <w:pPr>
        <w:spacing w:after="0" w:line="167"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 xml:space="preserve">Section 14.02. </w:t>
      </w:r>
      <w:r>
        <w:rPr>
          <w:rFonts w:ascii="Arial" w:cs="Arial" w:eastAsia="Arial" w:hAnsi="Arial"/>
          <w:sz w:val="17"/>
          <w:szCs w:val="17"/>
          <w:i w:val="1"/>
          <w:iCs w:val="1"/>
          <w:color w:val="auto"/>
        </w:rPr>
        <w:t>Withdrawal of Fundamental Change Repurchase Notice.</w:t>
      </w:r>
      <w:r>
        <w:rPr>
          <w:rFonts w:ascii="Arial" w:cs="Arial" w:eastAsia="Arial" w:hAnsi="Arial"/>
          <w:sz w:val="17"/>
          <w:szCs w:val="17"/>
          <w:color w:val="auto"/>
        </w:rPr>
        <w:t xml:space="preserve"> (a) A Fundamental Change Repurchase Notice may be withdrawn (in whole or in part) by means of a written notice of withdrawal delivered to the Corporate Trust Office of the Paying Agent in accordance with this Section 14.02 at any time prior to the close of business on the Business Day immediately preceding the Fundamental Change Repurchase Date, specifying:</w:t>
      </w:r>
    </w:p>
    <w:p>
      <w:pPr>
        <w:spacing w:after="0" w:line="57" w:lineRule="exact"/>
        <w:rPr>
          <w:sz w:val="20"/>
          <w:szCs w:val="20"/>
          <w:color w:val="auto"/>
        </w:rPr>
      </w:pPr>
    </w:p>
    <w:p>
      <w:pPr>
        <w:ind w:left="1260" w:hanging="357"/>
        <w:spacing w:after="0"/>
        <w:tabs>
          <w:tab w:leader="none" w:pos="1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principal amount of the Notes with respect to which such notice of withdrawal is being submitted,</w:t>
      </w:r>
    </w:p>
    <w:p>
      <w:pPr>
        <w:spacing w:after="0" w:line="117" w:lineRule="exact"/>
        <w:rPr>
          <w:rFonts w:ascii="Arial" w:cs="Arial" w:eastAsia="Arial" w:hAnsi="Arial"/>
          <w:sz w:val="18"/>
          <w:szCs w:val="18"/>
          <w:color w:val="auto"/>
        </w:rPr>
      </w:pPr>
    </w:p>
    <w:p>
      <w:pPr>
        <w:ind w:left="1300" w:hanging="397"/>
        <w:spacing w:after="0"/>
        <w:tabs>
          <w:tab w:leader="none" w:pos="13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Physical Notes have been issued, the certificate number of the Note in respect of which such notice of withdrawal is being submitted, and</w:t>
      </w:r>
    </w:p>
    <w:p>
      <w:pPr>
        <w:spacing w:after="0" w:line="140" w:lineRule="exact"/>
        <w:rPr>
          <w:rFonts w:ascii="Arial" w:cs="Arial" w:eastAsia="Arial" w:hAnsi="Arial"/>
          <w:sz w:val="16"/>
          <w:szCs w:val="16"/>
          <w:color w:val="auto"/>
        </w:rPr>
      </w:pPr>
    </w:p>
    <w:p>
      <w:pPr>
        <w:ind w:left="460" w:firstLine="443"/>
        <w:spacing w:after="0" w:line="277" w:lineRule="auto"/>
        <w:tabs>
          <w:tab w:leader="none" w:pos="1348"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principal amount, if any, of such Note that remains subject to the original Fundamental Change Repurchase Notice, which portion must be in principal amounts of $1,000 or an integral multiple of $1,000;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Notes are Global Notes, the notice must comply with appropriate procedures of the Depositary.</w:t>
      </w:r>
    </w:p>
    <w:p>
      <w:pPr>
        <w:spacing w:after="0" w:line="225"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 xml:space="preserve">Section 14.03. </w:t>
      </w:r>
      <w:r>
        <w:rPr>
          <w:rFonts w:ascii="Arial" w:cs="Arial" w:eastAsia="Arial" w:hAnsi="Arial"/>
          <w:sz w:val="18"/>
          <w:szCs w:val="18"/>
          <w:i w:val="1"/>
          <w:iCs w:val="1"/>
          <w:color w:val="auto"/>
        </w:rPr>
        <w:t>Deposit of Fundamental Change Repurchase Price.</w:t>
      </w:r>
      <w:r>
        <w:rPr>
          <w:rFonts w:ascii="Arial" w:cs="Arial" w:eastAsia="Arial" w:hAnsi="Arial"/>
          <w:sz w:val="18"/>
          <w:szCs w:val="18"/>
          <w:color w:val="auto"/>
        </w:rPr>
        <w:t xml:space="preserve"> (a) The Company, or its designee, will deposit with the Trustee (or other Paying Agent appointed by the Company, or if the Company is acting as its own Paying Agent, set aside, segregate and hold in trust as provided in Section 4.04) on or prior to 11:00 a.m., New York City time, on the Fundamental Change Repurchase Date an amount of money sufficient to repurchase all of the Notes to be repurchased at the appropriate Fundamental Change Repurchase Price. If any such designee does not deposit an amount of money sufficient to repurchase all of such Notes by the</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60"/>
          </w:cols>
          <w:pgMar w:left="240" w:top="274" w:right="299" w:bottom="1440" w:gutter="0" w:footer="0" w:header="0"/>
        </w:sectPr>
      </w:pPr>
    </w:p>
    <w:bookmarkStart w:id="91" w:name="page92"/>
    <w:bookmarkEnd w:id="91"/>
    <w:p>
      <w:pPr>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deadline set forth in the immediately preceding sentence and the Company does not otherwise deposit such an amount by such deadline, such failure by the designee shall be treated for all purposes of this Indenture as failure by the Company to make such deposit. In addition, failure by the Company to designate a designee to make the deposit required by the second immediately preceding sentence shall not relieve the Company of its obligation to so deposit such an amount of money. Subject to extension if necessary to comply with the provisions of the Investment Company Act, payment for Notes surrendered for repurchase (and not withdrawn prior to the close of business on the Business Day immediately preceding the Fundamental Change Repurchase Date) will be made on the later of (i) the Fundamental Change Repurchase Date with respect to such Note (provided the Holder has satisfied the conditions in</w:t>
      </w:r>
    </w:p>
    <w:p>
      <w:pPr>
        <w:spacing w:after="0" w:line="5"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Section 14.01) and (ii) the time of book-entry transfer or the delivery of such Note to the Trustee (or other Paying Agent appointed by the Company) by the Holder thereof in the manner required by Section 14.01 by mailing checks for the amount payable to the Holders of such Notes entitled thereto as they shall appear in the Note Register; provided, however, that payments to the Depositary shall be made by wire transfer of immediately available funds to the account of the Depositary or its nominee. The Trustee shall, promptly after a Fundamental Change Repurchase Date, return to the Company any funds in excess of the Fundamental Change Repurchase Price of the Notes, or portions thereof, that the Company is obligated to purchase on the applicable Fundamental Change Repurchase Date.</w:t>
      </w:r>
    </w:p>
    <w:p>
      <w:pPr>
        <w:spacing w:after="0" w:line="194" w:lineRule="exact"/>
        <w:rPr>
          <w:sz w:val="20"/>
          <w:szCs w:val="20"/>
          <w:color w:val="auto"/>
        </w:rPr>
      </w:pPr>
    </w:p>
    <w:p>
      <w:pPr>
        <w:ind w:firstLine="464"/>
        <w:spacing w:after="0" w:line="288" w:lineRule="auto"/>
        <w:tabs>
          <w:tab w:leader="none" w:pos="846" w:val="left"/>
        </w:tabs>
        <w:numPr>
          <w:ilvl w:val="1"/>
          <w:numId w:val="90"/>
        </w:numPr>
        <w:rPr>
          <w:rFonts w:ascii="Arial" w:cs="Arial" w:eastAsia="Arial" w:hAnsi="Arial"/>
          <w:sz w:val="16"/>
          <w:szCs w:val="16"/>
          <w:color w:val="auto"/>
        </w:rPr>
      </w:pPr>
      <w:r>
        <w:rPr>
          <w:rFonts w:ascii="Arial" w:cs="Arial" w:eastAsia="Arial" w:hAnsi="Arial"/>
          <w:sz w:val="16"/>
          <w:szCs w:val="16"/>
          <w:color w:val="auto"/>
        </w:rPr>
        <w:t>If by 11:00 a.m. New York City time, on the Fundamental Change Repurchase Date, the Trustee (or other Paying Agent appointed by the Company) holds money sufficient to pay the Fundamental Change Repurchase Price of all the Notes or portions thereof for which Holders have surrendered and not withdrawn Fundamental Change Repurchase Notices on such Fundamental Change Repurchase Date, then (i) such Notes will cease to be outstanding,</w:t>
      </w:r>
    </w:p>
    <w:p>
      <w:pPr>
        <w:ind w:right="40" w:firstLine="8"/>
        <w:spacing w:after="0" w:line="255" w:lineRule="auto"/>
        <w:tabs>
          <w:tab w:leader="none" w:pos="265"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interest will cease to accrue on such Notes (whether or not book-entry transfer of the Notes has been made or the Notes have been delivered to the Trustee or Paying Agent) and (iii) all other rights of the Holders of such Notes will terminate (other than the right to receive the Fundamental Change Repurchase Price upon delivery or transfer of the Notes).</w:t>
      </w:r>
    </w:p>
    <w:p>
      <w:pPr>
        <w:spacing w:after="0" w:line="190" w:lineRule="exact"/>
        <w:rPr>
          <w:rFonts w:ascii="Arial" w:cs="Arial" w:eastAsia="Arial" w:hAnsi="Arial"/>
          <w:sz w:val="18"/>
          <w:szCs w:val="18"/>
          <w:color w:val="auto"/>
        </w:rPr>
      </w:pPr>
    </w:p>
    <w:p>
      <w:pPr>
        <w:ind w:right="60" w:firstLine="464"/>
        <w:spacing w:after="0" w:line="342" w:lineRule="auto"/>
        <w:tabs>
          <w:tab w:leader="none" w:pos="836" w:val="left"/>
        </w:tabs>
        <w:numPr>
          <w:ilvl w:val="1"/>
          <w:numId w:val="91"/>
        </w:numPr>
        <w:rPr>
          <w:rFonts w:ascii="Arial" w:cs="Arial" w:eastAsia="Arial" w:hAnsi="Arial"/>
          <w:sz w:val="16"/>
          <w:szCs w:val="16"/>
          <w:color w:val="auto"/>
        </w:rPr>
      </w:pPr>
      <w:r>
        <w:rPr>
          <w:rFonts w:ascii="Arial" w:cs="Arial" w:eastAsia="Arial" w:hAnsi="Arial"/>
          <w:sz w:val="16"/>
          <w:szCs w:val="16"/>
          <w:color w:val="auto"/>
        </w:rPr>
        <w:t>Upon surrender of a Note that is to be repurchased in part pursuant to Section 14.01, the Company shall execute and the Trustee shall authenticate and deliver to the Holder a new Note in an authorized denomination equal in principal amount to the unrepurchased portion of the Note surrendered.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Section 14.04. </w:t>
      </w:r>
      <w:r>
        <w:rPr>
          <w:rFonts w:ascii="Arial" w:cs="Arial" w:eastAsia="Arial" w:hAnsi="Arial"/>
          <w:sz w:val="17"/>
          <w:szCs w:val="17"/>
          <w:i w:val="1"/>
          <w:iCs w:val="1"/>
          <w:color w:val="auto"/>
        </w:rPr>
        <w:t>Covenant to Comply with Applicable Laws Upon Repurchase of Notes</w:t>
      </w:r>
      <w:r>
        <w:rPr>
          <w:rFonts w:ascii="Arial" w:cs="Arial" w:eastAsia="Arial" w:hAnsi="Arial"/>
          <w:sz w:val="17"/>
          <w:szCs w:val="17"/>
          <w:color w:val="auto"/>
        </w:rPr>
        <w:t>. In connection with any repurchase offer pursuant to 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Fundamental Change Repurchase Notice, the Company will, if required:</w:t>
      </w:r>
    </w:p>
    <w:p>
      <w:pPr>
        <w:spacing w:after="0" w:line="211" w:lineRule="exact"/>
        <w:rPr>
          <w:sz w:val="20"/>
          <w:szCs w:val="20"/>
          <w:color w:val="auto"/>
        </w:rPr>
      </w:pPr>
    </w:p>
    <w:p>
      <w:pPr>
        <w:ind w:left="840" w:hanging="376"/>
        <w:spacing w:after="0"/>
        <w:tabs>
          <w:tab w:leader="none" w:pos="8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comply with the provisions of Rule 13e-4, Rule 14e-1 and any other tender offer rules under the Exchange Act that may then be applicable;</w:t>
      </w:r>
    </w:p>
    <w:p>
      <w:pPr>
        <w:spacing w:after="0" w:line="236" w:lineRule="exact"/>
        <w:rPr>
          <w:rFonts w:ascii="Arial" w:cs="Arial" w:eastAsia="Arial" w:hAnsi="Arial"/>
          <w:sz w:val="17"/>
          <w:szCs w:val="17"/>
          <w:color w:val="auto"/>
        </w:rPr>
      </w:pPr>
    </w:p>
    <w:p>
      <w:pPr>
        <w:ind w:left="860" w:hanging="396"/>
        <w:spacing w:after="0"/>
        <w:tabs>
          <w:tab w:leader="none" w:pos="8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file a Schedule TO or any successor or similar schedule;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92" w:name="page93"/>
    <w:bookmarkEnd w:id="92"/>
    <w:p>
      <w:pPr>
        <w:ind w:left="460"/>
        <w:spacing w:after="0"/>
        <w:tabs>
          <w:tab w:leader="none" w:pos="8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w:t>
      </w:r>
      <w:r>
        <w:rPr>
          <w:sz w:val="20"/>
          <w:szCs w:val="20"/>
          <w:color w:val="auto"/>
        </w:rPr>
        <w:tab/>
      </w:r>
      <w:r>
        <w:rPr>
          <w:rFonts w:ascii="Arial" w:cs="Arial" w:eastAsia="Arial" w:hAnsi="Arial"/>
          <w:sz w:val="16"/>
          <w:szCs w:val="16"/>
          <w:color w:val="auto"/>
        </w:rPr>
        <w:t>otherwise comply with all federal and state securities laws in connection with any offer by the Company to repurchase the Notes;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each case, so as to permit the rights and obligations under this Article 14 to be exercised in the time and in the manner specified in this Article 14.</w:t>
      </w:r>
    </w:p>
    <w:p>
      <w:pPr>
        <w:spacing w:after="0" w:line="200" w:lineRule="exact"/>
        <w:rPr>
          <w:sz w:val="20"/>
          <w:szCs w:val="20"/>
          <w:color w:val="auto"/>
        </w:rPr>
      </w:pPr>
    </w:p>
    <w:p>
      <w:pPr>
        <w:spacing w:after="0" w:line="25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15</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w:t>
      </w:r>
      <w:r>
        <w:rPr>
          <w:rFonts w:ascii="Arial" w:cs="Arial" w:eastAsia="Arial" w:hAnsi="Arial"/>
          <w:sz w:val="15"/>
          <w:szCs w:val="15"/>
          <w:color w:val="auto"/>
        </w:rPr>
        <w:t>O</w:t>
      </w:r>
      <w:r>
        <w:rPr>
          <w:rFonts w:ascii="Arial" w:cs="Arial" w:eastAsia="Arial" w:hAnsi="Arial"/>
          <w:sz w:val="18"/>
          <w:szCs w:val="18"/>
          <w:color w:val="auto"/>
        </w:rPr>
        <w:t xml:space="preserve"> R</w:t>
      </w:r>
      <w:r>
        <w:rPr>
          <w:rFonts w:ascii="Arial" w:cs="Arial" w:eastAsia="Arial" w:hAnsi="Arial"/>
          <w:sz w:val="15"/>
          <w:szCs w:val="15"/>
          <w:color w:val="auto"/>
        </w:rPr>
        <w:t>EDEMPTION</w:t>
      </w:r>
    </w:p>
    <w:p>
      <w:pPr>
        <w:spacing w:after="0" w:line="211" w:lineRule="exact"/>
        <w:rPr>
          <w:sz w:val="20"/>
          <w:szCs w:val="20"/>
          <w:color w:val="auto"/>
        </w:rPr>
      </w:pPr>
    </w:p>
    <w:p>
      <w:pPr>
        <w:jc w:val="both"/>
        <w:ind w:right="40" w:firstLine="456"/>
        <w:spacing w:after="0" w:line="277" w:lineRule="auto"/>
        <w:rPr>
          <w:sz w:val="20"/>
          <w:szCs w:val="20"/>
          <w:color w:val="auto"/>
        </w:rPr>
      </w:pPr>
      <w:r>
        <w:rPr>
          <w:rFonts w:ascii="Arial" w:cs="Arial" w:eastAsia="Arial" w:hAnsi="Arial"/>
          <w:sz w:val="18"/>
          <w:szCs w:val="18"/>
          <w:color w:val="auto"/>
        </w:rPr>
        <w:t xml:space="preserve">Section 15.01. </w:t>
      </w:r>
      <w:r>
        <w:rPr>
          <w:rFonts w:ascii="Arial" w:cs="Arial" w:eastAsia="Arial" w:hAnsi="Arial"/>
          <w:sz w:val="18"/>
          <w:szCs w:val="18"/>
          <w:i w:val="1"/>
          <w:iCs w:val="1"/>
          <w:color w:val="auto"/>
        </w:rPr>
        <w:t>No Redemption</w:t>
      </w:r>
      <w:r>
        <w:rPr>
          <w:rFonts w:ascii="Arial" w:cs="Arial" w:eastAsia="Arial" w:hAnsi="Arial"/>
          <w:sz w:val="18"/>
          <w:szCs w:val="18"/>
          <w:color w:val="auto"/>
        </w:rPr>
        <w:t>. The Notes shall not be redeemable by the Company prior to the Maturity Date, and no sinking fund is provided for the Notes.</w:t>
      </w:r>
    </w:p>
    <w:p>
      <w:pPr>
        <w:spacing w:after="0" w:line="3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ARTICLE 16</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M</w:t>
      </w:r>
      <w:r>
        <w:rPr>
          <w:rFonts w:ascii="Arial" w:cs="Arial" w:eastAsia="Arial" w:hAnsi="Arial"/>
          <w:sz w:val="15"/>
          <w:szCs w:val="15"/>
          <w:color w:val="auto"/>
        </w:rPr>
        <w:t>ISCELLANEOUS</w:t>
      </w:r>
      <w:r>
        <w:rPr>
          <w:rFonts w:ascii="Arial" w:cs="Arial" w:eastAsia="Arial" w:hAnsi="Arial"/>
          <w:sz w:val="18"/>
          <w:szCs w:val="18"/>
          <w:color w:val="auto"/>
        </w:rPr>
        <w:t xml:space="preserve"> P</w:t>
      </w:r>
      <w:r>
        <w:rPr>
          <w:rFonts w:ascii="Arial" w:cs="Arial" w:eastAsia="Arial" w:hAnsi="Arial"/>
          <w:sz w:val="15"/>
          <w:szCs w:val="15"/>
          <w:color w:val="auto"/>
        </w:rPr>
        <w:t>ROVISIONS</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 xml:space="preserve">Section 16.01. </w:t>
      </w:r>
      <w:r>
        <w:rPr>
          <w:rFonts w:ascii="Arial" w:cs="Arial" w:eastAsia="Arial" w:hAnsi="Arial"/>
          <w:sz w:val="18"/>
          <w:szCs w:val="18"/>
          <w:i w:val="1"/>
          <w:iCs w:val="1"/>
          <w:color w:val="auto"/>
        </w:rPr>
        <w:t>Provisions Binding on Company’s Successors</w:t>
      </w:r>
      <w:r>
        <w:rPr>
          <w:rFonts w:ascii="Arial" w:cs="Arial" w:eastAsia="Arial" w:hAnsi="Arial"/>
          <w:sz w:val="18"/>
          <w:szCs w:val="18"/>
          <w:color w:val="auto"/>
        </w:rPr>
        <w:t>. All the covenants, stipulations, promises and agreements of the Company contained in this Indenture shall bind its successors and assigns whether so expressed or not.</w:t>
      </w:r>
    </w:p>
    <w:p>
      <w:pPr>
        <w:spacing w:after="0" w:line="170"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 xml:space="preserve">Section 16.02. </w:t>
      </w:r>
      <w:r>
        <w:rPr>
          <w:rFonts w:ascii="Arial" w:cs="Arial" w:eastAsia="Arial" w:hAnsi="Arial"/>
          <w:sz w:val="18"/>
          <w:szCs w:val="18"/>
          <w:i w:val="1"/>
          <w:iCs w:val="1"/>
          <w:color w:val="auto"/>
        </w:rPr>
        <w:t>Official Acts by Successor Corporation</w:t>
      </w:r>
      <w:r>
        <w:rPr>
          <w:rFonts w:ascii="Arial" w:cs="Arial" w:eastAsia="Arial" w:hAnsi="Arial"/>
          <w:sz w:val="18"/>
          <w:szCs w:val="18"/>
          <w:color w:val="auto"/>
        </w:rPr>
        <w:t>. Any act or proceeding by any provision of this Indenture authorized or required to be done or performed by any board, committee or Officer of the Company shall and may be done and performed with like force and effect by the like board, committee or officer of any corporation or other entity that shall at the time be the lawful sole successor of the Company.</w:t>
      </w:r>
    </w:p>
    <w:p>
      <w:pPr>
        <w:spacing w:after="0" w:line="181"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 xml:space="preserve">Section 16.03. </w:t>
      </w:r>
      <w:r>
        <w:rPr>
          <w:rFonts w:ascii="Arial" w:cs="Arial" w:eastAsia="Arial" w:hAnsi="Arial"/>
          <w:sz w:val="17"/>
          <w:szCs w:val="17"/>
          <w:i w:val="1"/>
          <w:iCs w:val="1"/>
          <w:color w:val="auto"/>
        </w:rPr>
        <w:t>Addresses for Notices, Etc</w:t>
      </w:r>
      <w:r>
        <w:rPr>
          <w:rFonts w:ascii="Arial" w:cs="Arial" w:eastAsia="Arial" w:hAnsi="Arial"/>
          <w:sz w:val="17"/>
          <w:szCs w:val="17"/>
          <w:color w:val="auto"/>
        </w:rPr>
        <w:t>. Any notice or demand that by any provision of this Indenture is required or permitted to be given or served by the Trustee or by the Holders on the Company shall be deemed to have been sufficiently given or made, for all purposes if given or served by being deposited postage prepaid by registered or certified mail in a post office letter box addressed (until another address is filed by the Company with the Trustee) to TPG Specialty Lending, Inc., 888 Seventh Avenue, 35th Floor, New York, New York 10019, Attention: Chief Financial Officer, with a copy to TPG Specialty Lending, Inc., 345 California Street, Suite 3300, San Francisco, CA 94104, Attention: TSSP General Counsel. Any notice, direction, request or demand hereunder to or upon the Trustee shall be deemed to have been sufficiently given or made, for all purposes, if given or served by being deposited postage prepaid by registered or certified mail in a post office letter box addressed to the Corporate Trust Office.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Trustee, by notice to the Company, may designate additional or different addresses for subsequent notices or communications.</w:t>
      </w:r>
    </w:p>
    <w:p>
      <w:pPr>
        <w:spacing w:after="0" w:line="225" w:lineRule="exact"/>
        <w:rPr>
          <w:sz w:val="20"/>
          <w:szCs w:val="20"/>
          <w:color w:val="auto"/>
        </w:rPr>
      </w:pPr>
    </w:p>
    <w:p>
      <w:pPr>
        <w:ind w:right="260" w:firstLine="456"/>
        <w:spacing w:after="0" w:line="308" w:lineRule="auto"/>
        <w:rPr>
          <w:sz w:val="20"/>
          <w:szCs w:val="20"/>
          <w:color w:val="auto"/>
        </w:rPr>
      </w:pPr>
      <w:r>
        <w:rPr>
          <w:rFonts w:ascii="Arial" w:cs="Arial" w:eastAsia="Arial" w:hAnsi="Arial"/>
          <w:sz w:val="17"/>
          <w:szCs w:val="17"/>
          <w:color w:val="auto"/>
        </w:rPr>
        <w:t>Any notice or communication mailed to a Holder shall be mailed to it by first class mail, postage prepaid or electronically in the case of book entry notes, at its address as it appears on the Note Register and shall be sufficiently given to it if so mailed within the time prescribed.</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20"/>
          </w:cols>
          <w:pgMar w:left="240" w:top="274" w:right="339" w:bottom="1440" w:gutter="0" w:footer="0" w:header="0"/>
        </w:sectPr>
      </w:pPr>
    </w:p>
    <w:bookmarkStart w:id="93" w:name="page94"/>
    <w:bookmarkEnd w:id="93"/>
    <w:p>
      <w:pPr>
        <w:ind w:right="34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Failure to mail a notice or communication to a Holder or any defect in it shall not affect its sufficiency with respect to other Holders. If a notice or communication is mailed in the manner provided above, it is duly given, whether or not the addressee receives it.</w:t>
      </w:r>
    </w:p>
    <w:p>
      <w:pPr>
        <w:spacing w:after="0" w:line="170"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In case by reason of the suspension of regular mail service or by reason of any other cause it shall be impracticable to give such notice to Holders by mail, then such notification as shall be made with the approval of the Trustee shall constitute a sufficient notification for every purpose hereunder.</w:t>
      </w:r>
    </w:p>
    <w:p>
      <w:pPr>
        <w:spacing w:after="0" w:line="124"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Whenever under this Indenture the Trustee or the Company is required to provide any notice by mail, in all cases each of the Trustee and the Company may alternatively provide notice by overnight courier, by facsimile, with confirmation of transmission, or by electronic means.</w:t>
      </w:r>
    </w:p>
    <w:p>
      <w:pPr>
        <w:spacing w:after="0" w:line="147"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 xml:space="preserve">Section 16.04. </w:t>
      </w:r>
      <w:r>
        <w:rPr>
          <w:rFonts w:ascii="Arial" w:cs="Arial" w:eastAsia="Arial" w:hAnsi="Arial"/>
          <w:sz w:val="17"/>
          <w:szCs w:val="17"/>
          <w:i w:val="1"/>
          <w:iCs w:val="1"/>
          <w:color w:val="auto"/>
        </w:rPr>
        <w:t>Governing Law; Jurisdiction</w:t>
      </w:r>
      <w:r>
        <w:rPr>
          <w:rFonts w:ascii="Arial" w:cs="Arial" w:eastAsia="Arial" w:hAnsi="Arial"/>
          <w:sz w:val="17"/>
          <w:szCs w:val="17"/>
          <w:color w:val="auto"/>
        </w:rPr>
        <w:t>. THIS INDENTURE AND EACH NOTE SHALL BE GOVERNED BY, AND CONSTRUED IN ACCORDANCE WITH, THE LAWS OF THE STATE OF NEW YORK (WITHOUT REGARD TO THE CONFLICTS OF LAWS PROVISIONS THEREOF THAT WOULD CAUSE THE APPLICATION OF THE LAWS OF ANOTHER JURISDICTION). THE PARTIES HERETO AGREE TO SUBMIT TO THE JURISDICTION OF ANY UNITED STATES FEDERAL OR STATE COURT LOCATED IN THE BOROUGH OF MANHATTAN, IN THE CITY OF NEW YORK IN ANY ACTION OR PROCEEDING ARISING OUT OF OR RELATING TO THIS INDENTURE OR THE NOTES.</w:t>
      </w:r>
    </w:p>
    <w:p>
      <w:pPr>
        <w:spacing w:after="0" w:line="173"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 xml:space="preserve">Section 16.05. </w:t>
      </w:r>
      <w:r>
        <w:rPr>
          <w:rFonts w:ascii="Arial" w:cs="Arial" w:eastAsia="Arial" w:hAnsi="Arial"/>
          <w:sz w:val="17"/>
          <w:szCs w:val="17"/>
          <w:i w:val="1"/>
          <w:iCs w:val="1"/>
          <w:color w:val="auto"/>
        </w:rPr>
        <w:t>Evidence of Compliance with Conditions Precedent; Certificates and Opinions of Counsel to Trustee</w:t>
      </w:r>
      <w:r>
        <w:rPr>
          <w:rFonts w:ascii="Arial" w:cs="Arial" w:eastAsia="Arial" w:hAnsi="Arial"/>
          <w:sz w:val="17"/>
          <w:szCs w:val="17"/>
          <w:color w:val="auto"/>
        </w:rPr>
        <w:t>. Upon any application or demand by the Company to the Trustee to take any action under any of the provisions of this Indenture, the Company shall, if requested by the Trustee, furnish to the Trustee an Officers’ Certificate and Opinion of Counsel stating that such action is permitted by the terms of this Indenture.</w:t>
      </w:r>
    </w:p>
    <w:p>
      <w:pPr>
        <w:spacing w:after="0" w:line="166"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Each Officers’ Certificate and each Opinion of Counsel provided for, by or on behalf of the Company in this Indenture and delivered to the Trustee with respect to compliance with this Indenture (other than the Officers’ Certificates provided for in Section 4.09) shall include (a) a statement that the Person making such certificate is familiar with the requested action and this Indenture; (b) a brief statement as to the nature and scope of the examination or investigation upon which the statement contained in such certificate is based; (c) a statement that, in the opinion of such person, he or she has made such examination or investigation as is necessary to enable him or her to express an informed opinion as to whether or not the covenants and conditions provided for in this Indenture with respect to such action have been complied with; and (d) a statement as to whether or not, in the opinion of such Person, all conditions precedent provided for in this Indenture for such action have been compiled with.</w:t>
      </w:r>
    </w:p>
    <w:p>
      <w:pPr>
        <w:spacing w:after="0" w:line="17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Notwithstanding anything to the contrary in this Section 16.05, if any provision in this Indenture specifically provides that the Trustee shall or may receive an Opinion of Counsel in connection with any action to be taken by the Trustee or the Company hereunder, the Trustee shall be entitled to, or entitled to request, such Opinion of Counsel.</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20"/>
          </w:cols>
          <w:pgMar w:left="240" w:top="274" w:right="339" w:bottom="1440" w:gutter="0" w:footer="0" w:header="0"/>
        </w:sectPr>
      </w:pPr>
    </w:p>
    <w:bookmarkStart w:id="94" w:name="page95"/>
    <w:bookmarkEnd w:id="94"/>
    <w:p>
      <w:pPr>
        <w:ind w:right="160" w:firstLine="456"/>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16.06. </w:t>
      </w:r>
      <w:r>
        <w:rPr>
          <w:rFonts w:ascii="Arial" w:cs="Arial" w:eastAsia="Arial" w:hAnsi="Arial"/>
          <w:sz w:val="17"/>
          <w:szCs w:val="17"/>
          <w:i w:val="1"/>
          <w:iCs w:val="1"/>
          <w:color w:val="auto"/>
        </w:rPr>
        <w:t>Legal Holidays</w:t>
      </w:r>
      <w:r>
        <w:rPr>
          <w:rFonts w:ascii="Arial" w:cs="Arial" w:eastAsia="Arial" w:hAnsi="Arial"/>
          <w:sz w:val="17"/>
          <w:szCs w:val="17"/>
          <w:color w:val="auto"/>
        </w:rPr>
        <w:t>. In any case where any Interest Payment Date, Fundamental Change Repurchase Date, Conversion Date or Maturity Date is not a Business Day, then any action to be taken on such date need not be taken on such date, but may be taken on the next succeeding Business Day with the same force and effect as if taken on such date, and no interest shall accrue in respect of the delay.</w:t>
      </w:r>
    </w:p>
    <w:p>
      <w:pPr>
        <w:spacing w:after="0" w:line="166" w:lineRule="exact"/>
        <w:rPr>
          <w:sz w:val="20"/>
          <w:szCs w:val="20"/>
          <w:color w:val="auto"/>
        </w:rPr>
      </w:pPr>
    </w:p>
    <w:p>
      <w:pPr>
        <w:ind w:right="100" w:firstLine="456"/>
        <w:spacing w:after="0" w:line="308" w:lineRule="auto"/>
        <w:rPr>
          <w:sz w:val="20"/>
          <w:szCs w:val="20"/>
          <w:color w:val="auto"/>
        </w:rPr>
      </w:pPr>
      <w:r>
        <w:rPr>
          <w:rFonts w:ascii="Arial" w:cs="Arial" w:eastAsia="Arial" w:hAnsi="Arial"/>
          <w:sz w:val="17"/>
          <w:szCs w:val="17"/>
          <w:color w:val="auto"/>
        </w:rPr>
        <w:t xml:space="preserve">Section 16.07. </w:t>
      </w:r>
      <w:r>
        <w:rPr>
          <w:rFonts w:ascii="Arial" w:cs="Arial" w:eastAsia="Arial" w:hAnsi="Arial"/>
          <w:sz w:val="17"/>
          <w:szCs w:val="17"/>
          <w:i w:val="1"/>
          <w:iCs w:val="1"/>
          <w:color w:val="auto"/>
        </w:rPr>
        <w:t>No Security Interest Created</w:t>
      </w:r>
      <w:r>
        <w:rPr>
          <w:rFonts w:ascii="Arial" w:cs="Arial" w:eastAsia="Arial" w:hAnsi="Arial"/>
          <w:sz w:val="17"/>
          <w:szCs w:val="17"/>
          <w:color w:val="auto"/>
        </w:rPr>
        <w:t>. Nothing in this Indenture or in the Notes, expressed or implied, shall be construed to constitute a security interest under the Uniform Commercial Code or similar legislation, as now or hereafter enacted and in effect, in any jurisdiction.</w:t>
      </w:r>
    </w:p>
    <w:p>
      <w:pPr>
        <w:spacing w:after="0" w:line="147"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 xml:space="preserve">Section 16.08. </w:t>
      </w:r>
      <w:r>
        <w:rPr>
          <w:rFonts w:ascii="Arial" w:cs="Arial" w:eastAsia="Arial" w:hAnsi="Arial"/>
          <w:sz w:val="18"/>
          <w:szCs w:val="18"/>
          <w:i w:val="1"/>
          <w:iCs w:val="1"/>
          <w:color w:val="auto"/>
        </w:rPr>
        <w:t>Benefits of Indenture</w:t>
      </w:r>
      <w:r>
        <w:rPr>
          <w:rFonts w:ascii="Arial" w:cs="Arial" w:eastAsia="Arial" w:hAnsi="Arial"/>
          <w:sz w:val="18"/>
          <w:szCs w:val="18"/>
          <w:color w:val="auto"/>
        </w:rPr>
        <w:t>. Nothing in this Indenture or in the Notes, expressed or implied, shall give to any Person, other than the parties hereto, any Paying Agent, any Conversion Agent, any authenticating agent, any Note Registrar and their successors hereunder or the Holders, any benefit or any legal or equitable right, remedy or claim under this Indenture.</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 xml:space="preserve">Section 16.09. </w:t>
      </w:r>
      <w:r>
        <w:rPr>
          <w:rFonts w:ascii="Arial" w:cs="Arial" w:eastAsia="Arial" w:hAnsi="Arial"/>
          <w:sz w:val="18"/>
          <w:szCs w:val="18"/>
          <w:i w:val="1"/>
          <w:iCs w:val="1"/>
          <w:color w:val="auto"/>
        </w:rPr>
        <w:t>Table of Contents, Headings, Etc</w:t>
      </w:r>
      <w:r>
        <w:rPr>
          <w:rFonts w:ascii="Arial" w:cs="Arial" w:eastAsia="Arial" w:hAnsi="Arial"/>
          <w:sz w:val="18"/>
          <w:szCs w:val="18"/>
          <w:color w:val="auto"/>
        </w:rPr>
        <w:t>. The table of contents and the titles and headings of the articles and sections of this Indenture have been inserted for convenience of reference only, are not to be considered a part hereof, and shall in no way modify or restrict any of the terms or provisions hereof.</w:t>
      </w:r>
    </w:p>
    <w:p>
      <w:pPr>
        <w:spacing w:after="0" w:line="18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16.10. </w:t>
      </w:r>
      <w:r>
        <w:rPr>
          <w:rFonts w:ascii="Arial" w:cs="Arial" w:eastAsia="Arial" w:hAnsi="Arial"/>
          <w:sz w:val="18"/>
          <w:szCs w:val="18"/>
          <w:i w:val="1"/>
          <w:iCs w:val="1"/>
          <w:color w:val="auto"/>
        </w:rPr>
        <w:t>Authenticating Agent</w:t>
      </w:r>
      <w:r>
        <w:rPr>
          <w:rFonts w:ascii="Arial" w:cs="Arial" w:eastAsia="Arial" w:hAnsi="Arial"/>
          <w:sz w:val="18"/>
          <w:szCs w:val="18"/>
          <w:color w:val="auto"/>
        </w:rPr>
        <w:t>. The Trustee may appoint an authenticating agent that shall be authorized to act on its behalf and subject to its direction in the authentication and delivery of Notes in connection with the original issuance thereof and transfers and exchanges of Notes hereunder, including under Section 2.04, Section 2.05, Section 2.06, Section 2.07, Section 10.04 and Section 14.03 as fully to all intents and purposes as though the authenticating agent had been expressly authorized by this Indenture and those Sections to authenticate and deliver Notes. For all purposes of this Indenture, the authentication and delivery of Notes by the authenticating agent shall be deemed to be authentication and delivery of such Notes “by the Trustee” and a certificate of authentication executed on behalf of the Trustee by an authenticating agent shall be deemed to satisfy any requirement hereunder or in the Notes for the Trustee’s certificate of authentication. Such authenticating agent shall at all times be a Person eligible to serve as trustee hereunder pursuant to Section 7.08.</w:t>
      </w:r>
    </w:p>
    <w:p>
      <w:pPr>
        <w:spacing w:after="0" w:line="19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Any corporation or other entity into which any authenticating agent may be merged or converted or with which it may be consolidated, or any corporation or other entity resulting from any merger, consolidation or conversion to which any authenticating agent shall be a party, or any corporation or other entity succeeding to the corporate trust business of any authenticating agent, shall be the successor of the authenticating agent hereunder, if such successor corporation or other entity is otherwise eligible under this Section, without the execution or filing of any paper or any further act on the part of the parties hereto or the authenticating agent or such successor corporation or other entity.</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60"/>
          </w:cols>
          <w:pgMar w:left="240" w:top="274" w:right="299" w:bottom="1440" w:gutter="0" w:footer="0" w:header="0"/>
        </w:sectPr>
      </w:pPr>
    </w:p>
    <w:bookmarkStart w:id="95" w:name="page96"/>
    <w:bookmarkEnd w:id="95"/>
    <w:p>
      <w:pPr>
        <w:ind w:right="60" w:firstLine="456"/>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authenticating agent may at any time resign by giving written notice of resignation to the Trustee and to the Company. The Trustee may at any time terminate the agency of any authenticating agent by giving written notice of termination to such authenticating agent and to the Company. Upon receiving such a notice of resignation or upon such a termination, or in case at any time any authenticating agent shall cease to be eligible under this Section, the Trustee may appoint a successor authenticating agent (which may be the Trustee), shall give written notice of such appointment to the Company and shall mail notice of such appointment to all Holders as the names and addresses of such Holders appear on the Note Register.</w:t>
      </w:r>
    </w:p>
    <w:p>
      <w:pPr>
        <w:spacing w:after="0" w:line="173" w:lineRule="exact"/>
        <w:rPr>
          <w:sz w:val="20"/>
          <w:szCs w:val="20"/>
          <w:color w:val="auto"/>
        </w:rPr>
      </w:pPr>
    </w:p>
    <w:p>
      <w:pPr>
        <w:ind w:right="660" w:firstLine="456"/>
        <w:spacing w:after="0" w:line="277" w:lineRule="auto"/>
        <w:rPr>
          <w:sz w:val="20"/>
          <w:szCs w:val="20"/>
          <w:color w:val="auto"/>
        </w:rPr>
      </w:pPr>
      <w:r>
        <w:rPr>
          <w:rFonts w:ascii="Arial" w:cs="Arial" w:eastAsia="Arial" w:hAnsi="Arial"/>
          <w:sz w:val="18"/>
          <w:szCs w:val="18"/>
          <w:color w:val="auto"/>
        </w:rPr>
        <w:t>The Company agrees to pay to the authenticating agent from time to time reasonable compensation for its services although the Company may terminate the authenticating agent, if it determines such agent’s fees to be unreasonable.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provisions of Section 7.02, Section 7.03, Section 7.04, Section 8.03 and this Section 16.10 shall be applicable to any authenticating agent.</w:t>
      </w:r>
    </w:p>
    <w:p>
      <w:pPr>
        <w:spacing w:after="0" w:line="23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If an authenticating agent is appointed pursuant to this Section, the Notes may have endorsed thereon, in addition to the Trustee’s certificate of authentication, an alternative certificate of authentication in the following form:</w:t>
      </w:r>
    </w:p>
    <w:p>
      <w:pPr>
        <w:spacing w:after="0" w:line="170"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17157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as Authenticating Agent, certifies that this is one of the Notes described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the within-named Indenture.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 xml:space="preserve">Section 16.11. </w:t>
      </w:r>
      <w:r>
        <w:rPr>
          <w:rFonts w:ascii="Arial" w:cs="Arial" w:eastAsia="Arial" w:hAnsi="Arial"/>
          <w:sz w:val="18"/>
          <w:szCs w:val="18"/>
          <w:i w:val="1"/>
          <w:iCs w:val="1"/>
          <w:color w:val="auto"/>
        </w:rPr>
        <w:t>Execution in Counterparts</w:t>
      </w:r>
      <w:r>
        <w:rPr>
          <w:rFonts w:ascii="Arial" w:cs="Arial" w:eastAsia="Arial" w:hAnsi="Arial"/>
          <w:sz w:val="18"/>
          <w:szCs w:val="18"/>
          <w:color w:val="auto"/>
        </w:rPr>
        <w:t>. This Indenture may be executed in any number of counterparts, each of which shall be an original, but such counterparts shall together constitute but one and the same instrument. Delivery of an executed counterpart by facsimile, “portable document format” (pdf) or any other electronic means shall be effective as delivery of a manually executed counterpart thereof.</w:t>
      </w:r>
    </w:p>
    <w:p>
      <w:pPr>
        <w:spacing w:after="0" w:line="181" w:lineRule="exact"/>
        <w:rPr>
          <w:sz w:val="20"/>
          <w:szCs w:val="20"/>
          <w:color w:val="auto"/>
        </w:rPr>
      </w:pPr>
    </w:p>
    <w:p>
      <w:pPr>
        <w:ind w:right="340" w:firstLine="456"/>
        <w:spacing w:after="0" w:line="308" w:lineRule="auto"/>
        <w:rPr>
          <w:sz w:val="20"/>
          <w:szCs w:val="20"/>
          <w:color w:val="auto"/>
        </w:rPr>
      </w:pPr>
      <w:r>
        <w:rPr>
          <w:rFonts w:ascii="Arial" w:cs="Arial" w:eastAsia="Arial" w:hAnsi="Arial"/>
          <w:sz w:val="17"/>
          <w:szCs w:val="17"/>
          <w:color w:val="auto"/>
        </w:rPr>
        <w:t xml:space="preserve">Section 16.12. </w:t>
      </w:r>
      <w:r>
        <w:rPr>
          <w:rFonts w:ascii="Arial" w:cs="Arial" w:eastAsia="Arial" w:hAnsi="Arial"/>
          <w:sz w:val="17"/>
          <w:szCs w:val="17"/>
          <w:i w:val="1"/>
          <w:iCs w:val="1"/>
          <w:color w:val="auto"/>
        </w:rPr>
        <w:t>Severability</w:t>
      </w:r>
      <w:r>
        <w:rPr>
          <w:rFonts w:ascii="Arial" w:cs="Arial" w:eastAsia="Arial" w:hAnsi="Arial"/>
          <w:sz w:val="17"/>
          <w:szCs w:val="17"/>
          <w:color w:val="auto"/>
        </w:rPr>
        <w:t>. In the event any provision of this Indenture or in the Notes shall be invalid, illegal or unenforceable, then (to the extent permitted by law) the validity, legality or enforceability of the remaining provisions shall not in any way be affected or impaired.</w:t>
      </w:r>
    </w:p>
    <w:p>
      <w:pPr>
        <w:spacing w:after="0" w:line="14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Section 16.13. </w:t>
      </w:r>
      <w:r>
        <w:rPr>
          <w:rFonts w:ascii="Arial" w:cs="Arial" w:eastAsia="Arial" w:hAnsi="Arial"/>
          <w:sz w:val="18"/>
          <w:szCs w:val="18"/>
          <w:i w:val="1"/>
          <w:iCs w:val="1"/>
          <w:color w:val="auto"/>
        </w:rPr>
        <w:t>Waiver of Jury Trial</w:t>
      </w:r>
      <w:r>
        <w:rPr>
          <w:rFonts w:ascii="Arial" w:cs="Arial" w:eastAsia="Arial" w:hAnsi="Arial"/>
          <w:sz w:val="18"/>
          <w:szCs w:val="18"/>
          <w:color w:val="auto"/>
        </w:rPr>
        <w:t>. EACH OF THE COMPANY AND THE TRUSTEE HEREBY IRREVOCABLY WAIVES, TO THE FULLEST EXTENT PERMITTED BY APPLICABLE LAW, ANY AND ALL RIGHT TO TRIAL BY JURY IN ANY LEGAL PROCEEDING ARISING OUT OF OR RELATING TO THIS INDENTURE, THE NOTES OR THE TRANSACTION CONTEMPLATED HEREBY.</w:t>
      </w:r>
    </w:p>
    <w:p>
      <w:pPr>
        <w:spacing w:after="0" w:line="18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 xml:space="preserve">Section 16.14. </w:t>
      </w:r>
      <w:r>
        <w:rPr>
          <w:rFonts w:ascii="Arial" w:cs="Arial" w:eastAsia="Arial" w:hAnsi="Arial"/>
          <w:sz w:val="18"/>
          <w:szCs w:val="18"/>
          <w:i w:val="1"/>
          <w:iCs w:val="1"/>
          <w:color w:val="auto"/>
        </w:rPr>
        <w:t>Force Majeure</w:t>
      </w:r>
      <w:r>
        <w:rPr>
          <w:rFonts w:ascii="Arial" w:cs="Arial" w:eastAsia="Arial" w:hAnsi="Arial"/>
          <w:sz w:val="18"/>
          <w:szCs w:val="18"/>
          <w:color w:val="auto"/>
        </w:rPr>
        <w:t>. In no event shall the Trustee be responsible or liable for any failure or delay in the performance of its obligations hereunder arising out of or caused by, directly or indirectly, forces beyond its control, including, without limitation,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00"/>
          </w:cols>
          <w:pgMar w:left="240" w:top="274" w:right="259" w:bottom="1440" w:gutter="0" w:footer="0" w:header="0"/>
        </w:sectPr>
      </w:pPr>
    </w:p>
    <w:bookmarkStart w:id="96" w:name="page97"/>
    <w:bookmarkEnd w:id="96"/>
    <w:p>
      <w:pPr>
        <w:ind w:right="2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that are consistent with accepted practices in the banking industry to resume performance as soon as practicable under the circumstances.</w:t>
      </w:r>
    </w:p>
    <w:p>
      <w:pPr>
        <w:spacing w:after="0" w:line="14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16.15. </w:t>
      </w:r>
      <w:r>
        <w:rPr>
          <w:rFonts w:ascii="Arial" w:cs="Arial" w:eastAsia="Arial" w:hAnsi="Arial"/>
          <w:sz w:val="18"/>
          <w:szCs w:val="18"/>
          <w:i w:val="1"/>
          <w:iCs w:val="1"/>
          <w:color w:val="auto"/>
        </w:rPr>
        <w:t>Calculations</w:t>
      </w:r>
      <w:r>
        <w:rPr>
          <w:rFonts w:ascii="Arial" w:cs="Arial" w:eastAsia="Arial" w:hAnsi="Arial"/>
          <w:sz w:val="18"/>
          <w:szCs w:val="18"/>
          <w:color w:val="auto"/>
        </w:rPr>
        <w:t>. Except as otherwise provided in Section 13.01(b)(i), the Company shall be responsible for making all calculations called for under the Notes. These calculations include, but are not limited to, determinations of the Last Reported Sale Prices of the Common Stock, accrued interest payable on the Notes and the Conversion Rate of the Notes. The Company shall make all these calculations in good faith and, absent manifest error, the Company’s calculations shall be final and binding on Holders of Notes.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 Notes upon the request of that Holder at the sole cost and expense of the Company.</w:t>
      </w:r>
    </w:p>
    <w:p>
      <w:pPr>
        <w:spacing w:after="0" w:line="18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 xml:space="preserve">Section 16.16. </w:t>
      </w:r>
      <w:r>
        <w:rPr>
          <w:rFonts w:ascii="Arial" w:cs="Arial" w:eastAsia="Arial" w:hAnsi="Arial"/>
          <w:sz w:val="18"/>
          <w:szCs w:val="18"/>
          <w:i w:val="1"/>
          <w:iCs w:val="1"/>
          <w:color w:val="auto"/>
        </w:rPr>
        <w:t>No Adverse Interpretation of Other Agreements</w:t>
      </w:r>
      <w:r>
        <w:rPr>
          <w:rFonts w:ascii="Arial" w:cs="Arial" w:eastAsia="Arial" w:hAnsi="Arial"/>
          <w:sz w:val="18"/>
          <w:szCs w:val="18"/>
          <w:color w:val="auto"/>
        </w:rPr>
        <w:t>. Other than the Notes and any supplemental indenture hereto, this Indenture may not be used to interpret any other indenture, loan or debt agreement of the Company or any of its Subsidiaries or of any other Person. Any such indenture, loan or debt agreement may not be used to interpret this Indenture.</w:t>
      </w:r>
    </w:p>
    <w:p>
      <w:pPr>
        <w:spacing w:after="0" w:line="18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 xml:space="preserve">Section 16.17. </w:t>
      </w:r>
      <w:r>
        <w:rPr>
          <w:rFonts w:ascii="Arial" w:cs="Arial" w:eastAsia="Arial" w:hAnsi="Arial"/>
          <w:sz w:val="16"/>
          <w:szCs w:val="16"/>
          <w:i w:val="1"/>
          <w:iCs w:val="1"/>
          <w:color w:val="auto"/>
        </w:rPr>
        <w:t>U.S.A. Patriot Act</w:t>
      </w:r>
      <w:r>
        <w:rPr>
          <w:rFonts w:ascii="Arial" w:cs="Arial" w:eastAsia="Arial" w:hAnsi="Arial"/>
          <w:sz w:val="16"/>
          <w:szCs w:val="16"/>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5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Section 16.18. </w:t>
      </w:r>
      <w:r>
        <w:rPr>
          <w:rFonts w:ascii="Arial" w:cs="Arial" w:eastAsia="Arial" w:hAnsi="Arial"/>
          <w:sz w:val="18"/>
          <w:szCs w:val="18"/>
          <w:i w:val="1"/>
          <w:iCs w:val="1"/>
          <w:color w:val="auto"/>
        </w:rPr>
        <w:t>Disclosures to the Trustee</w:t>
      </w:r>
      <w:r>
        <w:rPr>
          <w:rFonts w:ascii="Arial" w:cs="Arial" w:eastAsia="Arial" w:hAnsi="Arial"/>
          <w:sz w:val="18"/>
          <w:szCs w:val="18"/>
          <w:color w:val="auto"/>
        </w:rPr>
        <w:t>. In order to comply with applicable tax laws (inclusive of rules, regulations and interpretations promulgated by competent authorities) related to the Indenture and Notes in effect from time to time (the “</w:t>
      </w:r>
      <w:r>
        <w:rPr>
          <w:rFonts w:ascii="Arial" w:cs="Arial" w:eastAsia="Arial" w:hAnsi="Arial"/>
          <w:sz w:val="18"/>
          <w:szCs w:val="18"/>
          <w:b w:val="1"/>
          <w:bCs w:val="1"/>
          <w:color w:val="auto"/>
        </w:rPr>
        <w:t>Applicable Law</w:t>
      </w:r>
      <w:r>
        <w:rPr>
          <w:rFonts w:ascii="Arial" w:cs="Arial" w:eastAsia="Arial" w:hAnsi="Arial"/>
          <w:sz w:val="18"/>
          <w:szCs w:val="18"/>
          <w:color w:val="auto"/>
        </w:rPr>
        <w:t>”) that a foreign financial institution, issuer, trustee, paying agent or other party is or has agreed to be subject to, the Company agrees to the extent permitted under applicable law, to use commercially reasonable efforts to provide to the Trustee information requested by the Trustee that is in the Company’s possession and that is reasonably required about the parties and/or transactions (including any modification to the terms of such transactions) so the Trustee can determine whether it has tax related obligations under Applicable Law.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00"/>
          </w:cols>
          <w:pgMar w:left="240" w:top="274" w:right="259" w:bottom="1440" w:gutter="0" w:footer="0" w:header="0"/>
        </w:sectPr>
      </w:pPr>
    </w:p>
    <w:bookmarkStart w:id="97" w:name="page98"/>
    <w:bookmarkEnd w:id="9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as of the date first written above.</w:t>
      </w: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Joshua Easterly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Joshua Easterly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Co-Chief Executive Officer</w:t>
            </w:r>
          </w:p>
        </w:tc>
      </w:tr>
    </w:tbl>
    <w:p>
      <w:pPr>
        <w:spacing w:after="0" w:line="202" w:lineRule="exact"/>
        <w:rPr>
          <w:sz w:val="20"/>
          <w:szCs w:val="20"/>
          <w:color w:val="auto"/>
        </w:rPr>
      </w:pPr>
    </w:p>
    <w:p>
      <w:pPr>
        <w:jc w:val="right"/>
        <w:ind w:right="300"/>
        <w:spacing w:after="0"/>
        <w:rPr>
          <w:sz w:val="20"/>
          <w:szCs w:val="20"/>
          <w:color w:val="auto"/>
        </w:rPr>
      </w:pPr>
      <w:r>
        <w:rPr>
          <w:rFonts w:ascii="Arial" w:cs="Arial" w:eastAsia="Arial" w:hAnsi="Arial"/>
          <w:sz w:val="18"/>
          <w:szCs w:val="18"/>
          <w:color w:val="auto"/>
        </w:rPr>
        <w:t>WELLS FARGO BANK, NATIONAL ASSOCIATION, as</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Maddy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14605</wp:posOffset>
            </wp:positionV>
            <wp:extent cx="25215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Maddy Hughes</w:t>
      </w:r>
    </w:p>
    <w:p>
      <w:pPr>
        <w:spacing w:after="0" w:line="23"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0960"/>
          </w:cols>
          <w:pgMar w:left="700" w:top="274"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 FOLLOWING LEGEND IF A GLOBAL NOTE]</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[INCLUDE FOLLOWING LEGEND IF A RESTRICTED SECURITY]</w:t>
      </w:r>
    </w:p>
    <w:p>
      <w:pPr>
        <w:spacing w:after="0" w:line="22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SECURITY AND THE COMMON STOCK, IF ANY, ISSUABLE UPON CONVERSION OF THIS SECURITY HAVE NOT BEEN REGISTERED UNDER THE SECURITIES ACT OF 1933, AS AMENDED (THE “SECURITIES ACT”), AND MAY NOT BE OFFERED, SOLD, PLEDGED OR OTHERWISE TRANSFERRED EXCEPT IN ACCORDANCE WITH THE FOLLOWING SENTENCE. BY ITS ACQUISITION HEREOF OR OF A BENEFICIAL INTEREST HEREIN, THE ACQUIRER:</w:t>
      </w:r>
    </w:p>
    <w:p>
      <w:pPr>
        <w:spacing w:after="0" w:line="79" w:lineRule="exact"/>
        <w:rPr>
          <w:sz w:val="20"/>
          <w:szCs w:val="20"/>
          <w:color w:val="auto"/>
        </w:rPr>
      </w:pPr>
    </w:p>
    <w:p>
      <w:pPr>
        <w:ind w:left="460" w:right="80" w:firstLine="443"/>
        <w:spacing w:after="0" w:line="264" w:lineRule="auto"/>
        <w:tabs>
          <w:tab w:leader="none" w:pos="1153"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REPRESENTS THAT IT AND ANY ACCOUNT FOR WHICH IT IS ACTING IS A “QUALIFIED INSTITUTIONAL BUYER” (WITHIN THE MEANING OF RULE 144A UNDER THE SECURITIES ACT) AND THAT IT EXERCISES SOLE INVESTMENT DISCRETION WITH RESPECT TO EACH SUCH ACCOUNT, AND</w:t>
      </w:r>
    </w:p>
    <w:p>
      <w:pPr>
        <w:spacing w:after="0" w:line="73" w:lineRule="exact"/>
        <w:rPr>
          <w:rFonts w:ascii="Arial" w:cs="Arial" w:eastAsia="Arial" w:hAnsi="Arial"/>
          <w:sz w:val="18"/>
          <w:szCs w:val="18"/>
          <w:color w:val="auto"/>
        </w:rPr>
      </w:pPr>
    </w:p>
    <w:p>
      <w:pPr>
        <w:ind w:left="460" w:right="80" w:firstLine="443"/>
        <w:spacing w:after="0" w:line="257" w:lineRule="auto"/>
        <w:tabs>
          <w:tab w:leader="none" w:pos="1153" w:val="left"/>
        </w:tabs>
        <w:numPr>
          <w:ilvl w:val="0"/>
          <w:numId w:val="93"/>
        </w:numPr>
        <w:rPr>
          <w:rFonts w:ascii="Arial" w:cs="Arial" w:eastAsia="Arial" w:hAnsi="Arial"/>
          <w:sz w:val="18"/>
          <w:szCs w:val="18"/>
          <w:color w:val="auto"/>
        </w:rPr>
      </w:pPr>
      <w:r>
        <w:rPr>
          <w:rFonts w:ascii="Arial" w:cs="Arial" w:eastAsia="Arial" w:hAnsi="Arial"/>
          <w:sz w:val="18"/>
          <w:szCs w:val="18"/>
          <w:color w:val="auto"/>
        </w:rPr>
        <w:t>AGREES FOR THE BENEFIT OF THE COMPANY THAT IT WILL NOT OFFER, SELL, PLEDGE OR OTHERWISE TRANSFER THIS SECURITY OR ANY BENEFICIAL INTEREST HEREIN PRIOR TO THE DATE THAT IS THE LATER OF (X) ONE YEAR AFTER THE LAST ORIGINAL ISSUE DATE HEREOF OR SUCH SHORTER PERIOD OF TIME AS PERMITTED BY RULE 144 UNDER THE SECURITIES ACT OR ANY SUCCESSOR PROVISION THERETO, AND (Y) SUCH LATER DATE, IF ANY, AS MAY BE REQUIRED BY APPLICABLE LAW, EXCEPT:</w:t>
      </w:r>
    </w:p>
    <w:p>
      <w:pPr>
        <w:spacing w:after="0" w:line="80" w:lineRule="exact"/>
        <w:rPr>
          <w:rFonts w:ascii="Arial" w:cs="Arial" w:eastAsia="Arial" w:hAnsi="Arial"/>
          <w:sz w:val="18"/>
          <w:szCs w:val="18"/>
          <w:color w:val="auto"/>
        </w:rPr>
      </w:pPr>
    </w:p>
    <w:p>
      <w:pPr>
        <w:ind w:left="1640" w:hanging="299"/>
        <w:spacing w:after="0"/>
        <w:tabs>
          <w:tab w:leader="none" w:pos="1640" w:val="left"/>
        </w:tabs>
        <w:numPr>
          <w:ilvl w:val="1"/>
          <w:numId w:val="93"/>
        </w:numPr>
        <w:rPr>
          <w:rFonts w:ascii="Arial" w:cs="Arial" w:eastAsia="Arial" w:hAnsi="Arial"/>
          <w:sz w:val="18"/>
          <w:szCs w:val="18"/>
          <w:color w:val="auto"/>
        </w:rPr>
      </w:pPr>
      <w:r>
        <w:rPr>
          <w:rFonts w:ascii="Arial" w:cs="Arial" w:eastAsia="Arial" w:hAnsi="Arial"/>
          <w:sz w:val="18"/>
          <w:szCs w:val="18"/>
          <w:color w:val="auto"/>
        </w:rPr>
        <w:t>TO TPG SPECIALTY LENDING, INC. (THE “COMPANY”) OR ANY CONSOLIDATED SUBSIDIARY THEREOF, OR</w:t>
      </w:r>
    </w:p>
    <w:p>
      <w:pPr>
        <w:spacing w:after="0" w:line="117" w:lineRule="exact"/>
        <w:rPr>
          <w:rFonts w:ascii="Arial" w:cs="Arial" w:eastAsia="Arial" w:hAnsi="Arial"/>
          <w:sz w:val="18"/>
          <w:szCs w:val="18"/>
          <w:color w:val="auto"/>
        </w:rPr>
      </w:pPr>
    </w:p>
    <w:p>
      <w:pPr>
        <w:ind w:left="5580" w:right="260" w:hanging="4239"/>
        <w:spacing w:after="0" w:line="449" w:lineRule="auto"/>
        <w:tabs>
          <w:tab w:leader="none" w:pos="1632" w:val="left"/>
        </w:tabs>
        <w:numPr>
          <w:ilvl w:val="1"/>
          <w:numId w:val="93"/>
        </w:numPr>
        <w:rPr>
          <w:rFonts w:ascii="Arial" w:cs="Arial" w:eastAsia="Arial" w:hAnsi="Arial"/>
          <w:sz w:val="18"/>
          <w:szCs w:val="18"/>
          <w:color w:val="auto"/>
        </w:rPr>
      </w:pPr>
      <w:r>
        <w:rPr>
          <w:rFonts w:ascii="Arial" w:cs="Arial" w:eastAsia="Arial" w:hAnsi="Arial"/>
          <w:sz w:val="18"/>
          <w:szCs w:val="18"/>
          <w:color w:val="auto"/>
        </w:rPr>
        <w:t>PURSUANT TO A REGISTRATION STATEMENT WHICH HAS BECOME EFFECTIVE UNDER THE SECURITIES ACT, OR A-1</w:t>
      </w:r>
    </w:p>
    <w:p>
      <w:pPr>
        <w:sectPr>
          <w:pgSz w:w="11900" w:h="16838" w:orient="portrait"/>
          <w:cols w:equalWidth="0" w:num="1">
            <w:col w:w="11420"/>
          </w:cols>
          <w:pgMar w:left="240" w:top="270" w:right="239" w:bottom="1440" w:gutter="0" w:footer="0" w:header="0"/>
        </w:sectPr>
      </w:pPr>
    </w:p>
    <w:bookmarkStart w:id="99" w:name="page100"/>
    <w:bookmarkEnd w:id="99"/>
    <w:p>
      <w:pPr>
        <w:ind w:left="1620" w:hanging="279"/>
        <w:spacing w:after="0"/>
        <w:tabs>
          <w:tab w:leader="none" w:pos="1620" w:val="left"/>
        </w:tabs>
        <w:numPr>
          <w:ilvl w:val="0"/>
          <w:numId w:val="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 QUALIFIED INSTITUTIONAL BUYER IN COMPLIANCE WITH RULE 144A UNDER THE SECURITIES ACT, OR</w:t>
      </w:r>
    </w:p>
    <w:p>
      <w:pPr>
        <w:spacing w:after="0" w:line="117" w:lineRule="exact"/>
        <w:rPr>
          <w:rFonts w:ascii="Arial" w:cs="Arial" w:eastAsia="Arial" w:hAnsi="Arial"/>
          <w:sz w:val="18"/>
          <w:szCs w:val="18"/>
          <w:color w:val="auto"/>
        </w:rPr>
      </w:pPr>
    </w:p>
    <w:p>
      <w:pPr>
        <w:ind w:left="920" w:right="340" w:firstLine="421"/>
        <w:spacing w:after="0" w:line="277" w:lineRule="auto"/>
        <w:tabs>
          <w:tab w:leader="none" w:pos="1635" w:val="left"/>
        </w:tabs>
        <w:numPr>
          <w:ilvl w:val="0"/>
          <w:numId w:val="94"/>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0"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THE RESALE RESTRICTION TERMINATION DATE WILL BE THE DATE (1) THAT IS AT LEAST ONE YEAR AFTER THE LAST ORIGINAL ISSUE DATE HEREOF; AND (2) ON WHICH THE COMPANY INSTRUCTS THE TRUSTEE THAT THIS LEGEND SHALL BE DEEMED REMOVED FROM THIS SECURITY, IN ACCORDANCE WITH THE PROCEDURES DESCRIBED IN THE INDENTURE RELATING TO THIS SECURITY.</w:t>
      </w:r>
    </w:p>
    <w:p>
      <w:pPr>
        <w:spacing w:after="0" w:line="166"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PRIOR TO THE REGISTRATION OF ANY TRANSFER IN ACCORDANCE WITH (2)(D) ABOVE, THE COMPANY AND THE TRUSTEE RESERVE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w:t>
      </w:r>
    </w:p>
    <w:p>
      <w:pPr>
        <w:spacing w:after="0" w:line="184" w:lineRule="exact"/>
        <w:rPr>
          <w:sz w:val="20"/>
          <w:szCs w:val="20"/>
          <w:color w:val="auto"/>
        </w:rPr>
      </w:pPr>
    </w:p>
    <w:p>
      <w:pPr>
        <w:ind w:right="80" w:firstLine="456"/>
        <w:spacing w:after="0" w:line="289" w:lineRule="auto"/>
        <w:rPr>
          <w:sz w:val="20"/>
          <w:szCs w:val="20"/>
          <w:color w:val="auto"/>
        </w:rPr>
      </w:pPr>
      <w:r>
        <w:rPr>
          <w:rFonts w:ascii="Arial" w:cs="Arial" w:eastAsia="Arial" w:hAnsi="Arial"/>
          <w:sz w:val="17"/>
          <w:szCs w:val="17"/>
          <w:color w:val="auto"/>
        </w:rPr>
        <w:t>NO AFFILIATE (AS DEFINED IN RULE 144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OF THE COMPANY OR PERSON THAT HAS BEEN AN AFFILIATE (AS DEFINED IN RULE 144 UNDER THE SECURITIES ACT) OF THE COMPANY DURING THE THREE IMMEDIATELY PRECEDING MONTHS MAY RESELL THIS NOTE OR A BENEFICIAL INTEREST HEREIN.</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274" w:right="259" w:bottom="1440" w:gutter="0" w:footer="0" w:header="0"/>
        </w:sectPr>
      </w:pPr>
    </w:p>
    <w:bookmarkStart w:id="100" w:name="page101"/>
    <w:bookmarkEnd w:id="100"/>
    <w:p>
      <w:pPr>
        <w:ind w:left="4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TPG SPECIALTY LENDING, INC.</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4.50% Convertible Senior Note due 2022</w:t>
      </w:r>
    </w:p>
    <w:p>
      <w:pPr>
        <w:spacing w:after="0" w:line="238" w:lineRule="exact"/>
        <w:rPr>
          <w:sz w:val="20"/>
          <w:szCs w:val="20"/>
          <w:color w:val="auto"/>
        </w:rPr>
      </w:pPr>
    </w:p>
    <w:p>
      <w:pPr>
        <w:spacing w:after="0"/>
        <w:tabs>
          <w:tab w:leader="none" w:pos="900" w:val="left"/>
          <w:tab w:leader="none" w:pos="10040" w:val="left"/>
          <w:tab w:leader="none" w:pos="11340" w:val="left"/>
        </w:tabs>
        <w:rPr>
          <w:sz w:val="20"/>
          <w:szCs w:val="20"/>
          <w:color w:val="auto"/>
        </w:rPr>
      </w:pPr>
      <w:r>
        <w:rPr>
          <w:rFonts w:ascii="Arial" w:cs="Arial" w:eastAsia="Arial" w:hAnsi="Arial"/>
          <w:sz w:val="18"/>
          <w:szCs w:val="18"/>
          <w:color w:val="auto"/>
        </w:rPr>
        <w:t>No. [</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Initially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CUSIP No. 87265KAC6*</w:t>
      </w:r>
    </w:p>
    <w:p>
      <w:pPr>
        <w:spacing w:after="0" w:line="221" w:lineRule="exact"/>
        <w:rPr>
          <w:sz w:val="20"/>
          <w:szCs w:val="20"/>
          <w:color w:val="auto"/>
        </w:rPr>
      </w:pPr>
    </w:p>
    <w:p>
      <w:pPr>
        <w:ind w:right="200" w:firstLine="456"/>
        <w:spacing w:after="0" w:line="274" w:lineRule="auto"/>
        <w:rPr>
          <w:sz w:val="20"/>
          <w:szCs w:val="20"/>
          <w:color w:val="auto"/>
        </w:rPr>
      </w:pPr>
      <w:r>
        <w:rPr>
          <w:rFonts w:ascii="Arial" w:cs="Arial" w:eastAsia="Arial" w:hAnsi="Arial"/>
          <w:sz w:val="17"/>
          <w:szCs w:val="17"/>
          <w:color w:val="auto"/>
        </w:rPr>
        <w:t>TPG Specialty Lending, Inc., a corporation duly organized and validly existing under the laws of the State of Delaware (the “</w:t>
      </w:r>
      <w:r>
        <w:rPr>
          <w:rFonts w:ascii="Arial" w:cs="Arial" w:eastAsia="Arial" w:hAnsi="Arial"/>
          <w:sz w:val="17"/>
          <w:szCs w:val="17"/>
          <w:b w:val="1"/>
          <w:bCs w:val="1"/>
          <w:color w:val="auto"/>
        </w:rPr>
        <w:t>Company</w:t>
      </w:r>
      <w:r>
        <w:rPr>
          <w:rFonts w:ascii="Arial" w:cs="Arial" w:eastAsia="Arial" w:hAnsi="Arial"/>
          <w:sz w:val="17"/>
          <w:szCs w:val="17"/>
          <w:color w:val="auto"/>
        </w:rPr>
        <w:t>,” which term includes any successor corporation or other entity under the Indenture referred to on the reverse hereof), for value received hereby promises to pay to CEDE &amp; CO., or registered assigns, the principal sum as set forth in the “Schedule of Exchanges of Notes” attached hereto, which amount, taken together with the principal amount of all other outstanding Notes, shall not, unless permitted by the Indenture, exceed $100,000,000 (or $115,000,000 if the Initial Purchasers exercise their over-allotment option to purchase additional Notes in full as set forth in the Purchase Agreement) at any time, in accordance with the rules and procedures of the Depositary, on August 1, 2022, and interest thereon as set forth below.</w:t>
      </w:r>
    </w:p>
    <w:p>
      <w:pPr>
        <w:spacing w:after="0" w:line="17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This Note shall bear interest at the rate of 4.50% per year from February 1, 2017, or from the most recent date to which interest had been paid or provided for to, but excluding, the next scheduled Interest Payment Date until August 1, 2022. Interest is payable semi-annually in arrears on each February 1 and August 1, commencing on August 1, 2017, to Holders of record at the close of business on the preceding January 15 and July 15 (whether or not such day is a Business Day), respectively. Additional Interest will be payable as set forth in Section 4.06(d) and Section 6.03 of the within-mentioned Indenture, and any reference to interest on, or in respect of, any Note therein shall be deemed to include Additional Interest if, in such context, Additional Interest is, was or would be payable pursuant to any of such Section 4.06(d) or Section 6.03 and any express mention of the payment of Additional Interest in any provision therein shall not be construed as excluding Additional Interest in those provisions thereof where such express mention is not made.</w:t>
      </w:r>
    </w:p>
    <w:p>
      <w:pPr>
        <w:spacing w:after="0" w:line="16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Any Defaulted Amounts shall accrue interest per annum at the rate or rates, if any, specified in this Note, subject to the enforceability thereof under applicable law, from, and including, the relevant payment date to, but excluding, the date on which such Defaulted Amounts shall have been paid by the Company, at its election, in accordance with Section 2.03(c) of the Indenture.</w:t>
      </w:r>
    </w:p>
    <w:p>
      <w:pPr>
        <w:spacing w:after="0" w:line="181"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Company shall pay the principal of and interest on this Note, so long as such Note is a Global Note, in immediately available funds to the Depositary or its nominee, as the case may be, as the registered Holder of such Note. As provided in and subject to the provisions of the Indenture, the Company shall pay the principal of any Notes (other than Notes that are Global Notes) at the office or agency designated by the Company for that purpose. The Company has initially designated the Trustee as its Paying Agent and Note Registrar in respect of the Notes and its agency in New York, New York as a place where Notes may be presented for payment or for registration of transfer.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420"/>
          </w:cols>
          <w:pgMar w:left="240" w:top="274" w:right="239" w:bottom="1440" w:gutter="0" w:footer="0" w:header="0"/>
        </w:sectPr>
      </w:pPr>
    </w:p>
    <w:bookmarkStart w:id="101" w:name="page102"/>
    <w:bookmarkEnd w:id="101"/>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 is made to the further provisions of this Note set forth on the reverse hereof, including, without limitation, provisions giving the Holder of this Note the right to convert this Note into cash, shares of Common Stock or a combination of cash and shares of Common Stock, as applicable, on the terms and subject to the limitations set forth in the Indenture. Such further provisions shall for all purposes have the same effect as though fully set forth at this place.</w:t>
      </w:r>
    </w:p>
    <w:p>
      <w:pPr>
        <w:spacing w:after="0" w:line="92" w:lineRule="exact"/>
        <w:rPr>
          <w:sz w:val="20"/>
          <w:szCs w:val="20"/>
          <w:color w:val="auto"/>
        </w:rPr>
      </w:pPr>
    </w:p>
    <w:p>
      <w:pPr>
        <w:ind w:left="220" w:right="340" w:hanging="212"/>
        <w:spacing w:after="0" w:line="277" w:lineRule="auto"/>
        <w:tabs>
          <w:tab w:leader="none" w:pos="2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Subject to terms and conditions of the Indenture, at such time as the Company notifies the Trustee to remove the restrictive legend pursuant to Section 2.05(c) of the Indenture, the CUSIP number for this Note shall be deemed to be CUSIP No. 87265KAD4.</w:t>
      </w:r>
    </w:p>
    <w:p>
      <w:pPr>
        <w:spacing w:after="0" w:line="166"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b w:val="1"/>
          <w:bCs w:val="1"/>
          <w:color w:val="auto"/>
        </w:rPr>
        <w:t>This Note shall be construed in accordance with and governed by the laws of the State of New York (without regard to the conflicts of laws provisions thereof that would cause the application of the laws of another jurisdiction).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any conflict between this Note and the Indenture, the provisions of the Indenture shall control and govern.</w:t>
      </w:r>
    </w:p>
    <w:p>
      <w:pPr>
        <w:spacing w:after="0" w:line="22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This Note shall not be valid or become obligatory for any purpose until the certificate of authentication hereon shall have been manually signed by the Trustee or a duly authorized authenticating agent under the Indenture.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380"/>
          </w:cols>
          <w:pgMar w:left="240" w:top="274" w:right="279" w:bottom="1440" w:gutter="0" w:footer="0" w:header="0"/>
        </w:sectPr>
      </w:pPr>
    </w:p>
    <w:bookmarkStart w:id="102" w:name="page103"/>
    <w:bookmarkEnd w:id="102"/>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Company has caused this Note to be duly executed.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ind w:right="2060"/>
        <w:spacing w:after="0" w:line="279" w:lineRule="auto"/>
        <w:rPr>
          <w:sz w:val="20"/>
          <w:szCs w:val="20"/>
          <w:color w:val="auto"/>
        </w:rPr>
      </w:pPr>
      <w:r>
        <w:rPr>
          <w:rFonts w:ascii="Arial" w:cs="Arial" w:eastAsia="Arial" w:hAnsi="Arial"/>
          <w:sz w:val="17"/>
          <w:szCs w:val="17"/>
          <w:color w:val="auto"/>
        </w:rPr>
        <w:t>TRUSTEE’S CERTIFICATE OF AUTHENTICATIONWELLS FARGO BANK, NATIONAL ASSOCIATIONas Trustee, certifies that this is one of the Notes describedin the within-named Indenture.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14605</wp:posOffset>
            </wp:positionV>
            <wp:extent cx="265874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TPG SPECIALTY LENDING, INC.</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15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2">
            <w:col w:w="6440" w:space="420"/>
            <w:col w:w="3359"/>
          </w:cols>
          <w:pgMar w:left="240" w:top="274" w:right="1440"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OF NOTE]</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4.50% Convertible Senior Note due 2022</w:t>
      </w:r>
    </w:p>
    <w:p>
      <w:pPr>
        <w:spacing w:after="0" w:line="207" w:lineRule="exact"/>
        <w:rPr>
          <w:sz w:val="20"/>
          <w:szCs w:val="20"/>
          <w:color w:val="auto"/>
        </w:rPr>
      </w:pPr>
    </w:p>
    <w:p>
      <w:pPr>
        <w:ind w:firstLine="456"/>
        <w:spacing w:after="0" w:line="295" w:lineRule="auto"/>
        <w:rPr>
          <w:sz w:val="20"/>
          <w:szCs w:val="20"/>
          <w:color w:val="auto"/>
        </w:rPr>
      </w:pPr>
      <w:r>
        <w:rPr>
          <w:rFonts w:ascii="Arial" w:cs="Arial" w:eastAsia="Arial" w:hAnsi="Arial"/>
          <w:sz w:val="16"/>
          <w:szCs w:val="16"/>
          <w:color w:val="auto"/>
        </w:rPr>
        <w:t>This Note is one of a duly authorized issue of Notes of the Company, designated as its 4.50% Convertible Senior Notes due 2022 (the “</w:t>
      </w:r>
      <w:r>
        <w:rPr>
          <w:rFonts w:ascii="Arial" w:cs="Arial" w:eastAsia="Arial" w:hAnsi="Arial"/>
          <w:sz w:val="16"/>
          <w:szCs w:val="16"/>
          <w:b w:val="1"/>
          <w:bCs w:val="1"/>
          <w:color w:val="auto"/>
        </w:rPr>
        <w:t>Notes</w:t>
      </w:r>
      <w:r>
        <w:rPr>
          <w:rFonts w:ascii="Arial" w:cs="Arial" w:eastAsia="Arial" w:hAnsi="Arial"/>
          <w:sz w:val="16"/>
          <w:szCs w:val="16"/>
          <w:color w:val="auto"/>
        </w:rPr>
        <w:t>”), limited to the aggregate principal amount of $100,000,000 (or $115,000,000 if the Initial Purchasers exercise their over-allotment option to purchase additional Notes in full as set forth in the Purchase Agreement), all issued or to be issued under and pursuant to an Indenture dated as of February 1, 2017 (the “</w:t>
      </w:r>
      <w:r>
        <w:rPr>
          <w:rFonts w:ascii="Arial" w:cs="Arial" w:eastAsia="Arial" w:hAnsi="Arial"/>
          <w:sz w:val="16"/>
          <w:szCs w:val="16"/>
          <w:b w:val="1"/>
          <w:bCs w:val="1"/>
          <w:color w:val="auto"/>
        </w:rPr>
        <w:t>Indenture</w:t>
      </w:r>
      <w:r>
        <w:rPr>
          <w:rFonts w:ascii="Arial" w:cs="Arial" w:eastAsia="Arial" w:hAnsi="Arial"/>
          <w:sz w:val="16"/>
          <w:szCs w:val="16"/>
          <w:color w:val="auto"/>
        </w:rPr>
        <w:t>”), between the Company and Wells Fargo Bank, National Association (the “</w:t>
      </w:r>
      <w:r>
        <w:rPr>
          <w:rFonts w:ascii="Arial" w:cs="Arial" w:eastAsia="Arial" w:hAnsi="Arial"/>
          <w:sz w:val="16"/>
          <w:szCs w:val="16"/>
          <w:b w:val="1"/>
          <w:bCs w:val="1"/>
          <w:color w:val="auto"/>
        </w:rPr>
        <w:t>Trustee</w:t>
      </w:r>
      <w:r>
        <w:rPr>
          <w:rFonts w:ascii="Arial" w:cs="Arial" w:eastAsia="Arial" w:hAnsi="Arial"/>
          <w:sz w:val="16"/>
          <w:szCs w:val="16"/>
          <w:color w:val="auto"/>
        </w:rPr>
        <w:t>”), to which Indenture and all indentures supplemental thereto reference is hereby made for a description of the rights, limitations of rights, obligations, duties and immunities thereunder of the Trustee, the Company and the Holders of the Notes. Additional Notes may be issued in an unlimited aggregate principal amount, subject to certain conditions specified in the Indenture.</w:t>
      </w:r>
    </w:p>
    <w:p>
      <w:pPr>
        <w:spacing w:after="0" w:line="160" w:lineRule="exact"/>
        <w:rPr>
          <w:sz w:val="20"/>
          <w:szCs w:val="20"/>
          <w:color w:val="auto"/>
        </w:rPr>
      </w:pPr>
    </w:p>
    <w:p>
      <w:pPr>
        <w:ind w:right="200" w:firstLine="456"/>
        <w:spacing w:after="0" w:line="286" w:lineRule="auto"/>
        <w:rPr>
          <w:sz w:val="20"/>
          <w:szCs w:val="20"/>
          <w:color w:val="auto"/>
        </w:rPr>
      </w:pPr>
      <w:r>
        <w:rPr>
          <w:rFonts w:ascii="Arial" w:cs="Arial" w:eastAsia="Arial" w:hAnsi="Arial"/>
          <w:sz w:val="17"/>
          <w:szCs w:val="17"/>
          <w:color w:val="auto"/>
        </w:rPr>
        <w:t>In case an Event of Default, as defined in the Indenture, shall have occurred and be continuing, the principal of, and interest on, all Notes may be declared, by either the Trustee or Holders of at least 25% in aggregate principal amount of Notes then outstanding, and upon said declaration shall become, due and payable, in the manner, with the effect and subject to the conditions and certain exceptions set forth in the Indenture.</w:t>
      </w:r>
    </w:p>
    <w:p>
      <w:pPr>
        <w:spacing w:after="0" w:line="16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Subject to the terms and conditions of the Indenture, the Company will make all payments in respect of the Fundamental Change Repurchase Price and the principal amount on the Maturity Date, as the case may be, to the Holder who surrenders a Note to a Paying Agent to collect such payments in respect of the Note. The Company will pay cash amounts in money of the United States that at the time of payment is legal tender for payment of public and private debts.</w:t>
      </w:r>
    </w:p>
    <w:p>
      <w:pPr>
        <w:spacing w:after="0" w:line="187"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Indenture contains provisions permitting the Company and the Trustee in certain circumstances, without the consent of the Holders of the Notes, and in certain other circumstances, with the consent of the Holders of not less than a majority in aggregate principal amount of the Notes at the time outstanding, evidenced as in the Indenture provided, to execute supplemental indentures modifying the terms of the Indenture and the Notes as described therein. It is also provided in the Indenture that, subject to certain exceptions, the Holders of a majority in aggregate principal amount of the Notes at the time outstanding may on behalf of the Holders of all of the Notes waive any past Default or Event of Default under the Indenture and its consequences.</w:t>
      </w:r>
    </w:p>
    <w:p>
      <w:pPr>
        <w:spacing w:after="0" w:line="15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No reference herein to the Indenture and no provision of this Note or of the Indenture shall alter or impair the obligation of the Company, which is absolute and unconditional, to pay or deliver, as the case may be, the principal of, the Fundamental Change Repurchase Price, if applicable, of, accrued and unpaid interest on and amounts due upon conversion of this Note at the place, at the respective times, at the rate and in the lawful money or other consideration herein prescribed.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274" w:right="279" w:bottom="1440" w:gutter="0" w:footer="0" w:header="0"/>
        </w:sectPr>
      </w:pPr>
    </w:p>
    <w:bookmarkStart w:id="104" w:name="page105"/>
    <w:bookmarkEnd w:id="104"/>
    <w:p>
      <w:pPr>
        <w:ind w:firstLine="45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Notes are issuable in registered form without coupons in denominations of $1,000 principal amount and integral multiples thereof. At the office or agency of the Company referred to on the face hereof, and in the manner and subject to the limitations provided in the Indenture, Notes may be exchanged for a like aggregate principal amount of Notes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Notes issued upon such exchange of Notes being different from the name of the Holder of the old Notes surrendered for such exchange.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are not subject to redemption through the operation of any sinking fund or otherwise.</w:t>
      </w:r>
    </w:p>
    <w:p>
      <w:pPr>
        <w:spacing w:after="0" w:line="225"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Upon the occurrence of a Fundamental Change, the Holder has the right, at such Holder’s option, to require the Company to repurchase for cash all of such Holder’s Notes or any portion thereof (in principal amounts of $1,000 or integral multiples thereof) on the Fundamental Change Repurchase Date at a price equal to the Fundamental Change Repurchase Price.</w:t>
      </w:r>
    </w:p>
    <w:p>
      <w:pPr>
        <w:spacing w:after="0" w:line="181" w:lineRule="exact"/>
        <w:rPr>
          <w:sz w:val="20"/>
          <w:szCs w:val="20"/>
          <w:color w:val="auto"/>
        </w:rPr>
      </w:pPr>
    </w:p>
    <w:p>
      <w:pPr>
        <w:ind w:right="200" w:firstLine="456"/>
        <w:spacing w:after="0" w:line="302" w:lineRule="auto"/>
        <w:rPr>
          <w:sz w:val="20"/>
          <w:szCs w:val="20"/>
          <w:color w:val="auto"/>
        </w:rPr>
      </w:pPr>
      <w:r>
        <w:rPr>
          <w:rFonts w:ascii="Arial" w:cs="Arial" w:eastAsia="Arial" w:hAnsi="Arial"/>
          <w:sz w:val="16"/>
          <w:szCs w:val="16"/>
          <w:color w:val="auto"/>
        </w:rPr>
        <w:t>Subject to the provisions of the Indenture, the Holder hereof has the right, at its option, during certain periods and upon the occurrence of certain conditions specified in the Indenture, prior to the close of business on the Scheduled Trading Day immediately preceding the Maturity Date, to convert any Notes or portion thereof that is $1,000 or an integral multiple thereof, into cash, shares of Common Stock or a combination of cash and shares of Common Stock, as applicable, at the Conversion Rate specified in the Indenture, as adjusted from time to time as provided in the Indenture.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used in this Note and defined in the Indenture are used herein as therein defined.</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40" w:top="274" w:right="279" w:bottom="1440" w:gutter="0" w:footer="0" w:header="0"/>
        </w:sectPr>
      </w:pPr>
    </w:p>
    <w:bookmarkStart w:id="105" w:name="page106"/>
    <w:bookmarkEnd w:id="105"/>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ABBREVIATIONS</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abbreviations, when used in the inscription of the face of this Note, shall be construed as though they were written out in full according to applicable laws or regulations: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TEN COM = as tenants in common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UNIF GIFT MIN ACT = Uniform Gifts to Minors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CUST = Custodian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TEN ENT = as tenants by the entireties</w:t>
      </w:r>
    </w:p>
    <w:p>
      <w:pPr>
        <w:spacing w:after="0" w:line="225" w:lineRule="exact"/>
        <w:rPr>
          <w:sz w:val="20"/>
          <w:szCs w:val="20"/>
          <w:color w:val="auto"/>
        </w:rPr>
      </w:pPr>
    </w:p>
    <w:p>
      <w:pPr>
        <w:ind w:left="460" w:right="5520" w:hanging="455"/>
        <w:spacing w:after="0" w:line="519" w:lineRule="auto"/>
        <w:rPr>
          <w:sz w:val="20"/>
          <w:szCs w:val="20"/>
          <w:color w:val="auto"/>
        </w:rPr>
      </w:pPr>
      <w:r>
        <w:rPr>
          <w:rFonts w:ascii="Arial" w:cs="Arial" w:eastAsia="Arial" w:hAnsi="Arial"/>
          <w:sz w:val="16"/>
          <w:szCs w:val="16"/>
          <w:color w:val="auto"/>
        </w:rPr>
        <w:t>JT TEN = joint tenants with right of survivorship and not as tenants in common Additional abbreviations may also be used though not in the above list.</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260"/>
          </w:cols>
          <w:pgMar w:left="240" w:top="274" w:right="39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2"/>
          </w:tcPr>
          <w:p>
            <w:pPr>
              <w:ind w:left="1280"/>
              <w:spacing w:after="0"/>
              <w:rPr>
                <w:sz w:val="20"/>
                <w:szCs w:val="20"/>
                <w:color w:val="auto"/>
              </w:rPr>
            </w:pPr>
            <w:r>
              <w:rPr>
                <w:rFonts w:ascii="Arial" w:cs="Arial" w:eastAsia="Arial" w:hAnsi="Arial"/>
                <w:sz w:val="18"/>
                <w:szCs w:val="18"/>
                <w:b w:val="1"/>
                <w:bCs w:val="1"/>
                <w:color w:val="auto"/>
                <w:w w:val="97"/>
              </w:rPr>
              <w:t>SCHEDULE A</w:t>
            </w:r>
          </w:p>
        </w:tc>
      </w:tr>
      <w:tr>
        <w:trPr>
          <w:trHeight w:val="432"/>
        </w:trPr>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0" w:type="dxa"/>
            <w:vAlign w:val="bottom"/>
            <w:gridSpan w:val="7"/>
          </w:tcPr>
          <w:p>
            <w:pPr>
              <w:jc w:val="center"/>
              <w:ind w:right="1468"/>
              <w:spacing w:after="0"/>
              <w:rPr>
                <w:sz w:val="20"/>
                <w:szCs w:val="20"/>
                <w:color w:val="auto"/>
              </w:rPr>
            </w:pPr>
            <w:r>
              <w:rPr>
                <w:rFonts w:ascii="Arial" w:cs="Arial" w:eastAsia="Arial" w:hAnsi="Arial"/>
                <w:sz w:val="18"/>
                <w:szCs w:val="18"/>
                <w:color w:val="auto"/>
                <w:w w:val="95"/>
              </w:rPr>
              <w:t>SCHEDULE OF EXCHANGES OF NOTES</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418"/>
        </w:trPr>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180" w:type="dxa"/>
            <w:vAlign w:val="bottom"/>
            <w:gridSpan w:val="6"/>
          </w:tcPr>
          <w:p>
            <w:pPr>
              <w:jc w:val="center"/>
              <w:spacing w:after="0"/>
              <w:rPr>
                <w:sz w:val="20"/>
                <w:szCs w:val="20"/>
                <w:color w:val="auto"/>
              </w:rPr>
            </w:pPr>
            <w:r>
              <w:rPr>
                <w:rFonts w:ascii="Arial" w:cs="Arial" w:eastAsia="Arial" w:hAnsi="Arial"/>
                <w:sz w:val="18"/>
                <w:szCs w:val="18"/>
                <w:color w:val="auto"/>
                <w:w w:val="96"/>
              </w:rPr>
              <w:t>TPG SPECIALTY LENDING, INC.</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180" w:type="dxa"/>
            <w:vAlign w:val="bottom"/>
            <w:gridSpan w:val="6"/>
          </w:tcPr>
          <w:p>
            <w:pPr>
              <w:jc w:val="center"/>
              <w:spacing w:after="0"/>
              <w:rPr>
                <w:sz w:val="20"/>
                <w:szCs w:val="20"/>
                <w:color w:val="auto"/>
              </w:rPr>
            </w:pPr>
            <w:r>
              <w:rPr>
                <w:rFonts w:ascii="Arial" w:cs="Arial" w:eastAsia="Arial" w:hAnsi="Arial"/>
                <w:sz w:val="18"/>
                <w:szCs w:val="18"/>
                <w:color w:val="auto"/>
                <w:w w:val="91"/>
              </w:rPr>
              <w:t>4.50% Convertible Senior Notes due 2022</w:t>
            </w: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18"/>
        </w:trPr>
        <w:tc>
          <w:tcPr>
            <w:tcW w:w="4080" w:type="dxa"/>
            <w:vAlign w:val="bottom"/>
            <w:gridSpan w:val="4"/>
          </w:tcPr>
          <w:p>
            <w:pPr>
              <w:ind w:left="460"/>
              <w:spacing w:after="0"/>
              <w:rPr>
                <w:sz w:val="20"/>
                <w:szCs w:val="20"/>
                <w:color w:val="auto"/>
              </w:rPr>
            </w:pPr>
            <w:r>
              <w:rPr>
                <w:rFonts w:ascii="Arial" w:cs="Arial" w:eastAsia="Arial" w:hAnsi="Arial"/>
                <w:sz w:val="18"/>
                <w:szCs w:val="18"/>
                <w:color w:val="auto"/>
                <w:w w:val="93"/>
              </w:rPr>
              <w:t>The initial principal amount of this Global Note is</w:t>
            </w:r>
          </w:p>
        </w:tc>
        <w:tc>
          <w:tcPr>
            <w:tcW w:w="4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8"/>
                <w:szCs w:val="18"/>
                <w:color w:val="auto"/>
              </w:rPr>
              <w:t>DOLLARS ($[</w:t>
            </w:r>
          </w:p>
        </w:tc>
        <w:tc>
          <w:tcPr>
            <w:tcW w:w="5460" w:type="dxa"/>
            <w:vAlign w:val="bottom"/>
            <w:gridSpan w:val="7"/>
          </w:tcPr>
          <w:p>
            <w:pPr>
              <w:spacing w:after="0"/>
              <w:rPr>
                <w:sz w:val="20"/>
                <w:szCs w:val="20"/>
                <w:color w:val="auto"/>
              </w:rPr>
            </w:pPr>
            <w:r>
              <w:rPr>
                <w:rFonts w:ascii="Arial" w:cs="Arial" w:eastAsia="Arial" w:hAnsi="Arial"/>
                <w:sz w:val="18"/>
                <w:szCs w:val="18"/>
                <w:color w:val="auto"/>
                <w:w w:val="97"/>
              </w:rPr>
              <w:t>]). The following increases or decreases in this Global Note have been</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made:</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73"/>
        </w:trPr>
        <w:tc>
          <w:tcPr>
            <w:tcW w:w="4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20" w:type="dxa"/>
            <w:vAlign w:val="bottom"/>
          </w:tcPr>
          <w:p>
            <w:pPr>
              <w:jc w:val="center"/>
              <w:ind w:right="408"/>
              <w:spacing w:after="0"/>
              <w:rPr>
                <w:sz w:val="20"/>
                <w:szCs w:val="20"/>
                <w:color w:val="auto"/>
              </w:rPr>
            </w:pPr>
            <w:r>
              <w:rPr>
                <w:rFonts w:ascii="Arial" w:cs="Arial" w:eastAsia="Arial" w:hAnsi="Arial"/>
                <w:sz w:val="14"/>
                <w:szCs w:val="14"/>
                <w:color w:val="auto"/>
                <w:w w:val="96"/>
              </w:rPr>
              <w:t>Principal Amount</w:t>
            </w:r>
          </w:p>
        </w:tc>
        <w:tc>
          <w:tcPr>
            <w:tcW w:w="100" w:type="dxa"/>
            <w:vAlign w:val="bottom"/>
          </w:tcPr>
          <w:p>
            <w:pPr>
              <w:spacing w:after="0"/>
              <w:rPr>
                <w:sz w:val="24"/>
                <w:szCs w:val="24"/>
                <w:color w:val="auto"/>
              </w:rPr>
            </w:pPr>
          </w:p>
        </w:tc>
        <w:tc>
          <w:tcPr>
            <w:tcW w:w="2440" w:type="dxa"/>
            <w:vAlign w:val="bottom"/>
            <w:gridSpan w:val="2"/>
          </w:tcPr>
          <w:p>
            <w:pPr>
              <w:jc w:val="center"/>
              <w:ind w:right="460"/>
              <w:spacing w:after="0"/>
              <w:rPr>
                <w:sz w:val="20"/>
                <w:szCs w:val="20"/>
                <w:color w:val="auto"/>
              </w:rPr>
            </w:pPr>
            <w:r>
              <w:rPr>
                <w:rFonts w:ascii="Arial" w:cs="Arial" w:eastAsia="Arial" w:hAnsi="Arial"/>
                <w:sz w:val="14"/>
                <w:szCs w:val="14"/>
                <w:color w:val="auto"/>
                <w:w w:val="92"/>
              </w:rPr>
              <w:t>Signature of</w:t>
            </w:r>
          </w:p>
        </w:tc>
      </w:tr>
      <w:tr>
        <w:trPr>
          <w:trHeight w:val="149"/>
        </w:trPr>
        <w:tc>
          <w:tcPr>
            <w:tcW w:w="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7"/>
              </w:rPr>
              <w:t>Amount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97"/>
              </w:rPr>
              <w:t>Amount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tcPr>
          <w:p>
            <w:pPr>
              <w:jc w:val="center"/>
              <w:ind w:right="408"/>
              <w:spacing w:after="0" w:line="149" w:lineRule="exact"/>
              <w:rPr>
                <w:sz w:val="20"/>
                <w:szCs w:val="20"/>
                <w:color w:val="auto"/>
              </w:rPr>
            </w:pPr>
            <w:r>
              <w:rPr>
                <w:rFonts w:ascii="Arial" w:cs="Arial" w:eastAsia="Arial" w:hAnsi="Arial"/>
                <w:sz w:val="14"/>
                <w:szCs w:val="14"/>
                <w:color w:val="auto"/>
                <w:w w:val="95"/>
              </w:rPr>
              <w:t>of this Global Note</w:t>
            </w:r>
          </w:p>
        </w:tc>
        <w:tc>
          <w:tcPr>
            <w:tcW w:w="100" w:type="dxa"/>
            <w:vAlign w:val="bottom"/>
          </w:tcPr>
          <w:p>
            <w:pPr>
              <w:spacing w:after="0"/>
              <w:rPr>
                <w:sz w:val="12"/>
                <w:szCs w:val="12"/>
                <w:color w:val="auto"/>
              </w:rPr>
            </w:pPr>
          </w:p>
        </w:tc>
        <w:tc>
          <w:tcPr>
            <w:tcW w:w="24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4"/>
              </w:rPr>
              <w:t>authorized</w:t>
            </w:r>
          </w:p>
        </w:tc>
      </w:tr>
      <w:tr>
        <w:trPr>
          <w:trHeight w:val="149"/>
        </w:trPr>
        <w:tc>
          <w:tcPr>
            <w:tcW w:w="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center"/>
              <w:ind w:left="368"/>
              <w:spacing w:after="0" w:line="149" w:lineRule="exact"/>
              <w:rPr>
                <w:sz w:val="20"/>
                <w:szCs w:val="20"/>
                <w:color w:val="auto"/>
              </w:rPr>
            </w:pPr>
            <w:r>
              <w:rPr>
                <w:rFonts w:ascii="Arial" w:cs="Arial" w:eastAsia="Arial" w:hAnsi="Arial"/>
                <w:sz w:val="14"/>
                <w:szCs w:val="14"/>
                <w:color w:val="auto"/>
                <w:w w:val="88"/>
              </w:rPr>
              <w:t>decrease in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ind w:left="668"/>
              <w:spacing w:after="0" w:line="149" w:lineRule="exact"/>
              <w:rPr>
                <w:sz w:val="20"/>
                <w:szCs w:val="20"/>
                <w:color w:val="auto"/>
              </w:rPr>
            </w:pPr>
            <w:r>
              <w:rPr>
                <w:rFonts w:ascii="Arial" w:cs="Arial" w:eastAsia="Arial" w:hAnsi="Arial"/>
                <w:sz w:val="14"/>
                <w:szCs w:val="14"/>
                <w:color w:val="auto"/>
                <w:w w:val="91"/>
              </w:rPr>
              <w:t>increase in</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tcPr>
          <w:p>
            <w:pPr>
              <w:jc w:val="center"/>
              <w:ind w:right="408"/>
              <w:spacing w:after="0" w:line="149" w:lineRule="exact"/>
              <w:rPr>
                <w:sz w:val="20"/>
                <w:szCs w:val="20"/>
                <w:color w:val="auto"/>
              </w:rPr>
            </w:pPr>
            <w:r>
              <w:rPr>
                <w:rFonts w:ascii="Arial" w:cs="Arial" w:eastAsia="Arial" w:hAnsi="Arial"/>
                <w:sz w:val="14"/>
                <w:szCs w:val="14"/>
                <w:color w:val="auto"/>
                <w:w w:val="97"/>
              </w:rPr>
              <w:t>following such</w:t>
            </w:r>
          </w:p>
        </w:tc>
        <w:tc>
          <w:tcPr>
            <w:tcW w:w="100" w:type="dxa"/>
            <w:vAlign w:val="bottom"/>
          </w:tcPr>
          <w:p>
            <w:pPr>
              <w:spacing w:after="0"/>
              <w:rPr>
                <w:sz w:val="12"/>
                <w:szCs w:val="12"/>
                <w:color w:val="auto"/>
              </w:rPr>
            </w:pPr>
          </w:p>
        </w:tc>
        <w:tc>
          <w:tcPr>
            <w:tcW w:w="24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6"/>
              </w:rPr>
              <w:t>signatory of</w:t>
            </w:r>
          </w:p>
        </w:tc>
      </w:tr>
      <w:tr>
        <w:trPr>
          <w:trHeight w:val="149"/>
        </w:trPr>
        <w:tc>
          <w:tcPr>
            <w:tcW w:w="4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6"/>
              </w:rPr>
              <w:t>Principal Amount</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4"/>
          </w:tcPr>
          <w:p>
            <w:pPr>
              <w:jc w:val="center"/>
              <w:ind w:right="560"/>
              <w:spacing w:after="0" w:line="149" w:lineRule="exact"/>
              <w:rPr>
                <w:sz w:val="20"/>
                <w:szCs w:val="20"/>
                <w:color w:val="auto"/>
              </w:rPr>
            </w:pPr>
            <w:r>
              <w:rPr>
                <w:rFonts w:ascii="Arial" w:cs="Arial" w:eastAsia="Arial" w:hAnsi="Arial"/>
                <w:sz w:val="14"/>
                <w:szCs w:val="14"/>
                <w:color w:val="auto"/>
                <w:w w:val="96"/>
              </w:rPr>
              <w:t>Principal Amount</w:t>
            </w:r>
          </w:p>
        </w:tc>
        <w:tc>
          <w:tcPr>
            <w:tcW w:w="1620" w:type="dxa"/>
            <w:vAlign w:val="bottom"/>
          </w:tcPr>
          <w:p>
            <w:pPr>
              <w:jc w:val="center"/>
              <w:ind w:right="408"/>
              <w:spacing w:after="0" w:line="149" w:lineRule="exact"/>
              <w:rPr>
                <w:sz w:val="20"/>
                <w:szCs w:val="20"/>
                <w:color w:val="auto"/>
              </w:rPr>
            </w:pPr>
            <w:r>
              <w:rPr>
                <w:rFonts w:ascii="Arial" w:cs="Arial" w:eastAsia="Arial" w:hAnsi="Arial"/>
                <w:sz w:val="14"/>
                <w:szCs w:val="14"/>
                <w:color w:val="auto"/>
                <w:w w:val="89"/>
              </w:rPr>
              <w:t>decrease or</w:t>
            </w:r>
          </w:p>
        </w:tc>
        <w:tc>
          <w:tcPr>
            <w:tcW w:w="100" w:type="dxa"/>
            <w:vAlign w:val="bottom"/>
          </w:tcPr>
          <w:p>
            <w:pPr>
              <w:spacing w:after="0"/>
              <w:rPr>
                <w:sz w:val="12"/>
                <w:szCs w:val="12"/>
                <w:color w:val="auto"/>
              </w:rPr>
            </w:pPr>
          </w:p>
        </w:tc>
        <w:tc>
          <w:tcPr>
            <w:tcW w:w="244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0"/>
              </w:rPr>
              <w:t>Trustee or</w:t>
            </w:r>
          </w:p>
        </w:tc>
      </w:tr>
      <w:tr>
        <w:trPr>
          <w:trHeight w:val="181"/>
        </w:trPr>
        <w:tc>
          <w:tcPr>
            <w:tcW w:w="460" w:type="dxa"/>
            <w:vAlign w:val="bottom"/>
          </w:tcPr>
          <w:p>
            <w:pPr>
              <w:spacing w:after="0"/>
              <w:rPr>
                <w:sz w:val="15"/>
                <w:szCs w:val="15"/>
                <w:color w:val="auto"/>
              </w:rPr>
            </w:pPr>
          </w:p>
        </w:tc>
        <w:tc>
          <w:tcPr>
            <w:tcW w:w="1880" w:type="dxa"/>
            <w:vAlign w:val="bottom"/>
          </w:tcPr>
          <w:p>
            <w:pPr>
              <w:ind w:left="440"/>
              <w:spacing w:after="0"/>
              <w:rPr>
                <w:sz w:val="20"/>
                <w:szCs w:val="20"/>
                <w:color w:val="auto"/>
              </w:rPr>
            </w:pPr>
            <w:r>
              <w:rPr>
                <w:rFonts w:ascii="Arial" w:cs="Arial" w:eastAsia="Arial" w:hAnsi="Arial"/>
                <w:sz w:val="14"/>
                <w:szCs w:val="14"/>
                <w:color w:val="auto"/>
              </w:rPr>
              <w:t>Date of Exchange</w:t>
            </w:r>
          </w:p>
        </w:tc>
        <w:tc>
          <w:tcPr>
            <w:tcW w:w="180" w:type="dxa"/>
            <w:vAlign w:val="bottom"/>
          </w:tcPr>
          <w:p>
            <w:pPr>
              <w:spacing w:after="0"/>
              <w:rPr>
                <w:sz w:val="15"/>
                <w:szCs w:val="15"/>
                <w:color w:val="auto"/>
              </w:rPr>
            </w:pPr>
          </w:p>
        </w:tc>
        <w:tc>
          <w:tcPr>
            <w:tcW w:w="1560" w:type="dxa"/>
            <w:vAlign w:val="bottom"/>
          </w:tcPr>
          <w:p>
            <w:pPr>
              <w:jc w:val="center"/>
              <w:ind w:left="348"/>
              <w:spacing w:after="0"/>
              <w:rPr>
                <w:sz w:val="20"/>
                <w:szCs w:val="20"/>
                <w:color w:val="auto"/>
              </w:rPr>
            </w:pPr>
            <w:r>
              <w:rPr>
                <w:rFonts w:ascii="Arial" w:cs="Arial" w:eastAsia="Arial" w:hAnsi="Arial"/>
                <w:sz w:val="14"/>
                <w:szCs w:val="14"/>
                <w:color w:val="auto"/>
                <w:w w:val="95"/>
              </w:rPr>
              <w:t>of this Global Note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gridSpan w:val="4"/>
          </w:tcPr>
          <w:p>
            <w:pPr>
              <w:jc w:val="center"/>
              <w:ind w:right="560"/>
              <w:spacing w:after="0"/>
              <w:rPr>
                <w:sz w:val="20"/>
                <w:szCs w:val="20"/>
                <w:color w:val="auto"/>
              </w:rPr>
            </w:pPr>
            <w:r>
              <w:rPr>
                <w:rFonts w:ascii="Arial" w:cs="Arial" w:eastAsia="Arial" w:hAnsi="Arial"/>
                <w:sz w:val="14"/>
                <w:szCs w:val="14"/>
                <w:color w:val="auto"/>
                <w:w w:val="95"/>
              </w:rPr>
              <w:t>of this Global Note</w:t>
            </w:r>
          </w:p>
        </w:tc>
        <w:tc>
          <w:tcPr>
            <w:tcW w:w="1620" w:type="dxa"/>
            <w:vAlign w:val="bottom"/>
          </w:tcPr>
          <w:p>
            <w:pPr>
              <w:jc w:val="center"/>
              <w:ind w:right="388"/>
              <w:spacing w:after="0"/>
              <w:rPr>
                <w:sz w:val="20"/>
                <w:szCs w:val="20"/>
                <w:color w:val="auto"/>
              </w:rPr>
            </w:pPr>
            <w:r>
              <w:rPr>
                <w:rFonts w:ascii="Arial" w:cs="Arial" w:eastAsia="Arial" w:hAnsi="Arial"/>
                <w:sz w:val="14"/>
                <w:szCs w:val="14"/>
                <w:color w:val="auto"/>
                <w:w w:val="90"/>
              </w:rPr>
              <w:t>increase</w:t>
            </w:r>
          </w:p>
        </w:tc>
        <w:tc>
          <w:tcPr>
            <w:tcW w:w="100" w:type="dxa"/>
            <w:vAlign w:val="bottom"/>
          </w:tcPr>
          <w:p>
            <w:pPr>
              <w:spacing w:after="0"/>
              <w:rPr>
                <w:sz w:val="15"/>
                <w:szCs w:val="15"/>
                <w:color w:val="auto"/>
              </w:rPr>
            </w:pPr>
          </w:p>
        </w:tc>
        <w:tc>
          <w:tcPr>
            <w:tcW w:w="2440" w:type="dxa"/>
            <w:vAlign w:val="bottom"/>
            <w:gridSpan w:val="2"/>
          </w:tcPr>
          <w:p>
            <w:pPr>
              <w:jc w:val="center"/>
              <w:ind w:right="460"/>
              <w:spacing w:after="0"/>
              <w:rPr>
                <w:sz w:val="20"/>
                <w:szCs w:val="20"/>
                <w:color w:val="auto"/>
              </w:rPr>
            </w:pPr>
            <w:r>
              <w:rPr>
                <w:rFonts w:ascii="Arial" w:cs="Arial" w:eastAsia="Arial" w:hAnsi="Arial"/>
                <w:sz w:val="14"/>
                <w:szCs w:val="14"/>
                <w:color w:val="auto"/>
                <w:w w:val="91"/>
              </w:rPr>
              <w:t>Custodian</w:t>
            </w:r>
          </w:p>
        </w:tc>
      </w:tr>
      <w:tr>
        <w:trPr>
          <w:trHeight w:val="196"/>
        </w:trPr>
        <w:tc>
          <w:tcPr>
            <w:tcW w:w="460" w:type="dxa"/>
            <w:vAlign w:val="bottom"/>
          </w:tcPr>
          <w:p>
            <w:pPr>
              <w:spacing w:after="0"/>
              <w:rPr>
                <w:sz w:val="17"/>
                <w:szCs w:val="17"/>
                <w:color w:val="auto"/>
              </w:rPr>
            </w:pPr>
          </w:p>
        </w:tc>
        <w:tc>
          <w:tcPr>
            <w:tcW w:w="188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Borders>
              <w:top w:val="single" w:sz="8" w:color="auto"/>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6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tcBorders>
              <w:top w:val="single" w:sz="8" w:color="auto"/>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r>
        <w:trPr>
          <w:trHeight w:val="223"/>
        </w:trPr>
        <w:tc>
          <w:tcPr>
            <w:tcW w:w="46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420"/>
          </w:cols>
          <w:pgMar w:left="240" w:top="27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CONVERSION]</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undersigned registered owner of this Note hereby exercises the option to convert this Note, or the portion hereof (that is $1,000 principal amount or an integral multiple thereof) below designated, into cash, shares of Common Stock or a combination of cash and shares of Common Stock, as applicable, in accordance with the terms of the Indenture referred to in this Note, and directs that any cash payable and any shares of Common Stock issuable and deliverable upon such conversion, together with any cash for any fractional share, and any Notes representing any unconverted principal amount hereof, be issued and delivered to the registered Holder hereof unless a different name has been indicated below. If any shares of Common Stock or any portion of this Note not converted are to be issued in the name of a Person other than the undersigned, the undersigned will pay all transfer or similar taxes in accordance with Section 13.02(d) of the Indenture. Any amount required to be paid to the undersigned on account of interest accompanies this Note.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-1905</wp:posOffset>
            </wp:positionV>
            <wp:extent cx="28987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289560</wp:posOffset>
            </wp:positionV>
            <wp:extent cx="289877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9756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Institution (banks, stock brokers, savings and loan associations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credit unions) with membership in an approved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 pursuant to Securities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Rule 17Ad-15 if shares of Common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Stock are to be issued, or Notes are to be delivered, other than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in the name of the registered holder.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Fill in for registration of shares if to be issued, and Notes if to</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 delivered, other than to and in the name of the registered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28987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amount to be converted (if less than all):</w:t>
      </w:r>
    </w:p>
    <w:p>
      <w:pPr>
        <w:spacing w:after="0" w:line="23" w:lineRule="exact"/>
        <w:rPr>
          <w:sz w:val="20"/>
          <w:szCs w:val="20"/>
          <w:color w:val="auto"/>
        </w:rPr>
      </w:pPr>
    </w:p>
    <w:p>
      <w:pPr>
        <w:ind w:left="6860"/>
        <w:spacing w:after="0"/>
        <w:tabs>
          <w:tab w:leader="none" w:pos="7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,000</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NOTICE: The above signature(s) of the Holder(s) hereof must</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correspond with the name as written upon the face of the Note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 every particular without alteration or enlargement or any</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280035</wp:posOffset>
            </wp:positionV>
            <wp:extent cx="289877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Identification Number</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FUNDAMENTAL CHANGE REPURCHASE NOTICE]</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To: [</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right="60" w:firstLine="456"/>
        <w:spacing w:after="0" w:line="274" w:lineRule="auto"/>
        <w:rPr>
          <w:sz w:val="20"/>
          <w:szCs w:val="20"/>
          <w:color w:val="auto"/>
        </w:rPr>
      </w:pPr>
      <w:r>
        <w:rPr>
          <w:rFonts w:ascii="Arial" w:cs="Arial" w:eastAsia="Arial" w:hAnsi="Arial"/>
          <w:sz w:val="17"/>
          <w:szCs w:val="17"/>
          <w:color w:val="auto"/>
        </w:rPr>
        <w:t>The undersigned registered owner of this Note hereby acknowledges receipt of a notice from TPG Specialty Lending, Inc. (the “</w:t>
      </w:r>
      <w:r>
        <w:rPr>
          <w:rFonts w:ascii="Arial" w:cs="Arial" w:eastAsia="Arial" w:hAnsi="Arial"/>
          <w:sz w:val="17"/>
          <w:szCs w:val="17"/>
          <w:b w:val="1"/>
          <w:bCs w:val="1"/>
          <w:color w:val="auto"/>
        </w:rPr>
        <w:t>Company</w:t>
      </w:r>
      <w:r>
        <w:rPr>
          <w:rFonts w:ascii="Arial" w:cs="Arial" w:eastAsia="Arial" w:hAnsi="Arial"/>
          <w:sz w:val="17"/>
          <w:szCs w:val="17"/>
          <w:color w:val="auto"/>
        </w:rPr>
        <w:t>”) as to the occurrence of a Fundamental Change with respect to the Company and specifying the Fundamental Change Repurchase Date and requests and instructs the Company to pay to the registered holder hereof in accordance with the applicable provisions of the Indenture referred to in this Note (1) the entire principal amount of this Note, or the portion thereof (that is $1,000 principal amount or an integral multiple thereof) below designated, and (2) if such Fundamental Change Repurchase Date does not fall during the period after a Regular Record Date and on or prior to the corresponding Interest Payment Date, accrued and unpaid interest, if any, thereon to, but excluding, such Fundamental Change Repurchase Date.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the case of Physical Notes, the certificate numbers of the Notes to be repurchased are as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289560</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Social Security or Other Taxpayer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Identification Number</w:t>
      </w:r>
    </w:p>
    <w:p>
      <w:pPr>
        <w:spacing w:after="0" w:line="211"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w w:val="97"/>
              </w:rPr>
              <w:t>Principal amount to be repaid (if less than all): $</w:t>
            </w:r>
          </w:p>
        </w:tc>
        <w:tc>
          <w:tcPr>
            <w:tcW w:w="600" w:type="dxa"/>
            <w:vAlign w:val="bottom"/>
          </w:tcPr>
          <w:p>
            <w:pPr>
              <w:jc w:val="right"/>
              <w:spacing w:after="0"/>
              <w:rPr>
                <w:sz w:val="20"/>
                <w:szCs w:val="20"/>
                <w:color w:val="auto"/>
              </w:rPr>
            </w:pPr>
            <w:r>
              <w:rPr>
                <w:rFonts w:ascii="Arial" w:cs="Arial" w:eastAsia="Arial" w:hAnsi="Arial"/>
                <w:sz w:val="18"/>
                <w:szCs w:val="18"/>
                <w:color w:val="auto"/>
              </w:rPr>
              <w:t>,000</w:t>
            </w:r>
          </w:p>
        </w:tc>
      </w:tr>
    </w:tbl>
    <w:p>
      <w:pPr>
        <w:spacing w:after="0" w:line="20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NOTICE: The above signature(s) of the Holder(s) hereof must</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correspond with the name as written upon the face of the Note</w:t>
      </w:r>
    </w:p>
    <w:p>
      <w:pPr>
        <w:spacing w:after="0" w:line="32"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in every particular without alteration or enlargement or any</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change whatever.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ATTACHMENT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ASSIGNMENT AND TRANSFER]</w:t>
      </w:r>
    </w:p>
    <w:p>
      <w:pPr>
        <w:sectPr>
          <w:pgSz w:w="11900" w:h="16838" w:orient="portrait"/>
          <w:cols w:equalWidth="0" w:num="1">
            <w:col w:w="11420"/>
          </w:cols>
          <w:pgMar w:left="240" w:top="270" w:right="239" w:bottom="1440" w:gutter="0" w:footer="0" w:header="0"/>
        </w:sectPr>
      </w:pPr>
    </w:p>
    <w:p>
      <w:pPr>
        <w:spacing w:after="0" w:line="237" w:lineRule="exact"/>
        <w:rPr>
          <w:sz w:val="20"/>
          <w:szCs w:val="20"/>
          <w:color w:val="auto"/>
        </w:rPr>
      </w:pPr>
    </w:p>
    <w:p>
      <w:pPr>
        <w:spacing w:after="0"/>
        <w:tabs>
          <w:tab w:leader="none" w:pos="322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6"/>
          <w:szCs w:val="16"/>
          <w:color w:val="auto"/>
        </w:rPr>
        <w:t>hereby sell(s), assign(s) and transfer(s) unto</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Identification Number of assignee) the within Note, and hereby irrevocably constitutes and appoints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Note on the books of the Company, with full power of substitution in the premises.</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ind w:right="340" w:hanging="1174"/>
        <w:spacing w:after="0" w:line="342" w:lineRule="auto"/>
        <w:rPr>
          <w:sz w:val="20"/>
          <w:szCs w:val="20"/>
          <w:color w:val="auto"/>
        </w:rPr>
      </w:pPr>
      <w:r>
        <w:rPr>
          <w:rFonts w:ascii="Arial" w:cs="Arial" w:eastAsia="Arial" w:hAnsi="Arial"/>
          <w:sz w:val="16"/>
          <w:szCs w:val="16"/>
          <w:color w:val="auto"/>
        </w:rPr>
        <w:t>(Please insert social security or Taxpayer attorney to transfer the said</w:t>
      </w:r>
    </w:p>
    <w:p>
      <w:pPr>
        <w:spacing w:after="0" w:line="329" w:lineRule="exact"/>
        <w:rPr>
          <w:sz w:val="20"/>
          <w:szCs w:val="20"/>
          <w:color w:val="auto"/>
        </w:rPr>
      </w:pPr>
    </w:p>
    <w:p>
      <w:pPr>
        <w:sectPr>
          <w:pgSz w:w="11900" w:h="16838" w:orient="portrait"/>
          <w:cols w:equalWidth="0" w:num="2">
            <w:col w:w="8380" w:space="720"/>
            <w:col w:w="2320"/>
          </w:cols>
          <w:pgMar w:left="240" w:top="270"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any transfer of the within Note occurring prior to the Resale Restriction Termination Date, as defined in the Indenture governing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Note, the undersigned confirms that such Note is being transferred:</w:t>
      </w:r>
    </w:p>
    <w:p>
      <w:pPr>
        <w:spacing w:after="0" w:line="211" w:lineRule="exact"/>
        <w:rPr>
          <w:sz w:val="20"/>
          <w:szCs w:val="20"/>
          <w:color w:val="auto"/>
        </w:rPr>
      </w:pPr>
    </w:p>
    <w:p>
      <w:pPr>
        <w:ind w:left="340" w:hanging="332"/>
        <w:spacing w:after="0"/>
        <w:tabs>
          <w:tab w:leader="none" w:pos="340"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To TPG Specialty Lending, Inc. or a subsidiary thereof; or</w:t>
      </w:r>
    </w:p>
    <w:p>
      <w:pPr>
        <w:spacing w:after="0" w:line="225" w:lineRule="exact"/>
        <w:rPr>
          <w:rFonts w:ascii="MS PGothic" w:cs="MS PGothic" w:eastAsia="MS PGothic" w:hAnsi="MS PGothic"/>
          <w:sz w:val="18"/>
          <w:szCs w:val="18"/>
          <w:color w:val="auto"/>
        </w:rPr>
      </w:pPr>
    </w:p>
    <w:p>
      <w:pPr>
        <w:ind w:left="360" w:hanging="352"/>
        <w:spacing w:after="0"/>
        <w:tabs>
          <w:tab w:leader="none" w:pos="360"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Pursuant to a registration statement that has become or been declared effective under the Securities Act of 1933, as amended; or</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To a qualified institutional buyer pursuant to and in compliance with Rule 144A under the Securities Act of 1933, as amended; or</w:t>
      </w:r>
    </w:p>
    <w:p>
      <w:pPr>
        <w:spacing w:after="0" w:line="225" w:lineRule="exact"/>
        <w:rPr>
          <w:rFonts w:ascii="MS PGothic" w:cs="MS PGothic" w:eastAsia="MS PGothic" w:hAnsi="MS PGothic"/>
          <w:sz w:val="18"/>
          <w:szCs w:val="18"/>
          <w:color w:val="auto"/>
        </w:rPr>
      </w:pPr>
    </w:p>
    <w:p>
      <w:pPr>
        <w:ind w:right="520" w:firstLine="8"/>
        <w:spacing w:after="0" w:line="277" w:lineRule="auto"/>
        <w:tabs>
          <w:tab w:leader="none" w:pos="342" w:val="left"/>
        </w:tabs>
        <w:numPr>
          <w:ilvl w:val="0"/>
          <w:numId w:val="96"/>
        </w:numPr>
        <w:rPr>
          <w:rFonts w:ascii="MS PGothic" w:cs="MS PGothic" w:eastAsia="MS PGothic" w:hAnsi="MS PGothic"/>
          <w:sz w:val="18"/>
          <w:szCs w:val="18"/>
          <w:color w:val="auto"/>
        </w:rPr>
      </w:pPr>
      <w:r>
        <w:rPr>
          <w:rFonts w:ascii="Arial" w:cs="Arial" w:eastAsia="Arial" w:hAnsi="Arial"/>
          <w:sz w:val="18"/>
          <w:szCs w:val="18"/>
          <w:color w:val="auto"/>
        </w:rPr>
        <w:t>Pursuant to and in compliance with Rule 144 under the Securities Act of 1933, as amended, or any other available exemption from the registration requirements of the Securities Act of 1933, as amended.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289877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289877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Signature(s) must be guaranteed by an eligible Guarantor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Institution (banks, stock brokers, savings and loan associations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credit unions) with membership in an approved 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guarantee medallion program pursuant to Securities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Exchange Commission Rule 17Ad-15 if Notes are to be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delivered, other than to and in the name of the registered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NOTICE: The signature on the assignment must correspond with the name as written upon the face of the Note in every particular without alteration or enlargement or any change whatever.</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240" w:top="274" w:right="75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Transferability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 as trustee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150 East 42nd Street, 40th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Reference is made to that certain Indenture, dated February 1, 2017 (as amended and supplement, the “Indenture”), between TPG SPECIALTY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LENDING, INC. (the “Company”), and Wells Fargo Bank, National Association, as trustee (the “Trustee”), pursuant to which the Company issued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$100,000,000 (or $115,000,000 if the Initial Purchasers exercised their over-allotment option to purchase additional Notes in full as set forth in the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aggregate principal amount of the Company’s 4.50% Convertible Senior Notes due 2022 (the “Notes”). Capitalized terms used but not defined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herein shall have the meanings set forth in the Indenture.</w:t>
      </w:r>
    </w:p>
    <w:p>
      <w:pPr>
        <w:spacing w:after="0" w:line="21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Whereas the Notes have become freely tradable without restrictions by non-affiliates of the Company pursuant to Rule 144(b)(1) under the Securities Act of 1933, as amended, in accordance with Section 2.05(c) of the Indenture, the Company hereby instructs the Trustee that:</w:t>
      </w:r>
    </w:p>
    <w:p>
      <w:pPr>
        <w:spacing w:after="0" w:line="76" w:lineRule="exact"/>
        <w:rPr>
          <w:sz w:val="20"/>
          <w:szCs w:val="20"/>
          <w:color w:val="auto"/>
        </w:rPr>
      </w:pPr>
    </w:p>
    <w:p>
      <w:pPr>
        <w:ind w:left="900" w:right="80" w:hanging="446"/>
        <w:spacing w:after="0" w:line="26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restrictive legends described in Section 2.05(c) of the Indenture and set forth on the Securities and Common Stock issued upon conversion of the Securities shall be deemed removed from the Global Note (as defined in the Indenture), in accordance with the terms and conditions of the Securities and as provided in the Indenture, without further action on the part of holders; and</w:t>
      </w:r>
    </w:p>
    <w:p>
      <w:pPr>
        <w:spacing w:after="0" w:line="86" w:lineRule="exact"/>
        <w:rPr>
          <w:rFonts w:ascii="Arial" w:cs="Arial" w:eastAsia="Arial" w:hAnsi="Arial"/>
          <w:sz w:val="18"/>
          <w:szCs w:val="18"/>
          <w:color w:val="auto"/>
        </w:rPr>
      </w:pPr>
    </w:p>
    <w:p>
      <w:pPr>
        <w:ind w:left="900" w:right="100" w:hanging="446"/>
        <w:spacing w:after="0" w:line="264"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restricted CUSIP number (87265KAC6) for the Notes shall be deemed removed from the Global Note and replaced with the unrestricted CUSIP number (87265KAD4), in accordance with the terms and conditions of the Notes and as provided in the Indenture, without further action on the part of holders.</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14605</wp:posOffset>
            </wp:positionV>
            <wp:extent cx="252158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1)"/>
      <w:numFmt w:val="decimal"/>
      <w:start w:val="1"/>
    </w:lvl>
  </w:abstractNum>
  <w:abstractNum w:abstractNumId="2">
    <w:nsid w:val="749ABB43"/>
    <w:multiLevelType w:val="hybridMultilevel"/>
    <w:lvl w:ilvl="0">
      <w:lvlJc w:val="left"/>
      <w:lvlText w:val="(%1)"/>
      <w:numFmt w:val="lowerLetter"/>
      <w:start w:val="4"/>
    </w:lvl>
  </w:abstractNum>
  <w:abstractNum w:abstractNumId="3">
    <w:nsid w:val="3DC240FB"/>
    <w:multiLevelType w:val="hybridMultilevel"/>
    <w:lvl w:ilvl="0">
      <w:lvlJc w:val="left"/>
      <w:lvlText w:val="(%1)"/>
      <w:numFmt w:val="lowerLetter"/>
      <w:start w:val="2"/>
    </w:lvl>
  </w:abstractNum>
  <w:abstractNum w:abstractNumId="4">
    <w:nsid w:val="1BA026FA"/>
    <w:multiLevelType w:val="hybridMultilevel"/>
    <w:lvl w:ilvl="0">
      <w:lvlJc w:val="left"/>
      <w:lvlText w:val="(%1)"/>
      <w:numFmt w:val="lowerLetter"/>
      <w:start w:val="1"/>
    </w:lvl>
  </w:abstractNum>
  <w:abstractNum w:abstractNumId="5">
    <w:nsid w:val="79A1DEAA"/>
    <w:multiLevelType w:val="hybridMultilevel"/>
    <w:lvl w:ilvl="0">
      <w:lvlJc w:val="left"/>
      <w:lvlText w:val="(%1)"/>
      <w:numFmt w:val="lowerLetter"/>
      <w:start w:val="1"/>
    </w:lvl>
  </w:abstractNum>
  <w:abstractNum w:abstractNumId="6">
    <w:nsid w:val="75C6C33A"/>
    <w:multiLevelType w:val="hybridMultilevel"/>
    <w:lvl w:ilvl="0">
      <w:lvlJc w:val="left"/>
      <w:lvlText w:val="(%1)"/>
      <w:numFmt w:val="lowerLetter"/>
      <w:start w:val="3"/>
    </w:lvl>
  </w:abstractNum>
  <w:abstractNum w:abstractNumId="7">
    <w:nsid w:val="12E685FB"/>
    <w:multiLevelType w:val="hybridMultilevel"/>
    <w:lvl w:ilvl="0">
      <w:lvlJc w:val="left"/>
      <w:lvlText w:val="(%1)"/>
      <w:numFmt w:val="lowerLetter"/>
      <w:start w:val="1"/>
    </w:lvl>
  </w:abstractNum>
  <w:abstractNum w:abstractNumId="8">
    <w:nsid w:val="70C6A529"/>
    <w:multiLevelType w:val="hybridMultilevel"/>
    <w:lvl w:ilvl="0">
      <w:lvlJc w:val="left"/>
      <w:lvlText w:val="(%1)"/>
      <w:numFmt w:val="lowerLetter"/>
      <w:start w:val="2"/>
    </w:lvl>
  </w:abstractNum>
  <w:abstractNum w:abstractNumId="9">
    <w:nsid w:val="520EEDD1"/>
    <w:multiLevelType w:val="hybridMultilevel"/>
    <w:lvl w:ilvl="0">
      <w:lvlJc w:val="left"/>
      <w:lvlText w:val="(%1)"/>
      <w:numFmt w:val="lowerLetter"/>
      <w:start w:val="3"/>
    </w:lvl>
    <w:lvl w:ilvl="1">
      <w:lvlJc w:val="left"/>
      <w:lvlText w:val="(%2)"/>
      <w:numFmt w:val="lowerRoman"/>
      <w:start w:val="1"/>
    </w:lvl>
  </w:abstractNum>
  <w:abstractNum w:abstractNumId="10">
    <w:nsid w:val="374A3FE6"/>
    <w:multiLevelType w:val="hybridMultilevel"/>
    <w:lvl w:ilvl="0">
      <w:lvlJc w:val="left"/>
      <w:lvlText w:val="(%1)"/>
      <w:numFmt w:val="lowerLetter"/>
      <w:start w:val="2"/>
    </w:lvl>
  </w:abstractNum>
  <w:abstractNum w:abstractNumId="11">
    <w:nsid w:val="4F4EF005"/>
    <w:multiLevelType w:val="hybridMultilevel"/>
    <w:lvl w:ilvl="0">
      <w:lvlJc w:val="left"/>
      <w:lvlText w:val="(%1)"/>
      <w:numFmt w:val="decimal"/>
      <w:start w:val="1"/>
    </w:lvl>
    <w:lvl w:ilvl="1">
      <w:lvlJc w:val="left"/>
      <w:lvlText w:val="(%2)"/>
      <w:numFmt w:val="upperLetter"/>
      <w:start w:val="1"/>
    </w:lvl>
  </w:abstractNum>
  <w:abstractNum w:abstractNumId="12">
    <w:nsid w:val="23F9C13C"/>
    <w:multiLevelType w:val="hybridMultilevel"/>
    <w:lvl w:ilvl="0">
      <w:lvlJc w:val="left"/>
      <w:lvlText w:val="(%1)"/>
      <w:numFmt w:val="upperLetter"/>
      <w:start w:val="4"/>
    </w:lvl>
  </w:abstractNum>
  <w:abstractNum w:abstractNumId="13">
    <w:nsid w:val="649BB77C"/>
    <w:multiLevelType w:val="hybridMultilevel"/>
    <w:lvl w:ilvl="0">
      <w:lvlJc w:val="left"/>
      <w:lvlText w:val="(%1)"/>
      <w:numFmt w:val="lowerLetter"/>
      <w:start w:val="4"/>
    </w:lvl>
  </w:abstractNum>
  <w:abstractNum w:abstractNumId="14">
    <w:nsid w:val="275AC794"/>
    <w:multiLevelType w:val="hybridMultilevel"/>
    <w:lvl w:ilvl="0">
      <w:lvlJc w:val="left"/>
      <w:lvlText w:val="(%1)"/>
      <w:numFmt w:val="decimal"/>
      <w:start w:val="1"/>
    </w:lvl>
    <w:lvl w:ilvl="1">
      <w:lvlJc w:val="left"/>
      <w:lvlText w:val="(%2)"/>
      <w:numFmt w:val="upperLetter"/>
      <w:start w:val="1"/>
    </w:lvl>
  </w:abstractNum>
  <w:abstractNum w:abstractNumId="15">
    <w:nsid w:val="39386575"/>
    <w:multiLevelType w:val="hybridMultilevel"/>
    <w:lvl w:ilvl="0">
      <w:lvlJc w:val="left"/>
      <w:lvlText w:val="(%1)"/>
      <w:numFmt w:val="upperLetter"/>
      <w:start w:val="2"/>
    </w:lvl>
  </w:abstractNum>
  <w:abstractNum w:abstractNumId="16">
    <w:nsid w:val="1CF10FD8"/>
    <w:multiLevelType w:val="hybridMultilevel"/>
    <w:lvl w:ilvl="0">
      <w:lvlJc w:val="left"/>
      <w:lvlText w:val="(%1)"/>
      <w:numFmt w:val="lowerLetter"/>
      <w:start w:val="5"/>
    </w:lvl>
  </w:abstractNum>
  <w:abstractNum w:abstractNumId="17">
    <w:nsid w:val="180115BE"/>
    <w:multiLevelType w:val="hybridMultilevel"/>
    <w:lvl w:ilvl="0">
      <w:lvlJc w:val="left"/>
      <w:lvlText w:val="(%1)"/>
      <w:numFmt w:val="lowerLetter"/>
      <w:start w:val="1"/>
    </w:lvl>
  </w:abstractNum>
  <w:abstractNum w:abstractNumId="18">
    <w:nsid w:val="235BA861"/>
    <w:multiLevelType w:val="hybridMultilevel"/>
    <w:lvl w:ilvl="0">
      <w:lvlJc w:val="left"/>
      <w:lvlText w:val="(%1)"/>
      <w:numFmt w:val="lowerLetter"/>
      <w:start w:val="35"/>
    </w:lvl>
  </w:abstractNum>
  <w:abstractNum w:abstractNumId="19">
    <w:nsid w:val="47398C89"/>
    <w:multiLevelType w:val="hybridMultilevel"/>
    <w:lvl w:ilvl="0">
      <w:lvlJc w:val="left"/>
      <w:lvlText w:val="(%1)"/>
      <w:numFmt w:val="lowerRoman"/>
      <w:start w:val="1"/>
    </w:lvl>
  </w:abstractNum>
  <w:abstractNum w:abstractNumId="20">
    <w:nsid w:val="354FE9F9"/>
    <w:multiLevelType w:val="hybridMultilevel"/>
    <w:lvl w:ilvl="0">
      <w:lvlJc w:val="left"/>
      <w:lvlText w:val="(%1)"/>
      <w:numFmt w:val="lowerRoman"/>
      <w:start w:val="2"/>
    </w:lvl>
  </w:abstractNum>
  <w:abstractNum w:abstractNumId="21">
    <w:nsid w:val="15B5AF5C"/>
    <w:multiLevelType w:val="hybridMultilevel"/>
    <w:lvl w:ilvl="0">
      <w:lvlJc w:val="left"/>
      <w:lvlText w:val="(%1)"/>
      <w:numFmt w:val="lowerLetter"/>
      <w:start w:val="2"/>
    </w:lvl>
  </w:abstractNum>
  <w:abstractNum w:abstractNumId="22">
    <w:nsid w:val="741226BB"/>
    <w:multiLevelType w:val="hybridMultilevel"/>
    <w:lvl w:ilvl="0">
      <w:lvlJc w:val="left"/>
      <w:lvlText w:val="(%1)"/>
      <w:numFmt w:val="lowerLetter"/>
      <w:start w:val="2"/>
    </w:lvl>
  </w:abstractNum>
  <w:abstractNum w:abstractNumId="23">
    <w:nsid w:val="D34B6A8"/>
    <w:multiLevelType w:val="hybridMultilevel"/>
    <w:lvl w:ilvl="0">
      <w:lvlJc w:val="left"/>
      <w:lvlText w:val="(%1)"/>
      <w:numFmt w:val="lowerLetter"/>
      <w:start w:val="5"/>
    </w:lvl>
  </w:abstractNum>
  <w:abstractNum w:abstractNumId="24">
    <w:nsid w:val="10233C99"/>
    <w:multiLevelType w:val="hybridMultilevel"/>
    <w:lvl w:ilvl="0">
      <w:lvlJc w:val="left"/>
      <w:lvlText w:val="(%1)"/>
      <w:numFmt w:val="lowerLetter"/>
      <w:start w:val="1"/>
    </w:lvl>
  </w:abstractNum>
  <w:abstractNum w:abstractNumId="25">
    <w:nsid w:val="3F6AB60F"/>
    <w:multiLevelType w:val="hybridMultilevel"/>
    <w:lvl w:ilvl="0">
      <w:lvlJc w:val="left"/>
      <w:lvlText w:val="(%1)"/>
      <w:numFmt w:val="lowerLetter"/>
      <w:start w:val="9"/>
    </w:lvl>
  </w:abstractNum>
  <w:abstractNum w:abstractNumId="26">
    <w:nsid w:val="61574095"/>
    <w:multiLevelType w:val="hybridMultilevel"/>
    <w:lvl w:ilvl="0">
      <w:lvlJc w:val="left"/>
      <w:lvlText w:val="(%1)"/>
      <w:numFmt w:val="lowerLetter"/>
      <w:start w:val="1"/>
    </w:lvl>
  </w:abstractNum>
  <w:abstractNum w:abstractNumId="27">
    <w:nsid w:val="7E0C57B1"/>
    <w:multiLevelType w:val="hybridMultilevel"/>
    <w:lvl w:ilvl="0">
      <w:lvlJc w:val="left"/>
      <w:lvlText w:val="(%1)"/>
      <w:numFmt w:val="lowerLetter"/>
      <w:start w:val="3"/>
    </w:lvl>
  </w:abstractNum>
  <w:abstractNum w:abstractNumId="28">
    <w:nsid w:val="77AE35EB"/>
    <w:multiLevelType w:val="hybridMultilevel"/>
    <w:lvl w:ilvl="0">
      <w:lvlJc w:val="left"/>
      <w:lvlText w:val="(%1)"/>
      <w:numFmt w:val="lowerLetter"/>
      <w:start w:val="1"/>
    </w:lvl>
  </w:abstractNum>
  <w:abstractNum w:abstractNumId="29">
    <w:nsid w:val="579BE4F1"/>
    <w:multiLevelType w:val="hybridMultilevel"/>
    <w:lvl w:ilvl="0">
      <w:lvlJc w:val="left"/>
      <w:lvlText w:val="(%1)"/>
      <w:numFmt w:val="lowerLetter"/>
      <w:start w:val="35"/>
    </w:lvl>
  </w:abstractNum>
  <w:abstractNum w:abstractNumId="30">
    <w:nsid w:val="310C50B3"/>
    <w:multiLevelType w:val="hybridMultilevel"/>
    <w:lvl w:ilvl="0">
      <w:lvlJc w:val="left"/>
      <w:lvlText w:val="(%1)"/>
      <w:numFmt w:val="lowerLetter"/>
      <w:start w:val="1"/>
    </w:lvl>
    <w:lvl w:ilvl="1">
      <w:lvlJc w:val="left"/>
      <w:lvlText w:val="(%2)"/>
      <w:numFmt w:val="lowerLetter"/>
      <w:start w:val="9"/>
    </w:lvl>
  </w:abstractNum>
  <w:abstractNum w:abstractNumId="31">
    <w:nsid w:val="5FF87E05"/>
    <w:multiLevelType w:val="hybridMultilevel"/>
    <w:lvl w:ilvl="0">
      <w:lvlJc w:val="left"/>
      <w:lvlText w:val="%1"/>
      <w:numFmt w:val="lowerLetter"/>
      <w:start w:val="1"/>
    </w:lvl>
    <w:lvl w:ilvl="1">
      <w:lvlJc w:val="left"/>
      <w:lvlText w:val="(%2)"/>
      <w:numFmt w:val="lowerLetter"/>
      <w:start w:val="35"/>
    </w:lvl>
  </w:abstractNum>
  <w:abstractNum w:abstractNumId="32">
    <w:nsid w:val="2F305DEF"/>
    <w:multiLevelType w:val="hybridMultilevel"/>
    <w:lvl w:ilvl="0">
      <w:lvlJc w:val="left"/>
      <w:lvlText w:val="(%1)"/>
      <w:numFmt w:val="lowerLetter"/>
      <w:start w:val="2"/>
    </w:lvl>
    <w:lvl w:ilvl="1">
      <w:lvlJc w:val="left"/>
      <w:lvlText w:val="%2"/>
      <w:numFmt w:val="lowerLetter"/>
      <w:start w:val="1"/>
    </w:lvl>
  </w:abstractNum>
  <w:abstractNum w:abstractNumId="33">
    <w:nsid w:val="25A70BF7"/>
    <w:multiLevelType w:val="hybridMultilevel"/>
    <w:lvl w:ilvl="0">
      <w:lvlJc w:val="left"/>
      <w:lvlText w:val="(%1)"/>
      <w:numFmt w:val="lowerLetter"/>
      <w:start w:val="8"/>
    </w:lvl>
  </w:abstractNum>
  <w:abstractNum w:abstractNumId="34">
    <w:nsid w:val="1DBABF00"/>
    <w:multiLevelType w:val="hybridMultilevel"/>
    <w:lvl w:ilvl="0">
      <w:lvlJc w:val="left"/>
      <w:lvlText w:val="(%1)"/>
      <w:numFmt w:val="lowerLetter"/>
      <w:start w:val="1"/>
    </w:lvl>
  </w:abstractNum>
  <w:abstractNum w:abstractNumId="35">
    <w:nsid w:val="4AD084E9"/>
    <w:multiLevelType w:val="hybridMultilevel"/>
    <w:lvl w:ilvl="0">
      <w:lvlJc w:val="left"/>
      <w:lvlText w:val="(%1)"/>
      <w:numFmt w:val="lowerLetter"/>
      <w:start w:val="5"/>
    </w:lvl>
  </w:abstractNum>
  <w:abstractNum w:abstractNumId="36">
    <w:nsid w:val="1F48EAA1"/>
    <w:multiLevelType w:val="hybridMultilevel"/>
    <w:lvl w:ilvl="0">
      <w:lvlJc w:val="left"/>
      <w:lvlText w:val="(%1)"/>
      <w:numFmt w:val="lowerLetter"/>
      <w:start w:val="2"/>
    </w:lvl>
    <w:lvl w:ilvl="1">
      <w:lvlJc w:val="left"/>
      <w:lvlText w:val="(%2)"/>
      <w:numFmt w:val="lowerRoman"/>
      <w:start w:val="1"/>
    </w:lvl>
  </w:abstractNum>
  <w:abstractNum w:abstractNumId="37">
    <w:nsid w:val="1381823A"/>
    <w:multiLevelType w:val="hybridMultilevel"/>
    <w:lvl w:ilvl="0">
      <w:lvlJc w:val="left"/>
      <w:lvlText w:val="(%1)"/>
      <w:numFmt w:val="lowerLetter"/>
      <w:start w:val="3"/>
    </w:lvl>
  </w:abstractNum>
  <w:abstractNum w:abstractNumId="38">
    <w:nsid w:val="5DB70AE5"/>
    <w:multiLevelType w:val="hybridMultilevel"/>
    <w:lvl w:ilvl="0">
      <w:lvlJc w:val="left"/>
      <w:lvlText w:val="(%1)"/>
      <w:numFmt w:val="lowerLetter"/>
      <w:start w:val="1"/>
    </w:lvl>
  </w:abstractNum>
  <w:abstractNum w:abstractNumId="39">
    <w:nsid w:val="100F8FCA"/>
    <w:multiLevelType w:val="hybridMultilevel"/>
    <w:lvl w:ilvl="0">
      <w:lvlJc w:val="left"/>
      <w:lvlText w:val="(%1)"/>
      <w:numFmt w:val="lowerLetter"/>
      <w:start w:val="1"/>
    </w:lvl>
  </w:abstractNum>
  <w:abstractNum w:abstractNumId="40">
    <w:nsid w:val="6590700B"/>
    <w:multiLevelType w:val="hybridMultilevel"/>
    <w:lvl w:ilvl="0">
      <w:lvlJc w:val="left"/>
      <w:lvlText w:val="(%1)"/>
      <w:numFmt w:val="lowerLetter"/>
      <w:start w:val="3"/>
    </w:lvl>
  </w:abstractNum>
  <w:abstractNum w:abstractNumId="41">
    <w:nsid w:val="15014ACB"/>
    <w:multiLevelType w:val="hybridMultilevel"/>
    <w:lvl w:ilvl="0">
      <w:lvlJc w:val="left"/>
      <w:lvlText w:val="(%1)"/>
      <w:numFmt w:val="lowerLetter"/>
      <w:start w:val="1"/>
    </w:lvl>
  </w:abstractNum>
  <w:abstractNum w:abstractNumId="42">
    <w:nsid w:val="5F5E7FD0"/>
    <w:multiLevelType w:val="hybridMultilevel"/>
    <w:lvl w:ilvl="0">
      <w:lvlJc w:val="left"/>
      <w:lvlText w:val="(%1)"/>
      <w:numFmt w:val="lowerLetter"/>
      <w:start w:val="3"/>
    </w:lvl>
  </w:abstractNum>
  <w:abstractNum w:abstractNumId="43">
    <w:nsid w:val="98A3148"/>
    <w:multiLevelType w:val="hybridMultilevel"/>
    <w:lvl w:ilvl="0">
      <w:lvlJc w:val="left"/>
      <w:lvlText w:val="(%1)"/>
      <w:numFmt w:val="lowerLetter"/>
      <w:start w:val="1"/>
    </w:lvl>
  </w:abstractNum>
  <w:abstractNum w:abstractNumId="44">
    <w:nsid w:val="799D0247"/>
    <w:multiLevelType w:val="hybridMultilevel"/>
    <w:lvl w:ilvl="0">
      <w:lvlJc w:val="left"/>
      <w:lvlText w:val="(%1)"/>
      <w:numFmt w:val="lowerLetter"/>
      <w:start w:val="2"/>
    </w:lvl>
  </w:abstractNum>
  <w:abstractNum w:abstractNumId="45">
    <w:nsid w:val="6B94764"/>
    <w:multiLevelType w:val="hybridMultilevel"/>
    <w:lvl w:ilvl="0">
      <w:lvlJc w:val="left"/>
      <w:lvlText w:val="(%1)"/>
      <w:numFmt w:val="lowerRoman"/>
      <w:start w:val="2"/>
    </w:lvl>
    <w:lvl w:ilvl="1">
      <w:lvlJc w:val="left"/>
      <w:lvlText w:val="(%2)"/>
      <w:numFmt w:val="upperLetter"/>
      <w:start w:val="1"/>
    </w:lvl>
  </w:abstractNum>
  <w:abstractNum w:abstractNumId="46">
    <w:nsid w:val="42C296BD"/>
    <w:multiLevelType w:val="hybridMultilevel"/>
    <w:lvl w:ilvl="0">
      <w:lvlJc w:val="left"/>
      <w:lvlText w:val="(%1)"/>
      <w:numFmt w:val="lowerRoman"/>
      <w:start w:val="3"/>
    </w:lvl>
  </w:abstractNum>
  <w:abstractNum w:abstractNumId="47">
    <w:nsid w:val="168E121F"/>
    <w:multiLevelType w:val="hybridMultilevel"/>
    <w:lvl w:ilvl="0">
      <w:lvlJc w:val="left"/>
      <w:lvlText w:val="(%1)"/>
      <w:numFmt w:val="lowerRoman"/>
      <w:start w:val="4"/>
    </w:lvl>
  </w:abstractNum>
  <w:abstractNum w:abstractNumId="48">
    <w:nsid w:val="1EBA5D23"/>
    <w:multiLevelType w:val="hybridMultilevel"/>
    <w:lvl w:ilvl="0">
      <w:lvlJc w:val="left"/>
      <w:lvlText w:val="(%1)"/>
      <w:numFmt w:val="lowerLetter"/>
      <w:start w:val="1"/>
    </w:lvl>
    <w:lvl w:ilvl="1">
      <w:lvlJc w:val="left"/>
      <w:lvlText w:val="(%2)"/>
      <w:numFmt w:val="lowerLetter"/>
      <w:start w:val="9"/>
    </w:lvl>
  </w:abstractNum>
  <w:abstractNum w:abstractNumId="49">
    <w:nsid w:val="661E3F1E"/>
    <w:multiLevelType w:val="hybridMultilevel"/>
    <w:lvl w:ilvl="0">
      <w:lvlJc w:val="left"/>
      <w:lvlText w:val="(%1)"/>
      <w:numFmt w:val="lowerRoman"/>
      <w:start w:val="2"/>
    </w:lvl>
  </w:abstractNum>
  <w:abstractNum w:abstractNumId="50">
    <w:nsid w:val="5DC79EA8"/>
    <w:multiLevelType w:val="hybridMultilevel"/>
    <w:lvl w:ilvl="0">
      <w:lvlJc w:val="left"/>
      <w:lvlText w:val="(%1)"/>
      <w:numFmt w:val="upperLetter"/>
      <w:start w:val="1"/>
    </w:lvl>
  </w:abstractNum>
  <w:abstractNum w:abstractNumId="51">
    <w:nsid w:val="540A471C"/>
    <w:multiLevelType w:val="hybridMultilevel"/>
    <w:lvl w:ilvl="0">
      <w:lvlJc w:val="left"/>
      <w:lvlText w:val="%1"/>
      <w:numFmt w:val="lowerLetter"/>
      <w:start w:val="1"/>
    </w:lvl>
    <w:lvl w:ilvl="1">
      <w:lvlJc w:val="left"/>
      <w:lvlText w:val="(%2)"/>
      <w:numFmt w:val="lowerLetter"/>
      <w:start w:val="22"/>
    </w:lvl>
  </w:abstractNum>
  <w:abstractNum w:abstractNumId="52">
    <w:nsid w:val="7BD3EE7B"/>
    <w:multiLevelType w:val="hybridMultilevel"/>
    <w:lvl w:ilvl="0">
      <w:lvlJc w:val="left"/>
      <w:lvlText w:val="(%1)"/>
      <w:numFmt w:val="lowerLetter"/>
      <w:start w:val="2"/>
    </w:lvl>
    <w:lvl w:ilvl="1">
      <w:lvlJc w:val="left"/>
      <w:lvlText w:val="%2"/>
      <w:numFmt w:val="lowerLetter"/>
      <w:start w:val="1"/>
    </w:lvl>
  </w:abstractNum>
  <w:abstractNum w:abstractNumId="53">
    <w:nsid w:val="51D9C564"/>
    <w:multiLevelType w:val="hybridMultilevel"/>
    <w:lvl w:ilvl="0">
      <w:lvlJc w:val="left"/>
      <w:lvlText w:val="(%1)"/>
      <w:numFmt w:val="lowerLetter"/>
      <w:start w:val="3"/>
    </w:lvl>
  </w:abstractNum>
  <w:abstractNum w:abstractNumId="54">
    <w:nsid w:val="613EFDC5"/>
    <w:multiLevelType w:val="hybridMultilevel"/>
    <w:lvl w:ilvl="0">
      <w:lvlJc w:val="left"/>
      <w:lvlText w:val="(%1)"/>
      <w:numFmt w:val="lowerLetter"/>
      <w:start w:val="4"/>
    </w:lvl>
  </w:abstractNum>
  <w:abstractNum w:abstractNumId="55">
    <w:nsid w:val="BF72B14"/>
    <w:multiLevelType w:val="hybridMultilevel"/>
    <w:lvl w:ilvl="0">
      <w:lvlJc w:val="left"/>
      <w:lvlText w:val="(%1)"/>
      <w:numFmt w:val="lowerLetter"/>
      <w:start w:val="9"/>
    </w:lvl>
  </w:abstractNum>
  <w:abstractNum w:abstractNumId="56">
    <w:nsid w:val="11447B73"/>
    <w:multiLevelType w:val="hybridMultilevel"/>
    <w:lvl w:ilvl="0">
      <w:lvlJc w:val="left"/>
      <w:lvlText w:val="(%1)"/>
      <w:numFmt w:val="lowerLetter"/>
      <w:start w:val="2"/>
    </w:lvl>
  </w:abstractNum>
  <w:abstractNum w:abstractNumId="57">
    <w:nsid w:val="42963E5A"/>
    <w:multiLevelType w:val="hybridMultilevel"/>
    <w:lvl w:ilvl="0">
      <w:lvlJc w:val="left"/>
      <w:lvlText w:val="(%1)"/>
      <w:numFmt w:val="lowerLetter"/>
      <w:start w:val="4"/>
    </w:lvl>
  </w:abstractNum>
  <w:abstractNum w:abstractNumId="58">
    <w:nsid w:val="A0382C5"/>
    <w:multiLevelType w:val="hybridMultilevel"/>
    <w:lvl w:ilvl="0">
      <w:lvlJc w:val="left"/>
      <w:lvlText w:val="(%1)"/>
      <w:numFmt w:val="lowerRoman"/>
      <w:start w:val="1"/>
    </w:lvl>
  </w:abstractNum>
  <w:abstractNum w:abstractNumId="59">
    <w:nsid w:val="8F2B15E"/>
    <w:multiLevelType w:val="hybridMultilevel"/>
    <w:lvl w:ilvl="0">
      <w:lvlJc w:val="left"/>
      <w:lvlText w:val="(%1)"/>
      <w:numFmt w:val="lowerRoman"/>
      <w:start w:val="2"/>
    </w:lvl>
  </w:abstractNum>
  <w:abstractNum w:abstractNumId="60">
    <w:nsid w:val="1A32234B"/>
    <w:multiLevelType w:val="hybridMultilevel"/>
    <w:lvl w:ilvl="0">
      <w:lvlJc w:val="left"/>
      <w:lvlText w:val="(%1)"/>
      <w:numFmt w:val="lowerLetter"/>
      <w:start w:val="6"/>
    </w:lvl>
  </w:abstractNum>
  <w:abstractNum w:abstractNumId="61">
    <w:nsid w:val="3B0FD379"/>
    <w:multiLevelType w:val="hybridMultilevel"/>
    <w:lvl w:ilvl="0">
      <w:lvlJc w:val="left"/>
      <w:lvlText w:val="(%1)"/>
      <w:numFmt w:val="lowerLetter"/>
      <w:start w:val="1"/>
    </w:lvl>
  </w:abstractNum>
  <w:abstractNum w:abstractNumId="62">
    <w:nsid w:val="68EB2F63"/>
    <w:multiLevelType w:val="hybridMultilevel"/>
    <w:lvl w:ilvl="0">
      <w:lvlJc w:val="left"/>
      <w:lvlText w:val="(%1)"/>
      <w:numFmt w:val="lowerLetter"/>
      <w:start w:val="2"/>
    </w:lvl>
  </w:abstractNum>
  <w:abstractNum w:abstractNumId="63">
    <w:nsid w:val="4962813B"/>
    <w:multiLevelType w:val="hybridMultilevel"/>
    <w:lvl w:ilvl="0">
      <w:lvlJc w:val="left"/>
      <w:lvlText w:val="X"/>
      <w:numFmt w:val="bullet"/>
      <w:start w:val="1"/>
    </w:lvl>
  </w:abstractNum>
  <w:abstractNum w:abstractNumId="64">
    <w:nsid w:val="60B6DF70"/>
    <w:multiLevelType w:val="hybridMultilevel"/>
    <w:lvl w:ilvl="0">
      <w:lvlJc w:val="left"/>
      <w:lvlText w:val="Y"/>
      <w:numFmt w:val="bullet"/>
      <w:start w:val="1"/>
    </w:lvl>
  </w:abstractNum>
  <w:abstractNum w:abstractNumId="65">
    <w:nsid w:val="6A5EE64"/>
    <w:multiLevelType w:val="hybridMultilevel"/>
    <w:lvl w:ilvl="0">
      <w:lvlJc w:val="left"/>
      <w:lvlText w:val="%1"/>
      <w:numFmt w:val="lowerLetter"/>
      <w:start w:val="1"/>
    </w:lvl>
    <w:lvl w:ilvl="1">
      <w:lvlJc w:val="left"/>
      <w:lvlText w:val="(%2)"/>
      <w:numFmt w:val="lowerLetter"/>
      <w:start w:val="3"/>
    </w:lvl>
  </w:abstractNum>
  <w:abstractNum w:abstractNumId="66">
    <w:nsid w:val="14330624"/>
    <w:multiLevelType w:val="hybridMultilevel"/>
    <w:lvl w:ilvl="0">
      <w:lvlJc w:val="left"/>
      <w:lvlText w:val="(%1)"/>
      <w:numFmt w:val="lowerLetter"/>
      <w:start w:val="61"/>
    </w:lvl>
    <w:lvl w:ilvl="1">
      <w:lvlJc w:val="left"/>
      <w:lvlText w:val="%2"/>
      <w:numFmt w:val="lowerLetter"/>
      <w:start w:val="1"/>
    </w:lvl>
  </w:abstractNum>
  <w:abstractNum w:abstractNumId="67">
    <w:nsid w:val="7FFFCA11"/>
    <w:multiLevelType w:val="hybridMultilevel"/>
    <w:lvl w:ilvl="0">
      <w:lvlJc w:val="left"/>
      <w:lvlText w:val="(%1)"/>
      <w:numFmt w:val="upperLetter"/>
      <w:start w:val="1"/>
    </w:lvl>
  </w:abstractNum>
  <w:abstractNum w:abstractNumId="68">
    <w:nsid w:val="1A27709E"/>
    <w:multiLevelType w:val="hybridMultilevel"/>
    <w:lvl w:ilvl="0">
      <w:lvlJc w:val="left"/>
      <w:lvlText w:val="(%1)"/>
      <w:numFmt w:val="lowerLetter"/>
      <w:start w:val="4"/>
    </w:lvl>
  </w:abstractNum>
  <w:abstractNum w:abstractNumId="69">
    <w:nsid w:val="71EA1109"/>
    <w:multiLevelType w:val="hybridMultilevel"/>
    <w:lvl w:ilvl="0">
      <w:lvlJc w:val="left"/>
      <w:lvlText w:val="T"/>
      <w:numFmt w:val="bullet"/>
      <w:start w:val="1"/>
    </w:lvl>
  </w:abstractNum>
  <w:abstractNum w:abstractNumId="70">
    <w:nsid w:val="100F59DC"/>
    <w:multiLevelType w:val="hybridMultilevel"/>
    <w:lvl w:ilvl="0">
      <w:lvlJc w:val="left"/>
      <w:lvlText w:val="C"/>
      <w:numFmt w:val="bullet"/>
      <w:start w:val="1"/>
    </w:lvl>
  </w:abstractNum>
  <w:abstractNum w:abstractNumId="71">
    <w:nsid w:val="7FB7E0AA"/>
    <w:multiLevelType w:val="hybridMultilevel"/>
    <w:lvl w:ilvl="0">
      <w:lvlJc w:val="left"/>
      <w:lvlText w:val="(%1)"/>
      <w:numFmt w:val="lowerLetter"/>
      <w:start w:val="5"/>
    </w:lvl>
  </w:abstractNum>
  <w:abstractNum w:abstractNumId="72">
    <w:nsid w:val="6EB5BD4"/>
    <w:multiLevelType w:val="hybridMultilevel"/>
    <w:lvl w:ilvl="0">
      <w:lvlJc w:val="left"/>
      <w:lvlText w:val="(%1)"/>
      <w:numFmt w:val="lowerLetter"/>
      <w:start w:val="6"/>
    </w:lvl>
  </w:abstractNum>
  <w:abstractNum w:abstractNumId="73">
    <w:nsid w:val="6F6DD9AC"/>
    <w:multiLevelType w:val="hybridMultilevel"/>
    <w:lvl w:ilvl="0">
      <w:lvlJc w:val="left"/>
      <w:lvlText w:val="(%1)"/>
      <w:numFmt w:val="lowerLetter"/>
      <w:start w:val="9"/>
    </w:lvl>
    <w:lvl w:ilvl="1">
      <w:lvlJc w:val="left"/>
      <w:lvlText w:val="(%2)"/>
      <w:numFmt w:val="lowerRoman"/>
      <w:start w:val="1"/>
    </w:lvl>
  </w:abstractNum>
  <w:abstractNum w:abstractNumId="74">
    <w:nsid w:val="94211F2"/>
    <w:multiLevelType w:val="hybridMultilevel"/>
    <w:lvl w:ilvl="0">
      <w:lvlJc w:val="left"/>
      <w:lvlText w:val="(%1)"/>
      <w:numFmt w:val="lowerLetter"/>
      <w:start w:val="12"/>
    </w:lvl>
  </w:abstractNum>
  <w:abstractNum w:abstractNumId="75">
    <w:nsid w:val="885E1B"/>
    <w:multiLevelType w:val="hybridMultilevel"/>
    <w:lvl w:ilvl="0">
      <w:lvlJc w:val="left"/>
      <w:lvlText w:val="(%1)"/>
      <w:numFmt w:val="lowerLetter"/>
      <w:start w:val="1"/>
    </w:lvl>
    <w:lvl w:ilvl="1">
      <w:lvlJc w:val="left"/>
      <w:lvlText w:val="(%2)"/>
      <w:numFmt w:val="lowerRoman"/>
      <w:start w:val="1"/>
    </w:lvl>
  </w:abstractNum>
  <w:abstractNum w:abstractNumId="76">
    <w:nsid w:val="76272110"/>
    <w:multiLevelType w:val="hybridMultilevel"/>
    <w:lvl w:ilvl="0">
      <w:lvlJc w:val="left"/>
      <w:lvlText w:val="(%1)"/>
      <w:numFmt w:val="lowerRoman"/>
      <w:start w:val="3"/>
    </w:lvl>
  </w:abstractNum>
  <w:abstractNum w:abstractNumId="77">
    <w:nsid w:val="4C04A8AF"/>
    <w:multiLevelType w:val="hybridMultilevel"/>
    <w:lvl w:ilvl="0">
      <w:lvlJc w:val="left"/>
      <w:lvlText w:val="(%1)"/>
      <w:numFmt w:val="lowerRoman"/>
      <w:start w:val="2"/>
    </w:lvl>
  </w:abstractNum>
  <w:abstractNum w:abstractNumId="78">
    <w:nsid w:val="1716703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79">
    <w:nsid w:val="14E17E33"/>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9"/>
    </w:lvl>
  </w:abstractNum>
  <w:abstractNum w:abstractNumId="80">
    <w:nsid w:val="3222E7CD"/>
    <w:multiLevelType w:val="hybridMultilevel"/>
    <w:lvl w:ilvl="0">
      <w:lvlJc w:val="left"/>
      <w:lvlText w:val="%1"/>
      <w:numFmt w:val="lowerLetter"/>
      <w:start w:val="1"/>
    </w:lvl>
    <w:lvl w:ilvl="1">
      <w:lvlJc w:val="left"/>
      <w:lvlText w:val="(%2)"/>
      <w:numFmt w:val="lowerLetter"/>
      <w:start w:val="35"/>
    </w:lvl>
  </w:abstractNum>
  <w:abstractNum w:abstractNumId="81">
    <w:nsid w:val="74DE0EE3"/>
    <w:multiLevelType w:val="hybridMultilevel"/>
    <w:lvl w:ilvl="0">
      <w:lvlJc w:val="left"/>
      <w:lvlText w:val="(%1)"/>
      <w:numFmt w:val="lowerLetter"/>
      <w:start w:val="25"/>
    </w:lvl>
    <w:lvl w:ilvl="1">
      <w:lvlJc w:val="left"/>
      <w:lvlText w:val="(%2)"/>
      <w:numFmt w:val="lowerLetter"/>
      <w:start w:val="61"/>
    </w:lvl>
  </w:abstractNum>
  <w:abstractNum w:abstractNumId="82">
    <w:nsid w:val="68EBC550"/>
    <w:multiLevelType w:val="hybridMultilevel"/>
    <w:lvl w:ilvl="0">
      <w:lvlJc w:val="left"/>
      <w:lvlText w:val="(%1)"/>
      <w:numFmt w:val="lowerLetter"/>
      <w:start w:val="2"/>
    </w:lvl>
  </w:abstractNum>
  <w:abstractNum w:abstractNumId="83">
    <w:nsid w:val="2DF6D648"/>
    <w:multiLevelType w:val="hybridMultilevel"/>
    <w:lvl w:ilvl="0">
      <w:lvlJc w:val="left"/>
      <w:lvlText w:val="(%1)"/>
      <w:numFmt w:val="lowerLetter"/>
      <w:start w:val="1"/>
    </w:lvl>
  </w:abstractNum>
  <w:abstractNum w:abstractNumId="84">
    <w:nsid w:val="46B7D447"/>
    <w:multiLevelType w:val="hybridMultilevel"/>
    <w:lvl w:ilvl="0">
      <w:lvlJc w:val="left"/>
      <w:lvlText w:val="(%1)"/>
      <w:numFmt w:val="lowerLetter"/>
      <w:start w:val="2"/>
    </w:lvl>
    <w:lvl w:ilvl="1">
      <w:lvlJc w:val="left"/>
      <w:lvlText w:val="(%2)"/>
      <w:numFmt w:val="lowerRoman"/>
      <w:start w:val="1"/>
    </w:lvl>
  </w:abstractNum>
  <w:abstractNum w:abstractNumId="85">
    <w:nsid w:val="4A2AC315"/>
    <w:multiLevelType w:val="hybridMultilevel"/>
    <w:lvl w:ilvl="0">
      <w:lvlJc w:val="left"/>
      <w:lvlText w:val="(%1)"/>
      <w:numFmt w:val="lowerRoman"/>
      <w:start w:val="1"/>
    </w:lvl>
  </w:abstractNum>
  <w:abstractNum w:abstractNumId="86">
    <w:nsid w:val="39EE015C"/>
    <w:multiLevelType w:val="hybridMultilevel"/>
    <w:lvl w:ilvl="0">
      <w:lvlJc w:val="left"/>
      <w:lvlText w:val="(%1)"/>
      <w:numFmt w:val="lowerLetter"/>
      <w:start w:val="3"/>
    </w:lvl>
    <w:lvl w:ilvl="1">
      <w:lvlJc w:val="left"/>
      <w:lvlText w:val="(%2)"/>
      <w:numFmt w:val="lowerRoman"/>
      <w:start w:val="1"/>
    </w:lvl>
  </w:abstractNum>
  <w:abstractNum w:abstractNumId="87">
    <w:nsid w:val="57FC4FBB"/>
    <w:multiLevelType w:val="hybridMultilevel"/>
    <w:lvl w:ilvl="0">
      <w:lvlJc w:val="left"/>
      <w:lvlText w:val="(%1)"/>
      <w:numFmt w:val="lowerLetter"/>
      <w:start w:val="4"/>
    </w:lvl>
  </w:abstractNum>
  <w:abstractNum w:abstractNumId="88">
    <w:nsid w:val="CC1016F"/>
    <w:multiLevelType w:val="hybridMultilevel"/>
    <w:lvl w:ilvl="0">
      <w:lvlJc w:val="left"/>
      <w:lvlText w:val="(%1)"/>
      <w:numFmt w:val="lowerRoman"/>
      <w:start w:val="1"/>
    </w:lvl>
  </w:abstractNum>
  <w:abstractNum w:abstractNumId="89">
    <w:nsid w:val="43F18422"/>
    <w:multiLevelType w:val="hybridMultilevel"/>
    <w:lvl w:ilvl="0">
      <w:lvlJc w:val="left"/>
      <w:lvlText w:val="%1"/>
      <w:numFmt w:val="lowerLetter"/>
      <w:start w:val="1"/>
    </w:lvl>
    <w:lvl w:ilvl="1">
      <w:lvlJc w:val="left"/>
      <w:lvlText w:val="(%2)"/>
      <w:numFmt w:val="lowerLetter"/>
      <w:start w:val="2"/>
    </w:lvl>
  </w:abstractNum>
  <w:abstractNum w:abstractNumId="90">
    <w:nsid w:val="60EF0119"/>
    <w:multiLevelType w:val="hybridMultilevel"/>
    <w:lvl w:ilvl="0">
      <w:lvlJc w:val="left"/>
      <w:lvlText w:val="(%1)"/>
      <w:numFmt w:val="lowerLetter"/>
      <w:start w:val="35"/>
    </w:lvl>
    <w:lvl w:ilvl="1">
      <w:lvlJc w:val="left"/>
      <w:lvlText w:val="(%2)"/>
      <w:numFmt w:val="lowerLetter"/>
      <w:start w:val="3"/>
    </w:lvl>
  </w:abstractNum>
  <w:abstractNum w:abstractNumId="91">
    <w:nsid w:val="26F324BA"/>
    <w:multiLevelType w:val="hybridMultilevel"/>
    <w:lvl w:ilvl="0">
      <w:lvlJc w:val="left"/>
      <w:lvlText w:val="(%1)"/>
      <w:numFmt w:val="lowerLetter"/>
      <w:start w:val="1"/>
    </w:lvl>
  </w:abstractNum>
  <w:abstractNum w:abstractNumId="92">
    <w:nsid w:val="7F01579B"/>
    <w:multiLevelType w:val="hybridMultilevel"/>
    <w:lvl w:ilvl="0">
      <w:lvlJc w:val="left"/>
      <w:lvlText w:val="(%1)"/>
      <w:numFmt w:val="decimal"/>
      <w:start w:val="1"/>
    </w:lvl>
    <w:lvl w:ilvl="1">
      <w:lvlJc w:val="left"/>
      <w:lvlText w:val="(%2)"/>
      <w:numFmt w:val="upperLetter"/>
      <w:start w:val="1"/>
    </w:lvl>
  </w:abstractNum>
  <w:abstractNum w:abstractNumId="93">
    <w:nsid w:val="49DA307D"/>
    <w:multiLevelType w:val="hybridMultilevel"/>
    <w:lvl w:ilvl="0">
      <w:lvlJc w:val="left"/>
      <w:lvlText w:val="(%1)"/>
      <w:numFmt w:val="upperLetter"/>
      <w:start w:val="3"/>
    </w:lvl>
  </w:abstractNum>
  <w:abstractNum w:abstractNumId="94">
    <w:nsid w:val="7055A5F5"/>
    <w:multiLevelType w:val="hybridMultilevel"/>
    <w:lvl w:ilvl="0">
      <w:lvlJc w:val="left"/>
      <w:lvlText w:val="*"/>
      <w:numFmt w:val="bullet"/>
      <w:start w:val="1"/>
    </w:lvl>
  </w:abstractNum>
  <w:abstractNum w:abstractNumId="95">
    <w:nsid w:val="5FB8370B"/>
    <w:multiLevelType w:val="hybridMultilevel"/>
    <w:lvl w:ilvl="0">
      <w:lvlJc w:val="left"/>
      <w:lvlText w:val="☐"/>
      <w:numFmt w:val="bullet"/>
      <w:start w:val="1"/>
    </w:lvl>
  </w:abstractNum>
  <w:abstractNum w:abstractNumId="96">
    <w:nsid w:val="50801EE1"/>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2019-12-07T14:29:28Z</dcterms:created>
  <dcterms:modified xsi:type="dcterms:W3CDTF">2019-12-07T14:29:28Z</dcterms:modified>
</cp:coreProperties>
</file>