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23, 2014</w:t>
      </w:r>
    </w:p>
    <w:p>
      <w:pPr>
        <w:spacing w:after="0" w:line="28"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120650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N-2</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bl>
      <w:tblPr>
        <w:tblLayout w:type="fixed"/>
        <w:tblInd w:w="4200" w:type="dxa"/>
        <w:tblCellMar>
          <w:top w:w="0" w:type="dxa"/>
          <w:left w:w="0" w:type="dxa"/>
          <w:bottom w:w="0" w:type="dxa"/>
          <w:right w:w="0" w:type="dxa"/>
        </w:tblCellMar>
      </w:tblPr>
      <w:tr>
        <w:trPr>
          <w:trHeight w:val="210"/>
        </w:trPr>
        <w:tc>
          <w:tcPr>
            <w:tcW w:w="4940" w:type="dxa"/>
            <w:vAlign w:val="bottom"/>
          </w:tcPr>
          <w:p>
            <w:pPr>
              <w:jc w:val="center"/>
              <w:ind w:right="2001"/>
              <w:spacing w:after="0" w:line="210" w:lineRule="exact"/>
              <w:rPr>
                <w:sz w:val="20"/>
                <w:szCs w:val="20"/>
                <w:color w:val="auto"/>
              </w:rPr>
            </w:pPr>
            <w:r>
              <w:rPr>
                <w:rFonts w:ascii="Times New Roman" w:cs="Times New Roman" w:eastAsia="Times New Roman" w:hAnsi="Times New Roman"/>
                <w:sz w:val="20"/>
                <w:szCs w:val="20"/>
                <w:b w:val="1"/>
                <w:bCs w:val="1"/>
                <w:i w:val="1"/>
                <w:iCs w:val="1"/>
                <w:color w:val="auto"/>
                <w:w w:val="99"/>
              </w:rPr>
              <w:t>THE SECURITIES ACT OF 1933</w:t>
            </w:r>
          </w:p>
        </w:tc>
        <w:tc>
          <w:tcPr>
            <w:tcW w:w="2280" w:type="dxa"/>
            <w:vAlign w:val="bottom"/>
          </w:tcPr>
          <w:p>
            <w:pPr>
              <w:jc w:val="right"/>
              <w:spacing w:after="0" w:line="201" w:lineRule="exact"/>
              <w:rPr>
                <w:sz w:val="20"/>
                <w:szCs w:val="20"/>
                <w:color w:val="auto"/>
              </w:rPr>
            </w:pPr>
            <w:r>
              <w:rPr>
                <w:rFonts w:ascii="MS PGothic" w:cs="MS PGothic" w:eastAsia="MS PGothic" w:hAnsi="MS PGothic"/>
                <w:sz w:val="20"/>
                <w:szCs w:val="20"/>
                <w:color w:val="auto"/>
              </w:rPr>
              <w:t>☒</w:t>
            </w:r>
          </w:p>
        </w:tc>
      </w:tr>
      <w:tr>
        <w:trPr>
          <w:trHeight w:val="237"/>
        </w:trPr>
        <w:tc>
          <w:tcPr>
            <w:tcW w:w="4940" w:type="dxa"/>
            <w:vAlign w:val="bottom"/>
          </w:tcPr>
          <w:p>
            <w:pPr>
              <w:jc w:val="center"/>
              <w:ind w:right="2001"/>
              <w:spacing w:after="0"/>
              <w:rPr>
                <w:sz w:val="20"/>
                <w:szCs w:val="20"/>
                <w:color w:val="auto"/>
              </w:rPr>
            </w:pPr>
            <w:r>
              <w:rPr>
                <w:rFonts w:ascii="Times New Roman" w:cs="Times New Roman" w:eastAsia="Times New Roman" w:hAnsi="Times New Roman"/>
                <w:sz w:val="20"/>
                <w:szCs w:val="20"/>
                <w:b w:val="1"/>
                <w:bCs w:val="1"/>
                <w:color w:val="auto"/>
                <w:w w:val="99"/>
              </w:rPr>
              <w:t>Pre-Effective Amendment No.</w:t>
            </w:r>
          </w:p>
        </w:tc>
        <w:tc>
          <w:tcPr>
            <w:tcW w:w="2280" w:type="dxa"/>
            <w:vAlign w:val="bottom"/>
          </w:tcPr>
          <w:p>
            <w:pPr>
              <w:jc w:val="right"/>
              <w:spacing w:after="0" w:line="201" w:lineRule="exact"/>
              <w:rPr>
                <w:sz w:val="20"/>
                <w:szCs w:val="20"/>
                <w:color w:val="auto"/>
              </w:rPr>
            </w:pPr>
            <w:r>
              <w:rPr>
                <w:rFonts w:ascii="MS PGothic" w:cs="MS PGothic" w:eastAsia="MS PGothic" w:hAnsi="MS PGothic"/>
                <w:sz w:val="20"/>
                <w:szCs w:val="20"/>
                <w:color w:val="auto"/>
              </w:rPr>
              <w:t>☐</w:t>
            </w:r>
          </w:p>
        </w:tc>
      </w:tr>
      <w:tr>
        <w:trPr>
          <w:trHeight w:val="283"/>
        </w:trPr>
        <w:tc>
          <w:tcPr>
            <w:tcW w:w="4940" w:type="dxa"/>
            <w:vAlign w:val="bottom"/>
          </w:tcPr>
          <w:p>
            <w:pPr>
              <w:jc w:val="center"/>
              <w:ind w:right="2001"/>
              <w:spacing w:after="0"/>
              <w:rPr>
                <w:sz w:val="20"/>
                <w:szCs w:val="20"/>
                <w:color w:val="auto"/>
              </w:rPr>
            </w:pPr>
            <w:r>
              <w:rPr>
                <w:rFonts w:ascii="Times New Roman" w:cs="Times New Roman" w:eastAsia="Times New Roman" w:hAnsi="Times New Roman"/>
                <w:sz w:val="20"/>
                <w:szCs w:val="20"/>
                <w:b w:val="1"/>
                <w:bCs w:val="1"/>
                <w:color w:val="auto"/>
                <w:w w:val="98"/>
              </w:rPr>
              <w:t>Post-Effective Amendment No.</w:t>
            </w:r>
          </w:p>
        </w:tc>
        <w:tc>
          <w:tcPr>
            <w:tcW w:w="22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TPG Specialty Lending,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301 Commerce Street, Suite 3300</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Fort Worth, TX 76102</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(817) 871-4000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David Stiepleman</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c/o TPG Specialty Lending, Inc.</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345 California Street, Suite 3300</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San Francisco, CA 94104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WITH COPIES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Michael A. Gerstenzang, Esq.</w:t>
      </w:r>
    </w:p>
    <w:p>
      <w:pPr>
        <w:jc w:val="center"/>
        <w:spacing w:after="0" w:line="219" w:lineRule="auto"/>
        <w:rPr>
          <w:sz w:val="20"/>
          <w:szCs w:val="20"/>
          <w:color w:val="auto"/>
        </w:rPr>
      </w:pPr>
      <w:r>
        <w:rPr>
          <w:rFonts w:ascii="Times New Roman" w:cs="Times New Roman" w:eastAsia="Times New Roman" w:hAnsi="Times New Roman"/>
          <w:sz w:val="13"/>
          <w:szCs w:val="13"/>
          <w:b w:val="1"/>
          <w:bCs w:val="1"/>
          <w:color w:val="auto"/>
        </w:rPr>
        <w:t>Adam E. Fleisher, Esq.</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Helena K. Grannis, Esq.</w:t>
      </w:r>
    </w:p>
    <w:p>
      <w:pPr>
        <w:jc w:val="center"/>
        <w:spacing w:after="0" w:line="216" w:lineRule="auto"/>
        <w:rPr>
          <w:sz w:val="20"/>
          <w:szCs w:val="20"/>
          <w:color w:val="auto"/>
        </w:rPr>
      </w:pPr>
      <w:r>
        <w:rPr>
          <w:rFonts w:ascii="Times New Roman" w:cs="Times New Roman" w:eastAsia="Times New Roman" w:hAnsi="Times New Roman"/>
          <w:sz w:val="13"/>
          <w:szCs w:val="13"/>
          <w:b w:val="1"/>
          <w:bCs w:val="1"/>
          <w:color w:val="auto"/>
        </w:rPr>
        <w:t>Cleary Gottlieb Steen &amp; Hamilton LLP</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One Liberty Plaza</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New York, NY 10006</w:t>
      </w:r>
    </w:p>
    <w:p>
      <w:pPr>
        <w:jc w:val="center"/>
        <w:spacing w:after="0" w:line="217" w:lineRule="auto"/>
        <w:rPr>
          <w:sz w:val="20"/>
          <w:szCs w:val="20"/>
          <w:color w:val="auto"/>
        </w:rPr>
      </w:pPr>
      <w:r>
        <w:rPr>
          <w:rFonts w:ascii="Times New Roman" w:cs="Times New Roman" w:eastAsia="Times New Roman" w:hAnsi="Times New Roman"/>
          <w:sz w:val="13"/>
          <w:szCs w:val="13"/>
          <w:b w:val="1"/>
          <w:bCs w:val="1"/>
          <w:color w:val="auto"/>
        </w:rPr>
        <w:t>Telephone: (212) 225-2000</w:t>
      </w:r>
    </w:p>
    <w:p>
      <w:pPr>
        <w:jc w:val="center"/>
        <w:spacing w:after="0"/>
        <w:rPr>
          <w:sz w:val="20"/>
          <w:szCs w:val="20"/>
          <w:color w:val="auto"/>
        </w:rPr>
      </w:pPr>
      <w:r>
        <w:rPr>
          <w:rFonts w:ascii="Times New Roman" w:cs="Times New Roman" w:eastAsia="Times New Roman" w:hAnsi="Times New Roman"/>
          <w:sz w:val="13"/>
          <w:szCs w:val="13"/>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proposed public offering: </w:t>
      </w:r>
      <w:r>
        <w:rPr>
          <w:rFonts w:ascii="Times New Roman" w:cs="Times New Roman" w:eastAsia="Times New Roman" w:hAnsi="Times New Roman"/>
          <w:sz w:val="13"/>
          <w:szCs w:val="13"/>
          <w:color w:val="auto"/>
        </w:rPr>
        <w:t>From time to time after the effective date of this Registration Statement.</w:t>
      </w:r>
    </w:p>
    <w:p>
      <w:pPr>
        <w:spacing w:after="0" w:line="17" w:lineRule="exact"/>
        <w:rPr>
          <w:sz w:val="24"/>
          <w:szCs w:val="24"/>
          <w:color w:val="auto"/>
        </w:rPr>
      </w:pPr>
    </w:p>
    <w:p>
      <w:pPr>
        <w:ind w:right="120"/>
        <w:spacing w:after="0" w:line="162" w:lineRule="exact"/>
        <w:rPr>
          <w:sz w:val="20"/>
          <w:szCs w:val="20"/>
          <w:color w:val="auto"/>
        </w:rPr>
      </w:pPr>
      <w:r>
        <w:rPr>
          <w:rFonts w:ascii="Times New Roman" w:cs="Times New Roman" w:eastAsia="Times New Roman" w:hAnsi="Times New Roman"/>
          <w:sz w:val="13"/>
          <w:szCs w:val="13"/>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It is proposed that this filing will become effective (check appropriate box):</w:t>
      </w:r>
    </w:p>
    <w:p>
      <w:pPr>
        <w:spacing w:after="0" w:line="2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CALCULATION OF REGISTRATION FEE UNDER THE SECURITIES ACT OF 1933</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66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600" w:type="dxa"/>
            <w:vAlign w:val="bottom"/>
            <w:tcBorders>
              <w:right w:val="single" w:sz="8" w:color="auto"/>
            </w:tcBorders>
          </w:tcPr>
          <w:p>
            <w:pPr>
              <w:jc w:val="center"/>
              <w:ind w:left="39"/>
              <w:spacing w:after="0" w:line="95" w:lineRule="exact"/>
              <w:rPr>
                <w:sz w:val="20"/>
                <w:szCs w:val="20"/>
                <w:color w:val="auto"/>
              </w:rPr>
            </w:pPr>
            <w:r>
              <w:rPr>
                <w:rFonts w:ascii="Times New Roman" w:cs="Times New Roman" w:eastAsia="Times New Roman" w:hAnsi="Times New Roman"/>
                <w:sz w:val="11"/>
                <w:szCs w:val="11"/>
                <w:b w:val="1"/>
                <w:bCs w:val="1"/>
                <w:color w:val="auto"/>
              </w:rPr>
              <w:t>Proposed</w:t>
            </w: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Securities</w:t>
            </w:r>
          </w:p>
        </w:tc>
        <w:tc>
          <w:tcPr>
            <w:tcW w:w="15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0" w:type="dxa"/>
            <w:vAlign w:val="bottom"/>
            <w:tcBorders>
              <w:right w:val="single" w:sz="8" w:color="auto"/>
            </w:tcBorders>
          </w:tcPr>
          <w:p>
            <w:pPr>
              <w:jc w:val="center"/>
              <w:ind w:left="19"/>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660" w:type="dxa"/>
            <w:vAlign w:val="bottom"/>
            <w:tcBorders>
              <w:right w:val="single" w:sz="8" w:color="auto"/>
            </w:tcBorders>
            <w:vMerge w:val="continue"/>
          </w:tcPr>
          <w:p>
            <w:pPr>
              <w:spacing w:after="0"/>
              <w:rPr>
                <w:sz w:val="11"/>
                <w:szCs w:val="11"/>
                <w:color w:val="auto"/>
              </w:rPr>
            </w:pPr>
          </w:p>
        </w:tc>
        <w:tc>
          <w:tcPr>
            <w:tcW w:w="15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Being</w:t>
            </w:r>
          </w:p>
        </w:tc>
        <w:tc>
          <w:tcPr>
            <w:tcW w:w="1600" w:type="dxa"/>
            <w:vAlign w:val="bottom"/>
            <w:tcBorders>
              <w:right w:val="single" w:sz="8" w:color="auto"/>
            </w:tcBorders>
          </w:tcPr>
          <w:p>
            <w:pPr>
              <w:jc w:val="center"/>
              <w:ind w:left="19"/>
              <w:spacing w:after="0" w:line="128"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560" w:type="dxa"/>
            <w:vAlign w:val="bottom"/>
          </w:tcPr>
          <w:p>
            <w:pPr>
              <w:jc w:val="center"/>
              <w:ind w:left="37"/>
              <w:spacing w:after="0" w:line="128"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Being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Registered</w:t>
            </w:r>
          </w:p>
        </w:tc>
        <w:tc>
          <w:tcPr>
            <w:tcW w:w="1600" w:type="dxa"/>
            <w:vAlign w:val="bottom"/>
            <w:tcBorders>
              <w:bottom w:val="single" w:sz="8" w:color="auto"/>
              <w:right w:val="single" w:sz="8" w:color="auto"/>
            </w:tcBorders>
          </w:tcPr>
          <w:p>
            <w:pPr>
              <w:jc w:val="center"/>
              <w:ind w:left="39"/>
              <w:spacing w:after="0"/>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5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6"/>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660" w:type="dxa"/>
            <w:vAlign w:val="bottom"/>
            <w:tcBorders>
              <w:bottom w:val="single" w:sz="8" w:color="auto"/>
              <w:right w:val="single" w:sz="8" w:color="auto"/>
            </w:tcBorders>
          </w:tcPr>
          <w:p>
            <w:pPr>
              <w:spacing w:after="0" w:line="143" w:lineRule="exact"/>
              <w:rPr>
                <w:sz w:val="20"/>
                <w:szCs w:val="20"/>
                <w:color w:val="auto"/>
              </w:rPr>
            </w:pPr>
            <w:r>
              <w:rPr>
                <w:rFonts w:ascii="Times New Roman" w:cs="Times New Roman" w:eastAsia="Times New Roman" w:hAnsi="Times New Roman"/>
                <w:sz w:val="13"/>
                <w:szCs w:val="13"/>
                <w:color w:val="auto"/>
              </w:rPr>
              <w:t>Common Stock, $0.01 par value per share (1)(2)</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Preferred Stock, $0.01 par value per share (1)(2)</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Subscription Rights (1)</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Warrants (3)</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Debt Securities (2)(4)</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Units (5)</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Total (6)</w:t>
            </w:r>
          </w:p>
        </w:tc>
        <w:tc>
          <w:tcPr>
            <w:tcW w:w="158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center"/>
              <w:ind w:left="19"/>
              <w:spacing w:after="0" w:line="143" w:lineRule="exact"/>
              <w:rPr>
                <w:sz w:val="20"/>
                <w:szCs w:val="20"/>
                <w:color w:val="auto"/>
              </w:rPr>
            </w:pPr>
            <w:r>
              <w:rPr>
                <w:rFonts w:ascii="Times New Roman" w:cs="Times New Roman" w:eastAsia="Times New Roman" w:hAnsi="Times New Roman"/>
                <w:sz w:val="13"/>
                <w:szCs w:val="13"/>
                <w:color w:val="auto"/>
                <w:w w:val="97"/>
              </w:rPr>
              <w:t>$500,000,000.00(7)</w:t>
            </w:r>
          </w:p>
        </w:tc>
        <w:tc>
          <w:tcPr>
            <w:tcW w:w="1560" w:type="dxa"/>
            <w:vAlign w:val="bottom"/>
            <w:tcBorders>
              <w:bottom w:val="single" w:sz="8" w:color="auto"/>
            </w:tcBorders>
          </w:tcPr>
          <w:p>
            <w:pPr>
              <w:jc w:val="center"/>
              <w:ind w:left="17"/>
              <w:spacing w:after="0" w:line="143" w:lineRule="exact"/>
              <w:rPr>
                <w:sz w:val="20"/>
                <w:szCs w:val="20"/>
                <w:color w:val="auto"/>
              </w:rPr>
            </w:pPr>
            <w:r>
              <w:rPr>
                <w:rFonts w:ascii="Times New Roman" w:cs="Times New Roman" w:eastAsia="Times New Roman" w:hAnsi="Times New Roman"/>
                <w:sz w:val="13"/>
                <w:szCs w:val="13"/>
                <w:color w:val="auto"/>
                <w:w w:val="95"/>
              </w:rPr>
              <w:t>$64,400.00</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auto"/>
              <w:right w:val="single" w:sz="8" w:color="auto"/>
            </w:tcBorders>
            <w:gridSpan w:val="2"/>
          </w:tcPr>
          <w:p>
            <w:pPr>
              <w:spacing w:after="0" w:line="143" w:lineRule="exact"/>
              <w:rPr>
                <w:sz w:val="20"/>
                <w:szCs w:val="20"/>
                <w:color w:val="auto"/>
              </w:rPr>
            </w:pPr>
            <w:r>
              <w:rPr>
                <w:rFonts w:ascii="Times New Roman" w:cs="Times New Roman" w:eastAsia="Times New Roman" w:hAnsi="Times New Roman"/>
                <w:sz w:val="13"/>
                <w:szCs w:val="13"/>
                <w:color w:val="auto"/>
              </w:rPr>
              <w:t>Common Stock, $0.01 par value per share (8)</w:t>
            </w:r>
          </w:p>
        </w:tc>
        <w:tc>
          <w:tcPr>
            <w:tcW w:w="1580" w:type="dxa"/>
            <w:vAlign w:val="bottom"/>
            <w:tcBorders>
              <w:bottom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3"/>
                <w:szCs w:val="13"/>
                <w:color w:val="auto"/>
                <w:w w:val="95"/>
              </w:rPr>
              <w:t>42,040,525</w:t>
            </w:r>
          </w:p>
        </w:tc>
        <w:tc>
          <w:tcPr>
            <w:tcW w:w="1600" w:type="dxa"/>
            <w:vAlign w:val="bottom"/>
            <w:tcBorders>
              <w:bottom w:val="single" w:sz="8" w:color="auto"/>
              <w:right w:val="single" w:sz="8" w:color="auto"/>
            </w:tcBorders>
          </w:tcPr>
          <w:p>
            <w:pPr>
              <w:jc w:val="center"/>
              <w:ind w:left="19"/>
              <w:spacing w:after="0" w:line="143" w:lineRule="exact"/>
              <w:rPr>
                <w:sz w:val="20"/>
                <w:szCs w:val="20"/>
                <w:color w:val="auto"/>
              </w:rPr>
            </w:pPr>
            <w:r>
              <w:rPr>
                <w:rFonts w:ascii="Times New Roman" w:cs="Times New Roman" w:eastAsia="Times New Roman" w:hAnsi="Times New Roman"/>
                <w:sz w:val="13"/>
                <w:szCs w:val="13"/>
                <w:color w:val="auto"/>
                <w:w w:val="97"/>
              </w:rPr>
              <w:t>$779,010,928.25(9)</w:t>
            </w:r>
          </w:p>
        </w:tc>
        <w:tc>
          <w:tcPr>
            <w:tcW w:w="1560" w:type="dxa"/>
            <w:vAlign w:val="bottom"/>
            <w:tcBorders>
              <w:bottom w:val="single" w:sz="8" w:color="auto"/>
            </w:tcBorders>
          </w:tcPr>
          <w:p>
            <w:pPr>
              <w:jc w:val="center"/>
              <w:ind w:left="17"/>
              <w:spacing w:after="0" w:line="143" w:lineRule="exact"/>
              <w:rPr>
                <w:sz w:val="20"/>
                <w:szCs w:val="20"/>
                <w:color w:val="auto"/>
              </w:rPr>
            </w:pPr>
            <w:r>
              <w:rPr>
                <w:rFonts w:ascii="Times New Roman" w:cs="Times New Roman" w:eastAsia="Times New Roman" w:hAnsi="Times New Roman"/>
                <w:sz w:val="13"/>
                <w:szCs w:val="13"/>
                <w:color w:val="auto"/>
                <w:w w:val="98"/>
              </w:rPr>
              <w:t>$100,336.61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6660" w:type="dxa"/>
            <w:vAlign w:val="bottom"/>
            <w:tcBorders>
              <w:bottom w:val="single" w:sz="8" w:color="auto"/>
              <w:right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58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right w:val="single" w:sz="8" w:color="auto"/>
            </w:tcBorders>
          </w:tcPr>
          <w:p>
            <w:pPr>
              <w:spacing w:after="0"/>
              <w:rPr>
                <w:sz w:val="11"/>
                <w:szCs w:val="11"/>
                <w:color w:val="auto"/>
              </w:rPr>
            </w:pPr>
          </w:p>
        </w:tc>
        <w:tc>
          <w:tcPr>
            <w:tcW w:w="1560" w:type="dxa"/>
            <w:vAlign w:val="bottom"/>
            <w:tcBorders>
              <w:bottom w:val="single" w:sz="8" w:color="auto"/>
            </w:tcBorders>
          </w:tcPr>
          <w:p>
            <w:pPr>
              <w:jc w:val="center"/>
              <w:ind w:left="17"/>
              <w:spacing w:after="0" w:line="129" w:lineRule="exact"/>
              <w:rPr>
                <w:sz w:val="20"/>
                <w:szCs w:val="20"/>
                <w:color w:val="auto"/>
              </w:rPr>
            </w:pPr>
            <w:r>
              <w:rPr>
                <w:rFonts w:ascii="Times New Roman" w:cs="Times New Roman" w:eastAsia="Times New Roman" w:hAnsi="Times New Roman"/>
                <w:sz w:val="13"/>
                <w:szCs w:val="13"/>
                <w:color w:val="auto"/>
                <w:w w:val="98"/>
              </w:rPr>
              <w:t>$164,736.61</w:t>
            </w:r>
          </w:p>
        </w:tc>
        <w:tc>
          <w:tcPr>
            <w:tcW w:w="0" w:type="dxa"/>
            <w:vAlign w:val="bottom"/>
          </w:tcPr>
          <w:p>
            <w:pPr>
              <w:spacing w:after="0"/>
              <w:rPr>
                <w:sz w:val="1"/>
                <w:szCs w:val="1"/>
                <w:color w:val="auto"/>
              </w:rPr>
            </w:pPr>
          </w:p>
        </w:tc>
      </w:tr>
    </w:tbl>
    <w:p>
      <w:pPr>
        <w:ind w:left="340" w:right="120" w:hanging="332"/>
        <w:spacing w:after="0" w:line="224"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Note 6 below, there is being registered hereunder an indeterminate number of shares of common stock or preferred stock, or subscription rights to purchase shares of common stock as may be sold, from time to time separately or as units in combination with other securities registered hereunder.</w:t>
      </w:r>
    </w:p>
    <w:p>
      <w:pPr>
        <w:ind w:left="340" w:right="10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spacing w:after="0" w:line="1" w:lineRule="exact"/>
        <w:rPr>
          <w:rFonts w:ascii="Times New Roman" w:cs="Times New Roman" w:eastAsia="Times New Roman" w:hAnsi="Times New Roman"/>
          <w:sz w:val="13"/>
          <w:szCs w:val="13"/>
          <w:color w:val="auto"/>
        </w:rPr>
      </w:pPr>
    </w:p>
    <w:p>
      <w:pPr>
        <w:ind w:left="340" w:right="42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Note 6 below, there is being registered hereunder an indeterminate number of warrants as may be sold, from time to time separately or as units in combination with other securities registered hereunder, representing rights to purchase common stock, preferred stock or debt securities.</w:t>
      </w:r>
    </w:p>
    <w:p>
      <w:pPr>
        <w:spacing w:after="0" w:line="1" w:lineRule="exact"/>
        <w:rPr>
          <w:rFonts w:ascii="Times New Roman" w:cs="Times New Roman" w:eastAsia="Times New Roman" w:hAnsi="Times New Roman"/>
          <w:sz w:val="13"/>
          <w:szCs w:val="13"/>
          <w:color w:val="auto"/>
        </w:rPr>
      </w:pPr>
    </w:p>
    <w:p>
      <w:pPr>
        <w:ind w:left="340" w:right="220" w:hanging="332"/>
        <w:spacing w:after="0" w:line="234"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Note 6 below, there is being registered hereunder an indeterminate principal amount of debt securities as may be sold, from time to time separately or as units in combination with other securities registered hereunder. If any debt securities are issued at an original issue discount, then the offering price shall be in such greater principal amount as shall result in an aggregate price to investors not to exceed $500,000,000.</w:t>
      </w:r>
    </w:p>
    <w:p>
      <w:pPr>
        <w:spacing w:after="0" w:line="1" w:lineRule="exact"/>
        <w:rPr>
          <w:rFonts w:ascii="Times New Roman" w:cs="Times New Roman" w:eastAsia="Times New Roman" w:hAnsi="Times New Roman"/>
          <w:sz w:val="12"/>
          <w:szCs w:val="12"/>
          <w:color w:val="auto"/>
        </w:rPr>
      </w:pPr>
    </w:p>
    <w:p>
      <w:pPr>
        <w:ind w:left="34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Note 6 below, there is being registered hereunder an indeterminate number of units. Each unit may consist of a combination of any one or more of the securities being registered hereunder and may also include securities issued by third parties, including the U.S. Treasury.</w:t>
      </w:r>
    </w:p>
    <w:p>
      <w:pPr>
        <w:spacing w:after="0" w:line="1" w:lineRule="exact"/>
        <w:rPr>
          <w:rFonts w:ascii="Times New Roman" w:cs="Times New Roman" w:eastAsia="Times New Roman" w:hAnsi="Times New Roman"/>
          <w:sz w:val="13"/>
          <w:szCs w:val="13"/>
          <w:color w:val="auto"/>
        </w:rPr>
      </w:pPr>
    </w:p>
    <w:p>
      <w:pPr>
        <w:ind w:left="34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 event will the aggregate offering price of all securities issued from time to time pursuant to this registration statement by the Registrant exceed $500,000,000.</w:t>
      </w:r>
    </w:p>
    <w:p>
      <w:pPr>
        <w:ind w:left="340" w:right="4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1" w:lineRule="exact"/>
        <w:rPr>
          <w:rFonts w:ascii="Times New Roman" w:cs="Times New Roman" w:eastAsia="Times New Roman" w:hAnsi="Times New Roman"/>
          <w:sz w:val="13"/>
          <w:szCs w:val="13"/>
          <w:color w:val="auto"/>
        </w:rPr>
      </w:pPr>
    </w:p>
    <w:p>
      <w:pPr>
        <w:ind w:left="340" w:hanging="332"/>
        <w:spacing w:after="0" w:line="216"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shares are being registered on behalf of selling stockholders.</w:t>
      </w:r>
    </w:p>
    <w:p>
      <w:pPr>
        <w:ind w:left="340" w:right="600" w:hanging="332"/>
        <w:spacing w:after="0" w:line="229" w:lineRule="auto"/>
        <w:tabs>
          <w:tab w:leader="none" w:pos="34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calculating the registration fee. Pursuant to Rule 457(c) of the Securities Act of 1933, as amended, the proposed maximum aggregate offering amount and the amount of the registration fee have been determined on the basis of the high and low market prices of the Registrant’s common stock reported on the New York Stock Exchange on June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61595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1" w:lineRule="exact"/>
        <w:rPr>
          <w:sz w:val="24"/>
          <w:szCs w:val="24"/>
          <w:color w:val="auto"/>
        </w:rPr>
      </w:pPr>
    </w:p>
    <w:p>
      <w:pPr>
        <w:ind w:right="220" w:firstLine="342"/>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 dated June 23,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328930</wp:posOffset>
            </wp:positionV>
            <wp:extent cx="134620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Specialty Lending, Inc.</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157480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6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of March 31, 2014, our investment portfolio consisted of investments in 30 portfolio companies with an aggregate fair value of $1,195.5 million. We intend to continue to pursue an investment strategy focused on direct origination of loans to middle-market companies principally domiciled in the United States.</w:t>
      </w:r>
    </w:p>
    <w:p>
      <w:pPr>
        <w:spacing w:after="0" w:line="6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$9 billion of assets under management as of March 31, 2014. TPG Special Situations Partners is the special situations and credit platform of TPG, a leading global private investment firm founded in 1992 with over $59 billion of assets under management as of March 31, 2014.</w:t>
      </w:r>
    </w:p>
    <w:p>
      <w:pPr>
        <w:spacing w:after="0" w:line="7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6"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68"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$500 million of our common stock, preferred stock, debt securities, subscription rights to purchase shares of our common stock, warrants representing rights to purchase shares of our common stock, preferred stock or debt securities, or units comprised of any combination of the foregoing, which we refer to, collectively, as the “securities.” The preferred stock, debt securities, subscription rights and warrants (including as part of a unit) offered hereby may be convertible or exchangeable into shares of our common stock. The securities may be offered at prices and on terms to be described in one or more supplements to this prospectus.</w:t>
      </w:r>
    </w:p>
    <w:p>
      <w:pPr>
        <w:spacing w:after="0" w:line="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price per share that is less than our net asset value per share (i) in connection with a rights offering to our existing stockholders, (ii) with the prior approval of the majority of our common stockholders or (iii) under such other circumstances as the Securities and Exchange Commission may permit.</w:t>
      </w:r>
    </w:p>
    <w:p>
      <w:pPr>
        <w:spacing w:after="0" w:line="5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76"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 addition, this prospectus relates to 42,040,525 shares of our common stock that may be sold by the selling stockholders identified under “Selling Stockholders.” Sales of our common stock by the selling stockholders, which may occur at prices below the net asset value per share of our common stock, may adversely affect the market price of our common stock and may make it more difficult for us to raise capital.</w:t>
      </w:r>
    </w:p>
    <w:p>
      <w:pPr>
        <w:spacing w:after="0" w:line="68"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selling stockholders identified under “Selling Stockholders” acquired their respective shares of our common stock either (i) through subscription agreements prior to our initial public offering, or IPO, or (ii) in the concurrent private placement to certain of our existing investors in connection with our IPO. Each sale by the selling stockholders of their shares of our common stock pursuant to this registration statement through agents, underwriters or dealers will be accompanied by a prospectus supplement that will identify the selling stockholders that are participating in such offering. We will not receive any proceeds from the sale of shares of our common stock by any of the selling stockholders.</w:t>
      </w:r>
    </w:p>
    <w:p>
      <w:pPr>
        <w:spacing w:after="0" w:line="76"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New York Stock Exchange, or NYSE, under the symbol “TSLX.” On June 20, 2014 the last reported sales price of our common stock on the NYSE was $18.11 per share. The net asset value per share of our common stock at March 31, 2014 (the last date prior to the date of this prospectus on which we determined net asset value) was $15.51. Based on this last reported sales price of our common stock, the aggregate market value of the shares of our common stock held by the selling stockholders identified under “Selling Stockholders” is approximately $761.4 million.</w:t>
      </w:r>
    </w:p>
    <w:p>
      <w:pPr>
        <w:spacing w:after="0" w:line="59" w:lineRule="exact"/>
        <w:rPr>
          <w:sz w:val="20"/>
          <w:szCs w:val="20"/>
          <w:color w:val="auto"/>
        </w:rPr>
      </w:pPr>
    </w:p>
    <w:p>
      <w:pPr>
        <w:ind w:right="60" w:firstLine="571"/>
        <w:spacing w:after="0" w:line="23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27">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22 of this prospectus.</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sales of our securities unless accompanied by a prospectus supplement.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77"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129540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0"/>
          <w:szCs w:val="20"/>
          <w:color w:val="auto"/>
        </w:rPr>
      </w:pPr>
    </w:p>
    <w:tbl>
      <w:tblPr>
        <w:tblLayout w:type="fixed"/>
        <w:tblInd w:w="400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2014</w:t>
            </w:r>
          </w:p>
        </w:tc>
      </w:tr>
    </w:tbl>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as of the dates on their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225425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ABOUT THIS PROSPECTUS</w:t>
              </w:r>
            </w:hyperlink>
          </w:p>
        </w:tc>
        <w:tc>
          <w:tcPr>
            <w:tcW w:w="6680" w:type="dxa"/>
            <w:vAlign w:val="bottom"/>
            <w:gridSpan w:val="20"/>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2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PROSPECTUS SUMMARY</w:t>
              </w:r>
            </w:hyperlink>
          </w:p>
        </w:tc>
        <w:tc>
          <w:tcPr>
            <w:tcW w:w="682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THE OFFERING</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FEES AND EXPENSES</w:t>
              </w:r>
            </w:hyperlink>
          </w:p>
        </w:tc>
        <w:tc>
          <w:tcPr>
            <w:tcW w:w="712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48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SELECTED FINANCIAL DATA AND OTHER INFORMATION</w:t>
              </w:r>
            </w:hyperlink>
          </w:p>
        </w:tc>
        <w:tc>
          <w:tcPr>
            <w:tcW w:w="41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35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SELECTED QUARTERLY FINANCIAL DATA</w:t>
              </w:r>
            </w:hyperlink>
          </w:p>
        </w:tc>
        <w:tc>
          <w:tcPr>
            <w:tcW w:w="53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RISK FACTORS</w:t>
              </w:r>
            </w:hyperlink>
          </w:p>
        </w:tc>
        <w:tc>
          <w:tcPr>
            <w:tcW w:w="7640" w:type="dxa"/>
            <w:vAlign w:val="bottom"/>
            <w:gridSpan w:val="2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SPECIAL NOTE REGARDING FORWARD-LOOKING STATEMENTS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534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USE OF PROCEEDS</w:t>
              </w:r>
            </w:hyperlink>
          </w:p>
        </w:tc>
        <w:tc>
          <w:tcPr>
            <w:tcW w:w="35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PRICE RANGE OF COMMON STOCK AND DISTRIBUTIONS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SENIOR SECURITIES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17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THE COMPANY</w:t>
              </w:r>
            </w:hyperlink>
          </w:p>
        </w:tc>
        <w:tc>
          <w:tcPr>
            <w:tcW w:w="7200" w:type="dxa"/>
            <w:vAlign w:val="bottom"/>
            <w:gridSpan w:val="2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102">
              <w:r>
                <w:rPr>
                  <w:rFonts w:ascii="Times New Roman" w:cs="Times New Roman" w:eastAsia="Times New Roman" w:hAnsi="Times New Roman"/>
                  <w:sz w:val="18"/>
                  <w:szCs w:val="18"/>
                  <w:color w:val="0000EE"/>
                  <w:w w:val="98"/>
                </w:rPr>
                <w:t>PORTFOLIO COMPANIES</w:t>
              </w:r>
            </w:hyperlink>
          </w:p>
        </w:tc>
        <w:tc>
          <w:tcPr>
            <w:tcW w:w="6860" w:type="dxa"/>
            <w:vAlign w:val="bottom"/>
            <w:gridSpan w:val="2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MANAGEMENT</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MANAGEMENT AND OTHER AGREEMENTS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8"/>
              </w:rPr>
            </w:pPr>
            <w:hyperlink w:anchor="page128">
              <w:r>
                <w:rPr>
                  <w:rFonts w:ascii="Times New Roman" w:cs="Times New Roman" w:eastAsia="Times New Roman" w:hAnsi="Times New Roman"/>
                  <w:sz w:val="18"/>
                  <w:szCs w:val="18"/>
                  <w:color w:val="0000EE"/>
                  <w:w w:val="98"/>
                </w:rPr>
                <w:t>RELATED-PARTY TRANSACTIONS AND CERTAIN RELATIONSHIPS</w:t>
              </w:r>
            </w:hyperlink>
          </w:p>
        </w:tc>
        <w:tc>
          <w:tcPr>
            <w:tcW w:w="3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CONTROL PERSONS AND PRINCIPAL STOCKHOLDERS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196"/>
        </w:trPr>
        <w:tc>
          <w:tcPr>
            <w:tcW w:w="22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135">
              <w:r>
                <w:rPr>
                  <w:rFonts w:ascii="Times New Roman" w:cs="Times New Roman" w:eastAsia="Times New Roman" w:hAnsi="Times New Roman"/>
                  <w:sz w:val="18"/>
                  <w:szCs w:val="18"/>
                  <w:color w:val="0000EE"/>
                  <w:w w:val="99"/>
                </w:rPr>
                <w:t>SELLING STOCKHOLDERS</w:t>
              </w:r>
            </w:hyperlink>
          </w:p>
        </w:tc>
        <w:tc>
          <w:tcPr>
            <w:tcW w:w="2320" w:type="dxa"/>
            <w:vAlign w:val="bottom"/>
            <w:tcBorders>
              <w:top w:val="single" w:sz="8" w:color="0000EE"/>
            </w:tcBorders>
            <w:gridSpan w:val="15"/>
          </w:tcPr>
          <w:p>
            <w:pPr>
              <w:spacing w:after="0"/>
              <w:rPr>
                <w:sz w:val="17"/>
                <w:szCs w:val="17"/>
                <w:color w:val="auto"/>
              </w:rPr>
            </w:pPr>
          </w:p>
        </w:tc>
        <w:tc>
          <w:tcPr>
            <w:tcW w:w="438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196"/>
        </w:trPr>
        <w:tc>
          <w:tcPr>
            <w:tcW w:w="33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w:anchor="page136">
              <w:r>
                <w:rPr>
                  <w:rFonts w:ascii="Times New Roman" w:cs="Times New Roman" w:eastAsia="Times New Roman" w:hAnsi="Times New Roman"/>
                  <w:sz w:val="18"/>
                  <w:szCs w:val="18"/>
                  <w:color w:val="0000EE"/>
                  <w:w w:val="98"/>
                </w:rPr>
                <w:t>DETERMINATION OF NET ASSET VALUE</w:t>
              </w:r>
            </w:hyperlink>
          </w:p>
        </w:tc>
        <w:tc>
          <w:tcPr>
            <w:tcW w:w="554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37">
              <w:r>
                <w:rPr>
                  <w:rFonts w:ascii="Times New Roman" w:cs="Times New Roman" w:eastAsia="Times New Roman" w:hAnsi="Times New Roman"/>
                  <w:sz w:val="18"/>
                  <w:szCs w:val="18"/>
                  <w:color w:val="0000EE"/>
                </w:rPr>
                <w:t>DIVIDEND REINVESTMENT PLAN</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8"/>
              </w:rPr>
            </w:pPr>
            <w:hyperlink w:anchor="page139">
              <w:r>
                <w:rPr>
                  <w:rFonts w:ascii="Times New Roman" w:cs="Times New Roman" w:eastAsia="Times New Roman" w:hAnsi="Times New Roman"/>
                  <w:sz w:val="18"/>
                  <w:szCs w:val="18"/>
                  <w:color w:val="0000EE"/>
                  <w:w w:val="98"/>
                </w:rPr>
                <w:t>MATERIAL U.S. FEDERAL INCOME TAX CONSIDERATIONS</w:t>
              </w:r>
            </w:hyperlink>
          </w:p>
        </w:tc>
        <w:tc>
          <w:tcPr>
            <w:tcW w:w="404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DESCRIPTION OF OUR SECURITIES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DESCRIPTION OF OUR CAPITAL STOCK</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153">
              <w:r>
                <w:rPr>
                  <w:rFonts w:ascii="Times New Roman" w:cs="Times New Roman" w:eastAsia="Times New Roman" w:hAnsi="Times New Roman"/>
                  <w:sz w:val="18"/>
                  <w:szCs w:val="18"/>
                  <w:color w:val="0000EE"/>
                </w:rPr>
                <w:t>DESCRIPTION OF OUR PREFERRED STOCK</w:t>
              </w:r>
            </w:hyperlink>
          </w:p>
        </w:tc>
        <w:tc>
          <w:tcPr>
            <w:tcW w:w="528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r>
      <w:tr>
        <w:trPr>
          <w:trHeight w:val="196"/>
        </w:trPr>
        <w:tc>
          <w:tcPr>
            <w:tcW w:w="39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154">
              <w:r>
                <w:rPr>
                  <w:rFonts w:ascii="Times New Roman" w:cs="Times New Roman" w:eastAsia="Times New Roman" w:hAnsi="Times New Roman"/>
                  <w:sz w:val="18"/>
                  <w:szCs w:val="18"/>
                  <w:color w:val="0000EE"/>
                  <w:w w:val="99"/>
                </w:rPr>
                <w:t>DESCRIPTION OF OUR SUBSCRIPTION RIGHTS</w:t>
              </w:r>
            </w:hyperlink>
          </w:p>
        </w:tc>
        <w:tc>
          <w:tcPr>
            <w:tcW w:w="50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r>
      <w:tr>
        <w:trPr>
          <w:trHeight w:val="196"/>
        </w:trPr>
        <w:tc>
          <w:tcPr>
            <w:tcW w:w="29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156">
              <w:r>
                <w:rPr>
                  <w:rFonts w:ascii="Times New Roman" w:cs="Times New Roman" w:eastAsia="Times New Roman" w:hAnsi="Times New Roman"/>
                  <w:sz w:val="18"/>
                  <w:szCs w:val="18"/>
                  <w:color w:val="0000EE"/>
                  <w:w w:val="99"/>
                </w:rPr>
                <w:t>DESCRIPTION OF OUR WARRANTS</w:t>
              </w:r>
            </w:hyperlink>
          </w:p>
        </w:tc>
        <w:tc>
          <w:tcPr>
            <w:tcW w:w="59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r>
      <w:tr>
        <w:trPr>
          <w:trHeight w:val="196"/>
        </w:trPr>
        <w:tc>
          <w:tcPr>
            <w:tcW w:w="34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158">
              <w:r>
                <w:rPr>
                  <w:rFonts w:ascii="Times New Roman" w:cs="Times New Roman" w:eastAsia="Times New Roman" w:hAnsi="Times New Roman"/>
                  <w:sz w:val="18"/>
                  <w:szCs w:val="18"/>
                  <w:color w:val="0000EE"/>
                  <w:w w:val="99"/>
                </w:rPr>
                <w:t>DESCRIPTION OF OUR DEBT SECURITIES</w:t>
              </w:r>
            </w:hyperlink>
          </w:p>
        </w:tc>
        <w:tc>
          <w:tcPr>
            <w:tcW w:w="54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196"/>
        </w:trPr>
        <w:tc>
          <w:tcPr>
            <w:tcW w:w="2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170">
              <w:r>
                <w:rPr>
                  <w:rFonts w:ascii="Times New Roman" w:cs="Times New Roman" w:eastAsia="Times New Roman" w:hAnsi="Times New Roman"/>
                  <w:sz w:val="18"/>
                  <w:szCs w:val="18"/>
                  <w:color w:val="0000EE"/>
                  <w:w w:val="99"/>
                </w:rPr>
                <w:t>DESCRIPTION OF OUR UNITS</w:t>
              </w:r>
            </w:hyperlink>
          </w:p>
        </w:tc>
        <w:tc>
          <w:tcPr>
            <w:tcW w:w="646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71">
              <w:r>
                <w:rPr>
                  <w:rFonts w:ascii="Times New Roman" w:cs="Times New Roman" w:eastAsia="Times New Roman" w:hAnsi="Times New Roman"/>
                  <w:sz w:val="18"/>
                  <w:szCs w:val="18"/>
                  <w:color w:val="0000EE"/>
                </w:rPr>
                <w:t>SHARES ELIGIBLE FOR FUTURE SALE</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r>
      <w:tr>
        <w:trPr>
          <w:trHeight w:val="196"/>
        </w:trPr>
        <w:tc>
          <w:tcPr>
            <w:tcW w:w="31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REGULATION</w:t>
              </w:r>
            </w:hyperlink>
          </w:p>
        </w:tc>
        <w:tc>
          <w:tcPr>
            <w:tcW w:w="5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CUSTODIAN, TRANSFER AND DIVIDEND PAYING AGENT AND REGISTRAR</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196"/>
        </w:trPr>
        <w:tc>
          <w:tcPr>
            <w:tcW w:w="624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w:anchor="page179">
              <w:r>
                <w:rPr>
                  <w:rFonts w:ascii="Times New Roman" w:cs="Times New Roman" w:eastAsia="Times New Roman" w:hAnsi="Times New Roman"/>
                  <w:sz w:val="18"/>
                  <w:szCs w:val="18"/>
                  <w:color w:val="0000EE"/>
                </w:rPr>
                <w:t>BROKERAGE ALLOCATION AND OTHER PRACTICES</w:t>
              </w:r>
            </w:hyperlink>
          </w:p>
        </w:tc>
        <w:tc>
          <w:tcPr>
            <w:tcW w:w="26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r>
      <w:tr>
        <w:trPr>
          <w:trHeight w:val="196"/>
        </w:trPr>
        <w:tc>
          <w:tcPr>
            <w:tcW w:w="20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80">
              <w:r>
                <w:rPr>
                  <w:rFonts w:ascii="Times New Roman" w:cs="Times New Roman" w:eastAsia="Times New Roman" w:hAnsi="Times New Roman"/>
                  <w:sz w:val="18"/>
                  <w:szCs w:val="18"/>
                  <w:color w:val="0000EE"/>
                  <w:w w:val="99"/>
                </w:rPr>
                <w:t>PLAN OF DISTRIBUTION</w:t>
              </w:r>
            </w:hyperlink>
          </w:p>
        </w:tc>
        <w:tc>
          <w:tcPr>
            <w:tcW w:w="2320" w:type="dxa"/>
            <w:vAlign w:val="bottom"/>
            <w:tcBorders>
              <w:top w:val="single" w:sz="8" w:color="0000EE"/>
            </w:tcBorders>
            <w:gridSpan w:val="15"/>
          </w:tcPr>
          <w:p>
            <w:pPr>
              <w:spacing w:after="0"/>
              <w:rPr>
                <w:sz w:val="17"/>
                <w:szCs w:val="17"/>
                <w:color w:val="auto"/>
              </w:rPr>
            </w:pPr>
          </w:p>
        </w:tc>
        <w:tc>
          <w:tcPr>
            <w:tcW w:w="45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82">
              <w:r>
                <w:rPr>
                  <w:rFonts w:ascii="Times New Roman" w:cs="Times New Roman" w:eastAsia="Times New Roman" w:hAnsi="Times New Roman"/>
                  <w:sz w:val="18"/>
                  <w:szCs w:val="18"/>
                  <w:color w:val="0000EE"/>
                </w:rPr>
                <w:t>LEGAL MATTERS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7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82">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gridSpan w:val="4"/>
          </w:tcPr>
          <w:p>
            <w:pPr>
              <w:spacing w:after="0"/>
              <w:rPr>
                <w:sz w:val="17"/>
                <w:szCs w:val="17"/>
                <w:color w:val="auto"/>
              </w:rPr>
            </w:pPr>
          </w:p>
        </w:tc>
        <w:tc>
          <w:tcPr>
            <w:tcW w:w="7460" w:type="dxa"/>
            <w:vAlign w:val="bottom"/>
            <w:gridSpan w:val="2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22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182">
              <w:r>
                <w:rPr>
                  <w:rFonts w:ascii="Times New Roman" w:cs="Times New Roman" w:eastAsia="Times New Roman" w:hAnsi="Times New Roman"/>
                  <w:sz w:val="18"/>
                  <w:szCs w:val="18"/>
                  <w:color w:val="0000EE"/>
                  <w:w w:val="96"/>
                </w:rPr>
                <w:t>AVAILABLE INFORMATION</w:t>
              </w:r>
            </w:hyperlink>
          </w:p>
        </w:tc>
        <w:tc>
          <w:tcPr>
            <w:tcW w:w="6640" w:type="dxa"/>
            <w:vAlign w:val="bottom"/>
            <w:gridSpan w:val="1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w:t>
            </w:r>
          </w:p>
        </w:tc>
      </w:tr>
      <w:tr>
        <w:trPr>
          <w:trHeight w:val="196"/>
        </w:trPr>
        <w:tc>
          <w:tcPr>
            <w:tcW w:w="8920" w:type="dxa"/>
            <w:vAlign w:val="bottom"/>
            <w:gridSpan w:val="32"/>
          </w:tcPr>
          <w:p>
            <w:pPr>
              <w:spacing w:after="0" w:line="196" w:lineRule="exact"/>
              <w:rPr>
                <w:rFonts w:ascii="Times New Roman" w:cs="Times New Roman" w:eastAsia="Times New Roman" w:hAnsi="Times New Roman"/>
                <w:sz w:val="18"/>
                <w:szCs w:val="18"/>
                <w:color w:val="0000EE"/>
              </w:rPr>
            </w:pPr>
            <w:hyperlink w:anchor="page183">
              <w:r>
                <w:rPr>
                  <w:rFonts w:ascii="Times New Roman" w:cs="Times New Roman" w:eastAsia="Times New Roman" w:hAnsi="Times New Roman"/>
                  <w:sz w:val="18"/>
                  <w:szCs w:val="18"/>
                  <w:color w:val="0000EE"/>
                </w:rPr>
                <w:t>INDEX TO CONSOLIDATED FINANCIAL STATEMENTS</w:t>
              </w:r>
            </w:hyperlink>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$500 million of our common stock, preferred stock, debt securities, subscription rights to purchase shares of our common stock, warrants representing rights to purchase shares of our common stock, preferred stock or debt securities, or units comprised of any combination of the foregoing, on terms to be determined at the time of the offering.</w:t>
      </w:r>
    </w:p>
    <w:p>
      <w:pPr>
        <w:spacing w:after="0" w:line="184"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 addition, this prospectus relates to 42,040,525 shares of our common stock that may be sold by the selling stockholders identified under “Selling Stockholders.”</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Please carefully read this prospectus and any such supplements together with any exhibits and the additional information described under “Available Information” and in the “Summary” and “Risk Factors” sections before you make an investment decision.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80"/>
          </w:cols>
          <w:pgMar w:left="240" w:top="455" w:right="3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61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ind w:left="200" w:right="30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It is not complete and may not contain all of the information that you may want to consider. You should read this entire prospectus carefully. In particular, you should read the more detailed information set forth under “Risk Factors” and the consolidated financial statements and the related notes included elsewhere in this prospectus.</w:t>
      </w:r>
    </w:p>
    <w:p>
      <w:pPr>
        <w:spacing w:after="0" w:line="174" w:lineRule="exact"/>
        <w:rPr>
          <w:sz w:val="20"/>
          <w:szCs w:val="20"/>
          <w:color w:val="auto"/>
        </w:rPr>
      </w:pPr>
    </w:p>
    <w:p>
      <w:pPr>
        <w:ind w:left="200" w:right="40" w:firstLine="443"/>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180" w:lineRule="exact"/>
        <w:rPr>
          <w:sz w:val="20"/>
          <w:szCs w:val="20"/>
          <w:color w:val="auto"/>
        </w:rPr>
      </w:pPr>
    </w:p>
    <w:p>
      <w:pPr>
        <w:ind w:left="200" w:right="6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74" w:lineRule="exact"/>
        <w:rPr>
          <w:sz w:val="20"/>
          <w:szCs w:val="20"/>
          <w:color w:val="auto"/>
        </w:rPr>
      </w:pPr>
    </w:p>
    <w:p>
      <w:pPr>
        <w:ind w:left="200" w:right="20" w:firstLine="443"/>
        <w:spacing w:after="0" w:line="284" w:lineRule="auto"/>
        <w:rPr>
          <w:sz w:val="20"/>
          <w:szCs w:val="20"/>
          <w:color w:val="auto"/>
        </w:rPr>
      </w:pPr>
      <w:r>
        <w:rPr>
          <w:rFonts w:ascii="Times New Roman" w:cs="Times New Roman" w:eastAsia="Times New Roman" w:hAnsi="Times New Roman"/>
          <w:sz w:val="18"/>
          <w:szCs w:val="18"/>
          <w:i w:val="1"/>
          <w:iCs w:val="1"/>
          <w:color w:val="auto"/>
        </w:rPr>
        <w:t>Unless indicated otherwise or the context suggests otherwise, all information in this prospectus gives effect to our stock split in the form of a stock dividend on December 5, 2013.</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200" w:right="40" w:firstLine="443"/>
        <w:spacing w:after="0" w:line="255"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89" w:lineRule="exact"/>
        <w:rPr>
          <w:sz w:val="20"/>
          <w:szCs w:val="20"/>
          <w:color w:val="auto"/>
        </w:rPr>
      </w:pPr>
    </w:p>
    <w:p>
      <w:pPr>
        <w:ind w:left="200" w:right="120" w:firstLine="443"/>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62" w:lineRule="exact"/>
        <w:rPr>
          <w:sz w:val="20"/>
          <w:szCs w:val="20"/>
          <w:color w:val="auto"/>
        </w:rPr>
      </w:pPr>
    </w:p>
    <w:p>
      <w:pPr>
        <w:ind w:left="200" w:firstLine="443"/>
        <w:spacing w:after="0" w:line="313" w:lineRule="auto"/>
        <w:rPr>
          <w:sz w:val="20"/>
          <w:szCs w:val="20"/>
          <w:color w:val="auto"/>
        </w:rPr>
      </w:pPr>
      <w:r>
        <w:rPr>
          <w:rFonts w:ascii="Times New Roman" w:cs="Times New Roman" w:eastAsia="Times New Roman" w:hAnsi="Times New Roman"/>
          <w:sz w:val="17"/>
          <w:szCs w:val="17"/>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200" w:right="100" w:firstLine="443"/>
        <w:spacing w:after="0" w:line="258"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2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24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98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include secured loans, and, to a lesser extent, secured corporate bonds, with a secondary priority behind first-lien debt. Based on fair value as of</w:t>
      </w:r>
    </w:p>
    <w:p>
      <w:pPr>
        <w:spacing w:after="0" w:line="27" w:lineRule="exact"/>
        <w:rPr>
          <w:sz w:val="20"/>
          <w:szCs w:val="20"/>
          <w:color w:val="auto"/>
        </w:rPr>
      </w:pPr>
    </w:p>
    <w:p>
      <w:pPr>
        <w:jc w:val="both"/>
        <w:ind w:left="200" w:right="20"/>
        <w:spacing w:after="0" w:line="255" w:lineRule="auto"/>
        <w:rPr>
          <w:sz w:val="20"/>
          <w:szCs w:val="20"/>
          <w:color w:val="auto"/>
        </w:rPr>
      </w:pPr>
      <w:r>
        <w:rPr>
          <w:rFonts w:ascii="Times New Roman" w:cs="Times New Roman" w:eastAsia="Times New Roman" w:hAnsi="Times New Roman"/>
          <w:sz w:val="18"/>
          <w:szCs w:val="18"/>
          <w:color w:val="auto"/>
        </w:rPr>
        <w:t>March 31, 2014, our portfolio consisted of 82.4% first-lien debt investments, 17.0% second-lien debt investments, 0.4% mezzanine debt investments and 0.2% equity investments. Approximately 98.6% of our investments as of March 31, 2014 are floating rate in nature, subject to interest rate floors, which we believe helps act as a portfolio-wide hedge against inflation.</w:t>
      </w:r>
    </w:p>
    <w:p>
      <w:pPr>
        <w:spacing w:after="0" w:line="186" w:lineRule="exact"/>
        <w:rPr>
          <w:sz w:val="20"/>
          <w:szCs w:val="20"/>
          <w:color w:val="auto"/>
        </w:rPr>
      </w:pPr>
    </w:p>
    <w:p>
      <w:pPr>
        <w:ind w:left="200" w:right="280" w:firstLine="443"/>
        <w:spacing w:after="0" w:line="276" w:lineRule="auto"/>
        <w:rPr>
          <w:sz w:val="20"/>
          <w:szCs w:val="20"/>
          <w:color w:val="auto"/>
        </w:rPr>
      </w:pPr>
      <w:r>
        <w:rPr>
          <w:rFonts w:ascii="Times New Roman" w:cs="Times New Roman" w:eastAsia="Times New Roman" w:hAnsi="Times New Roman"/>
          <w:sz w:val="17"/>
          <w:szCs w:val="17"/>
          <w:color w:val="auto"/>
        </w:rPr>
        <w:t>As of March 31, 2014, our portfolio was invested across 19 different industries. The largest industries in our portfolio, based on fair value as of March 31, 2014, were business services, healthcare and pharmaceuticals, and financial services, which represented, as a percentage of our portfolio,</w:t>
      </w:r>
    </w:p>
    <w:p>
      <w:pPr>
        <w:spacing w:after="0" w:line="1" w:lineRule="exact"/>
        <w:rPr>
          <w:sz w:val="20"/>
          <w:szCs w:val="20"/>
          <w:color w:val="auto"/>
        </w:rPr>
      </w:pPr>
    </w:p>
    <w:p>
      <w:pPr>
        <w:ind w:left="200" w:right="80"/>
        <w:spacing w:after="0" w:line="261" w:lineRule="auto"/>
        <w:rPr>
          <w:sz w:val="20"/>
          <w:szCs w:val="20"/>
          <w:color w:val="auto"/>
        </w:rPr>
      </w:pPr>
      <w:r>
        <w:rPr>
          <w:rFonts w:ascii="Times New Roman" w:cs="Times New Roman" w:eastAsia="Times New Roman" w:hAnsi="Times New Roman"/>
          <w:sz w:val="18"/>
          <w:szCs w:val="18"/>
          <w:color w:val="auto"/>
        </w:rPr>
        <w:t>11.6%, 11.2%, and 9.2%, respectively. We expect that no single investment will represent more than 15% of our total investment portfolio, based on fair value. See “Portfolio Companies” for more information on our portfolio as of March 31, 2014.</w:t>
      </w:r>
    </w:p>
    <w:p>
      <w:pPr>
        <w:spacing w:after="0" w:line="180" w:lineRule="exact"/>
        <w:rPr>
          <w:sz w:val="20"/>
          <w:szCs w:val="20"/>
          <w:color w:val="auto"/>
        </w:rPr>
      </w:pPr>
    </w:p>
    <w:p>
      <w:pPr>
        <w:ind w:left="200" w:right="60" w:firstLine="443"/>
        <w:spacing w:after="0" w:line="261" w:lineRule="auto"/>
        <w:rPr>
          <w:sz w:val="20"/>
          <w:szCs w:val="20"/>
          <w:color w:val="auto"/>
        </w:rPr>
      </w:pPr>
      <w:r>
        <w:rPr>
          <w:rFonts w:ascii="Times New Roman" w:cs="Times New Roman" w:eastAsia="Times New Roman" w:hAnsi="Times New Roman"/>
          <w:sz w:val="18"/>
          <w:szCs w:val="18"/>
          <w:color w:val="auto"/>
        </w:rPr>
        <w:t>As of March 31, 2014, we had investments in 30 portfolio companies with an aggregate fair value of $1,195.5 million. For the three months ended March 31, 2014, we made new investment commitments of $314.6 million, $303.8 million in six new portfolio companies and $10.8 million in two existing portfolio companies. For this period, we had $101.2 million aggregate principal amount in exits and repayments, resulting in net portfolio growth of $187.0 million aggregate principal amount.</w:t>
      </w:r>
    </w:p>
    <w:p>
      <w:pPr>
        <w:spacing w:after="0" w:line="180" w:lineRule="exact"/>
        <w:rPr>
          <w:sz w:val="20"/>
          <w:szCs w:val="20"/>
          <w:color w:val="auto"/>
        </w:rPr>
      </w:pPr>
    </w:p>
    <w:p>
      <w:pPr>
        <w:ind w:left="200" w:right="200" w:firstLine="443"/>
        <w:spacing w:after="0" w:line="261" w:lineRule="auto"/>
        <w:rPr>
          <w:sz w:val="20"/>
          <w:szCs w:val="20"/>
          <w:color w:val="auto"/>
        </w:rPr>
      </w:pPr>
      <w:r>
        <w:rPr>
          <w:rFonts w:ascii="Times New Roman" w:cs="Times New Roman" w:eastAsia="Times New Roman" w:hAnsi="Times New Roman"/>
          <w:sz w:val="18"/>
          <w:szCs w:val="18"/>
          <w:color w:val="auto"/>
        </w:rPr>
        <w:t>As of December 31, 2013, we had investments in 27 portfolio companies with an aggregate fair value of $1,016.5 million. For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w:t>
      </w:r>
    </w:p>
    <w:p>
      <w:pPr>
        <w:spacing w:after="0" w:line="180"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Since we began investing in 2011 through March 31, 2014, our exited investments have resulted in an aggregate cash flow realized gross internal rate of return to us of approximately 15.3% (based on cash invested of approximately $459 million and total proceeds from these exited investments of approximately $528 million). Seventy-eight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200" w:right="140" w:firstLine="443"/>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200" w:firstLine="443"/>
        <w:spacing w:after="0" w:line="266" w:lineRule="auto"/>
        <w:rPr>
          <w:sz w:val="20"/>
          <w:szCs w:val="20"/>
          <w:color w:val="auto"/>
        </w:rPr>
      </w:pPr>
      <w:r>
        <w:rPr>
          <w:rFonts w:ascii="Times New Roman" w:cs="Times New Roman" w:eastAsia="Times New Roman" w:hAnsi="Times New Roman"/>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w:t>
      </w: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240" w:top="455" w:right="4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1752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spacing w:after="0" w:line="266" w:lineRule="auto"/>
        <w:rPr>
          <w:sz w:val="20"/>
          <w:szCs w:val="20"/>
          <w:color w:val="auto"/>
        </w:rPr>
      </w:pPr>
      <w:r>
        <w:rPr>
          <w:rFonts w:ascii="Times New Roman" w:cs="Times New Roman" w:eastAsia="Times New Roman" w:hAnsi="Times New Roman"/>
          <w:sz w:val="18"/>
          <w:szCs w:val="18"/>
          <w:color w:val="auto"/>
        </w:rPr>
        <w:t>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76" w:lineRule="exact"/>
        <w:rPr>
          <w:sz w:val="20"/>
          <w:szCs w:val="20"/>
          <w:color w:val="auto"/>
        </w:rPr>
      </w:pPr>
    </w:p>
    <w:p>
      <w:pPr>
        <w:jc w:val="both"/>
        <w:ind w:left="200" w:right="120" w:firstLine="443"/>
        <w:spacing w:after="0" w:line="272" w:lineRule="auto"/>
        <w:rPr>
          <w:sz w:val="20"/>
          <w:szCs w:val="20"/>
          <w:color w:val="auto"/>
        </w:rPr>
      </w:pPr>
      <w:r>
        <w:rPr>
          <w:rFonts w:ascii="Times New Roman" w:cs="Times New Roman" w:eastAsia="Times New Roman" w:hAnsi="Times New Roman"/>
          <w:sz w:val="17"/>
          <w:szCs w:val="17"/>
          <w:color w:val="auto"/>
        </w:rPr>
        <w:t>TSSP, which encompasses TPG Specialty Lending, TPG Opportunities Partners and TPG Institutional Credit Partners, is TPG’s special situations and credit platform. TSSP had over $9 billion of assets under management as of March 31, 2014. TSSP has extensive experience with highly complex, global public and private investments executed through primary originations, secondary market purchases and restructurings, and has a team of over</w:t>
      </w:r>
    </w:p>
    <w:p>
      <w:pPr>
        <w:spacing w:after="0" w:line="2" w:lineRule="exact"/>
        <w:rPr>
          <w:sz w:val="20"/>
          <w:szCs w:val="20"/>
          <w:color w:val="auto"/>
        </w:rPr>
      </w:pPr>
    </w:p>
    <w:p>
      <w:pPr>
        <w:ind w:left="200" w:right="280"/>
        <w:spacing w:after="0" w:line="261" w:lineRule="auto"/>
        <w:rPr>
          <w:sz w:val="20"/>
          <w:szCs w:val="20"/>
          <w:color w:val="auto"/>
        </w:rPr>
      </w:pPr>
      <w:r>
        <w:rPr>
          <w:rFonts w:ascii="Times New Roman" w:cs="Times New Roman" w:eastAsia="Times New Roman" w:hAnsi="Times New Roman"/>
          <w:sz w:val="18"/>
          <w:szCs w:val="18"/>
          <w:color w:val="auto"/>
        </w:rPr>
        <w:t>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80" w:lineRule="exact"/>
        <w:rPr>
          <w:sz w:val="20"/>
          <w:szCs w:val="20"/>
          <w:color w:val="auto"/>
        </w:rPr>
      </w:pPr>
    </w:p>
    <w:p>
      <w:pPr>
        <w:ind w:left="200" w:right="100" w:firstLine="443"/>
        <w:spacing w:after="0" w:line="254"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with over $59 billion of assets under management, as of March 31,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86" w:lineRule="exact"/>
        <w:rPr>
          <w:sz w:val="20"/>
          <w:szCs w:val="20"/>
          <w:color w:val="auto"/>
        </w:rPr>
      </w:pPr>
    </w:p>
    <w:p>
      <w:pPr>
        <w:jc w:val="both"/>
        <w:ind w:left="200" w:right="180" w:firstLine="443"/>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200" w:right="120" w:firstLine="443"/>
        <w:spacing w:after="0" w:line="261" w:lineRule="auto"/>
        <w:rPr>
          <w:sz w:val="20"/>
          <w:szCs w:val="20"/>
          <w:color w:val="auto"/>
        </w:rPr>
      </w:pPr>
      <w:r>
        <w:rPr>
          <w:rFonts w:ascii="Times New Roman" w:cs="Times New Roman" w:eastAsia="Times New Roman" w:hAnsi="Times New Roman"/>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5.2% of our common stock. See “Management,” “Related-Party Transactions and Certain Relationships” and “Control Persons and Principal Stockholders.”</w:t>
      </w:r>
    </w:p>
    <w:p>
      <w:pPr>
        <w:spacing w:after="0" w:line="180"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w:t>
      </w:r>
    </w:p>
    <w:p>
      <w:pPr>
        <w:spacing w:after="0" w:line="2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240" w:top="455" w:right="4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931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200" w:right="480" w:firstLine="443"/>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89" w:lineRule="exact"/>
        <w:rPr>
          <w:sz w:val="20"/>
          <w:szCs w:val="20"/>
          <w:color w:val="auto"/>
        </w:rPr>
      </w:pPr>
    </w:p>
    <w:p>
      <w:pPr>
        <w:ind w:left="200" w:right="6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growth and finance acquisitions. In addition, we believe the large amount of uninvested capital held by funds of private equity firms, estimated by Preqin Ltd., an alternative assets industry data and research company, at $1.1 trillion as of March 2014, will continue to drive deal activity. We expect that private equity firms will continue to pursue acquisitions and to seek to leverage their equity investments with secured loans provided by companies such as ours.</w:t>
      </w:r>
    </w:p>
    <w:p>
      <w:pPr>
        <w:spacing w:after="0" w:line="180" w:lineRule="exact"/>
        <w:rPr>
          <w:sz w:val="20"/>
          <w:szCs w:val="20"/>
          <w:color w:val="auto"/>
        </w:rPr>
      </w:pPr>
    </w:p>
    <w:p>
      <w:pPr>
        <w:ind w:left="200" w:right="260" w:firstLine="443"/>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3" w:lineRule="exact"/>
        <w:rPr>
          <w:sz w:val="20"/>
          <w:szCs w:val="20"/>
          <w:color w:val="auto"/>
        </w:rPr>
      </w:pPr>
    </w:p>
    <w:p>
      <w:pPr>
        <w:ind w:left="20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 borrowers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0" w:lineRule="exact"/>
        <w:rPr>
          <w:sz w:val="20"/>
          <w:szCs w:val="20"/>
          <w:color w:val="auto"/>
        </w:rPr>
      </w:pPr>
    </w:p>
    <w:p>
      <w:pPr>
        <w:jc w:val="both"/>
        <w:ind w:left="200" w:right="20" w:firstLine="443"/>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0" w:lineRule="exact"/>
        <w:rPr>
          <w:sz w:val="20"/>
          <w:szCs w:val="20"/>
          <w:color w:val="auto"/>
        </w:rPr>
      </w:pPr>
    </w:p>
    <w:p>
      <w:pPr>
        <w:jc w:val="both"/>
        <w:ind w:left="200" w:firstLine="443"/>
        <w:spacing w:after="0" w:line="284"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attractive financing structures, including unitranche loans and</w:t>
      </w:r>
    </w:p>
    <w:p>
      <w:pPr>
        <w:spacing w:after="0" w:line="2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240" w:top="455" w:right="3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204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2045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spacing w:after="0" w:line="282" w:lineRule="auto"/>
        <w:rPr>
          <w:sz w:val="20"/>
          <w:szCs w:val="20"/>
          <w:color w:val="auto"/>
        </w:rPr>
      </w:pPr>
      <w:r>
        <w:rPr>
          <w:rFonts w:ascii="Times New Roman" w:cs="Times New Roman" w:eastAsia="Times New Roman" w:hAnsi="Times New Roman"/>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200" w:right="2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assistance of investment banks or other traditional Wall Street sources. Our Adviser has a dedicated team of 17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2" w:lineRule="exact"/>
        <w:rPr>
          <w:sz w:val="20"/>
          <w:szCs w:val="20"/>
          <w:color w:val="auto"/>
        </w:rPr>
      </w:pPr>
    </w:p>
    <w:p>
      <w:pPr>
        <w:ind w:left="200" w:right="20" w:firstLine="443"/>
        <w:spacing w:after="0" w:line="281" w:lineRule="auto"/>
        <w:rPr>
          <w:sz w:val="20"/>
          <w:szCs w:val="20"/>
          <w:color w:val="auto"/>
        </w:rPr>
      </w:pPr>
      <w:r>
        <w:rPr>
          <w:rFonts w:ascii="Times New Roman" w:cs="Times New Roman" w:eastAsia="Times New Roman" w:hAnsi="Times New Roman"/>
          <w:sz w:val="17"/>
          <w:szCs w:val="17"/>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65" w:lineRule="exact"/>
        <w:rPr>
          <w:sz w:val="20"/>
          <w:szCs w:val="20"/>
          <w:color w:val="auto"/>
        </w:rPr>
      </w:pPr>
    </w:p>
    <w:p>
      <w:pPr>
        <w:ind w:left="200" w:right="120" w:firstLine="443"/>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74" w:lineRule="exact"/>
        <w:rPr>
          <w:sz w:val="20"/>
          <w:szCs w:val="20"/>
          <w:color w:val="auto"/>
        </w:rPr>
      </w:pPr>
    </w:p>
    <w:p>
      <w:pPr>
        <w:ind w:left="200" w:right="2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 opposed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79" w:lineRule="exact"/>
        <w:rPr>
          <w:sz w:val="20"/>
          <w:szCs w:val="20"/>
          <w:color w:val="auto"/>
        </w:rPr>
      </w:pPr>
    </w:p>
    <w:p>
      <w:pPr>
        <w:ind w:left="1060" w:hanging="323"/>
        <w:spacing w:after="0" w:line="284"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TSSP and TPG allow us to determine current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and identify relative value.</w:t>
      </w:r>
    </w:p>
    <w:p>
      <w:pPr>
        <w:spacing w:after="0" w:line="63" w:lineRule="exact"/>
        <w:rPr>
          <w:rFonts w:ascii="Times New Roman" w:cs="Times New Roman" w:eastAsia="Times New Roman" w:hAnsi="Times New Roman"/>
          <w:sz w:val="18"/>
          <w:szCs w:val="18"/>
          <w:color w:val="auto"/>
        </w:rPr>
      </w:pPr>
    </w:p>
    <w:p>
      <w:pPr>
        <w:ind w:left="1060" w:right="60" w:hanging="323"/>
        <w:spacing w:after="0" w:line="259"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 premiums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5" w:lineRule="exact"/>
        <w:rPr>
          <w:rFonts w:ascii="Times New Roman" w:cs="Times New Roman" w:eastAsia="Times New Roman" w:hAnsi="Times New Roman"/>
          <w:sz w:val="18"/>
          <w:szCs w:val="18"/>
          <w:color w:val="auto"/>
        </w:rPr>
      </w:pPr>
    </w:p>
    <w:p>
      <w:pPr>
        <w:ind w:left="1060" w:right="380" w:hanging="323"/>
        <w:spacing w:after="0" w:line="284"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 four-tiered investment framework:</w:t>
      </w:r>
    </w:p>
    <w:p>
      <w:pPr>
        <w:spacing w:after="0" w:line="65"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sector selection;</w:t>
      </w:r>
    </w:p>
    <w:p>
      <w:pPr>
        <w:spacing w:after="0" w:line="130"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structuring;</w:t>
      </w:r>
    </w:p>
    <w:p>
      <w:pPr>
        <w:spacing w:after="0" w:line="130"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dynamics; and</w:t>
      </w:r>
    </w:p>
    <w:p>
      <w:pPr>
        <w:spacing w:after="0" w:line="130"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mitigation.</w:t>
      </w:r>
    </w:p>
    <w:p>
      <w:pPr>
        <w:spacing w:after="0" w:line="128" w:lineRule="exact"/>
        <w:rPr>
          <w:rFonts w:ascii="Times New Roman" w:cs="Times New Roman" w:eastAsia="Times New Roman" w:hAnsi="Times New Roman"/>
          <w:sz w:val="18"/>
          <w:szCs w:val="18"/>
          <w:color w:val="auto"/>
        </w:rPr>
      </w:pPr>
    </w:p>
    <w:p>
      <w:pPr>
        <w:ind w:left="1060" w:right="200" w:hanging="323"/>
        <w:spacing w:after="0" w:line="267"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proactively identifying sector and operational issues and carefully managing risks. The information gathered on market trends through this process also informs our underwriting for new loans.</w:t>
      </w: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240" w:top="455" w:right="4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603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82" w:lineRule="auto"/>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 We closed approximately 1.8% of approximately 2,700 investment opportunities our Investment Team reviewed since our inception through March 31, 2014.</w:t>
      </w:r>
    </w:p>
    <w:p>
      <w:pPr>
        <w:spacing w:after="0" w:line="160" w:lineRule="exact"/>
        <w:rPr>
          <w:sz w:val="20"/>
          <w:szCs w:val="20"/>
          <w:color w:val="auto"/>
        </w:rPr>
      </w:pPr>
    </w:p>
    <w:p>
      <w:pPr>
        <w:ind w:left="200" w:right="40" w:firstLine="443"/>
        <w:spacing w:after="0" w:line="259" w:lineRule="auto"/>
        <w:rPr>
          <w:sz w:val="20"/>
          <w:szCs w:val="20"/>
          <w:color w:val="auto"/>
        </w:rPr>
      </w:pPr>
      <w:r>
        <w:rPr>
          <w:rFonts w:ascii="Times New Roman" w:cs="Times New Roman" w:eastAsia="Times New Roman" w:hAnsi="Times New Roman"/>
          <w:sz w:val="18"/>
          <w:szCs w:val="18"/>
          <w:i w:val="1"/>
          <w:iCs w:val="1"/>
          <w:color w:val="auto"/>
        </w:rPr>
        <w:t>Carefully constructed, existing, wide-ranging portfolio consisting of predominantly senior, floating rate loans</w:t>
      </w:r>
      <w:r>
        <w:rPr>
          <w:rFonts w:ascii="Times New Roman" w:cs="Times New Roman" w:eastAsia="Times New Roman" w:hAnsi="Times New Roman"/>
          <w:sz w:val="18"/>
          <w:szCs w:val="18"/>
          <w:color w:val="auto"/>
        </w:rPr>
        <w:t>. Since we began investing in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invested more than $1.8 billion. As of March 31, 2014, we had a portfolio of investments in 30 portfolio companies totaling $1,195.5 million that we believe exhibits strong credit quality and broad industry composition. As of March 31, 2014, approximately 98.6% of our debt investments bore interest at floating rates, subject to interest rate floors, and 82.4% of the fair value of our portfolio was invested in first-lien debt investments. We believe this portfolio will allow us to generate meaningful investment income, and consequently dividend income, for our stockholders.</w:t>
      </w:r>
    </w:p>
    <w:p>
      <w:pPr>
        <w:spacing w:after="0" w:line="180"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eight managing directors of TSSP on the Adviser’s team have deep experience identifying and executing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9" w:lineRule="exact"/>
        <w:rPr>
          <w:sz w:val="20"/>
          <w:szCs w:val="20"/>
          <w:color w:val="auto"/>
        </w:rPr>
      </w:pPr>
    </w:p>
    <w:p>
      <w:pPr>
        <w:ind w:left="200" w:right="100" w:firstLine="443"/>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investment professionals is based on our returns, as opposed to transaction volume, which we believe fosters a focus on credit quality when originating investments.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200" w:right="200" w:firstLine="443"/>
        <w:spacing w:after="0" w:line="282" w:lineRule="auto"/>
        <w:rPr>
          <w:sz w:val="20"/>
          <w:szCs w:val="20"/>
          <w:color w:val="auto"/>
        </w:rPr>
      </w:pPr>
      <w:r>
        <w:rPr>
          <w:rFonts w:ascii="Times New Roman" w:cs="Times New Roman" w:eastAsia="Times New Roman" w:hAnsi="Times New Roman"/>
          <w:sz w:val="18"/>
          <w:szCs w:val="18"/>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1060" w:right="40" w:hanging="323"/>
        <w:spacing w:after="0" w:line="259"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With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recent legislation introduced in the U.S. House of Representatives, if passed, would modify this section of the 1940 Act and increase the amount of debt that BDCs may incur.</w:t>
      </w:r>
    </w:p>
    <w:p>
      <w:pPr>
        <w:spacing w:after="0" w:line="85" w:lineRule="exact"/>
        <w:rPr>
          <w:rFonts w:ascii="Times New Roman" w:cs="Times New Roman" w:eastAsia="Times New Roman" w:hAnsi="Times New Roman"/>
          <w:sz w:val="18"/>
          <w:szCs w:val="18"/>
          <w:color w:val="auto"/>
        </w:rPr>
      </w:pPr>
    </w:p>
    <w:p>
      <w:pPr>
        <w:ind w:left="1060" w:right="100" w:hanging="323"/>
        <w:spacing w:after="0" w:line="261"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Allocation</w:t>
      </w:r>
      <w:r>
        <w:rPr>
          <w:rFonts w:ascii="Times New Roman" w:cs="Times New Roman" w:eastAsia="Times New Roman" w:hAnsi="Times New Roman"/>
          <w:sz w:val="18"/>
          <w:szCs w:val="18"/>
          <w:color w:val="auto"/>
        </w:rPr>
        <w:t>. Our business strategy focuses on investments that are deemed “qualifying assets.” As a BDC, we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prohibited from investing in assets other than qualifying assets unless, at the time of the investment and after giving effect to it, at least 70% of our total assets are qualifying assets. Qualifying assets generally include securities of “eligible portfolio companies,” cash, cash equivalents,</w:t>
      </w:r>
    </w:p>
    <w:p>
      <w:pPr>
        <w:spacing w:after="0" w:line="2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240" w:top="455" w:right="4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331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82" w:lineRule="auto"/>
        <w:rPr>
          <w:sz w:val="20"/>
          <w:szCs w:val="20"/>
          <w:color w:val="auto"/>
        </w:rPr>
      </w:pPr>
      <w:r>
        <w:rPr>
          <w:rFonts w:ascii="Times New Roman" w:cs="Times New Roman" w:eastAsia="Times New Roman" w:hAnsi="Times New Roman"/>
          <w:sz w:val="18"/>
          <w:szCs w:val="18"/>
          <w:color w:val="auto"/>
        </w:rPr>
        <w:t>U.S. government securities and high-quality debt instruments maturing in one year or less from the time of investment. Under the rules of the 1940 Act, “eligible portfolio companies” include:</w:t>
      </w:r>
    </w:p>
    <w:p>
      <w:pPr>
        <w:spacing w:after="0" w:line="67" w:lineRule="exact"/>
        <w:rPr>
          <w:sz w:val="20"/>
          <w:szCs w:val="20"/>
          <w:color w:val="auto"/>
        </w:rPr>
      </w:pPr>
    </w:p>
    <w:p>
      <w:pPr>
        <w:ind w:left="1620" w:hanging="437"/>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1620" w:right="100" w:hanging="437"/>
        <w:spacing w:after="0" w:line="282"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whose securities are not listed on a national securities exchange (e.g., the NYSE, NYSE Amex Equities and The NASDAQ Global Market) or registered under the Exchange Act; and</w:t>
      </w:r>
    </w:p>
    <w:p>
      <w:pPr>
        <w:spacing w:after="0" w:line="67"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225" w:lineRule="exact"/>
        <w:rPr>
          <w:sz w:val="20"/>
          <w:szCs w:val="20"/>
          <w:color w:val="auto"/>
        </w:rPr>
      </w:pPr>
    </w:p>
    <w:p>
      <w:pPr>
        <w:ind w:left="200" w:right="40" w:firstLine="443"/>
        <w:spacing w:after="0" w:line="282" w:lineRule="auto"/>
        <w:rPr>
          <w:sz w:val="20"/>
          <w:szCs w:val="20"/>
          <w:color w:val="auto"/>
        </w:rPr>
      </w:pPr>
      <w:r>
        <w:rPr>
          <w:rFonts w:ascii="Times New Roman" w:cs="Times New Roman" w:eastAsia="Times New Roman" w:hAnsi="Times New Roman"/>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1060" w:right="40" w:hanging="323"/>
        <w:spacing w:after="0" w:line="267"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earnings subject to corporate-level U.S. federal income taxation, we must satisfy certain source of income, asset diversification and distribution requirements.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left="200" w:right="60" w:firstLine="443"/>
        <w:spacing w:after="0" w:line="256"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Conflicts of Interests</w:t>
      </w:r>
    </w:p>
    <w:p>
      <w:pPr>
        <w:spacing w:after="0" w:line="121"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86" w:lineRule="exact"/>
        <w:rPr>
          <w:sz w:val="20"/>
          <w:szCs w:val="20"/>
          <w:color w:val="auto"/>
        </w:rPr>
      </w:pPr>
    </w:p>
    <w:p>
      <w:pPr>
        <w:ind w:left="200" w:right="260" w:firstLine="443"/>
        <w:spacing w:after="0" w:line="289" w:lineRule="auto"/>
        <w:rPr>
          <w:sz w:val="20"/>
          <w:szCs w:val="20"/>
          <w:color w:val="auto"/>
        </w:rPr>
      </w:pPr>
      <w:r>
        <w:rPr>
          <w:rFonts w:ascii="Times New Roman" w:cs="Times New Roman" w:eastAsia="Times New Roman" w:hAnsi="Times New Roman"/>
          <w:sz w:val="17"/>
          <w:szCs w:val="17"/>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w:t>
      </w: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240" w:top="455" w:right="3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98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77" w:lineRule="auto"/>
        <w:rPr>
          <w:sz w:val="20"/>
          <w:szCs w:val="20"/>
          <w:color w:val="auto"/>
        </w:rPr>
      </w:pPr>
      <w:r>
        <w:rPr>
          <w:rFonts w:ascii="Times New Roman" w:cs="Times New Roman" w:eastAsia="Times New Roman" w:hAnsi="Times New Roman"/>
          <w:sz w:val="17"/>
          <w:szCs w:val="17"/>
          <w:color w:val="auto"/>
        </w:rPr>
        <w:t>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68" w:lineRule="exact"/>
        <w:rPr>
          <w:sz w:val="20"/>
          <w:szCs w:val="20"/>
          <w:color w:val="auto"/>
        </w:rPr>
      </w:pPr>
    </w:p>
    <w:p>
      <w:pPr>
        <w:ind w:left="200" w:right="120" w:firstLine="443"/>
        <w:spacing w:after="0" w:line="261" w:lineRule="auto"/>
        <w:rPr>
          <w:sz w:val="20"/>
          <w:szCs w:val="20"/>
          <w:color w:val="auto"/>
        </w:rPr>
      </w:pPr>
      <w:r>
        <w:rPr>
          <w:rFonts w:ascii="Times New Roman" w:cs="Times New Roman" w:eastAsia="Times New Roman" w:hAnsi="Times New Roman"/>
          <w:sz w:val="18"/>
          <w:szCs w:val="18"/>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Exemptive Relief Application</w:t>
      </w:r>
    </w:p>
    <w:p>
      <w:pPr>
        <w:spacing w:after="0" w:line="121" w:lineRule="exact"/>
        <w:rPr>
          <w:sz w:val="20"/>
          <w:szCs w:val="20"/>
          <w:color w:val="auto"/>
        </w:rPr>
      </w:pPr>
    </w:p>
    <w:p>
      <w:pPr>
        <w:ind w:left="200" w:firstLine="443"/>
        <w:spacing w:after="0" w:line="274" w:lineRule="auto"/>
        <w:rPr>
          <w:sz w:val="20"/>
          <w:szCs w:val="20"/>
          <w:color w:val="auto"/>
        </w:rPr>
      </w:pPr>
      <w:r>
        <w:rPr>
          <w:rFonts w:ascii="Times New Roman" w:cs="Times New Roman" w:eastAsia="Times New Roman" w:hAnsi="Times New Roman"/>
          <w:sz w:val="17"/>
          <w:szCs w:val="17"/>
          <w:color w:val="auto"/>
        </w:rPr>
        <w:t>On November 23, 2011, we, the Adviser and certain other affiliates of TPG filed an application with the SEC for exemptive relief. We most recently filed a revised application with the SEC on May 6,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the directors of the Board who are not “interested persons” of us, the Adviser or any of our or its respective affiliates, as defined in the 1940 Act (known as the Independent Directors). The terms and conditions of the investment applicable to any affiliates of TSSP and TPG also must be the same as those applicable to us.</w:t>
      </w:r>
    </w:p>
    <w:p>
      <w:pPr>
        <w:spacing w:after="0" w:line="174" w:lineRule="exact"/>
        <w:rPr>
          <w:sz w:val="20"/>
          <w:szCs w:val="20"/>
          <w:color w:val="auto"/>
        </w:rPr>
      </w:pPr>
    </w:p>
    <w:p>
      <w:pPr>
        <w:ind w:left="200" w:right="120" w:firstLine="443"/>
        <w:spacing w:after="0" w:line="256" w:lineRule="auto"/>
        <w:rPr>
          <w:sz w:val="20"/>
          <w:szCs w:val="20"/>
          <w:color w:val="auto"/>
        </w:rPr>
      </w:pPr>
      <w:r>
        <w:rPr>
          <w:rFonts w:ascii="Times New Roman" w:cs="Times New Roman" w:eastAsia="Times New Roman" w:hAnsi="Times New Roman"/>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200" w:right="180" w:firstLine="443"/>
        <w:spacing w:after="0" w:line="256" w:lineRule="auto"/>
        <w:rPr>
          <w:sz w:val="20"/>
          <w:szCs w:val="20"/>
          <w:color w:val="auto"/>
        </w:rPr>
      </w:pPr>
      <w:r>
        <w:rPr>
          <w:rFonts w:ascii="Times New Roman" w:cs="Times New Roman" w:eastAsia="Times New Roman" w:hAnsi="Times New Roman"/>
          <w:sz w:val="18"/>
          <w:szCs w:val="18"/>
          <w:color w:val="auto"/>
        </w:rPr>
        <w:t>In March 2013, we completed our IPO, pursuant to which we sold 7,000,000 shares of common stock at a price of $16.00 per share to the participating underwriters. Concurrently with the IPO, we sold 3,124,984 shares of our common stock to certain existing investors, including our Adviser, through a separate private placement at the initial public offering price per share. Total proceeds from the IPO and the concurrent private placement, net of estimated offering expenses payable by us, were approximately $151.6 million. These issuances are reflected in the number of shares issued for the three months ended March 31, 2014 as disclosed in this prospectus and the unaudited interim consolidated financial statements for the three months ended March 31, 2014.</w:t>
      </w:r>
    </w:p>
    <w:p>
      <w:pPr>
        <w:spacing w:after="0" w:line="188" w:lineRule="exact"/>
        <w:rPr>
          <w:sz w:val="20"/>
          <w:szCs w:val="20"/>
          <w:color w:val="auto"/>
        </w:rPr>
      </w:pPr>
    </w:p>
    <w:p>
      <w:pPr>
        <w:ind w:left="200" w:right="300" w:firstLine="443"/>
        <w:spacing w:after="0" w:line="282" w:lineRule="auto"/>
        <w:rPr>
          <w:sz w:val="20"/>
          <w:szCs w:val="20"/>
          <w:color w:val="auto"/>
        </w:rPr>
      </w:pPr>
      <w:r>
        <w:rPr>
          <w:rFonts w:ascii="Times New Roman" w:cs="Times New Roman" w:eastAsia="Times New Roman" w:hAnsi="Times New Roman"/>
          <w:sz w:val="18"/>
          <w:szCs w:val="18"/>
          <w:color w:val="auto"/>
        </w:rPr>
        <w:t>In April 2014, we issued a total of 1,050,000 shares of our common stock pursuant to the exercise of the underwriters’ over-allotment option in connection with our IPO. Net of underwriting fees and offering costs, we</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0"/>
          </w:cols>
          <w:pgMar w:left="240" w:top="455" w:right="3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75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20"/>
        <w:spacing w:after="0" w:line="261" w:lineRule="auto"/>
        <w:rPr>
          <w:sz w:val="20"/>
          <w:szCs w:val="20"/>
          <w:color w:val="auto"/>
        </w:rPr>
      </w:pPr>
      <w:r>
        <w:rPr>
          <w:rFonts w:ascii="Times New Roman" w:cs="Times New Roman" w:eastAsia="Times New Roman" w:hAnsi="Times New Roman"/>
          <w:sz w:val="18"/>
          <w:szCs w:val="18"/>
          <w:color w:val="auto"/>
        </w:rPr>
        <w:t>received additional total cash proceeds of $15.4 million. On May 1, 2014, pursuant to our dividend reinvestment plan, we issued 410,183 shares of our common stock in connection with the dividend that was paid on April 30, 2014. This dividend was declared on March 26, 2014 for shareholders of record on March 31, 2014. Neither of these issuances of our common stock is reflected in the number of shares issued for the three months ended March 31, 2014 as disclosed in this prospectus or the unaudited interim consolidated financial statements for the three months ended March 31, 2014.</w:t>
      </w:r>
    </w:p>
    <w:p>
      <w:pPr>
        <w:spacing w:after="0" w:line="180" w:lineRule="exact"/>
        <w:rPr>
          <w:sz w:val="20"/>
          <w:szCs w:val="20"/>
          <w:color w:val="auto"/>
        </w:rPr>
      </w:pPr>
    </w:p>
    <w:p>
      <w:pPr>
        <w:ind w:left="200" w:right="440" w:firstLine="443"/>
        <w:spacing w:after="0" w:line="282" w:lineRule="auto"/>
        <w:rPr>
          <w:sz w:val="20"/>
          <w:szCs w:val="20"/>
          <w:color w:val="auto"/>
        </w:rPr>
      </w:pPr>
      <w:r>
        <w:rPr>
          <w:rFonts w:ascii="Times New Roman" w:cs="Times New Roman" w:eastAsia="Times New Roman" w:hAnsi="Times New Roman"/>
          <w:sz w:val="18"/>
          <w:szCs w:val="18"/>
          <w:color w:val="auto"/>
        </w:rPr>
        <w:t>On May 6, 2014, our Board declared a quarterly dividend of $0.38 per share for its second fiscal quarter of 2014, which will be payable on or about July 31, 2014 to stockholders of record as of June 30, 2014.</w:t>
      </w:r>
    </w:p>
    <w:p>
      <w:pPr>
        <w:spacing w:after="0" w:line="162"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On May 30, 2014, we entered into agreements with various financial institutions pursuant to which each of the institutions agreed to provide commitments through the accordion feature in our second amended and restated senior secured revolving credit facility, dated February 27, 2014, which we refer to as the Revolving Credit Facility, increasing the aggregate commitments under the Revolving Credit Facility from $581.3 million to $781.3 million. The Revolving Credit Facility continues to include the accordion feature, which would allow us, under certain circumstances, to increase the size of the Revolving Credit Facility further to a maximum of $956.3 million.</w:t>
      </w:r>
    </w:p>
    <w:p>
      <w:pPr>
        <w:spacing w:after="0" w:line="184"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On June 10, 2014, we issued in a private offering $115 million aggregate principal amount of 4.50% Convertible Senior Notes due 2019, or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We used the net proceeds of the offering to pay down debt under the Revolving Credit Facility. In connection with the offering of Convertible Senior Notes, we entered into an interest rate swap to continue to align the interest rates of our liabilities with our investment portfolio, which consists of predominately floating rate loans. As a result of the swap, our effective interest rate on the Convertible Senior Notes is three-month LIBOR plus 252.9 basis points.</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82" w:lineRule="exact"/>
        <w:rPr>
          <w:sz w:val="20"/>
          <w:szCs w:val="20"/>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TSSP, TPG and their affiliates for our future success;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060" w:right="240" w:hanging="323"/>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060" w:right="320" w:hanging="323"/>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0"/>
          </w:cols>
          <w:pgMar w:left="240" w:top="455" w:right="3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15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660" w:hanging="323"/>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1060" w:right="140" w:hanging="323"/>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not more than 60 days’ notice and we may not be able to find a suitable replacement within that time, resulting in a disruption in our operations and a loss of the benefits from our relationship with TSSP and TPG;</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our incorporation, the Adviser and its management had no prior experience managing a BDC or a RIC;</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ind w:left="1060" w:right="80" w:hanging="323"/>
        <w:spacing w:after="0" w:line="266"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jc w:val="both"/>
        <w:ind w:left="1060" w:right="260" w:hanging="323"/>
        <w:spacing w:after="0" w:line="266"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060" w:right="100" w:hanging="323"/>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130" w:lineRule="exact"/>
        <w:rPr>
          <w:rFonts w:ascii="Times New Roman" w:cs="Times New Roman" w:eastAsia="Times New Roman" w:hAnsi="Times New Roman"/>
          <w:sz w:val="18"/>
          <w:szCs w:val="18"/>
          <w:color w:val="auto"/>
        </w:rPr>
      </w:pPr>
    </w:p>
    <w:p>
      <w:pPr>
        <w:ind w:left="1060" w:right="840" w:hanging="323"/>
        <w:spacing w:after="0" w:line="282"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Congress renews certain exemptions that expired for taxable years commencing after December 31, 2013, certain dividend distributions we make to certain non-U.S. stockholders will be subject to U.S. withholding tax;</w:t>
      </w:r>
    </w:p>
    <w:p>
      <w:pPr>
        <w:spacing w:after="0" w:line="67" w:lineRule="exact"/>
        <w:rPr>
          <w:rFonts w:ascii="Times New Roman" w:cs="Times New Roman" w:eastAsia="Times New Roman" w:hAnsi="Times New Roman"/>
          <w:sz w:val="18"/>
          <w:szCs w:val="18"/>
          <w:color w:val="auto"/>
        </w:rPr>
      </w:pPr>
    </w:p>
    <w:p>
      <w:pPr>
        <w:ind w:left="1060" w:right="340" w:hanging="323"/>
        <w:spacing w:after="0" w:line="261" w:lineRule="auto"/>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240" w:top="455" w:right="4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1410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1410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significantly.</w:t>
      </w:r>
    </w:p>
    <w:p>
      <w:pPr>
        <w:spacing w:after="0" w:line="3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principal executive offices are located at 301 Commerce Street, Suite 3300, Fort Worth, TX 76102 and our telephone number is (817) 871-</w:t>
      </w:r>
    </w:p>
    <w:p>
      <w:pPr>
        <w:spacing w:after="0" w:line="39" w:lineRule="exact"/>
        <w:rPr>
          <w:sz w:val="20"/>
          <w:szCs w:val="20"/>
          <w:color w:val="auto"/>
        </w:rPr>
      </w:pPr>
    </w:p>
    <w:p>
      <w:pPr>
        <w:ind w:left="200" w:right="220"/>
        <w:spacing w:after="0" w:line="261" w:lineRule="auto"/>
        <w:rPr>
          <w:sz w:val="20"/>
          <w:szCs w:val="20"/>
          <w:color w:val="auto"/>
        </w:rPr>
      </w:pPr>
      <w:r>
        <w:rPr>
          <w:rFonts w:ascii="Times New Roman" w:cs="Times New Roman" w:eastAsia="Times New Roman" w:hAnsi="Times New Roman"/>
          <w:sz w:val="18"/>
          <w:szCs w:val="18"/>
          <w:color w:val="auto"/>
        </w:rPr>
        <w:t>4000. Our corporate website is located at http://www.tpgspecialtylending.com. Information on our website is not incorporated into or a part of this prospectus.</w:t>
      </w:r>
    </w:p>
    <w:p>
      <w:pPr>
        <w:spacing w:after="0" w:line="28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240" w:top="455" w:right="6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092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200" w:right="220" w:firstLine="443"/>
        <w:spacing w:after="0" w:line="254"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$500 million of our common stock, preferred stock, debt securities, subscription rights to purchase shares of our common stock, warrants representing rights to purchase shares of our common stock, preferred stock or debt securities, or units comprised of any combination of the foregoing,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common stockholders or (c) under such other circumstances as the SEC may permit. Any such issuance of shares of our common stock below net asset value may be dilutive to the net asset value of our common stock. See “Risk Factors—Risks Relating to Offerings Pursuant to this Prospectus.”</w:t>
      </w:r>
    </w:p>
    <w:p>
      <w:pPr>
        <w:spacing w:after="0" w:line="189" w:lineRule="exact"/>
        <w:rPr>
          <w:sz w:val="20"/>
          <w:szCs w:val="20"/>
          <w:color w:val="auto"/>
        </w:rPr>
      </w:pPr>
    </w:p>
    <w:p>
      <w:pPr>
        <w:ind w:left="200" w:right="220" w:firstLine="443"/>
        <w:spacing w:after="0" w:line="266" w:lineRule="auto"/>
        <w:rPr>
          <w:sz w:val="20"/>
          <w:szCs w:val="20"/>
          <w:color w:val="auto"/>
        </w:rPr>
      </w:pPr>
      <w:r>
        <w:rPr>
          <w:rFonts w:ascii="Times New Roman" w:cs="Times New Roman" w:eastAsia="Times New Roman" w:hAnsi="Times New Roman"/>
          <w:sz w:val="18"/>
          <w:szCs w:val="18"/>
          <w:color w:val="auto"/>
        </w:rPr>
        <w:t>In addition, this prospectus relates to 42,040,525 shares of our common stock that may be sold by the selling stockholders identified under “Selling Stockholders.” Sales of our common stock by the selling stockholders, which may occur at prices below the net asset value per share of our common stock, may adversely affect the market price of our common stock and may make it more difficult for us to raise capital.</w:t>
      </w:r>
    </w:p>
    <w:p>
      <w:pPr>
        <w:spacing w:after="0" w:line="176" w:lineRule="exact"/>
        <w:rPr>
          <w:sz w:val="20"/>
          <w:szCs w:val="20"/>
          <w:color w:val="auto"/>
        </w:rPr>
      </w:pPr>
    </w:p>
    <w:p>
      <w:pPr>
        <w:ind w:left="200" w:right="240" w:firstLine="443"/>
        <w:spacing w:after="0" w:line="255" w:lineRule="auto"/>
        <w:rPr>
          <w:sz w:val="20"/>
          <w:szCs w:val="20"/>
          <w:color w:val="auto"/>
        </w:rPr>
      </w:pPr>
      <w:r>
        <w:rPr>
          <w:rFonts w:ascii="Times New Roman" w:cs="Times New Roman" w:eastAsia="Times New Roman" w:hAnsi="Times New Roman"/>
          <w:sz w:val="18"/>
          <w:szCs w:val="18"/>
          <w:color w:val="auto"/>
        </w:rPr>
        <w:t>We or the selling stockholders may offer our securities directly to one or more purchasers, including existing stockholders in a rights offering by us, through agents that we or the selling stockholders, as applicable,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or the selling stockholders, as applicable,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the sale of our securities for general corporate purposes, which may include, among other</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things, investing in portfolio companies in accordance with our investment objective and</w:t>
            </w:r>
          </w:p>
        </w:tc>
      </w:tr>
      <w:tr>
        <w:trPr>
          <w:trHeight w:val="234"/>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repaying indebtedness (which will be subject to reborrowing).</w:t>
            </w:r>
          </w:p>
        </w:tc>
      </w:tr>
      <w:tr>
        <w:trPr>
          <w:trHeight w:val="441"/>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 of</w:t>
            </w:r>
          </w:p>
        </w:tc>
      </w:tr>
      <w:tr>
        <w:trPr>
          <w:trHeight w:val="234"/>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the proceeds from such offering. See “Use of Proceeds.”</w:t>
            </w:r>
          </w:p>
        </w:tc>
      </w:tr>
      <w:tr>
        <w:trPr>
          <w:trHeight w:val="441"/>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w:t>
            </w:r>
          </w:p>
        </w:tc>
      </w:tr>
      <w:tr>
        <w:trPr>
          <w:trHeight w:val="234"/>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identified under “Selling Stockholders.”</w:t>
            </w:r>
          </w:p>
        </w:tc>
      </w:tr>
      <w:tr>
        <w:trPr>
          <w:trHeight w:val="459"/>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“TSLX”</w:t>
            </w:r>
          </w:p>
        </w:tc>
      </w:tr>
      <w:tr>
        <w:trPr>
          <w:trHeight w:val="454"/>
        </w:trPr>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w:t>
            </w:r>
          </w:p>
        </w:tc>
      </w:tr>
      <w:tr>
        <w:trPr>
          <w:trHeight w:val="234"/>
        </w:trPr>
        <w:tc>
          <w:tcPr>
            <w:tcW w:w="31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will be reported to</w:t>
            </w:r>
          </w:p>
        </w:tc>
      </w:tr>
      <w:tr>
        <w:trPr>
          <w:trHeight w:val="159"/>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61"/>
        </w:trPr>
        <w:tc>
          <w:tcPr>
            <w:tcW w:w="3120" w:type="dxa"/>
            <w:vAlign w:val="bottom"/>
          </w:tcPr>
          <w:p>
            <w:pPr>
              <w:spacing w:after="0"/>
              <w:rPr>
                <w:sz w:val="24"/>
                <w:szCs w:val="24"/>
                <w:color w:val="auto"/>
              </w:rPr>
            </w:pPr>
          </w:p>
        </w:tc>
        <w:tc>
          <w:tcPr>
            <w:tcW w:w="83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460"/>
          </w:cols>
          <w:pgMar w:left="240" w:top="455" w:right="1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280" w:type="dxa"/>
            <w:vAlign w:val="bottom"/>
            <w:tcBorders>
              <w:top w:val="single" w:sz="8" w:color="auto"/>
              <w:left w:val="single" w:sz="8" w:color="auto"/>
            </w:tcBorders>
          </w:tcPr>
          <w:p>
            <w:pPr>
              <w:spacing w:after="0"/>
              <w:rPr>
                <w:sz w:val="24"/>
                <w:szCs w:val="24"/>
                <w:color w:val="auto"/>
              </w:rPr>
            </w:pPr>
          </w:p>
        </w:tc>
        <w:tc>
          <w:tcPr>
            <w:tcW w:w="8180" w:type="dxa"/>
            <w:vAlign w:val="bottom"/>
            <w:tcBorders>
              <w:top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stockholders after the end of the calendar year. Future quarterly dividends, if any, will be</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determined by our Board. See “Price Range of Common Stock and Distributions.”</w:t>
            </w:r>
          </w:p>
        </w:tc>
      </w:tr>
      <w:tr>
        <w:trPr>
          <w:trHeight w:val="454"/>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To maintain our tax treatment as a RIC, we must make certain distributions. See “Material U.S.</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Federal Income Tax Considerations—Regulated Investment Company Classification.”</w:t>
            </w:r>
          </w:p>
        </w:tc>
      </w:tr>
      <w:tr>
        <w:trPr>
          <w:trHeight w:val="441"/>
        </w:trPr>
        <w:tc>
          <w:tcPr>
            <w:tcW w:w="32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Anti-Takeover Provisions</w:t>
            </w: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Our Board is divided into three classes of directors serving staggered three-year terms. This</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structure is intended to provide us with a greater likelihood of continuity of management,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which may be necessary for us to realize the full value of our investments. A staggered board</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of directors also may serve to deter hostile takeovers or proxy contests, as may certain other</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measures adopted by us. See “Description of Our Capital Stock—Anti-Takeover Provisions.”</w:t>
            </w:r>
          </w:p>
        </w:tc>
      </w:tr>
      <w:tr>
        <w:trPr>
          <w:trHeight w:val="441"/>
        </w:trPr>
        <w:tc>
          <w:tcPr>
            <w:tcW w:w="32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 a</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RIC will enable us to deduct qualifying distributions to our stockholders, so that we will be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subject to corporate-level U.S. federal income taxation only in respect of earnings that we</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retain and do not distribute.</w:t>
            </w:r>
          </w:p>
        </w:tc>
      </w:tr>
      <w:tr>
        <w:trPr>
          <w:trHeight w:val="441"/>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income taxation on our earnings, we must, among other things:</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 maintain our election under the 1940 Act to be treated as a BDC;</w:t>
            </w:r>
          </w:p>
        </w:tc>
      </w:tr>
      <w:tr>
        <w:trPr>
          <w:trHeight w:val="319"/>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 derive in each taxable year at least 90% of our gross income from dividends, interest,</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gains from the sale or other disposition of stock or securities and other specified</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categories of investment income; and</w:t>
            </w:r>
          </w:p>
        </w:tc>
      </w:tr>
      <w:tr>
        <w:trPr>
          <w:trHeight w:val="338"/>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 maintain diversified holdings.</w:t>
            </w:r>
          </w:p>
        </w:tc>
      </w:tr>
      <w:tr>
        <w:trPr>
          <w:trHeight w:val="441"/>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In addition, we must distribute (or be treated as distributing) in each taxable year dividends for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tax purposes equal to at least 90% of our investment company taxable income and net tax-</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exempt income for that taxable year.</w:t>
            </w:r>
          </w:p>
        </w:tc>
      </w:tr>
      <w:tr>
        <w:trPr>
          <w:trHeight w:val="441"/>
        </w:trPr>
        <w:tc>
          <w:tcPr>
            <w:tcW w:w="3280" w:type="dxa"/>
            <w:vAlign w:val="bottom"/>
            <w:tcBorders>
              <w:left w:val="single" w:sz="8" w:color="auto"/>
            </w:tcBorders>
          </w:tcPr>
          <w:p>
            <w:pPr>
              <w:spacing w:after="0"/>
              <w:rPr>
                <w:sz w:val="24"/>
                <w:szCs w:val="24"/>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 our</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investment company taxable income and net capital gains that we distribute to stockholders. If</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we fail to distribute our investment company taxable income or net capital gains on a timely</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basis, we will be subject to a nondeductible 4% U.S. federal excise tax. We can be expected 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carry forward investment company taxable income in excess of current year distributions into</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the next tax year and pay a 4% excise tax on such income. We elected to retain a small portion</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of income and capital gains for the calendar years ended December 31, 2013 and 2012 and the</w:t>
            </w:r>
          </w:p>
        </w:tc>
      </w:tr>
      <w:tr>
        <w:trPr>
          <w:trHeight w:val="216"/>
        </w:trPr>
        <w:tc>
          <w:tcPr>
            <w:tcW w:w="3280" w:type="dxa"/>
            <w:vAlign w:val="bottom"/>
            <w:tcBorders>
              <w:left w:val="single" w:sz="8" w:color="auto"/>
            </w:tcBorders>
          </w:tcPr>
          <w:p>
            <w:pPr>
              <w:spacing w:after="0"/>
              <w:rPr>
                <w:sz w:val="18"/>
                <w:szCs w:val="18"/>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three months ended March 31, 2014 and we recorded a net expense of $0.2 million,</w:t>
            </w:r>
          </w:p>
        </w:tc>
      </w:tr>
      <w:tr>
        <w:trPr>
          <w:trHeight w:val="234"/>
        </w:trPr>
        <w:tc>
          <w:tcPr>
            <w:tcW w:w="3280" w:type="dxa"/>
            <w:vAlign w:val="bottom"/>
            <w:tcBorders>
              <w:left w:val="single" w:sz="8" w:color="auto"/>
            </w:tcBorders>
          </w:tcPr>
          <w:p>
            <w:pPr>
              <w:spacing w:after="0"/>
              <w:rPr>
                <w:sz w:val="20"/>
                <w:szCs w:val="20"/>
                <w:color w:val="auto"/>
              </w:rPr>
            </w:pPr>
          </w:p>
        </w:tc>
        <w:tc>
          <w:tcPr>
            <w:tcW w:w="81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$0.1 million and $9 thousand, respectively, for U.S. federal excise tax</w:t>
            </w:r>
          </w:p>
        </w:tc>
      </w:tr>
      <w:tr>
        <w:trPr>
          <w:trHeight w:val="159"/>
        </w:trPr>
        <w:tc>
          <w:tcPr>
            <w:tcW w:w="3280" w:type="dxa"/>
            <w:vAlign w:val="bottom"/>
            <w:tcBorders>
              <w:left w:val="single" w:sz="8" w:color="auto"/>
              <w:bottom w:val="single" w:sz="8" w:color="auto"/>
            </w:tcBorders>
          </w:tcPr>
          <w:p>
            <w:pPr>
              <w:spacing w:after="0"/>
              <w:rPr>
                <w:sz w:val="13"/>
                <w:szCs w:val="13"/>
                <w:color w:val="auto"/>
              </w:rPr>
            </w:pPr>
          </w:p>
        </w:tc>
        <w:tc>
          <w:tcPr>
            <w:tcW w:w="8180" w:type="dxa"/>
            <w:vAlign w:val="bottom"/>
            <w:tcBorders>
              <w:bottom w:val="single" w:sz="8" w:color="auto"/>
              <w:right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81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460"/>
          </w:cols>
          <w:pgMar w:left="240" w:top="455" w:right="1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400" w:type="dxa"/>
            <w:vAlign w:val="bottom"/>
            <w:tcBorders>
              <w:top w:val="single" w:sz="8" w:color="auto"/>
              <w:left w:val="single" w:sz="8" w:color="auto"/>
            </w:tcBorders>
          </w:tcPr>
          <w:p>
            <w:pPr>
              <w:spacing w:after="0"/>
              <w:rPr>
                <w:sz w:val="24"/>
                <w:szCs w:val="24"/>
                <w:color w:val="auto"/>
              </w:rPr>
            </w:pPr>
          </w:p>
        </w:tc>
        <w:tc>
          <w:tcPr>
            <w:tcW w:w="806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as a result. Any carryover of investment company taxable income or net capital gains must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timely declared and distributed as a dividend in the taxable year following the taxable year 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which the income or gains were earned. See “Price Range of Common Stock and</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Distributions” and “Material U.S. Federal Income Tax Considerations.”</w:t>
            </w:r>
          </w:p>
        </w:tc>
      </w:tr>
      <w:tr>
        <w:trPr>
          <w:trHeight w:val="454"/>
        </w:trPr>
        <w:tc>
          <w:tcPr>
            <w:tcW w:w="34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finance a portion of our investments. As a result, we are exposed to the risks of leverage,</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which may be considered a speculative investment technique.</w:t>
            </w:r>
          </w:p>
        </w:tc>
      </w:tr>
      <w:tr>
        <w:trPr>
          <w:trHeight w:val="44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increases the risks associated with investing in our securities. With certain limited exceptions,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we currently are only allowed to borrow amounts, including by issuing debt securities or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preferred stock, where our asset coverage, as defined in the 1940 Act, equals at least 200%</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after the borrowing. The costs associated with our borrowings, including any increase in the</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fees payable to the Adviser, are borne by our stockholders. See “Regulation.”</w:t>
            </w:r>
          </w:p>
        </w:tc>
      </w:tr>
      <w:tr>
        <w:trPr>
          <w:trHeight w:val="441"/>
        </w:trPr>
        <w:tc>
          <w:tcPr>
            <w:tcW w:w="34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dividend reinvestment plan. Under this plan, if we declare a cash dividend or other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distribution, our stockholders who have not elected to “opt out” of our dividend reinvestment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plan will have their cash distribution automatically reinvested in additional shares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common stock, rather than receiving the cash distribution. If a stockholder elects to “opt out”,</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that stockholder will receive cash dividends or other distributions.</w:t>
            </w:r>
          </w:p>
        </w:tc>
      </w:tr>
      <w:tr>
        <w:trPr>
          <w:trHeight w:val="44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Stockholders who receive dividends and other distributions in the form of shares of common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stock generally are subject to the same U.S. federal tax consequences as stockholders who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elect to receive their distributions in cash; however, since their cash dividends will be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reinvested, those stockholders will not receive cash with which to pay any applicable taxes on</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reinvested dividends. See “Dividend Reinvestment Plan.”</w:t>
            </w:r>
          </w:p>
        </w:tc>
      </w:tr>
      <w:tr>
        <w:trPr>
          <w:trHeight w:val="441"/>
        </w:trPr>
        <w:tc>
          <w:tcPr>
            <w:tcW w:w="34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Management Arrangements</w:t>
            </w: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Our Adviser serves as our investment adviser and our administrator. For a description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Adviser and TPG and our contractual arrangements with these companies, see “Management</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and Other Agreements.”</w:t>
            </w:r>
          </w:p>
        </w:tc>
      </w:tr>
      <w:tr>
        <w:trPr>
          <w:trHeight w:val="441"/>
        </w:trPr>
        <w:tc>
          <w:tcPr>
            <w:tcW w:w="340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Trading at a Discount</w:t>
            </w: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their net asset value. We are not generally able to issue and sell our common stock at a price</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below our net asset value per share except (a) in connection with a rights offering to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existing stockholders, (b) with the prior approval of the majority of our common stockholders</w:t>
            </w:r>
          </w:p>
        </w:tc>
      </w:tr>
      <w:tr>
        <w:trPr>
          <w:trHeight w:val="234"/>
        </w:trPr>
        <w:tc>
          <w:tcPr>
            <w:tcW w:w="3400" w:type="dxa"/>
            <w:vAlign w:val="bottom"/>
            <w:tcBorders>
              <w:left w:val="single" w:sz="8" w:color="auto"/>
            </w:tcBorders>
          </w:tcPr>
          <w:p>
            <w:pPr>
              <w:spacing w:after="0"/>
              <w:rPr>
                <w:sz w:val="20"/>
                <w:szCs w:val="20"/>
                <w:color w:val="auto"/>
              </w:rPr>
            </w:pPr>
          </w:p>
        </w:tc>
        <w:tc>
          <w:tcPr>
            <w:tcW w:w="806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or (c) under such other circumstances as the SEC may permit. The risk that our shares may</w:t>
            </w:r>
          </w:p>
        </w:tc>
      </w:tr>
      <w:tr>
        <w:trPr>
          <w:trHeight w:val="159"/>
        </w:trPr>
        <w:tc>
          <w:tcPr>
            <w:tcW w:w="3400" w:type="dxa"/>
            <w:vAlign w:val="bottom"/>
            <w:tcBorders>
              <w:left w:val="single" w:sz="8" w:color="auto"/>
              <w:bottom w:val="single" w:sz="8" w:color="auto"/>
            </w:tcBorders>
          </w:tcPr>
          <w:p>
            <w:pPr>
              <w:spacing w:after="0"/>
              <w:rPr>
                <w:sz w:val="13"/>
                <w:szCs w:val="13"/>
                <w:color w:val="auto"/>
              </w:rPr>
            </w:pPr>
          </w:p>
        </w:tc>
        <w:tc>
          <w:tcPr>
            <w:tcW w:w="8060" w:type="dxa"/>
            <w:vAlign w:val="bottom"/>
            <w:tcBorders>
              <w:bottom w:val="single" w:sz="8" w:color="auto"/>
              <w:right w:val="single" w:sz="8" w:color="auto"/>
            </w:tcBorders>
          </w:tcPr>
          <w:p>
            <w:pPr>
              <w:spacing w:after="0"/>
              <w:rPr>
                <w:sz w:val="13"/>
                <w:szCs w:val="13"/>
                <w:color w:val="auto"/>
              </w:rPr>
            </w:pPr>
          </w:p>
        </w:tc>
      </w:tr>
      <w:tr>
        <w:trPr>
          <w:trHeight w:val="361"/>
        </w:trPr>
        <w:tc>
          <w:tcPr>
            <w:tcW w:w="3400" w:type="dxa"/>
            <w:vAlign w:val="bottom"/>
          </w:tcPr>
          <w:p>
            <w:pPr>
              <w:spacing w:after="0"/>
              <w:rPr>
                <w:sz w:val="24"/>
                <w:szCs w:val="24"/>
                <w:color w:val="auto"/>
              </w:rPr>
            </w:pPr>
          </w:p>
        </w:tc>
        <w:tc>
          <w:tcPr>
            <w:tcW w:w="80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460"/>
          </w:cols>
          <w:pgMar w:left="240" w:top="455" w:right="1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3140" w:type="dxa"/>
            <w:vAlign w:val="bottom"/>
            <w:tcBorders>
              <w:top w:val="single" w:sz="8" w:color="auto"/>
              <w:left w:val="single" w:sz="8" w:color="auto"/>
            </w:tcBorders>
          </w:tcPr>
          <w:p>
            <w:pPr>
              <w:spacing w:after="0"/>
              <w:rPr>
                <w:sz w:val="24"/>
                <w:szCs w:val="24"/>
                <w:color w:val="auto"/>
              </w:rPr>
            </w:pPr>
          </w:p>
        </w:tc>
        <w:tc>
          <w:tcPr>
            <w:tcW w:w="832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trade at a discount to our net asset value is separate and distinct from the risk that our net asset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value per share may decline. We cannot predict whether our shares will trade above, at or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below net asset value. See “Risk Factors–Risks Related to Offerings Pursuant to This</w:t>
            </w:r>
          </w:p>
        </w:tc>
      </w:tr>
      <w:tr>
        <w:trPr>
          <w:trHeight w:val="234"/>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Prospectus.”</w:t>
            </w:r>
          </w:p>
        </w:tc>
      </w:tr>
      <w:tr>
        <w:trPr>
          <w:trHeight w:val="454"/>
        </w:trPr>
        <w:tc>
          <w:tcPr>
            <w:tcW w:w="3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 is a</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part, under the Securities Act. This registration statement contains additional information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about us and the securities being offered by this prospectus. We are also required to file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periodic reports, current reports, proxy statements and other information with the SEC. This</w:t>
            </w:r>
          </w:p>
        </w:tc>
      </w:tr>
      <w:tr>
        <w:trPr>
          <w:trHeight w:val="214"/>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information is available at the SEC’s public reference room at 100 F Street, N.E., Washington,</w:t>
            </w:r>
          </w:p>
        </w:tc>
      </w:tr>
      <w:tr>
        <w:trPr>
          <w:trHeight w:val="218"/>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D.C. 20549 and on the SEC’s website at http://www.sec.gov</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Information on the operation of</w:t>
            </w:r>
          </w:p>
        </w:tc>
      </w:tr>
      <w:tr>
        <w:trPr>
          <w:trHeight w:val="234"/>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the SEC’s public reference room may be obtained by calling the SEC at 1 (800) SEC-0330.</w:t>
            </w:r>
          </w:p>
        </w:tc>
      </w:tr>
      <w:tr>
        <w:trPr>
          <w:trHeight w:val="441"/>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We maintain a website at http://www.tpgspecialtylending.com and make all of our periodic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current reports, proxy statements and other information available, free of charge, on or through</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our website. Information on our website is not incorporated into or part of this prospectus. You</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may also obtain such information free of charge by contacting us in writing at 345 California</w:t>
            </w:r>
          </w:p>
        </w:tc>
      </w:tr>
      <w:tr>
        <w:trPr>
          <w:trHeight w:val="214"/>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Street, Suite 3300, San Francisco, CA 94104, Attention: TSL Investor Relations, or by</w:t>
            </w:r>
          </w:p>
        </w:tc>
      </w:tr>
      <w:tr>
        <w:trPr>
          <w:trHeight w:val="236"/>
        </w:trPr>
        <w:tc>
          <w:tcPr>
            <w:tcW w:w="3140" w:type="dxa"/>
            <w:vAlign w:val="bottom"/>
            <w:tcBorders>
              <w:left w:val="single" w:sz="8" w:color="auto"/>
            </w:tcBorders>
          </w:tcPr>
          <w:p>
            <w:pPr>
              <w:spacing w:after="0"/>
              <w:rPr>
                <w:sz w:val="20"/>
                <w:szCs w:val="20"/>
                <w:color w:val="auto"/>
              </w:rPr>
            </w:pPr>
          </w:p>
        </w:tc>
        <w:tc>
          <w:tcPr>
            <w:tcW w:w="8320" w:type="dxa"/>
            <w:vAlign w:val="bottom"/>
            <w:tcBorders>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 xml:space="preserve">emailing us at </w:t>
            </w:r>
            <w:r>
              <w:rPr>
                <w:rFonts w:ascii="Times New Roman" w:cs="Times New Roman" w:eastAsia="Times New Roman" w:hAnsi="Times New Roman"/>
                <w:sz w:val="18"/>
                <w:szCs w:val="18"/>
                <w:i w:val="1"/>
                <w:iCs w:val="1"/>
                <w:color w:val="auto"/>
              </w:rPr>
              <w:t>IRTSL@tpg.com</w:t>
            </w:r>
            <w:r>
              <w:rPr>
                <w:rFonts w:ascii="Times New Roman" w:cs="Times New Roman" w:eastAsia="Times New Roman" w:hAnsi="Times New Roman"/>
                <w:sz w:val="18"/>
                <w:szCs w:val="18"/>
                <w:color w:val="auto"/>
              </w:rPr>
              <w:t>.</w:t>
            </w:r>
          </w:p>
        </w:tc>
      </w:tr>
      <w:tr>
        <w:trPr>
          <w:trHeight w:val="159"/>
        </w:trPr>
        <w:tc>
          <w:tcPr>
            <w:tcW w:w="3140" w:type="dxa"/>
            <w:vAlign w:val="bottom"/>
            <w:tcBorders>
              <w:left w:val="single" w:sz="8" w:color="auto"/>
              <w:bottom w:val="single" w:sz="8" w:color="auto"/>
            </w:tcBorders>
          </w:tcPr>
          <w:p>
            <w:pPr>
              <w:spacing w:after="0"/>
              <w:rPr>
                <w:sz w:val="13"/>
                <w:szCs w:val="13"/>
                <w:color w:val="auto"/>
              </w:rPr>
            </w:pPr>
          </w:p>
        </w:tc>
        <w:tc>
          <w:tcPr>
            <w:tcW w:w="8320" w:type="dxa"/>
            <w:vAlign w:val="bottom"/>
            <w:tcBorders>
              <w:bottom w:val="single" w:sz="8" w:color="auto"/>
              <w:right w:val="single" w:sz="8" w:color="auto"/>
            </w:tcBorders>
          </w:tcPr>
          <w:p>
            <w:pPr>
              <w:spacing w:after="0"/>
              <w:rPr>
                <w:sz w:val="13"/>
                <w:szCs w:val="13"/>
                <w:color w:val="auto"/>
              </w:rPr>
            </w:pPr>
          </w:p>
        </w:tc>
      </w:tr>
      <w:tr>
        <w:trPr>
          <w:trHeight w:val="361"/>
        </w:trPr>
        <w:tc>
          <w:tcPr>
            <w:tcW w:w="3140" w:type="dxa"/>
            <w:vAlign w:val="bottom"/>
          </w:tcPr>
          <w:p>
            <w:pPr>
              <w:spacing w:after="0"/>
              <w:rPr>
                <w:sz w:val="24"/>
                <w:szCs w:val="24"/>
                <w:color w:val="auto"/>
              </w:rPr>
            </w:pPr>
          </w:p>
        </w:tc>
        <w:tc>
          <w:tcPr>
            <w:tcW w:w="83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460"/>
          </w:cols>
          <w:pgMar w:left="240" w:top="455" w:right="1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69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5869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 based on the assumption that we borrow amounts under our credit facilities and debt securities in an amount so that our total borrowings are 0.70x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3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2.11%</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 (17.5% of net investment income and capital gains)</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2.24%</w:t>
            </w: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1.86%</w:t>
            </w: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5"/>
                <w:szCs w:val="15"/>
                <w:color w:val="auto"/>
              </w:rPr>
              <w:t>(7)(8)</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80" w:type="dxa"/>
            <w:vAlign w:val="bottom"/>
            <w:vMerge w:val="continue"/>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7.28%</w:t>
            </w: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20" w:right="300" w:hanging="423"/>
        <w:spacing w:after="0" w:line="261"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ind w:left="620" w:right="20" w:hanging="423"/>
        <w:spacing w:after="0" w:line="250"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including each underwritten offering by any of the selling stockholders identified under “Selling Stockholders,” will disclose the estimated amount of offering expenses, the offering price and the offering expenses borne by us as a percentage of the offering price.</w:t>
      </w:r>
    </w:p>
    <w:p>
      <w:pPr>
        <w:spacing w:after="0" w:line="1" w:lineRule="exact"/>
        <w:rPr>
          <w:rFonts w:ascii="Times New Roman" w:cs="Times New Roman" w:eastAsia="Times New Roman" w:hAnsi="Times New Roman"/>
          <w:sz w:val="18"/>
          <w:szCs w:val="18"/>
          <w:color w:val="auto"/>
        </w:rPr>
      </w:pPr>
    </w:p>
    <w:p>
      <w:pPr>
        <w:ind w:left="620" w:right="320" w:hanging="423"/>
        <w:spacing w:after="0" w:line="250"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For additional information, see “Dividend Reinvestment Plan.”</w:t>
      </w:r>
    </w:p>
    <w:p>
      <w:pPr>
        <w:ind w:left="620" w:right="60" w:hanging="423"/>
        <w:spacing w:after="0" w:line="250"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our gross assets (including cash and cash equivalents and assets purchased with borrowed amounts). We may from time to time decide it is appropriate to change the terms of our Investment Advisory Agreement. Under the 1940 Act, any material change to our Investment Advisory Agreement must be submitted to stockholders for approval. See “Management and Other Agreements—Investment Advisory Agreement; Administration Agreement; License Agreement.”</w:t>
      </w:r>
    </w:p>
    <w:p>
      <w:pPr>
        <w:spacing w:after="0" w:line="1" w:lineRule="exact"/>
        <w:rPr>
          <w:rFonts w:ascii="Times New Roman" w:cs="Times New Roman" w:eastAsia="Times New Roman" w:hAnsi="Times New Roman"/>
          <w:sz w:val="18"/>
          <w:szCs w:val="18"/>
          <w:color w:val="auto"/>
        </w:rPr>
      </w:pPr>
    </w:p>
    <w:p>
      <w:pPr>
        <w:jc w:val="both"/>
        <w:ind w:left="620"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 and cash equivalents and assets purchased with borrowed money) and our net assets attributable to common stock as of March 31, 2014.</w:t>
      </w:r>
    </w:p>
    <w:p>
      <w:pPr>
        <w:spacing w:after="0" w:line="1" w:lineRule="exact"/>
        <w:rPr>
          <w:rFonts w:ascii="Times New Roman" w:cs="Times New Roman" w:eastAsia="Times New Roman" w:hAnsi="Times New Roman"/>
          <w:sz w:val="18"/>
          <w:szCs w:val="18"/>
          <w:color w:val="auto"/>
        </w:rPr>
      </w:pPr>
    </w:p>
    <w:p>
      <w:pPr>
        <w:ind w:left="620" w:right="180" w:hanging="423"/>
        <w:spacing w:after="0" w:line="255"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quarter ended March 31, 2014 annualized as if they had occurred following the IPO, and assumes that the Incentive Fee is 17.5% for all relevant periods. However,</w:t>
      </w:r>
    </w:p>
    <w:p>
      <w:pPr>
        <w:spacing w:after="0" w:line="2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24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363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363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Incentive Fee payable to the Adviser is based on our performance and will not be paid unless we achieve certain goals.</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Incentive Fee consists of two parts:</w:t>
      </w:r>
    </w:p>
    <w:p>
      <w:pPr>
        <w:spacing w:after="0" w:line="77" w:lineRule="exact"/>
        <w:rPr>
          <w:sz w:val="20"/>
          <w:szCs w:val="20"/>
          <w:color w:val="auto"/>
        </w:rPr>
      </w:pPr>
    </w:p>
    <w:p>
      <w:pPr>
        <w:ind w:left="620" w:right="240"/>
        <w:spacing w:after="0" w:line="261" w:lineRule="auto"/>
        <w:rPr>
          <w:sz w:val="20"/>
          <w:szCs w:val="20"/>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31" w:lineRule="exact"/>
        <w:rPr>
          <w:sz w:val="20"/>
          <w:szCs w:val="20"/>
          <w:color w:val="auto"/>
        </w:rPr>
      </w:pPr>
    </w:p>
    <w:p>
      <w:pPr>
        <w:ind w:left="620" w:right="280"/>
        <w:spacing w:after="0" w:line="256" w:lineRule="auto"/>
        <w:rPr>
          <w:sz w:val="20"/>
          <w:szCs w:val="20"/>
          <w:color w:val="auto"/>
        </w:rPr>
      </w:pPr>
      <w:r>
        <w:rPr>
          <w:rFonts w:ascii="Times New Roman" w:cs="Times New Roman" w:eastAsia="Times New Roman" w:hAnsi="Times New Roman"/>
          <w:sz w:val="18"/>
          <w:szCs w:val="18"/>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 and thereafter at 17.5%,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See “Management and Other Agreements—Investment Advisory Agreement; Administration Agreement; License Agreement.”</w:t>
      </w:r>
    </w:p>
    <w:p>
      <w:pPr>
        <w:spacing w:after="0" w:line="77" w:lineRule="exact"/>
        <w:rPr>
          <w:sz w:val="20"/>
          <w:szCs w:val="20"/>
          <w:color w:val="auto"/>
        </w:rPr>
      </w:pPr>
    </w:p>
    <w:p>
      <w:pPr>
        <w:ind w:left="620" w:right="320" w:hanging="423"/>
        <w:spacing w:after="0" w:line="254"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represents an estimate of our annualized interest expenses, based on our interest expense for the quarter ended March 31, 2014, under our credit facilities, and including the swap-adjusted interest expense related to our Convertible Senior Notes, based on assumed total borrowings outstanding equal to 0.70x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ind w:left="620" w:right="800" w:hanging="423"/>
        <w:spacing w:after="0" w:line="250"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See “Management and Other Agreements—Investment Advisory Agreement; Administration Agreement; License Agreement.” We based these expenses on estimated amounts for the current fiscal year by annualizing expenses from the quarter ending March 31, 2014.</w:t>
      </w:r>
    </w:p>
    <w:p>
      <w:pPr>
        <w:spacing w:after="0" w:line="1" w:lineRule="exact"/>
        <w:rPr>
          <w:rFonts w:ascii="Times New Roman" w:cs="Times New Roman" w:eastAsia="Times New Roman" w:hAnsi="Times New Roman"/>
          <w:sz w:val="18"/>
          <w:szCs w:val="18"/>
          <w:color w:val="auto"/>
        </w:rPr>
      </w:pPr>
    </w:p>
    <w:p>
      <w:pPr>
        <w:ind w:left="620" w:hanging="423"/>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3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200" w:right="200" w:firstLine="443"/>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5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56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640" w:type="dxa"/>
            <w:vAlign w:val="bottom"/>
          </w:tcPr>
          <w:p>
            <w:pPr>
              <w:spacing w:after="0"/>
              <w:rPr>
                <w:sz w:val="15"/>
                <w:szCs w:val="15"/>
                <w:color w:val="auto"/>
              </w:rPr>
            </w:pPr>
          </w:p>
        </w:tc>
        <w:tc>
          <w:tcPr>
            <w:tcW w:w="6160" w:type="dxa"/>
            <w:vAlign w:val="bottom"/>
            <w:tcBorders>
              <w:top w:val="single" w:sz="8" w:color="CCEEFF"/>
            </w:tcBorders>
            <w:shd w:val="clear" w:color="auto" w:fill="CCEEFF"/>
          </w:tcPr>
          <w:p>
            <w:pPr>
              <w:jc w:val="right"/>
              <w:ind w:right="410"/>
              <w:spacing w:after="0" w:line="178" w:lineRule="exact"/>
              <w:rPr>
                <w:sz w:val="20"/>
                <w:szCs w:val="20"/>
                <w:color w:val="auto"/>
              </w:rPr>
            </w:pPr>
            <w:r>
              <w:rPr>
                <w:rFonts w:ascii="Times New Roman" w:cs="Times New Roman" w:eastAsia="Times New Roman" w:hAnsi="Times New Roman"/>
                <w:sz w:val="18"/>
                <w:szCs w:val="18"/>
                <w:color w:val="auto"/>
                <w:w w:val="99"/>
              </w:rPr>
              <w:t>You would pay the following expenses on a $1,000 common stock investment,</w:t>
            </w:r>
          </w:p>
        </w:tc>
        <w:tc>
          <w:tcPr>
            <w:tcW w:w="5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Pr>
          <w:p>
            <w:pPr>
              <w:spacing w:after="0"/>
              <w:rPr>
                <w:sz w:val="15"/>
                <w:szCs w:val="15"/>
                <w:color w:val="auto"/>
              </w:rPr>
            </w:pPr>
          </w:p>
        </w:tc>
      </w:tr>
      <w:tr>
        <w:trPr>
          <w:trHeight w:val="234"/>
        </w:trPr>
        <w:tc>
          <w:tcPr>
            <w:tcW w:w="640" w:type="dxa"/>
            <w:vAlign w:val="bottom"/>
          </w:tcPr>
          <w:p>
            <w:pPr>
              <w:spacing w:after="0"/>
              <w:rPr>
                <w:sz w:val="20"/>
                <w:szCs w:val="20"/>
                <w:color w:val="auto"/>
              </w:rPr>
            </w:pPr>
          </w:p>
        </w:tc>
        <w:tc>
          <w:tcPr>
            <w:tcW w:w="6160" w:type="dxa"/>
            <w:vAlign w:val="bottom"/>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rPr>
              <w:t>assuming a 5% annual return from realized capital gains</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73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w:t>
            </w: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$ 348</w:t>
            </w:r>
          </w:p>
        </w:tc>
        <w:tc>
          <w:tcPr>
            <w:tcW w:w="1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658</w:t>
            </w:r>
          </w:p>
        </w:tc>
        <w:tc>
          <w:tcPr>
            <w:tcW w:w="80" w:type="dxa"/>
            <w:vAlign w:val="bottom"/>
            <w:shd w:val="clear" w:color="auto" w:fill="CCEEFF"/>
          </w:tcPr>
          <w:p>
            <w:pPr>
              <w:spacing w:after="0"/>
              <w:rPr>
                <w:sz w:val="20"/>
                <w:szCs w:val="20"/>
                <w:color w:val="auto"/>
              </w:rPr>
            </w:pPr>
          </w:p>
        </w:tc>
        <w:tc>
          <w:tcPr>
            <w:tcW w:w="640" w:type="dxa"/>
            <w:vAlign w:val="bottom"/>
          </w:tcPr>
          <w:p>
            <w:pPr>
              <w:spacing w:after="0"/>
              <w:rPr>
                <w:sz w:val="20"/>
                <w:szCs w:val="20"/>
                <w:color w:val="auto"/>
              </w:rPr>
            </w:pPr>
          </w:p>
        </w:tc>
      </w:tr>
      <w:tr>
        <w:trPr>
          <w:trHeight w:val="159"/>
        </w:trPr>
        <w:tc>
          <w:tcPr>
            <w:tcW w:w="640" w:type="dxa"/>
            <w:vAlign w:val="bottom"/>
            <w:tcBorders>
              <w:bottom w:val="single" w:sz="8" w:color="auto"/>
            </w:tcBorders>
          </w:tcPr>
          <w:p>
            <w:pPr>
              <w:spacing w:after="0"/>
              <w:rPr>
                <w:sz w:val="13"/>
                <w:szCs w:val="13"/>
                <w:color w:val="auto"/>
              </w:rPr>
            </w:pPr>
          </w:p>
        </w:tc>
        <w:tc>
          <w:tcPr>
            <w:tcW w:w="6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r>
      <w:tr>
        <w:trPr>
          <w:trHeight w:val="361"/>
        </w:trPr>
        <w:tc>
          <w:tcPr>
            <w:tcW w:w="68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55" w:right="1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21564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2156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93" w:lineRule="exact"/>
        <w:rPr>
          <w:sz w:val="20"/>
          <w:szCs w:val="20"/>
          <w:color w:val="auto"/>
        </w:rPr>
      </w:pPr>
    </w:p>
    <w:p>
      <w:pPr>
        <w:ind w:left="200" w:right="80" w:firstLine="443"/>
        <w:spacing w:after="0" w:line="282"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240" w:top="455" w:right="3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SELECTED FINANCIAL DATA AND OTHER INFORMATION</w:t>
      </w:r>
    </w:p>
    <w:p>
      <w:pPr>
        <w:spacing w:after="0" w:line="229" w:lineRule="exact"/>
        <w:rPr>
          <w:sz w:val="20"/>
          <w:szCs w:val="20"/>
          <w:color w:val="auto"/>
        </w:rPr>
      </w:pPr>
    </w:p>
    <w:p>
      <w:pPr>
        <w:ind w:left="180" w:right="160" w:firstLine="443"/>
        <w:spacing w:after="0" w:line="261"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80" w:lineRule="exact"/>
        <w:rPr>
          <w:sz w:val="20"/>
          <w:szCs w:val="20"/>
          <w:color w:val="auto"/>
        </w:rPr>
      </w:pPr>
    </w:p>
    <w:p>
      <w:pPr>
        <w:ind w:left="180" w:right="120" w:firstLine="443"/>
        <w:spacing w:after="0" w:line="261" w:lineRule="auto"/>
        <w:rPr>
          <w:sz w:val="20"/>
          <w:szCs w:val="20"/>
          <w:color w:val="auto"/>
        </w:rPr>
      </w:pPr>
      <w:r>
        <w:rPr>
          <w:rFonts w:ascii="Times New Roman" w:cs="Times New Roman" w:eastAsia="Times New Roman" w:hAnsi="Times New Roman"/>
          <w:sz w:val="18"/>
          <w:szCs w:val="18"/>
          <w:color w:val="auto"/>
        </w:rPr>
        <w:t>We derived the selected consolidated financial data for the years ended December 31, 2013, December 31, 2012 and December 31, 2011 from our audited consolidated financial statements and related notes, which are included elsewhere in this prospectus, and have been adjusted to reflect the stock split. We derived the selected consolidated financial data for the three months ended March 31, 2014 and March 31, 2013 from our unaudited interim consolidated financial statements and related notes, which are included elsewhere in this prospectus.</w:t>
      </w:r>
    </w:p>
    <w:p>
      <w:pPr>
        <w:spacing w:after="0" w:line="201"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in millions, except per share amounts)</w:t>
            </w:r>
          </w:p>
        </w:tc>
        <w:tc>
          <w:tcPr>
            <w:tcW w:w="420" w:type="dxa"/>
            <w:vAlign w:val="bottom"/>
          </w:tcPr>
          <w:p>
            <w:pPr>
              <w:spacing w:after="0"/>
              <w:rPr>
                <w:sz w:val="10"/>
                <w:szCs w:val="10"/>
                <w:color w:val="auto"/>
              </w:rPr>
            </w:pPr>
          </w:p>
        </w:tc>
        <w:tc>
          <w:tcPr>
            <w:tcW w:w="7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60" w:type="dxa"/>
            <w:vAlign w:val="bottom"/>
          </w:tcPr>
          <w:p>
            <w:pPr>
              <w:spacing w:after="0"/>
              <w:rPr>
                <w:sz w:val="10"/>
                <w:szCs w:val="10"/>
                <w:color w:val="auto"/>
              </w:rPr>
            </w:pPr>
          </w:p>
        </w:tc>
        <w:tc>
          <w:tcPr>
            <w:tcW w:w="64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Pr>
          <w:p>
            <w:pPr>
              <w:spacing w:after="0"/>
              <w:rPr>
                <w:sz w:val="10"/>
                <w:szCs w:val="10"/>
                <w:color w:val="auto"/>
              </w:rPr>
            </w:pP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8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7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7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92.6</w:t>
            </w:r>
          </w:p>
        </w:tc>
        <w:tc>
          <w:tcPr>
            <w:tcW w:w="5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51.0</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Net Investment Income (Loss) Before Income Taxes</w:t>
            </w: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gridSpan w:val="4"/>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5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7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57.5</w:t>
            </w:r>
          </w:p>
        </w:tc>
        <w:tc>
          <w:tcPr>
            <w:tcW w:w="5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28.0</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Change in Net Unrealized Gains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Realized Gains (Losses)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r>
              <w:rPr>
                <w:rFonts w:ascii="Times New Roman" w:cs="Times New Roman" w:eastAsia="Times New Roman" w:hAnsi="Times New Roman"/>
                <w:sz w:val="15"/>
                <w:szCs w:val="15"/>
                <w:color w:val="auto"/>
              </w:rPr>
              <w:t>(1)(2)</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7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1.93</w:t>
            </w:r>
          </w:p>
        </w:tc>
        <w:tc>
          <w:tcPr>
            <w:tcW w:w="5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in millions, except per share amounts)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8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left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tcBorders>
              <w:top w:val="single" w:sz="8" w:color="CCEEFF"/>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28.8</w:t>
            </w: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2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402.1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446.7</w:t>
            </w:r>
          </w:p>
        </w:tc>
        <w:tc>
          <w:tcPr>
            <w:tcW w:w="22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804.8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asset value per share</w:t>
            </w:r>
            <w:r>
              <w:rPr>
                <w:rFonts w:ascii="Times New Roman" w:cs="Times New Roman" w:eastAsia="Times New Roman" w:hAnsi="Times New Roman"/>
                <w:sz w:val="15"/>
                <w:szCs w:val="15"/>
                <w:color w:val="auto"/>
              </w:rPr>
              <w:t>(1)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8"/>
              </w:rPr>
              <w:t>15.51</w:t>
            </w:r>
          </w:p>
        </w:tc>
        <w:tc>
          <w:tcPr>
            <w:tcW w:w="220" w:type="dxa"/>
            <w:vAlign w:val="bottom"/>
          </w:tcPr>
          <w:p>
            <w:pPr>
              <w:spacing w:after="0"/>
              <w:rPr>
                <w:sz w:val="20"/>
                <w:szCs w:val="20"/>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5" w:right="4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 except per share amounts)</w:t>
            </w: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4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Data:</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Number of portfolio companies at period end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w:t>
            </w:r>
            <w:r>
              <w:rPr>
                <w:rFonts w:ascii="Times New Roman" w:cs="Times New Roman" w:eastAsia="Times New Roman" w:hAnsi="Times New Roman"/>
                <w:sz w:val="15"/>
                <w:szCs w:val="15"/>
                <w:color w:val="auto"/>
              </w:rPr>
              <w:t>(1)</w:t>
            </w:r>
          </w:p>
        </w:tc>
        <w:tc>
          <w:tcPr>
            <w:tcW w:w="5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0.38</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5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15"/>
                <w:szCs w:val="15"/>
                <w:color w:val="auto"/>
              </w:rPr>
              <w:t>(3)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producing securities at fair value</w:t>
            </w:r>
            <w:r>
              <w:rPr>
                <w:rFonts w:ascii="Times New Roman" w:cs="Times New Roman" w:eastAsia="Times New Roman" w:hAnsi="Times New Roman"/>
                <w:sz w:val="15"/>
                <w:szCs w:val="15"/>
                <w:color w:val="auto"/>
              </w:rPr>
              <w:t>(4)</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8"/>
        </w:trPr>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producing securities at amortized cost</w:t>
            </w:r>
            <w:r>
              <w:rPr>
                <w:rFonts w:ascii="Times New Roman" w:cs="Times New Roman" w:eastAsia="Times New Roman" w:hAnsi="Times New Roman"/>
                <w:sz w:val="15"/>
                <w:szCs w:val="15"/>
                <w:color w:val="auto"/>
              </w:rPr>
              <w:t>(4)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of debt investments as a percentage of</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99.9%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99.8%</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98.9%</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198"/>
        </w:trPr>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fair value of debt investments as a</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percentage of call price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right="20" w:hanging="441"/>
        <w:spacing w:after="0" w:line="261"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amounts for periods prior to December 3, 2013 have been retroactively adjusted for the stock split, which was effected in the form of a stock dividend. See Note 9 of our audited consolidated financial statements included in this prospectus.</w:t>
      </w:r>
    </w:p>
    <w:p>
      <w:pPr>
        <w:ind w:left="620" w:hanging="441"/>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common share is based on weighted average shares of common stock outstanding.</w:t>
      </w:r>
    </w:p>
    <w:p>
      <w:pPr>
        <w:spacing w:after="0" w:line="9" w:lineRule="exact"/>
        <w:rPr>
          <w:rFonts w:ascii="Times New Roman" w:cs="Times New Roman" w:eastAsia="Times New Roman" w:hAnsi="Times New Roman"/>
          <w:sz w:val="18"/>
          <w:szCs w:val="18"/>
          <w:color w:val="auto"/>
        </w:rPr>
      </w:pPr>
    </w:p>
    <w:p>
      <w:pPr>
        <w:ind w:left="620" w:right="60" w:hanging="441"/>
        <w:spacing w:after="0" w:line="250"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this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 Our total return set forth in the table above for the years ended December 31, 2013, December 31, 2012 and December 31, 2011 reflects the Adviser’s waiver of its right to receive a portion of the Management Fee prior to our IPO. Following the IPO, the Adviser does not intend to waive its right to receive the full Management Fee and accordingly, we will be required to pay the full amount of the Management Fee. The Management Fee, excluding the effects of the waiver, would have been $13.4 million, $8.9 million and $1.6 million for the years ended December 31, 2013, December 31, 2012 and December 31, 2011, respectively.</w:t>
      </w:r>
    </w:p>
    <w:p>
      <w:pPr>
        <w:spacing w:after="0" w:line="4" w:lineRule="exact"/>
        <w:rPr>
          <w:rFonts w:ascii="Times New Roman" w:cs="Times New Roman" w:eastAsia="Times New Roman" w:hAnsi="Times New Roman"/>
          <w:sz w:val="18"/>
          <w:szCs w:val="18"/>
          <w:color w:val="auto"/>
        </w:rPr>
      </w:pPr>
    </w:p>
    <w:p>
      <w:pPr>
        <w:ind w:left="620" w:right="80" w:hanging="441"/>
        <w:spacing w:after="0" w:line="25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on debt and income-producing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240" w:top="455" w:right="4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SELECTED QUARTERLY FINANCIAL DATA (Unaudited)</w:t>
      </w:r>
    </w:p>
    <w:p>
      <w:pPr>
        <w:spacing w:after="0" w:line="31"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33,481</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12,230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21,242</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Investments</w:t>
            </w: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25,348</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0" w:type="dxa"/>
            <w:vAlign w:val="bottom"/>
          </w:tcPr>
          <w:p>
            <w:pPr>
              <w:spacing w:after="0"/>
              <w:rPr>
                <w:sz w:val="20"/>
                <w:szCs w:val="20"/>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15.51</w:t>
            </w:r>
          </w:p>
        </w:tc>
      </w:tr>
      <w:tr>
        <w:trPr>
          <w:trHeight w:val="346"/>
        </w:trPr>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27,569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23,298</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20,940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20,802</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w w:val="96"/>
              </w:rPr>
              <w:t>10,576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16,993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14,585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12,817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13,106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21,056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16,259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14,208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15,461</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15.35</w:t>
            </w:r>
            <w:r>
              <w:rPr>
                <w:rFonts w:ascii="Times New Roman" w:cs="Times New Roman" w:eastAsia="Times New Roman" w:hAnsi="Times New Roman"/>
                <w:sz w:val="15"/>
                <w:szCs w:val="15"/>
                <w:color w:val="auto"/>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15.29</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15.27</w:t>
            </w:r>
            <w:r>
              <w:rPr>
                <w:rFonts w:ascii="Times New Roman" w:cs="Times New Roman" w:eastAsia="Times New Roman" w:hAnsi="Times New Roman"/>
                <w:sz w:val="15"/>
                <w:szCs w:val="15"/>
                <w:color w:val="auto"/>
              </w:rPr>
              <w:t>(1)</w:t>
            </w:r>
          </w:p>
        </w:tc>
      </w:tr>
      <w:tr>
        <w:trPr>
          <w:trHeight w:val="346"/>
        </w:trPr>
        <w:tc>
          <w:tcPr>
            <w:tcW w:w="5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100" w:type="dxa"/>
            <w:vAlign w:val="bottom"/>
          </w:tcPr>
          <w:p>
            <w:pPr>
              <w:spacing w:after="0"/>
              <w:rPr>
                <w:sz w:val="12"/>
                <w:szCs w:val="12"/>
                <w:color w:val="auto"/>
              </w:rPr>
            </w:pPr>
          </w:p>
        </w:tc>
        <w:tc>
          <w:tcPr>
            <w:tcW w:w="70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92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4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40" w:type="dxa"/>
            <w:vAlign w:val="bottom"/>
          </w:tcPr>
          <w:p>
            <w:pPr>
              <w:spacing w:after="0"/>
              <w:rPr>
                <w:sz w:val="12"/>
                <w:szCs w:val="12"/>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18,169</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14,554</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11,314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7,277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6,637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10,892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7,917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Investments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w w:val="96"/>
              </w:rPr>
              <w:t>12,460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13,581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5,786</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15.19</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15.12</w:t>
            </w:r>
            <w:r>
              <w:rPr>
                <w:rFonts w:ascii="Times New Roman" w:cs="Times New Roman" w:eastAsia="Times New Roman" w:hAnsi="Times New Roman"/>
                <w:sz w:val="15"/>
                <w:szCs w:val="15"/>
                <w:color w:val="auto"/>
              </w:rPr>
              <w:t>(1)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14.92</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14.88</w:t>
            </w:r>
            <w:r>
              <w:rPr>
                <w:rFonts w:ascii="Times New Roman" w:cs="Times New Roman" w:eastAsia="Times New Roman" w:hAnsi="Times New Roman"/>
                <w:sz w:val="15"/>
                <w:szCs w:val="15"/>
                <w:color w:val="auto"/>
              </w:rPr>
              <w:t>(1)</w:t>
            </w:r>
          </w:p>
        </w:tc>
      </w:tr>
    </w:tbl>
    <w:p>
      <w:pPr>
        <w:spacing w:after="0" w:line="85" w:lineRule="exact"/>
        <w:rPr>
          <w:sz w:val="20"/>
          <w:szCs w:val="20"/>
          <w:color w:val="auto"/>
        </w:rPr>
      </w:pPr>
    </w:p>
    <w:p>
      <w:pPr>
        <w:ind w:left="620" w:right="260" w:hanging="441"/>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to our audited financial statements, the indicated amounts for periods prior to December 3, 2013 have been retroactively adjusted for the stock split which was effected in the form of a stock dividend.</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00"/>
          </w:cols>
          <w:pgMar w:left="240" w:top="455" w:right="8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recently formed company with relatively little operating history.</w:t>
      </w:r>
    </w:p>
    <w:p>
      <w:pPr>
        <w:spacing w:after="0" w:line="121" w:lineRule="exact"/>
        <w:rPr>
          <w:sz w:val="20"/>
          <w:szCs w:val="20"/>
          <w:color w:val="auto"/>
        </w:rPr>
      </w:pPr>
    </w:p>
    <w:p>
      <w:pPr>
        <w:jc w:val="both"/>
        <w:ind w:firstLine="456"/>
        <w:spacing w:after="0" w:line="289" w:lineRule="auto"/>
        <w:rPr>
          <w:sz w:val="20"/>
          <w:szCs w:val="20"/>
          <w:color w:val="auto"/>
        </w:rPr>
      </w:pPr>
      <w:r>
        <w:rPr>
          <w:rFonts w:ascii="Times New Roman" w:cs="Times New Roman" w:eastAsia="Times New Roman" w:hAnsi="Times New Roman"/>
          <w:sz w:val="17"/>
          <w:szCs w:val="17"/>
          <w:color w:val="auto"/>
        </w:rPr>
        <w:t>We began our investing activities on July 8, 2011. As a result, we have relatively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TSSP, TPG and their affiliates for our future success.</w:t>
      </w:r>
    </w:p>
    <w:p>
      <w:pPr>
        <w:spacing w:after="0" w:line="12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not more than 60 days’ written notice to the other party. The holders of a majority of our outstanding voting securities may also terminate the Investment Advisory Agreement without penalty on not more than 60 days’ written notice.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Our Board may decide to issue additional common stock to finance our operations rather than issuing debt or other senior securities. However, we generally are not able to issue and sell our common stock at a price below net asset value per share. We currently do not intend to sell our common stock, or warrants, options or rights to acquire our common stock at a price below the then-current net asset value per share of our common stock but we may elect to do so if our Board determines that a sale is in the best interests of us and our stockholders, and our stockholders approve it.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a proportionately greater decrease in the stockholders’ interest in our earnings and assets and their voting interest in us than the increase in our assets resulting from such issuance. Because the number of shares of common stock that could be so issued and the timing of any issuance is not currently known, the actual dilutive effect cannot be predicted.</w:t>
      </w:r>
    </w:p>
    <w:p>
      <w:pPr>
        <w:spacing w:after="0" w:line="18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“—We may securitize certain of our investments, which may subject us to certain structured financing risks.”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borrow money, which magnifies the potential for gain or loss and increases the risk of investing in us.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borrow from and may in the future issue additional senior debt securities to banks, insurance companies and other lenders. Holders of these loans or senior securities would have fixed-dollar claims on our assets that are superior to the claims of our stockholders. If the value of our assets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credit facilities also impose financial and operating covenants that restrict our business activities, remedies on default and similar matters. As of March 31, 2014,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89" w:lineRule="exact"/>
        <w:rPr>
          <w:sz w:val="20"/>
          <w:szCs w:val="20"/>
          <w:color w:val="auto"/>
        </w:rPr>
      </w:pPr>
    </w:p>
    <w:p>
      <w:pPr>
        <w:ind w:right="280" w:firstLine="456"/>
        <w:spacing w:after="0" w:line="256" w:lineRule="auto"/>
        <w:rPr>
          <w:sz w:val="20"/>
          <w:szCs w:val="20"/>
          <w:color w:val="auto"/>
        </w:rPr>
      </w:pPr>
      <w:r>
        <w:rPr>
          <w:rFonts w:ascii="Times New Roman" w:cs="Times New Roman" w:eastAsia="Times New Roman" w:hAnsi="Times New Roman"/>
          <w:sz w:val="18"/>
          <w:szCs w:val="18"/>
          <w:color w:val="auto"/>
        </w:rPr>
        <w:t>As of March 31, 2014, we had $402.1 million of outstanding indebtedness, which would have an annualized interest cost of 2.5% under the terms of our credit facilities, excluding fees (such as fees on undrawn amounts and amortization of upfront fees), to the extent the amount remains outstanding. The interest rate on our Convertible Senior Notes, as adjusted to give effect to the interest rate swap, is three-month LIBOR plus 252.9 basis points. For us to cover these annualized interest payments on indebtedness, we must achieve annual returns on our investments of at least 0.9%. Since we generally pay interest at a floating rate on our credit facilities, an increase in interest rates will generally increase our borrowing costs. We expect that our annualized interest cost and returns required to cover interest will increase after we issue debt securities.</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01"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p>
    <w:p>
      <w:pPr>
        <w:spacing w:after="0" w:line="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(net of expenses)</w:t>
      </w:r>
    </w:p>
    <w:tbl>
      <w:tblPr>
        <w:tblLayout w:type="fixed"/>
        <w:tblInd w:w="0" w:type="dxa"/>
        <w:tblCellMar>
          <w:top w:w="0" w:type="dxa"/>
          <w:left w:w="0" w:type="dxa"/>
          <w:bottom w:w="0" w:type="dxa"/>
          <w:right w:w="0" w:type="dxa"/>
        </w:tblCellMar>
      </w:tblPr>
      <w:tr>
        <w:trPr>
          <w:trHeight w:val="156"/>
        </w:trPr>
        <w:tc>
          <w:tcPr>
            <w:tcW w:w="66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39"/>
              <w:spacing w:after="0" w:line="157" w:lineRule="exact"/>
              <w:rPr>
                <w:sz w:val="20"/>
                <w:szCs w:val="20"/>
                <w:color w:val="auto"/>
              </w:rPr>
            </w:pPr>
            <w:r>
              <w:rPr>
                <w:rFonts w:ascii="Times New Roman" w:cs="Times New Roman" w:eastAsia="Times New Roman" w:hAnsi="Times New Roman"/>
                <w:sz w:val="14"/>
                <w:szCs w:val="14"/>
                <w:color w:val="auto"/>
              </w:rPr>
              <w:t>-10%</w:t>
            </w:r>
          </w:p>
        </w:tc>
        <w:tc>
          <w:tcPr>
            <w:tcW w:w="5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19"/>
              <w:spacing w:after="0" w:line="157" w:lineRule="exact"/>
              <w:rPr>
                <w:sz w:val="20"/>
                <w:szCs w:val="20"/>
                <w:color w:val="auto"/>
              </w:rPr>
            </w:pPr>
            <w:r>
              <w:rPr>
                <w:rFonts w:ascii="Times New Roman" w:cs="Times New Roman" w:eastAsia="Times New Roman" w:hAnsi="Times New Roman"/>
                <w:sz w:val="14"/>
                <w:szCs w:val="14"/>
                <w:color w:val="auto"/>
              </w:rPr>
              <w:t>-5%</w:t>
            </w:r>
          </w:p>
        </w:tc>
        <w:tc>
          <w:tcPr>
            <w:tcW w:w="5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9"/>
              <w:spacing w:after="0" w:line="157" w:lineRule="exact"/>
              <w:rPr>
                <w:sz w:val="20"/>
                <w:szCs w:val="20"/>
                <w:color w:val="auto"/>
              </w:rPr>
            </w:pPr>
            <w:r>
              <w:rPr>
                <w:rFonts w:ascii="Times New Roman" w:cs="Times New Roman" w:eastAsia="Times New Roman" w:hAnsi="Times New Roman"/>
                <w:sz w:val="14"/>
                <w:szCs w:val="14"/>
                <w:color w:val="auto"/>
              </w:rPr>
              <w:t>0%</w:t>
            </w:r>
          </w:p>
        </w:tc>
        <w:tc>
          <w:tcPr>
            <w:tcW w:w="5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19"/>
              <w:spacing w:after="0" w:line="157" w:lineRule="exact"/>
              <w:rPr>
                <w:sz w:val="20"/>
                <w:szCs w:val="20"/>
                <w:color w:val="auto"/>
              </w:rPr>
            </w:pPr>
            <w:r>
              <w:rPr>
                <w:rFonts w:ascii="Times New Roman" w:cs="Times New Roman" w:eastAsia="Times New Roman" w:hAnsi="Times New Roman"/>
                <w:sz w:val="14"/>
                <w:szCs w:val="14"/>
                <w:color w:val="auto"/>
              </w:rPr>
              <w:t>5%</w:t>
            </w:r>
          </w:p>
        </w:tc>
        <w:tc>
          <w:tcPr>
            <w:tcW w:w="5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19"/>
              <w:spacing w:after="0" w:line="157"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tcBorders>
              <w:bottom w:val="single" w:sz="8" w:color="CCEEFF"/>
            </w:tcBorders>
          </w:tcPr>
          <w:p>
            <w:pPr>
              <w:spacing w:after="0"/>
              <w:rPr>
                <w:sz w:val="13"/>
                <w:szCs w:val="13"/>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Corresponding return to stockholder</w:t>
            </w: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-16.65%</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-8.87%</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-1.10%</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14.45%</w:t>
            </w:r>
          </w:p>
        </w:tc>
      </w:tr>
    </w:tbl>
    <w:p>
      <w:pPr>
        <w:spacing w:after="0" w:line="225" w:lineRule="exact"/>
        <w:rPr>
          <w:sz w:val="20"/>
          <w:szCs w:val="20"/>
          <w:color w:val="auto"/>
        </w:rPr>
      </w:pPr>
    </w:p>
    <w:p>
      <w:pPr>
        <w:ind w:left="460" w:right="40" w:hanging="452"/>
        <w:spacing w:after="0" w:line="282"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as of March 31, 2014, (i) $1,251.5 million in total assets, (ii) $402.1 million in outstanding indebtedness, (iii) $804.8 million in net assets and (iv) average cost of funds of 2.2%, under our credit facilities.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conditions or results of operations.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legislation may allow us to incur additional leverage.</w:t>
      </w:r>
    </w:p>
    <w:p>
      <w:pPr>
        <w:spacing w:after="0" w:line="121"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Recent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(since we no longer have the ability to call capital from our existing investors).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where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89" w:lineRule="exact"/>
        <w:rPr>
          <w:sz w:val="20"/>
          <w:szCs w:val="20"/>
          <w:color w:val="auto"/>
        </w:rPr>
      </w:pPr>
    </w:p>
    <w:p>
      <w:pPr>
        <w:jc w:val="both"/>
        <w:ind w:right="240" w:firstLine="456"/>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 Incentive Fees earned in prior years cannot be clawed back even if we later incur losses.</w:t>
      </w:r>
    </w:p>
    <w:p>
      <w:pPr>
        <w:spacing w:after="0" w:line="18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9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To maintain our status as a RIC for U.S. federal income tax purposes, we must distribute (or be treated as distributing) in each taxable year dividends for tax purposes equal to at least 90% of our investment company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86"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30" w:lineRule="exact"/>
        <w:rPr>
          <w:rFonts w:ascii="Times New Roman" w:cs="Times New Roman" w:eastAsia="Times New Roman" w:hAnsi="Times New Roman"/>
          <w:sz w:val="18"/>
          <w:szCs w:val="18"/>
          <w:color w:val="auto"/>
        </w:rPr>
      </w:pPr>
    </w:p>
    <w:p>
      <w:pPr>
        <w:ind w:left="1480" w:right="720" w:hanging="446"/>
        <w:spacing w:after="0" w:line="282" w:lineRule="auto"/>
        <w:tabs>
          <w:tab w:leader="none" w:pos="14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right="480" w:firstLine="456"/>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86" w:lineRule="exact"/>
        <w:rPr>
          <w:sz w:val="20"/>
          <w:szCs w:val="20"/>
          <w:color w:val="auto"/>
        </w:rPr>
      </w:pPr>
    </w:p>
    <w:p>
      <w:pPr>
        <w:ind w:left="900" w:right="40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67"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76"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5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For the calendar years ended December 31, 2013 and 2012 and the three months ended March 31, 2014, we elected to retain a small portion of income and capital gains in order to provide us with additional liquidity,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recorded a net expense of $0.2 million, $0.1 million and $9 thousand,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88"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or TPG may in the future organize a separate investment vehicle aimed specifically at non-U.S. middle-market loan originations or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8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If TPG and the Adviser were to determine that an investment is appropriate both for us and for one or more other TSSP or TPG vehicles, we would only be able to make the investment in conjunction with another vehicle if we receive an order from the SEC permitting us to do so or the investment is otherwise permitted under relevant SEC guidance. We have applied for an order permitting certain co-investment transactions relating to middle-market loan originations for companies domiciled in the United States and certain follow-on investments in companies in which we have already invested, but we cannot assure you when or whether the order will be obtained. See “Related-Party Transactions and Certain Relationships.”</w:t>
      </w:r>
    </w:p>
    <w:p>
      <w:pPr>
        <w:spacing w:after="0" w:line="2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not more than 60 days’ notice. We may not be able to find a suitable replacement within that time, resulting in a disruption in our operations and a loss of the benefits from our relationship with TSSP and TPG.</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Adviser has the right, under the Investment Advisory Agreement and the Administration Agreement, to resign at any time on not more than 60 days’ written notice, regardless of whether we have found a replacement. In addition, our Board has the authority to remove the Adviser for any reason or for no reason, or may choose not to renew the Investment Advisory Agreement and the Administration Agreement. If the Adviser resigns or is terminated,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455"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Any new Investment Advisory Agreement also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to our incorporation, the Adviser and its management had no prior experience managing a BDC or a RIC.</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Prior to our incorporation, the senior members of our Investment Team had no experience managing a BDC or a RIC, and the investment philosophy and techniques used by the Adviser to manage us may differ from the investment philosophy and techniques previously employed by the senior members of our Investment Team in identifying and managing past investments. Accordingly, our performance may differ from the performance of other businesses or companies with which the senior members of our Investment Team have been affiliated.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decrease our operating flexibility. In addition, failure to comply with the requirements imposed on BDCs by the 1940 Act could cause the SEC to bring an enforcement action against us.</w:t>
      </w:r>
    </w:p>
    <w:p>
      <w:pPr>
        <w:spacing w:after="0" w:line="26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securities less attractive to investors.</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of 2002, or the Sarbanes-Oxley Act. Although we expect to become a large accelerated filer at the end of this fiscal year, we currently are a “non-accelerated filer” under the Exchange Act, which has exempted us from compliance with these auditor attestation requirements. We cannot predict if investors will find our securities less attractive because we will rely on these exemptions. If some investors find our securities less attractive as a result, there may be a less active trading market for our securities and the price of our securities may be more volatile.</w:t>
      </w:r>
    </w:p>
    <w:p>
      <w:pPr>
        <w:spacing w:after="0" w:line="18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choosing not to take advantage of the extended transition period for complying with new or revised accounting standards, which may make it more difficult for investors and securities analysts to compare our financial statements to companies that comply with private company effective dates.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w:t>
      </w:r>
    </w:p>
    <w:p>
      <w:pPr>
        <w:spacing w:after="0" w:line="131"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years measured from the date of the first sale of common equity securities pursuant to an effective registration statement;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our annual gross revenue exceeds $1 billion;</w:t>
      </w:r>
    </w:p>
    <w:p>
      <w:pPr>
        <w:spacing w:after="0" w:line="130"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securities during the preceding three-year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publicly traded company.</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After we cease to qualify as an emerging growth company under the JOBS Act, our independent registered public accounting firm will be required to attest to the effectiveness of our internal controls over financial reporting pursuant to Section 404 of the Sarbanes-Oxley Act, which will increase the costs associated with our periodic reporting requirements.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amendment and syndication fees, the level of our expenses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 default rates on our investments. As a result of these and other possible factors, results for any period should not be relied upon as being indicative of performance in future periods.</w:t>
      </w:r>
    </w:p>
    <w:p>
      <w:pPr>
        <w:spacing w:after="0" w:line="2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89"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455" w:right="2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attacks.</w:t>
      </w:r>
    </w:p>
    <w:p>
      <w:pPr>
        <w:spacing w:after="0" w:line="22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stockholder approval.</w:t>
      </w:r>
    </w:p>
    <w:p>
      <w:pPr>
        <w:spacing w:after="0" w:line="12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“—Risks related to Our Portfolio Company Investments—Unless Congress renews certain exemptions that expired for taxable years commencing after December 31, 2013, certain dividend distributions we make to certain non-U.S. stockholders will be subject to U.S. withholding tax.”</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July 21, 2010, the Wall Street Reform and Consumer Protection Act, or Dodd-Frank Act, was signed into law. Although passage of the Dodd-Frank Act has resulted in extensive rulemaking and regulatory changes 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8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impact our operations, cash flows or financial condition, impose additional costs on us, intensify the regulatory supervision of us or otherwise adversely affect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9"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88"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Also, to the extent uncertainty regarding any economic recovery in Europe continues to negatively impact consumer confidence and consumer credit factors, our business and results of operations could be significantly and adversely affected.</w:t>
      </w:r>
    </w:p>
    <w:p>
      <w:pPr>
        <w:spacing w:after="0" w:line="162"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On December 18, 2013, the U.S. Federal Reserve announced that it would scale back its bond-buying program, or quantitative easing, which is designed to stimulate the economy and expand the Federal Reserve’s holdings of long-term securities until key economic indicators, such as the unemployment rate, show signs of improvement. The Federal Reserve signaled it would reduce its purchases of long-term Treasury bonds and would scale back on its purchases of mortgage-backed securities.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66" w:lineRule="auto"/>
        <w:rPr>
          <w:sz w:val="20"/>
          <w:szCs w:val="20"/>
          <w:color w:val="auto"/>
        </w:rPr>
      </w:pPr>
      <w:r>
        <w:rPr>
          <w:rFonts w:ascii="Times New Roman" w:cs="Times New Roman" w:eastAsia="Times New Roman" w:hAnsi="Times New Roman"/>
          <w:sz w:val="18"/>
          <w:szCs w:val="18"/>
          <w:color w:val="auto"/>
        </w:rPr>
        <w:t>It is unclear what effect, if any, the incremental reduction in the rate of the U.S. Federal Reserve’s monthly purchases will have on the value of our investments. However, it is possible that absent continued quantitative easing by the Federal Reserve, these developments could cause interest rates and borrowing costs to rise, which may negatively impact our ability to access the debt markets on favorable terms.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debt or equity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89" w:lineRule="exact"/>
        <w:rPr>
          <w:sz w:val="20"/>
          <w:szCs w:val="20"/>
          <w:color w:val="auto"/>
        </w:rPr>
      </w:pPr>
    </w:p>
    <w:p>
      <w:pPr>
        <w:jc w:val="both"/>
        <w:ind w:right="1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junior security interests or be unsecured. As such, other creditors may rank senior to us in the event of insolvency. This may result in greater risk and loss of principal.</w:t>
      </w:r>
    </w:p>
    <w:p>
      <w:pPr>
        <w:spacing w:after="0" w:line="174" w:lineRule="exact"/>
        <w:rPr>
          <w:sz w:val="20"/>
          <w:szCs w:val="20"/>
          <w:color w:val="auto"/>
        </w:rPr>
      </w:pPr>
    </w:p>
    <w:p>
      <w:pPr>
        <w:ind w:right="1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Equity Investments</w:t>
      </w:r>
      <w:r>
        <w:rPr>
          <w:rFonts w:ascii="Times New Roman" w:cs="Times New Roman" w:eastAsia="Times New Roman" w:hAnsi="Times New Roman"/>
          <w:sz w:val="18"/>
          <w:szCs w:val="18"/>
          <w:color w:val="auto"/>
        </w:rPr>
        <w:t>. When we invest in first-lien debt, second-lien debt or mezzanine debt, we may acquire equity securities, such as warrants,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convertible instruments, as well.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To the extent we invest in preferred securities, we may incur particular risks, including:</w:t>
      </w:r>
    </w:p>
    <w:p>
      <w:pPr>
        <w:spacing w:after="0" w:line="133" w:lineRule="exact"/>
        <w:rPr>
          <w:sz w:val="20"/>
          <w:szCs w:val="20"/>
          <w:color w:val="auto"/>
        </w:rPr>
      </w:pPr>
    </w:p>
    <w:p>
      <w:pPr>
        <w:ind w:left="900" w:right="100" w:hanging="325"/>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1"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80"/>
        <w:spacing w:after="0" w:line="282" w:lineRule="auto"/>
        <w:rPr>
          <w:sz w:val="20"/>
          <w:szCs w:val="20"/>
          <w:color w:val="auto"/>
        </w:rPr>
      </w:pPr>
      <w:r>
        <w:rPr>
          <w:rFonts w:ascii="Times New Roman" w:cs="Times New Roman" w:eastAsia="Times New Roman" w:hAnsi="Times New Roman"/>
          <w:sz w:val="18"/>
          <w:szCs w:val="18"/>
          <w:color w:val="auto"/>
        </w:rPr>
        <w:t>security holders may elect a number of directors to the issuer’s board; generally, once all the arrearages have been paid, the preferred security holders no longer have voting rights.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31" w:lineRule="exact"/>
        <w:rPr>
          <w:sz w:val="20"/>
          <w:szCs w:val="20"/>
          <w:color w:val="auto"/>
        </w:rPr>
      </w:pPr>
    </w:p>
    <w:p>
      <w:pPr>
        <w:ind w:left="900" w:right="240" w:hanging="325"/>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1" w:lineRule="exact"/>
        <w:rPr>
          <w:rFonts w:ascii="Times New Roman" w:cs="Times New Roman" w:eastAsia="Times New Roman" w:hAnsi="Times New Roman"/>
          <w:sz w:val="18"/>
          <w:szCs w:val="18"/>
          <w:color w:val="auto"/>
        </w:rPr>
      </w:pPr>
    </w:p>
    <w:p>
      <w:pPr>
        <w:ind w:left="900" w:right="40" w:hanging="325"/>
        <w:spacing w:after="0" w:line="313"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companies in which we invest typically have shorter operating histories, narrower product lines and smaller market shares than larger businesses, which tend to render them more vulnerable to competitors’ actions and market conditions, as well as to general economic downturns;</w:t>
      </w:r>
    </w:p>
    <w:p>
      <w:pPr>
        <w:spacing w:after="0" w:line="43" w:lineRule="exact"/>
        <w:rPr>
          <w:rFonts w:ascii="Times New Roman" w:cs="Times New Roman" w:eastAsia="Times New Roman" w:hAnsi="Times New Roman"/>
          <w:sz w:val="17"/>
          <w:szCs w:val="17"/>
          <w:color w:val="auto"/>
        </w:rPr>
      </w:pPr>
    </w:p>
    <w:p>
      <w:pPr>
        <w:ind w:left="900" w:right="120" w:hanging="325"/>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1"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1"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67"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Adviser may, in the ordinary course of business, be named as defendants in litigation arising from our investments in the portfolio companies;</w:t>
      </w:r>
    </w:p>
    <w:p>
      <w:pPr>
        <w:spacing w:after="0" w:line="67" w:lineRule="exact"/>
        <w:rPr>
          <w:rFonts w:ascii="Times New Roman" w:cs="Times New Roman" w:eastAsia="Times New Roman" w:hAnsi="Times New Roman"/>
          <w:sz w:val="18"/>
          <w:szCs w:val="18"/>
          <w:color w:val="auto"/>
        </w:rPr>
      </w:pPr>
    </w:p>
    <w:p>
      <w:pPr>
        <w:ind w:left="900" w:right="240" w:hanging="325"/>
        <w:spacing w:after="0" w:line="313"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43" w:lineRule="exact"/>
        <w:rPr>
          <w:rFonts w:ascii="Times New Roman" w:cs="Times New Roman" w:eastAsia="Times New Roman" w:hAnsi="Times New Roman"/>
          <w:sz w:val="17"/>
          <w:szCs w:val="17"/>
          <w:color w:val="auto"/>
        </w:rPr>
      </w:pPr>
    </w:p>
    <w:p>
      <w:pPr>
        <w:ind w:left="900" w:right="8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6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in part on our gross assets.</w:t>
      </w:r>
    </w:p>
    <w:p>
      <w:pPr>
        <w:spacing w:after="0" w:line="189"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right="40" w:firstLine="456"/>
        <w:spacing w:after="0" w:line="272" w:lineRule="auto"/>
        <w:rPr>
          <w:sz w:val="20"/>
          <w:szCs w:val="20"/>
          <w:color w:val="auto"/>
        </w:rPr>
      </w:pPr>
      <w:r>
        <w:rPr>
          <w:rFonts w:ascii="Times New Roman" w:cs="Times New Roman" w:eastAsia="Times New Roman" w:hAnsi="Times New Roman"/>
          <w:sz w:val="17"/>
          <w:szCs w:val="17"/>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expect that no single investment will represent more than 15% of our investment portfolio, based on fair value, and are not targeting any specific industries, our investments may be focused on relatively few industries. For example, although we classify the industries of our portfolio companies by end-market (such as healthcare and pharmaceuticals,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 For example, we could use our wholly owned subsidiary, TPG SL SPV, LLC, which holds the assets that support our asset-backed credit facility, the Amended and Restated Revolving Credit and Security Agreement between our wholly owned subsidiary, TPG SL SPV, LLC and Natixis, New York Branch, which we refer to as the SPV Asset Facility, to form a CLO or other securitization vehicle in the future.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8"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We may be exposed to many of the same risks as described above with respect to our wholly owned subsidiary that supports our SPV Asset Facility. However, in the event we formed a CLO or other securitization vehicle, many of the risks described above would be heightened because we may incur a higher degree of leverage under a CLO or other securitization vehicle than we are permitted to incur under our SPV Asset Facility.</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Nonetheless, a CLO or other securitization vehicle, if created, also would likely be consolidated in our financial statements and consequently affect our asset coverage ratio, which may limit our ability to incur additional leverage. See “Regulation.”</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do not hold, and likely will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our borrowers and result in challenges to their financial performance and ability to repay their obligations.</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We may use interest rate risk management techniques in an effort to limit our exposure to interest rate fluctuations. These techniques may include various interest rate hedging activities to the extent permitted by the 1940 Act. See “—We expose ourselves to risks when we engage in hedging transactions.”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121"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0"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companies in some cases may incur debt or issue equity securities that rank equally with, or senior to, our investments in those companies.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4"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portfolio.</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131"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7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prohibited under the 1940 Act from participating in certain transactions with certain of our affiliates without the prior approval of our Independent Directors and, in some cases,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8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have applied for an exemptive order from the SEC that would permit us and certain of our affiliates, including investment funds managed by our affiliates, to co-invest. The order would be subject to certain terms and conditions and we cannot assure you that the order will be granted by the SEC. Accordingly, we cannot assure you that we or our affiliates, including investment funds managed by our affiliates, will be permitted to co-invest, other than in the limited circumstances currently permitted by regulatory guidance.</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 party credit risk. To the extent we have non-U.S. investments, particularly investments denominated in non-U.S. currencies, our hedging costs will increase.</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also have the ability to borrow in certain foreign currencies under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80" w:lineRule="exact"/>
        <w:rPr>
          <w:sz w:val="20"/>
          <w:szCs w:val="20"/>
          <w:color w:val="auto"/>
        </w:rPr>
      </w:pPr>
    </w:p>
    <w:p>
      <w:pPr>
        <w:jc w:val="both"/>
        <w:ind w:right="220" w:firstLine="456"/>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also may not be possible to hedge against an exchange rate or interest rate fluctuation that is so generally anticipated that we are not able to enter into a hedging transaction at an acceptable price.</w:t>
      </w:r>
    </w:p>
    <w:p>
      <w:pPr>
        <w:spacing w:after="0" w:line="18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To date, we have entered into hedging transactions to seek to reduce currency exchange rate risk. In addition, in connection with the offering of our Convertible Senior Notes, we entered into an interest rate swap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hedging strategy and price movements in the portfolio positions being hedged may vary, as may the time period in which the hedge is effective relative to the time period of the related exposure.</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“—We are exposed to risks associated with changes in interest rates” and “Management’s Discussion and Analysis of Financial Condition and Results of Operations—Results of Operations—Hedging.”</w:t>
      </w:r>
    </w:p>
    <w:p>
      <w:pPr>
        <w:spacing w:after="0" w:line="188"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Finally,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Regulators also are expected to impose margin requirements for derivatives that are not cleared. These new requirements could significantly increase the cost of using swaps to hedge our interest rate and foreign exchange risk, and could increase our exposure to these risks.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67" w:lineRule="exact"/>
        <w:rPr>
          <w:sz w:val="20"/>
          <w:szCs w:val="20"/>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which is not available for advisers of companies whose stock is marketed to the public.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Congress renews certain exemptions that expired for taxable years commencing after December 31, 2013, certain dividend distributions we make to certain non-U.S. stockholders will be subject to U.S. withholding tax.</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recent years, Congress has renewed the rules under which certain dividend distributions by RICs paid out of interest income, which we refer to as interest-related dividends, qualified for a generally applicable exemption from U.S. withholding tax. As a result, a non-U.S. stockholder could receive interest-related dividends free of U.S. withholding tax if (as normally would be the case) the stockholder would not have been subject to U.S. withholding tax if it had received the underlying interest income directly. This exemption expired for taxable years commencing after December 31, 2013. Further legislation will be required to make the exemption available with respect to such taxable years. We cannot assure you that Congress will extend the pass-through rules for taxable years commencing after December 31, 2013, or that any such extension will apply to all dividends that we distribute in such taxable years. A failure to extend the exemption for interest-related dividends would not affect the treatment of non-U.S. stockholders that qualify for an exemption from U.S. withholding tax on dividends by reason of their special status (for example, foreign government-related entities and certain pension funds resident in favorable treaty jurisdictions).</w:t>
      </w:r>
    </w:p>
    <w:p>
      <w:pPr>
        <w:spacing w:after="0" w:line="293"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6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our Adviser and certain of our other expenses for the calendar year, and these fees and expenses will be treated as miscellaneous itemized deductions of such U.S. stockholder. Miscellaneous itemized deductions generally are deductible by a U.S. 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Holders of our Common Stock—Potential Limitation with respect to Certain U.S. Stockholders on Deductions for Certain Fees and Expenses.”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PIK.</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through contractual payment-in-kind, or PIK, interest (meaning interest paid in the form of additional principal amount of the loan instead of in cash), or in certain other circumstances.</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OID creates the risk that Incentive Fees will be paid to the Adviser based on non-cash accruals that ultimately may not be realized, while the Adviser will be under no obligation to reimburse us for these fees.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distributions to shareholders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PIK interest has the effect of generating investment income at a compounding rate, thereby further increasing the Incentive Fees payable to the Adviser.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all things being equal, the deferral associated with PIK interest also increases the loan-to-value ratio at a compounding rate.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stock may not receive dividends or that our dividends may not grow over time.</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“—Risks Related to Our Portfolio Company Investments—There are certain risks associated with holding debt obligations that have original issue discount or PIK.”</w:t>
      </w:r>
    </w:p>
    <w:p>
      <w:pPr>
        <w:spacing w:after="0" w:line="1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In addition, the withholding tax treatment of our distributions to certain of our non-U.S. stockholders depends on whether and when Congress enacts legislation extending the pass-through treatment of “interest-related dividends.” This treatment expired for taxable years commencing after December 31, 2013. See “Material U.S. Federal Income Tax Considerations—Regulated Investment Company Classification.”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common stock may involve a high degree of risk.</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common stock may not be suitable for someone with lower risk tolerance.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7" w:lineRule="exact"/>
        <w:rPr>
          <w:sz w:val="20"/>
          <w:szCs w:val="20"/>
          <w:color w:val="auto"/>
        </w:rPr>
      </w:pPr>
    </w:p>
    <w:p>
      <w:pPr>
        <w:ind w:left="900" w:right="44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portfolio of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the Adviser’s or any of its affiliates’ key personnel;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a market for our common stock will be sustained or that the market price of shares of our common stock will not decline.</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cannot assure you that a trading market for our common stock will be sustained. In addition, we cannot predict the prices at which our common stock will trade. 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dilution upon the conversion of our Convertible Senior Notes.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Convertible Senior Notes are convertible into shares of our common stock beginning on June 15, 2019 or, under certain circumstances, earlier. Upon conversion of the Convertible Senior Notes, we have the choice to 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dilution in their ownership percentage if they opt out of our dividend reinvestment plan.</w:t>
      </w:r>
    </w:p>
    <w:p>
      <w:pPr>
        <w:spacing w:after="0" w:line="121" w:lineRule="exact"/>
        <w:rPr>
          <w:sz w:val="20"/>
          <w:szCs w:val="20"/>
          <w:color w:val="auto"/>
        </w:rPr>
      </w:pPr>
    </w:p>
    <w:p>
      <w:pPr>
        <w:jc w:val="both"/>
        <w:ind w:right="60" w:firstLine="456"/>
        <w:spacing w:after="0" w:line="258"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4"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shares of our common stock than the number of shares associated with the market price of our common stock, resulting in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dilution for other stockholders. Stockholders that opt out of our dividend reinvestment plan will experience dilution in their ownership percentage of our common stock over time.</w:t>
      </w:r>
    </w:p>
    <w:p>
      <w:pPr>
        <w:spacing w:after="0" w:line="26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the Adviser under the 10b5-1 Plan may result in the price of our common stock being higher than the price that otherwise might exist in the open market.</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Adviser has entered into the 10b5-1 Plan under which Goldman, Sachs &amp; Co., as agent for the Adviser, will buy up to $25 million of our common stock in the aggregate during the period beginning April 24, 2014 and ending on the earlier of the date on which all the capital committed to the plan has been exhausted or December 31, 2014. See “Related-Party Transactions and Certain Relationships” for additional details regarding the 10b5-1 Plan. Whether purchases will be made under the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455" w:right="2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67" w:lineRule="exact"/>
        <w:rPr>
          <w:sz w:val="20"/>
          <w:szCs w:val="20"/>
          <w:color w:val="auto"/>
        </w:rPr>
      </w:pPr>
    </w:p>
    <w:p>
      <w:pPr>
        <w:ind w:left="900" w:right="22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ind w:left="900" w:right="20" w:hanging="325"/>
        <w:spacing w:after="0" w:line="313" w:lineRule="auto"/>
        <w:tabs>
          <w:tab w:leader="none" w:pos="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w:t>
      </w:r>
    </w:p>
    <w:p>
      <w:pPr>
        <w:spacing w:after="0" w:line="2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Sections 27A(b)(2)(B) and (D) of the Securities Act and</w:t>
      </w:r>
    </w:p>
    <w:p>
      <w:pPr>
        <w:spacing w:after="0" w:line="4"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Section 21E(b)(2)(B) and (D) of the Exchange Act, the “safe harbor” provisions of the Private Securities Litigation Reform Act of 1995 do not apply to statements made in connection with any offering of securities pursuant to this prospectus.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 However, we can offer no assurance that we will be able to achieve this goal.</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distributions, if any, during such period.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identified under “Selling Stockholders.”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above our net asset value per share. It is not possible to predict whether our common stock will trade at, above or below net asset value. See “Risk Factors—Risks Related to Offerings Pursuant to This Prospectus.”</w:t>
      </w:r>
    </w:p>
    <w:p>
      <w:pPr>
        <w:spacing w:after="0" w:line="176"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fiscal quarter since our IPO, the net asset value per share of our common stock, the range of high and low closing sales prices of our common stock, the closing sales price as a premium (discount) to net asset value and the dividends or distributions declared by us. On June 20, 2014, the last reported closing sales price of our common stock on the NYSE was $18.11 per share, which represented a premium of approximately 16.8% to the net asset value per share reported by us as of March 31, 2014.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3"/>
                <w:szCs w:val="13"/>
                <w:color w:val="auto"/>
              </w:rPr>
            </w:pPr>
          </w:p>
        </w:tc>
        <w:tc>
          <w:tcPr>
            <w:tcW w:w="1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240" w:type="dxa"/>
            <w:vAlign w:val="bottom"/>
            <w:vMerge w:val="restart"/>
          </w:tcPr>
          <w:p>
            <w:pPr>
              <w:spacing w:after="0"/>
              <w:rPr>
                <w:sz w:val="13"/>
                <w:szCs w:val="13"/>
                <w:color w:val="auto"/>
              </w:rPr>
            </w:pPr>
          </w:p>
        </w:tc>
        <w:tc>
          <w:tcPr>
            <w:tcW w:w="13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53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Borders>
              <w:bottom w:val="single" w:sz="8" w:color="auto"/>
            </w:tcBorders>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320" w:type="dxa"/>
            <w:vAlign w:val="bottom"/>
          </w:tcPr>
          <w:p>
            <w:pPr>
              <w:jc w:val="center"/>
              <w:ind w:right="43"/>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1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220" w:type="dxa"/>
            <w:vAlign w:val="bottom"/>
          </w:tcPr>
          <w:p>
            <w:pPr>
              <w:spacing w:after="0"/>
              <w:rPr>
                <w:sz w:val="13"/>
                <w:szCs w:val="13"/>
                <w:color w:val="auto"/>
              </w:rPr>
            </w:pPr>
          </w:p>
        </w:tc>
        <w:tc>
          <w:tcPr>
            <w:tcW w:w="66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5360" w:type="dxa"/>
            <w:vAlign w:val="bottom"/>
          </w:tcPr>
          <w:p>
            <w:pPr>
              <w:spacing w:after="0"/>
              <w:rPr>
                <w:sz w:val="10"/>
                <w:szCs w:val="10"/>
                <w:color w:val="auto"/>
              </w:rPr>
            </w:pPr>
          </w:p>
        </w:tc>
        <w:tc>
          <w:tcPr>
            <w:tcW w:w="7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220" w:type="dxa"/>
            <w:vAlign w:val="bottom"/>
          </w:tcPr>
          <w:p>
            <w:pPr>
              <w:spacing w:after="0"/>
              <w:rPr>
                <w:sz w:val="10"/>
                <w:szCs w:val="10"/>
                <w:color w:val="auto"/>
              </w:rPr>
            </w:pPr>
          </w:p>
        </w:tc>
        <w:tc>
          <w:tcPr>
            <w:tcW w:w="74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High</w:t>
            </w: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320" w:type="dxa"/>
            <w:vAlign w:val="bottom"/>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1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32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220" w:type="dxa"/>
            <w:vAlign w:val="bottom"/>
          </w:tcPr>
          <w:p>
            <w:pPr>
              <w:spacing w:after="0"/>
              <w:rPr>
                <w:sz w:val="15"/>
                <w:szCs w:val="15"/>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(beginning March 21, 2014)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$15.51</w:t>
            </w:r>
          </w:p>
        </w:tc>
        <w:tc>
          <w:tcPr>
            <w:tcW w:w="2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$16.70</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$16.00</w:t>
            </w: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8"/>
                <w:szCs w:val="18"/>
                <w:color w:val="auto"/>
              </w:rPr>
              <w:t>7.7%</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(through June 20, 2014)</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$24.41</w:t>
            </w:r>
          </w:p>
        </w:tc>
        <w:tc>
          <w:tcPr>
            <w:tcW w:w="9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$16.60</w:t>
            </w:r>
          </w:p>
        </w:tc>
        <w:tc>
          <w:tcPr>
            <w:tcW w:w="13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60" w:hanging="452"/>
        <w:spacing w:after="0" w:line="261"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calculated for this period.</w:t>
      </w:r>
    </w:p>
    <w:p>
      <w:pPr>
        <w:spacing w:after="0" w:line="207" w:lineRule="exact"/>
        <w:rPr>
          <w:sz w:val="20"/>
          <w:szCs w:val="20"/>
          <w:color w:val="auto"/>
        </w:rPr>
      </w:pPr>
    </w:p>
    <w:p>
      <w:pPr>
        <w:ind w:right="440" w:firstLine="456"/>
        <w:spacing w:after="0" w:line="313"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3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8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On May 6, 2014, our Board declared a dividend of $0.38 per share for the quarter ending June 30, 2014 to stockholders of record as of June 30, 2014. The dividend is expected to be paid on or about July 31, 2014. We anticipate that this dividend will be paid from income generated primarily by interest earned on our investment portfolio.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three months ended March 31, 2014 and the years ended December 31, 2013 and 2012:</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460" w:type="dxa"/>
            <w:vAlign w:val="bottom"/>
          </w:tcPr>
          <w:p>
            <w:pPr>
              <w:spacing w:after="0"/>
              <w:rPr>
                <w:sz w:val="10"/>
                <w:szCs w:val="10"/>
                <w:color w:val="auto"/>
              </w:rPr>
            </w:pPr>
          </w:p>
        </w:tc>
        <w:tc>
          <w:tcPr>
            <w:tcW w:w="1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6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26, 2014</w:t>
            </w:r>
          </w:p>
        </w:tc>
        <w:tc>
          <w:tcPr>
            <w:tcW w:w="18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7"/>
              </w:rPr>
              <w:t>March 31, 2014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April 30, 2014</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3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51</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2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320" w:type="dxa"/>
            <w:vAlign w:val="bottom"/>
          </w:tcPr>
          <w:p>
            <w:pPr>
              <w:spacing w:after="0"/>
              <w:rPr>
                <w:sz w:val="10"/>
                <w:szCs w:val="10"/>
                <w:color w:val="auto"/>
              </w:rPr>
            </w:pPr>
          </w:p>
        </w:tc>
        <w:tc>
          <w:tcPr>
            <w:tcW w:w="16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12, 2013</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2013</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6, 2013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2013</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June 30, 2013</w:t>
            </w:r>
          </w:p>
        </w:tc>
        <w:tc>
          <w:tcPr>
            <w:tcW w:w="3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July 31, 2013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2013</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September 30, 2013</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October 31, 2013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2013</w:t>
            </w:r>
            <w:r>
              <w:rPr>
                <w:rFonts w:ascii="Times New Roman" w:cs="Times New Roman" w:eastAsia="Times New Roman" w:hAnsi="Times New Roman"/>
                <w:sz w:val="15"/>
                <w:szCs w:val="15"/>
                <w:color w:val="auto"/>
              </w:rPr>
              <w:t>(1)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December 31, 2013</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January 30, 2014</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2013 declared dividend includes a special dividend of $0.03 per share.</w:t>
      </w:r>
    </w:p>
    <w:p>
      <w:pPr>
        <w:spacing w:after="0" w:line="27" w:lineRule="exact"/>
        <w:rPr>
          <w:rFonts w:ascii="Times New Roman" w:cs="Times New Roman" w:eastAsia="Times New Roman" w:hAnsi="Times New Roman"/>
          <w:sz w:val="18"/>
          <w:szCs w:val="18"/>
          <w:color w:val="auto"/>
        </w:rPr>
      </w:pPr>
    </w:p>
    <w:p>
      <w:pPr>
        <w:ind w:left="460" w:right="240" w:hanging="452"/>
        <w:spacing w:after="0" w:line="261"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to our audited consolidated financial statements, the indicated amounts for dates prior to December 3, 2013 have been retroactively adjusted for the stock split which was effected in the form of a stock dividend.</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320" w:type="dxa"/>
            <w:vAlign w:val="bottom"/>
          </w:tcPr>
          <w:p>
            <w:pPr>
              <w:spacing w:after="0"/>
              <w:rPr>
                <w:sz w:val="10"/>
                <w:szCs w:val="10"/>
                <w:color w:val="auto"/>
              </w:rPr>
            </w:pPr>
          </w:p>
        </w:tc>
        <w:tc>
          <w:tcPr>
            <w:tcW w:w="16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54"/>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 2012</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2012</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7, 2012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9, 2012</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June 30, 2012</w:t>
            </w:r>
          </w:p>
        </w:tc>
        <w:tc>
          <w:tcPr>
            <w:tcW w:w="3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August 3, 2012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2012</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September 30, 2012</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October 30, 2012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2012</w:t>
            </w:r>
            <w:r>
              <w:rPr>
                <w:rFonts w:ascii="Times New Roman" w:cs="Times New Roman" w:eastAsia="Times New Roman" w:hAnsi="Times New Roman"/>
                <w:sz w:val="15"/>
                <w:szCs w:val="15"/>
                <w:color w:val="auto"/>
              </w:rPr>
              <w:t>(1)</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December 31, 2012</w:t>
            </w:r>
          </w:p>
        </w:tc>
        <w:tc>
          <w:tcPr>
            <w:tcW w:w="3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January 31, 2013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2012 declared dividend includes a special dividend of $0.01 per share.</w:t>
      </w:r>
    </w:p>
    <w:p>
      <w:pPr>
        <w:spacing w:after="0" w:line="27" w:lineRule="exact"/>
        <w:rPr>
          <w:rFonts w:ascii="Times New Roman" w:cs="Times New Roman" w:eastAsia="Times New Roman" w:hAnsi="Times New Roman"/>
          <w:sz w:val="18"/>
          <w:szCs w:val="18"/>
          <w:color w:val="auto"/>
        </w:rPr>
      </w:pPr>
    </w:p>
    <w:p>
      <w:pPr>
        <w:ind w:left="460" w:right="320" w:hanging="452"/>
        <w:spacing w:after="0" w:line="261"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to our audited consolidated financial statements, the indicated amounts have been retroactively adjusted for the stock split which was effected in the form of a stock dividend.</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three months ended March 31, 2014 were derived from net investment income determined on a tax basis. The dividends declared during the years ended December 31, 2013 and December 31, 2012, were derived from net investment income and long-term capital gains, determined on a tax basis.</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6"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 calendar years ended December 31, 2013 and 2012 and the three months ended March 31, 2014 for purposes of additional liquidity and we recorded a net expense of</w:t>
      </w:r>
    </w:p>
    <w:p>
      <w:pPr>
        <w:spacing w:after="0" w:line="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$0.2 million, $0.1 million and $9 thousand,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8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8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Unless our common stockholders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our common stockholders hold shares of our common stock in the name of a broker or financial intermediary, our common stockholders should contact such broker or financial intermediary regarding their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for a discussion of the uncertainties, risks and assumptions associated with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The Adviser is our external manager. We have two wholly owned subsidiaries, TC Lending, LLC, a Delaware limited liability company, which holds a California finance lender and broker license, and TPG SL SPV, LLC, a Delaware limited liability company, in which we hold assets to support our asset-backed credit facility. Our results reflect our ramp-up of initial investments, which is now complete, as well as the ongoing measured growth of our portfolio of investments.</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7"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 March 2014, we completed our IPO, issuing 7,000,000 shares at $16.00 per share, and our concurrent private placement, issuing 3,124,984 shares at $16.00 per share. Net of underwriting fees and offering costs, we received total cash proceeds of $151.6 million.</w:t>
      </w:r>
    </w:p>
    <w:p>
      <w:pPr>
        <w:spacing w:after="0" w:line="162"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In April 2014, an additional 1,050,000 shares of stock were issued pursuant to the exercise of the underwriters’ over-allotment option. Net of underwriting fees and offering costs, we received additional total cash proceeds of approximately $15.4 million.</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June 10, 2014, we issued in a private offering $115 million aggregate principal amount of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We used the net proceeds of the offering to pay down debt under the Revolving Credit Facility. In connection with the offering of Convertible Senior Notes, we entered into an interest rate swap to continue to align the interest rates of its liabilities with our investment portfolio, which consists of predominately floating rate loans. As a result of the swap, our effective interest rate on the Convertible Senior Notes is three-month LIBOR plus 252.9 basis points.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shares are currently listed on the NYSE under the symbol “TSLX.”</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w:t>
      </w:r>
    </w:p>
    <w:p>
      <w:pPr>
        <w:spacing w:after="0" w:line="184"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 $250 million, although we may invest in larger or smaller companies on occasion. As of March 31, 2014, based on fair value, our borrowers had weighted average annual revenue of $169 million and weighted average annual EBITDA of $33 million.</w:t>
      </w:r>
    </w:p>
    <w:p>
      <w:pPr>
        <w:spacing w:after="0" w:line="176"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debt and equity securities.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our average investment size in our portfolio companies was $40 million.</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 potential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no industry represented more than 11.6% of our total investment portfolio.</w:t>
      </w:r>
    </w:p>
    <w:p>
      <w:pPr>
        <w:spacing w:after="0" w:line="223"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As of March 31, 2014,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99.4% of our portfolio at fair value was invested in secured debt, including 82.4%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medium term, between two to six years after origination. For the three months ended March 31, 2014, the weighted average term on new investment commitments in new portfolio companies was 4.7 years.</w:t>
      </w:r>
    </w:p>
    <w:p>
      <w:pPr>
        <w:spacing w:after="0" w:line="160"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 investment transaction.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majority of our portfolio investments are sourced through our direct or proprietary relationships.</w:t>
      </w:r>
    </w:p>
    <w:p>
      <w:pPr>
        <w:spacing w:after="0" w:line="15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 protect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income. As of March 31, 2014, we had call protection on 95.0% of our debt investments, with weighted average call prices of 107.0% for the first year, 103.3% for the second year and 101.3% for the third year, in each case from the date of the initial investment. As of March 31, 2014, 98.6% of our debt investments bore interest at floating rates, subject to interest rate floors, which we believe helps act as a portfolio-wide hedge against inflation.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TSSP and TPG</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TSSP, which encompasses TPG Specialty Lending, TPG Opportunities Partners and TPG Institutional Credit Partners, is TPG’s special situations and credit platform.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88"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If the SEC grants the exemptive relief we have requested, to the extent the size of the opportunity exceeds the amount our Adviser independently determines is appropriate for us to invest, our affiliates may be able to co-invest with us. We believe our ability to co-invest with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 We cannot assure you, however, when or whether the SEC will grant our exemptive relief request.</w:t>
      </w:r>
    </w:p>
    <w:p>
      <w:pPr>
        <w:spacing w:after="0" w:line="188"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services to us are not impaired. Under the terms of the Investment Advisory Agreement, we will pay the Adviser the Management Fee and may also pay the Incentive Fee.</w:t>
      </w:r>
    </w:p>
    <w:p>
      <w:pPr>
        <w:spacing w:after="0" w:line="162"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Adviser has entered into an agreement with Goldman, Sachs &amp; Co., which we refer to as the 10b5-1 Plan, in accordance with Rules 10b5-1 and 10b-18 under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 Our debt investments typically have a term of two to six years, and, as of March 31, 2014, 98.6% bear interest at a floating rate, subject to interest rate floors. Interest on debt securities is generally payable quarterly or semiannually. Some of our investments provide for deferred interest payments or PIK interest. For the three months ended March 31, 2014, 2.0% of our total investment income was comprised of PIK interest income.</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4"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securities is recorded on the record date for private portfolio companies or on the ex-dividend date for publicly traded portfolio companies.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80"/>
          </w:cols>
          <w:pgMar w:left="240" w:top="455" w:right="27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2"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81" w:lineRule="exact"/>
        <w:rPr>
          <w:rFonts w:ascii="Times New Roman" w:cs="Times New Roman" w:eastAsia="Times New Roman" w:hAnsi="Times New Roman"/>
          <w:sz w:val="18"/>
          <w:szCs w:val="18"/>
          <w:color w:val="auto"/>
        </w:rPr>
      </w:pPr>
    </w:p>
    <w:p>
      <w:pPr>
        <w:ind w:left="900" w:right="100" w:hanging="325"/>
        <w:spacing w:after="0" w:line="313" w:lineRule="auto"/>
        <w:tabs>
          <w:tab w:leader="none" w:pos="9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In any period, our interest expense will depend largely on the extent of our borrowing. In addition, we may continue to dedicate assets to financing facilities, such as our SPV Asset Facility.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limited number of providers of capital to middle-market companies, combined with expected increases in required capital levels for financial institutions, reduce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76" w:lineRule="exact"/>
        <w:rPr>
          <w:sz w:val="20"/>
          <w:szCs w:val="20"/>
          <w:color w:val="auto"/>
        </w:rPr>
      </w:pPr>
    </w:p>
    <w:p>
      <w:pPr>
        <w:ind w:right="140" w:firstLine="456"/>
        <w:spacing w:after="0" w:line="281" w:lineRule="auto"/>
        <w:rPr>
          <w:sz w:val="20"/>
          <w:szCs w:val="20"/>
          <w:color w:val="auto"/>
        </w:rPr>
      </w:pPr>
      <w:r>
        <w:rPr>
          <w:rFonts w:ascii="Times New Roman" w:cs="Times New Roman" w:eastAsia="Times New Roman" w:hAnsi="Times New Roman"/>
          <w:sz w:val="17"/>
          <w:szCs w:val="17"/>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and Investment Activity</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Based on fair value as of March 31, 2014, our portfolio consisted of 82.4% first-lien debt investments, 17.0% second-lien debt investments, 0.4% mezzanine debt investments, and 0.2% equity investments.</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Based on fair value as of December 31, 2013, our portfolio consisted of 86.3% first-lien debt investments, 13.5% second-lien debt investments, and 0.2% equity investments.</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2014 and December 31, 2013, our weighted average total yield of debt and income-producing securities at fair value (which includes interest income and amortization of fees and discounts) was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10.2% and 10.4%, respectively, and our weighted average total yield of debt and income-producing securities at amortized cost (which includes interest income and amortization of fees and discounts) was 10.4% and 10.6%, respectively.</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2014 and December 31, 2013, we had investments in 30 and 27 portfolio companies, respectively, with an aggregate fair value of $1,195.5 million and $1,016.5 million, respectively.</w:t>
      </w:r>
    </w:p>
    <w:p>
      <w:pPr>
        <w:spacing w:after="0" w:line="162" w:lineRule="exact"/>
        <w:rPr>
          <w:sz w:val="20"/>
          <w:szCs w:val="20"/>
          <w:color w:val="auto"/>
        </w:rPr>
      </w:pPr>
    </w:p>
    <w:p>
      <w:pPr>
        <w:jc w:val="both"/>
        <w:ind w:right="580"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2014, we made new investment commitments of $314.6 million, $303.8 million in six new portfolio companies and $10.8 million in two existing portfolio companies. During this period, we had $101.2 million aggregate principal amount in exits and repayments, resulting in net portfolio growth of $187.0 million aggregate principal amount.</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2013, we made new investment commitments of $58.5 million, $58.0 million in two new portfolio companies and $0.5 million in one existing portfolio company. During this period, we had $84.5 million aggregate principal amount in exits and repayments, resulting in a net portfolio decrease of $26.0 million aggregate principal amount.</w:t>
      </w:r>
    </w:p>
    <w:p>
      <w:pPr>
        <w:spacing w:after="0" w:line="176"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we made new investment commitments of $606.2 million, $536.0 million in 14 new portfolio companies and $70.2 million in five existing portfolio companies. For this period, we had $192.1 million aggregate principal amount in exits and repayments, resulting in net portfolio growth of $387.3 million aggregate principal amount. During the year ended December 31, 2012, we made new investment commitments of $714.2 million, $615.0 million in 20 new portfolio companies and $99.2 million in six existing portfolio companies. For this period, we had $193.1 million aggregate principal amount in exits and repayments, resulting in net portfolio growth of $487.5 million aggregate principal amount.</w:t>
      </w:r>
    </w:p>
    <w:p>
      <w:pPr>
        <w:spacing w:after="0" w:line="184"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Our investment activity for the three months ended March 31, 2014 and for the years ended December 31, 2013 and 2012 is presented below (information presented herein is at par value unless otherwise indicated).</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90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2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originations</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369.6</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92.5</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897.5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34.0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291.3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First-lien</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218.0</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48.0</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497.9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Second-lien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Mezzanine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First-lien</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101.2</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81.5</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173.4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Second-lien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Mezzanine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8"/>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70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4420" w:type="dxa"/>
            <w:vAlign w:val="bottom"/>
          </w:tcPr>
          <w:p>
            <w:pPr>
              <w:spacing w:after="0"/>
              <w:rPr>
                <w:sz w:val="24"/>
                <w:szCs w:val="24"/>
                <w:color w:val="auto"/>
              </w:rPr>
            </w:pPr>
          </w:p>
        </w:tc>
        <w:tc>
          <w:tcPr>
            <w:tcW w:w="10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60</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60" w:type="dxa"/>
            <w:vAlign w:val="bottom"/>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40" w:type="dxa"/>
            <w:vAlign w:val="bottom"/>
          </w:tcPr>
          <w:p>
            <w:pPr>
              <w:spacing w:after="0"/>
              <w:rPr>
                <w:sz w:val="10"/>
                <w:szCs w:val="10"/>
                <w:color w:val="auto"/>
              </w:rPr>
            </w:pPr>
          </w:p>
        </w:tc>
        <w:tc>
          <w:tcPr>
            <w:tcW w:w="1520" w:type="dxa"/>
            <w:vAlign w:val="bottom"/>
            <w:tcBorders>
              <w:top w:val="single" w:sz="8" w:color="auto"/>
            </w:tcBorders>
            <w:gridSpan w:val="2"/>
          </w:tcPr>
          <w:p>
            <w:pPr>
              <w:jc w:val="center"/>
              <w:ind w:right="9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4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00" w:type="dxa"/>
            <w:vAlign w:val="bottom"/>
          </w:tcPr>
          <w:p>
            <w:pPr>
              <w:spacing w:after="0"/>
              <w:rPr>
                <w:sz w:val="10"/>
                <w:szCs w:val="10"/>
                <w:color w:val="auto"/>
              </w:rPr>
            </w:pPr>
          </w:p>
        </w:tc>
        <w:tc>
          <w:tcPr>
            <w:tcW w:w="17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20" w:type="dxa"/>
            <w:vAlign w:val="bottom"/>
            <w:vMerge w:val="continue"/>
          </w:tcPr>
          <w:p>
            <w:pPr>
              <w:spacing w:after="0"/>
              <w:rPr>
                <w:sz w:val="15"/>
                <w:szCs w:val="15"/>
                <w:color w:val="auto"/>
              </w:rPr>
            </w:pPr>
          </w:p>
        </w:tc>
        <w:tc>
          <w:tcPr>
            <w:tcW w:w="106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900" w:type="dxa"/>
            <w:vAlign w:val="bottom"/>
          </w:tcPr>
          <w:p>
            <w:pPr>
              <w:spacing w:after="0"/>
              <w:rPr>
                <w:sz w:val="15"/>
                <w:szCs w:val="15"/>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 new</w:t>
            </w:r>
          </w:p>
        </w:tc>
        <w:tc>
          <w:tcPr>
            <w:tcW w:w="4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portfolio companies</w:t>
            </w:r>
          </w:p>
        </w:tc>
        <w:tc>
          <w:tcPr>
            <w:tcW w:w="196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196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   50.6</w:t>
            </w:r>
          </w:p>
        </w:tc>
        <w:tc>
          <w:tcPr>
            <w:tcW w:w="15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   29.0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194"/>
        </w:trPr>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96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4.7</w:t>
            </w:r>
          </w:p>
        </w:tc>
        <w:tc>
          <w:tcPr>
            <w:tcW w:w="15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19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98.5%</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98.1%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194"/>
        </w:trPr>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19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4"/>
        </w:trPr>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of new investment</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9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9.1%</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4"/>
        </w:trPr>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spread over LIBOR of new</w:t>
            </w: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19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7.8%</w:t>
            </w: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4"/>
        </w:trPr>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sold or paid down</w:t>
            </w:r>
          </w:p>
        </w:tc>
        <w:tc>
          <w:tcPr>
            <w:tcW w:w="19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9.4%</w:t>
            </w: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0"/>
                <w:szCs w:val="20"/>
                <w:color w:val="auto"/>
              </w:rPr>
            </w:pPr>
          </w:p>
        </w:tc>
        <w:tc>
          <w:tcPr>
            <w:tcW w:w="15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December 31, 2013 and December 31, 2012, our investments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5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17"/>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7"/>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6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320" w:type="dxa"/>
            <w:vAlign w:val="bottom"/>
          </w:tcPr>
          <w:p>
            <w:pPr>
              <w:spacing w:after="0"/>
              <w:rPr>
                <w:sz w:val="10"/>
                <w:szCs w:val="10"/>
                <w:color w:val="auto"/>
              </w:rPr>
            </w:pPr>
          </w:p>
        </w:tc>
        <w:tc>
          <w:tcPr>
            <w:tcW w:w="640" w:type="dxa"/>
            <w:vAlign w:val="bottom"/>
            <w:tcBorders>
              <w:top w:val="single" w:sz="8" w:color="auto"/>
            </w:tcBorders>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08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5"/>
                <w:szCs w:val="15"/>
                <w:color w:val="auto"/>
              </w:rPr>
            </w:pP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$582.3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137.5</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131.1</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1,195.5</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1,172.4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1,016.5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997.3</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653.9</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amortized cost of our performing and non-accrual investments as of March 31, 2014, December 31, 2013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800" w:type="dxa"/>
            <w:vAlign w:val="bottom"/>
          </w:tcPr>
          <w:p>
            <w:pPr>
              <w:spacing w:after="0"/>
              <w:rPr>
                <w:sz w:val="10"/>
                <w:szCs w:val="10"/>
                <w:color w:val="auto"/>
              </w:rPr>
            </w:pPr>
          </w:p>
        </w:tc>
        <w:tc>
          <w:tcPr>
            <w:tcW w:w="112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580" w:type="dxa"/>
            <w:vAlign w:val="bottom"/>
            <w:vMerge w:val="restart"/>
          </w:tcPr>
          <w:p>
            <w:pPr>
              <w:spacing w:after="0"/>
              <w:rPr>
                <w:sz w:val="10"/>
                <w:szCs w:val="10"/>
                <w:color w:val="auto"/>
              </w:rPr>
            </w:pPr>
          </w:p>
        </w:tc>
        <w:tc>
          <w:tcPr>
            <w:tcW w:w="11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36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6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60" w:type="dxa"/>
            <w:vAlign w:val="bottom"/>
            <w:tcBorders>
              <w:bottom w:val="single" w:sz="8" w:color="CCEEFF"/>
            </w:tcBorders>
            <w:vMerge w:val="continue"/>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w:t>
            </w:r>
          </w:p>
        </w:tc>
        <w:tc>
          <w:tcPr>
            <w:tcW w:w="18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$ 1,172.4</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997.3</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Non-accrual</w:t>
            </w:r>
            <w:r>
              <w:rPr>
                <w:rFonts w:ascii="Times New Roman" w:cs="Times New Roman" w:eastAsia="Times New Roman" w:hAnsi="Times New Roman"/>
                <w:sz w:val="15"/>
                <w:szCs w:val="15"/>
                <w:color w:val="auto"/>
              </w:rPr>
              <w:t>(1)</w:t>
            </w:r>
          </w:p>
        </w:tc>
        <w:tc>
          <w:tcPr>
            <w:tcW w:w="18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center"/>
              <w:ind w:left="57"/>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gridSpan w:val="3"/>
            <w:shd w:val="clear" w:color="auto" w:fill="CCEEFF"/>
          </w:tcPr>
          <w:p>
            <w:pPr>
              <w:jc w:val="center"/>
              <w:ind w:left="1250"/>
              <w:spacing w:after="0"/>
              <w:rPr>
                <w:sz w:val="20"/>
                <w:szCs w:val="20"/>
                <w:color w:val="auto"/>
              </w:rPr>
            </w:pPr>
            <w:r>
              <w:rPr>
                <w:rFonts w:ascii="Times New Roman" w:cs="Times New Roman" w:eastAsia="Times New Roman" w:hAnsi="Times New Roman"/>
                <w:sz w:val="18"/>
                <w:szCs w:val="18"/>
                <w:color w:val="auto"/>
                <w:w w:val="97"/>
              </w:rPr>
              <w:t>$ 1,172.4</w:t>
            </w:r>
          </w:p>
        </w:tc>
        <w:tc>
          <w:tcPr>
            <w:tcW w:w="12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997.3</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260" w:hanging="452"/>
        <w:spacing w:after="0" w:line="281"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are generally placed on non-accrual status when principal or interest payments are past due 30 days or more or when there is reasonable doubt that principal or interest will be collected in full.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 See “—Critical Accounting Policies—Interest and Dividend Income Recognition.”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weighted average yields and interest rates of our debt investments at fair value as of March 31, 2014, December 31, 2013 and December 31, 2012 were as follows: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66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5"/>
                <w:szCs w:val="15"/>
                <w:color w:val="auto"/>
              </w:rPr>
            </w:pPr>
          </w:p>
        </w:tc>
      </w:tr>
      <w:tr>
        <w:trPr>
          <w:trHeight w:val="178"/>
        </w:trPr>
        <w:tc>
          <w:tcPr>
            <w:tcW w:w="50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34"/>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producing securities</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10.2%</w:t>
            </w:r>
          </w:p>
        </w:tc>
        <w:tc>
          <w:tcPr>
            <w:tcW w:w="18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r>
      <w:tr>
        <w:trPr>
          <w:trHeight w:val="198"/>
        </w:trPr>
        <w:tc>
          <w:tcPr>
            <w:tcW w:w="5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producing securities</w:t>
            </w:r>
          </w:p>
        </w:tc>
        <w:tc>
          <w:tcPr>
            <w:tcW w:w="16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9.8%</w:t>
            </w: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5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spread over LIBOR of all floating rate</w:t>
            </w: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8.5%</w:t>
            </w:r>
          </w:p>
        </w:tc>
        <w:tc>
          <w:tcPr>
            <w:tcW w:w="18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r>
    </w:tbl>
    <w:p>
      <w:pPr>
        <w:spacing w:after="0" w:line="19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2"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2" w:lineRule="exact"/>
        <w:rPr>
          <w:sz w:val="20"/>
          <w:szCs w:val="20"/>
          <w:color w:val="auto"/>
        </w:rPr>
      </w:pPr>
    </w:p>
    <w:p>
      <w:pPr>
        <w:ind w:left="900" w:right="300" w:hanging="325"/>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1"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1"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1" w:lineRule="exact"/>
        <w:rPr>
          <w:rFonts w:ascii="Times New Roman" w:cs="Times New Roman" w:eastAsia="Times New Roman" w:hAnsi="Times New Roman"/>
          <w:sz w:val="18"/>
          <w:szCs w:val="18"/>
          <w:color w:val="auto"/>
        </w:rPr>
      </w:pPr>
    </w:p>
    <w:p>
      <w:pPr>
        <w:ind w:left="900" w:right="140" w:hanging="325"/>
        <w:spacing w:after="0" w:line="258"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00"/>
          </w:cols>
          <w:pgMar w:left="240" w:top="455" w:right="3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March 31, 2014 and December 31, 2013. Investment performance ratings are accurate only as of those dates and may change due to subsequent developments relating to a portfolio company’s business or financial condition, market conditions or developments, and other factors.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36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5"/>
                <w:szCs w:val="15"/>
                <w:color w:val="auto"/>
              </w:rPr>
            </w:pPr>
          </w:p>
        </w:tc>
        <w:tc>
          <w:tcPr>
            <w:tcW w:w="3280" w:type="dxa"/>
            <w:vAlign w:val="bottom"/>
            <w:gridSpan w:val="5"/>
          </w:tcPr>
          <w:p>
            <w:pPr>
              <w:jc w:val="right"/>
              <w:ind w:right="16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20" w:type="dxa"/>
            <w:vAlign w:val="bottom"/>
          </w:tcPr>
          <w:p>
            <w:pPr>
              <w:spacing w:after="0"/>
              <w:rPr>
                <w:sz w:val="15"/>
                <w:szCs w:val="15"/>
                <w:color w:val="auto"/>
              </w:rPr>
            </w:pPr>
          </w:p>
        </w:tc>
        <w:tc>
          <w:tcPr>
            <w:tcW w:w="264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15"/>
        </w:trPr>
        <w:tc>
          <w:tcPr>
            <w:tcW w:w="4360" w:type="dxa"/>
            <w:vAlign w:val="bottom"/>
            <w:gridSpan w:val="2"/>
            <w:vMerge w:val="continue"/>
          </w:tcPr>
          <w:p>
            <w:pPr>
              <w:spacing w:after="0"/>
              <w:rPr>
                <w:sz w:val="10"/>
                <w:szCs w:val="10"/>
                <w:color w:val="auto"/>
              </w:rPr>
            </w:pPr>
          </w:p>
        </w:tc>
        <w:tc>
          <w:tcPr>
            <w:tcW w:w="1720" w:type="dxa"/>
            <w:vAlign w:val="bottom"/>
            <w:tcBorders>
              <w:top w:val="single" w:sz="8" w:color="auto"/>
            </w:tcBorders>
            <w:gridSpan w:val="4"/>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Investments at</w:t>
            </w:r>
          </w:p>
        </w:tc>
        <w:tc>
          <w:tcPr>
            <w:tcW w:w="82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840" w:type="dxa"/>
            <w:vAlign w:val="bottom"/>
          </w:tcPr>
          <w:p>
            <w:pPr>
              <w:spacing w:after="0"/>
              <w:rPr>
                <w:sz w:val="10"/>
                <w:szCs w:val="10"/>
                <w:color w:val="auto"/>
              </w:rPr>
            </w:pPr>
          </w:p>
        </w:tc>
        <w:tc>
          <w:tcPr>
            <w:tcW w:w="1720" w:type="dxa"/>
            <w:vAlign w:val="bottom"/>
            <w:tcBorders>
              <w:top w:val="single" w:sz="8" w:color="auto"/>
            </w:tcBorders>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Investments at</w:t>
            </w:r>
          </w:p>
        </w:tc>
        <w:tc>
          <w:tcPr>
            <w:tcW w:w="84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162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160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7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20" w:type="dxa"/>
            <w:vAlign w:val="bottom"/>
            <w:tcBorders>
              <w:bottom w:val="single" w:sz="8" w:color="CCEEFF"/>
            </w:tcBorders>
            <w:gridSpan w:val="2"/>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8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120.5</w:t>
            </w:r>
          </w:p>
        </w:tc>
        <w:tc>
          <w:tcPr>
            <w:tcW w:w="80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116.4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37.4</w:t>
            </w:r>
          </w:p>
        </w:tc>
        <w:tc>
          <w:tcPr>
            <w:tcW w:w="16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40.7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40.2</w:t>
            </w: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r>
              <w:rPr>
                <w:rFonts w:ascii="Times New Roman" w:cs="Times New Roman" w:eastAsia="Times New Roman" w:hAnsi="Times New Roman"/>
                <w:sz w:val="18"/>
                <w:szCs w:val="18"/>
                <w:u w:val="single" w:color="auto"/>
                <w:color w:val="auto"/>
              </w:rPr>
              <w:t>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18"/>
                <w:szCs w:val="18"/>
                <w:u w:val="single" w:color="auto"/>
                <w:color w:val="auto"/>
              </w:rPr>
              <w:t>5</w:t>
            </w:r>
          </w:p>
        </w:tc>
        <w:tc>
          <w:tcPr>
            <w:tcW w:w="8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results for the three months ended March 31, 2014 and 2013 and the years ended December 31, 2013, and 2012 were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144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5"/>
                <w:szCs w:val="15"/>
                <w:color w:val="auto"/>
              </w:rPr>
            </w:pPr>
          </w:p>
        </w:tc>
        <w:tc>
          <w:tcPr>
            <w:tcW w:w="14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$33.5</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$92.6</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34.9</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57.7</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including excise taxes</w:t>
            </w:r>
          </w:p>
        </w:tc>
        <w:tc>
          <w:tcPr>
            <w:tcW w:w="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0.2</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income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57.5</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investments, including foreign exchange forward contracts</w:t>
            </w:r>
            <w:r>
              <w:rPr>
                <w:rFonts w:ascii="Times New Roman" w:cs="Times New Roman" w:eastAsia="Times New Roman" w:hAnsi="Times New Roman"/>
                <w:sz w:val="15"/>
                <w:szCs w:val="15"/>
                <w:color w:val="auto"/>
              </w:rPr>
              <w:t>(1)</w:t>
            </w:r>
          </w:p>
        </w:tc>
        <w:tc>
          <w:tcPr>
            <w:tcW w:w="820" w:type="dxa"/>
            <w:vAlign w:val="bottom"/>
            <w:gridSpan w:val="4"/>
          </w:tcPr>
          <w:p>
            <w:pPr>
              <w:jc w:val="right"/>
              <w:ind w:right="268"/>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 on investments</w:t>
            </w:r>
            <w:r>
              <w:rPr>
                <w:rFonts w:ascii="Times New Roman" w:cs="Times New Roman" w:eastAsia="Times New Roman" w:hAnsi="Times New Roman"/>
                <w:sz w:val="15"/>
                <w:szCs w:val="15"/>
                <w:color w:val="auto"/>
              </w:rPr>
              <w:t>(1)</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8.4</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25.3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67.0</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Includes foreign exchange hedging activity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240" w:top="455" w:right="3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3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5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144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5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40" w:type="dxa"/>
            <w:vAlign w:val="bottom"/>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left="40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$90.4</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33.5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92.6</w:t>
            </w:r>
          </w:p>
        </w:tc>
        <w:tc>
          <w:tcPr>
            <w:tcW w:w="5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$20.6 million for the three months ended March 31, 2013 to $31.1 million for the three months ended March 31, 2014, primarily due to the increase in the size of our portfolio. The average size of our total investment portfolio increased from $640 million during the three months ended March 31, 2013 to $1.1 billion during the three months ended</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March 31, 2014. In addition, accelerated amortization of upfront fees primarily from unscheduled paydowns decreased from $1.6 million for the three months ended March 31, 2013 to $1.2 million for the three months ended March 31, 2014; and prepayment fees decreased from $1.4 million for the three months ended March 31, 2013 to $1.0 million for the three months ended March 31, 2014. The accelerated amortization and prepayment fees primarily resulted from full paydowns on two portfolio investments during the three months ended March 31, 2013 and from full paydowns on three portfolio investments during the three months ended March 31, 2014. Other income increased from $0.2 million for the three months ended March 31, 2013 to $2.4 million for the three months ended March 31, 2014, primarily due to higher syndication, amendment and agency fees earned during the first quarter of 2014.</w:t>
      </w:r>
    </w:p>
    <w:p>
      <w:pPr>
        <w:spacing w:after="0" w:line="19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Interest from investments increased from $49.1 million for the year ended December 31, 2012 to $90.4 million for the year ended December 31, 2013, primarily due to the increase in the size of our portfolio. The average size of our total investment portfolio at fair value increased from $417 million during the year ended December 31, 2012 to $795 million during the year ended December 31, 2013. In addition, prepayment fees increased from $0.9 million for the year ended December 31, 2012 to $3.0 million for the year ended December 31, 2013. There was no dividend income in the year ended December 31, 2013. These prepayment fees resulted from full or partial paydowns on five portfolio investments. Other income increased from $0.7 million for the year ended December 31, 2012 to $2.2 million for the year ended December 31, 2013, primarily due to higher syndication, amendment and agency fees earned during 2013.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Operating expenses for the three months ended March 31, 2014 and the years ended December 31, 2013 and 2012 were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144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 related to Pre-incentive fee net investment income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 capital gains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1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12.2</w:t>
            </w:r>
          </w:p>
        </w:tc>
        <w:tc>
          <w:tcPr>
            <w:tcW w:w="5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34.9</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Interest, including other debt financing expenses, increased from $2.3 million for the three months ended March 31, 2013 to $3.8 million for the three months ended March 31, 2014. This increase was primarily due to an increase in the average debt outstanding from $188 million for the three months ended March 31, 2013 to $471 million for the three months ended March 31, 2014. The average stated interest rate on our debt outstanding decreased from 2.8% for the three months ended March 31, 2013 to 2.5% for the three months ended March 31, 2014.</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Interest, including other debt financing expenses, increased from $6.0 million for the year ended December 31, 2012 to $10.5 million for the year ended December 31, 2013. This increase was primarily due to an increase in the weighted average debt outstanding from $111 million for the year ended December 31, 2012 to $266 million for the year ended December 31, 2013. The weighted average interest rate on our debt outstanding decreased from 2.9% for the year ended December 31, 2012 to 2.7% for the year ended December 31, 2013.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Management Fees (net of waivers) increased from $1.5 million for the three months ended March 31, 2013 to $1.7 million for the three months ended March 31, 2014. Management Fees increased from $3.0 million for the three months ended March 31, 2013 to $4.2 million for the three months ended March 31, 2014 due to the increase in total assets, which increased from an average of $819 million for the three months ended March 31, 2013 to an average of $1.1 billion for the three months ended March 31, 2014. Management Fees waived increased from $1.5 million for the three months ended March 31, 2013 to $2.5 million for the three months ended March 31, 2014 due to an increase in total assets.</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Management Fees (net of waivers) increased from $5.2 million for the year ended December 31, 2012 to $6.2 million for the year ended December 31, 2013. Management Fees increased from $8.9 million for the year ended December 31, 2012 to $13.4 million for the year ended December 31, 2013 due to the increase in total assets, which increased from an average of $611 million for the year ended December 31, 2012 to an average of $907 million for the year ended December 31, 2013. Management Fees waived increased from $3.7 million for the year ended December 31, 2012 to $7.1 million for the year ended December 31, 2013 due to an increase in total assets.</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Until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are not subject to recoupment by the Adviser. Following our IPO, the Adviser does not intend to waive its right to receive the full Management Fee, and accordingly, we will be required to pay the full amount of the Management Fee. See “Management and Other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Incentive Fees related to pre-Incentive Fee net investment income increased from $2.4 million for the three months ended March 31, 2013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 million for the three months ended March 31, 2014. This increase resulted from the increase in the size of the portfolio and related increase in pre-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Fee net investment income. Incentive Fees related to capital gains increased from $0.3 million for the three months ended March 31, 2013 to</w:t>
      </w:r>
    </w:p>
    <w:p>
      <w:pPr>
        <w:spacing w:after="0" w:line="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$0.6 million for the three months ended March 31, 2014 due to changes in unrealized gains and losses on our investments, realized gains on our investments and realized losses on foreign currency forward contracts.</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Incentive Fees related to pre-Incentive Fee net investment income increased from $5.3 million for the year ended December 31, 2012 to $10.4 million for the year ended December 31, 2013. This increase resulted from the increase in the size of the portfolio and related increase in pre-Incentive Fee net investment income. Incentive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Fees related to capital gains decreased from $1.7 million for the year ended December 31, 2012 to $1.4 million for the year ended December 31, 2013 due to changes in unrealized gains and losses on our investments and realized gains on our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 and Other General and Administrative Expenses</w:t>
      </w:r>
    </w:p>
    <w:p>
      <w:pPr>
        <w:spacing w:after="0" w:line="121"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$0.6 million for the three months ended March 31, 2013 to $1.2 million for the three months ended March 31, 2014 and other general and administrative fees increased from $0.5 million for the three months ended March 31, 2013 to $1.0 million for the three months ended March 31, 2014, both due to an increase in costs associated with servicing a growing investment portfolio.</w:t>
      </w:r>
    </w:p>
    <w:p>
      <w:pPr>
        <w:spacing w:after="0" w:line="176"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$2.9 million for the year ended December 31, 2012 to $3.7 million for the year ended December 31, 2013 and other general and administrative fees increased from $1.5 million for the year ended December 31, 2012 to $2.4 million for the year ended December 31, 2013, both due to an increase in costs associated with servicing a growing investment portfolio.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March 31, 2014 and 2013, we recorded a net expense of $9 thousand and $4 thousand, respectively, for U.S. federal excise tax. For each of the calendar years ended December 31, 2013 and 2012, we recorded a net expense of $0.2 million and $0.1 million, respectively, for U.S. federal excise tax.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w:t>
      </w:r>
    </w:p>
    <w:p>
      <w:pPr>
        <w:spacing w:after="0" w:line="121"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2014, we had $1.6 million of net realized losses on foreign currency forward contracts. During the three months ended March 31, 2013, we had $0.4 million of net realized gains.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2013, we had $1.1 million of net realized gains, including realized gains on foreign currency forward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2012, we had $4.4 million of net realized gains.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455" w:right="2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realized gains and losses on investments and foreign currency forward contracts during the three months ended March 31, 2014 and 2013 and the years ended December 31, 2013 and 2012 consisted of the following (certain gains (losses) have been rounded to zero):</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132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7520" w:type="dxa"/>
            <w:vAlign w:val="bottom"/>
          </w:tcPr>
          <w:p>
            <w:pPr>
              <w:spacing w:after="0"/>
              <w:rPr>
                <w:sz w:val="12"/>
                <w:szCs w:val="12"/>
                <w:color w:val="auto"/>
              </w:rPr>
            </w:pPr>
          </w:p>
        </w:tc>
        <w:tc>
          <w:tcPr>
            <w:tcW w:w="800" w:type="dxa"/>
            <w:vAlign w:val="bottom"/>
            <w:gridSpan w:val="2"/>
          </w:tcPr>
          <w:p>
            <w:pPr>
              <w:jc w:val="center"/>
              <w:ind w:left="274"/>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3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520" w:type="dxa"/>
            <w:vAlign w:val="bottom"/>
            <w:vMerge w:val="continue"/>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ind w:left="1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Attachmate</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AFS Technologies, Inc.</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Centaur, LLC</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88"/>
              </w:rPr>
              <w:t>$ —</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Checkers Drive-In Restaurants, Inc.</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 Pollo Loco, Inc.</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Embarcadero Technologies, Inc.</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Mannington Mills, Inc.</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The Newark Group, Inc.</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Rare Restaurant Group, LLC.</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Rogue Wave Holdings, Inc.</w:t>
            </w: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SumTotal</w:t>
            </w: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Synagro Technologies, Inc.</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$ 0.4</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$ 1.1</w:t>
            </w:r>
          </w:p>
        </w:tc>
        <w:tc>
          <w:tcPr>
            <w:tcW w:w="700" w:type="dxa"/>
            <w:vAlign w:val="bottom"/>
            <w:gridSpan w:val="3"/>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$ 4.4</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w:t>
            </w:r>
          </w:p>
        </w:tc>
        <w:tc>
          <w:tcPr>
            <w:tcW w:w="6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$ 0.4</w:t>
            </w: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$ 1.1</w:t>
            </w:r>
          </w:p>
        </w:tc>
        <w:tc>
          <w:tcPr>
            <w:tcW w:w="700" w:type="dxa"/>
            <w:vAlign w:val="bottom"/>
            <w:gridSpan w:val="3"/>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$ 4.4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Cash Flow Realized Gross Internal Rate of Return</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Since we began investing in 2011 through March 31, 2014, our exited investments have resulted in an aggregate cash flow realized gross internal rate of return to us of 15.3% (based on cash invested of $459 million and total proceeds from these exited investments of $528 million). Seventy-eight percent of these exited investments resulted in an aggregate cash flow realized gross internal rate of return to us of 10% or greater.</w:t>
      </w:r>
    </w:p>
    <w:p>
      <w:pPr>
        <w:spacing w:after="0" w:line="176"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76"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represent any inception-to-date realized losses on foreign currency forward contracts allocable to the investment, if any.</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represent any inception-to-date realized gains on foreign currency forward contracts allocable to the investment, if any.</w:t>
      </w:r>
    </w:p>
    <w:p>
      <w:pPr>
        <w:spacing w:after="0" w:line="18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60"/>
          </w:cols>
          <w:pgMar w:left="240" w:top="455" w:right="2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to occur at time zero, and all cash flows are deemed to occur on the fifteenth of each month in which they occur.</w:t>
      </w:r>
    </w:p>
    <w:p>
      <w:pPr>
        <w:spacing w:after="0" w:line="225" w:lineRule="exact"/>
        <w:rPr>
          <w:sz w:val="20"/>
          <w:szCs w:val="20"/>
          <w:color w:val="auto"/>
        </w:rPr>
      </w:pPr>
    </w:p>
    <w:p>
      <w:pPr>
        <w:ind w:right="140" w:firstLine="456"/>
        <w:spacing w:after="0" w:line="313" w:lineRule="auto"/>
        <w:rPr>
          <w:sz w:val="20"/>
          <w:szCs w:val="20"/>
          <w:color w:val="auto"/>
        </w:rPr>
      </w:pPr>
      <w:r>
        <w:rPr>
          <w:rFonts w:ascii="Times New Roman" w:cs="Times New Roman" w:eastAsia="Times New Roman" w:hAnsi="Times New Roman"/>
          <w:sz w:val="17"/>
          <w:szCs w:val="17"/>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38"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Gains/Losses</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We value our investments quarterly and any changes in fair value are recorded as unrealized gains or losses. See “—Critical Accounting Policies— Investments at Fair Value.”</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2014 and 2013 and the years ended December 31, 2013 and 2012, the net change in unrealized gains and losses on our investment portfolio, including losses on foreign currency transactions, consisted of the following:</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40" w:type="dxa"/>
            <w:vAlign w:val="bottom"/>
          </w:tcPr>
          <w:p>
            <w:pPr>
              <w:spacing w:after="0"/>
              <w:rPr>
                <w:sz w:val="15"/>
                <w:szCs w:val="15"/>
                <w:color w:val="auto"/>
              </w:rPr>
            </w:pPr>
          </w:p>
        </w:tc>
        <w:tc>
          <w:tcPr>
            <w:tcW w:w="1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10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$ 8.6</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10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on investments</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borrowings</w:t>
            </w: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on foreign currency transactions</w:t>
            </w:r>
          </w:p>
        </w:tc>
        <w:tc>
          <w:tcPr>
            <w:tcW w:w="10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6"/>
              </w:rPr>
              <w:t>(1.2)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w:t>
            </w:r>
          </w:p>
        </w:tc>
        <w:tc>
          <w:tcPr>
            <w:tcW w:w="1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$ 5.7</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8.4</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2014, we had $8.6 million in unrealized appreciation on investments which was partially offset by $4.7 million in unrealized depreciation on investments. For the three months ended March 31, 2013, we had $4.7 million in unrealized appreciation on investments which was partially offset by $2.8 million in unrealized depreciation on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2013, we had $13.4 million in unrealized appreciation on investments, which was partially offset by $3.8 million in unrealized depreciation, excluding unrealized losses on foreign currency forward contracts. For the year ended December 31, 2012, we had $9.2 million in unrealized appreciation, which was partially offset by $2.0 million in unrealized depreciation.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 which in each case caused a reduction in fair value.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2014, we settled our foreign currency forward contracts related to our investments in Jeeves Information Systems AB and Soho House Bond Ltd., which in total generated a realized loss of $1.6 million. We did not enter into new foreign currency forward contracts related to these investments nor did we enter into any other interest rate or other derivative agreements. We bear the costs incurred in connection with entering into, administering and settling derivative contracts. There can be no assurance any hedging strategy we employ will be successful.</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2013, we entered into foreign currency forward contracts related to our investments in Jeeves Information Systems AB and Soho House Bond Ltd., which in total generated an unrealized loss of $1.2 million and a realized gain of less than $0.1 million. Other than these foreign currency forward contracts, we did not enter into any other interest rate or other derivative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7"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to the holders of our shares.</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capital commitments of our existing investors terminated 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March 31, 2014 and December 31, 2013, our asset coverage ratio was 300.1% and 232.9%, respectively.</w:t>
      </w:r>
    </w:p>
    <w:p>
      <w:pPr>
        <w:spacing w:after="0" w:line="18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Cash and cash equivalents as of March 31, 2014, taken together with cash available under our credit facilities, is expected to be sufficient for our investing activities and to conduct our operations in the near term. On February 27, 2014, we terminated the Subscription Credit Facility, effective March 4, 2014. The outstanding balance under the Subscription Credit Facility was paid down prior to terminating the facility.</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of March 31, 2014, we had $28.8 million in cash and cash equivalents, an increase of $25.3 million from December 31, 2013. The increase was primarily attributable to drawing cash from our credit facility for two existing investments for which we funded upsizes for immediately after the period ended, as well as cash received on March 31, 2014 from amortization and interest payments and a partial sell down for one investment. During the three months ended March 31, 2014, we used $151.5 million in cash for operating activities, primarily as a result of funding of portfolio investments of $325.3 million. This was partially offset by proceeds from investments of $50.0 million, repayments on investments of $103.6 million, an increase in net assets resulting from operations of $25.3 million and other operating activity of $5.1 million. Lastly, cash provided by financing activities was $176.9 million during the period, primarily due to proceeds from issuance of common stock of $216.6 million partially offset by net repayments on debt of $29.6 million, debt issuance costs of $3.1 million and dividends paid of $7.0 million.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2013, we had $3.5 million in cash and cash equivalents, a decrease of $158.3 million from December 31, 2012. The decrease was primarily attributable to investments made during the period. During the year ended December 31, 2013, we used $289.6 million in operating activities, primarily as a result of funding of portfolio investments of $603.0 million. This was partially offset by proceeds from investments of $46.4 million, repayments on investments of $214.3 million, an increase in net assets resulting from operations of $67.0 million and other operating activity of</w:t>
      </w:r>
    </w:p>
    <w:p>
      <w:pPr>
        <w:spacing w:after="0" w:line="3"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color w:val="auto"/>
        </w:rPr>
        <w:t>$14.3 million. Lastly, cash provided by financing activities was $131.3 million during the period, primarily due to proceeds from issuance of common stock of $56.9 million and net borrowings on debt of $100.4 million, partially offset by debt issuance costs of $1.6 million and dividends paid of $24.4 million.</w:t>
      </w:r>
    </w:p>
    <w:p>
      <w:pPr>
        <w:spacing w:after="0" w:line="1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March 31, 2014, we had $8.5 million of restricted cash in our wholly owned subsidiary TPG SL SPV, an increase of $2.2 million from December 31, 2013. The increase was primarily attributable to increased interest payments from additional investments contributed to TPG SL SPV. Proceeds received by TPG SL SPV from interest and principal at the end of a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Issuances</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62"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In April 2014, an additional 1,050,000 shares of stock were issued pursuant to the exercise of the underwriters’ over-allotment option. Net of underwriting fees and offering costs, we received additional total cash proceeds of $15.4 million.</w:t>
      </w:r>
    </w:p>
    <w:p>
      <w:pPr>
        <w:spacing w:after="0" w:line="16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Prior to December 31, 2013, we entered into Subscription Agreements with our existing investors, including our Adviser and its affiliates, providing for the private placement of our common stock, which brought our total capital commitments to $1.5 billion (including $117.1 million from our Adviser and its affiliates). From inception through March 31, 2014, we had drawn down a total of $0.6 billion of capital and issued 38.9 million shares, excluding equity and shares issued through our dividend reinvestment plan. As of December 31, 2013, over $0.9 billion of capital commitments remained unfunded. These unfunded commitments terminated upon the completion of our IPO, and hence as of March 31, 2014 no longer remain in effect.</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2014 and 2013, we received fundings from drawdown notices to our investors relating to the issuance of 4,234,501 shares and 2,079,224 shares, respectively, of our common stock for aggregate proceeds of $65 million and $32 million, respectively. During the years ended December 31, 2013 and 2012, we received fundings from drawdown notices to our investors relating to the issuance of 3,713,053 shares and 19,199,421 shares, respectively, of our common stock for aggregate proceeds of $57 million and $288 million, respectively. Proceeds from the issuances were used in investing activities and for other general corporate purposes.</w:t>
      </w:r>
    </w:p>
    <w:p>
      <w:pPr>
        <w:spacing w:after="0" w:line="184"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to the drawdowns noted above, during the three months ended March 31, 2014 and the years ended December 31, 2013 and 2012, we issued 502,200 shares, 1,730,042 shares and 613,020 shares of our common stock, respectively, to shareholders who have not opted out of our dividend reinvestment plan for proceeds of $7.8 million, $26.4 million and $9.2 million, respectively.</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May 1, 2014, pursuant to our dividend reinvestment plan, we issued 410,183 shares in connection with the dividend that was paid on April 30, 2014 to shareholders who opted out of the dividend reinvestment plan. This dividend was declared on March 26, 2014 for shareholders of record on March 31, 2014.</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obligations consisted of the following as of March 31, 2014, December 31, 2013 and December 31, 2012:</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20" w:type="dxa"/>
            <w:vAlign w:val="bottom"/>
            <w:gridSpan w:val="3"/>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Pr>
          <w:p>
            <w:pPr>
              <w:spacing w:after="0"/>
              <w:rPr>
                <w:sz w:val="10"/>
                <w:szCs w:val="10"/>
                <w:color w:val="auto"/>
              </w:rPr>
            </w:pPr>
          </w:p>
        </w:tc>
        <w:tc>
          <w:tcPr>
            <w:tcW w:w="13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60" w:type="dxa"/>
            <w:vAlign w:val="bottom"/>
            <w:vMerge w:val="continue"/>
          </w:tcPr>
          <w:p>
            <w:pPr>
              <w:spacing w:after="0"/>
              <w:rPr>
                <w:sz w:val="15"/>
                <w:szCs w:val="15"/>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76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Available</w:t>
            </w:r>
            <w:r>
              <w:rPr>
                <w:rFonts w:ascii="Times New Roman" w:cs="Times New Roman" w:eastAsia="Times New Roman" w:hAnsi="Times New Roman"/>
                <w:sz w:val="12"/>
                <w:szCs w:val="12"/>
                <w:b w:val="1"/>
                <w:bCs w:val="1"/>
                <w:color w:val="auto"/>
                <w:w w:val="98"/>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SPV Asset Facility</w:t>
            </w:r>
            <w:r>
              <w:rPr>
                <w:rFonts w:ascii="Times New Roman" w:cs="Times New Roman" w:eastAsia="Times New Roman" w:hAnsi="Times New Roman"/>
                <w:sz w:val="15"/>
                <w:szCs w:val="15"/>
                <w:color w:val="auto"/>
              </w:rPr>
              <w:t>(2)</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$175.0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3"/>
              </w:rPr>
              <w:t>153.2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5"/>
                <w:szCs w:val="15"/>
                <w:color w:val="auto"/>
              </w:rPr>
              <w:t>(3)</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248.9</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332.4</w:t>
            </w:r>
          </w:p>
        </w:tc>
        <w:tc>
          <w:tcPr>
            <w:tcW w:w="0" w:type="dxa"/>
            <w:vAlign w:val="bottom"/>
          </w:tcPr>
          <w:p>
            <w:pPr>
              <w:spacing w:after="0"/>
              <w:rPr>
                <w:sz w:val="1"/>
                <w:szCs w:val="1"/>
                <w:color w:val="auto"/>
              </w:rPr>
            </w:pPr>
          </w:p>
        </w:tc>
      </w:tr>
      <w:tr>
        <w:trPr>
          <w:trHeight w:val="27"/>
        </w:trPr>
        <w:tc>
          <w:tcPr>
            <w:tcW w:w="59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756.3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402.1</w:t>
            </w:r>
          </w:p>
        </w:tc>
        <w:tc>
          <w:tcPr>
            <w:tcW w:w="5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2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Pr>
          <w:p>
            <w:pPr>
              <w:spacing w:after="0"/>
              <w:rPr>
                <w:sz w:val="10"/>
                <w:szCs w:val="10"/>
                <w:color w:val="auto"/>
              </w:rPr>
            </w:pPr>
          </w:p>
        </w:tc>
        <w:tc>
          <w:tcPr>
            <w:tcW w:w="13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60" w:type="dxa"/>
            <w:vAlign w:val="bottom"/>
            <w:vMerge w:val="continue"/>
          </w:tcPr>
          <w:p>
            <w:pPr>
              <w:spacing w:after="0"/>
              <w:rPr>
                <w:sz w:val="15"/>
                <w:szCs w:val="15"/>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76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Available</w:t>
            </w:r>
            <w:r>
              <w:rPr>
                <w:rFonts w:ascii="Times New Roman" w:cs="Times New Roman" w:eastAsia="Times New Roman" w:hAnsi="Times New Roman"/>
                <w:sz w:val="12"/>
                <w:szCs w:val="12"/>
                <w:b w:val="1"/>
                <w:bCs w:val="1"/>
                <w:color w:val="auto"/>
                <w:w w:val="98"/>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Credit Facility</w:t>
            </w:r>
            <w:r>
              <w:rPr>
                <w:rFonts w:ascii="Times New Roman" w:cs="Times New Roman" w:eastAsia="Times New Roman" w:hAnsi="Times New Roman"/>
                <w:sz w:val="15"/>
                <w:szCs w:val="15"/>
                <w:color w:val="auto"/>
              </w:rPr>
              <w:t>(4)</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SPV Asset Facility</w:t>
            </w:r>
            <w:r>
              <w:rPr>
                <w:rFonts w:ascii="Times New Roman" w:cs="Times New Roman" w:eastAsia="Times New Roman" w:hAnsi="Times New Roman"/>
                <w:sz w:val="15"/>
                <w:szCs w:val="15"/>
                <w:color w:val="auto"/>
              </w:rPr>
              <w:t>(2)</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77.8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322.5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600.0</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9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2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Pr>
          <w:p>
            <w:pPr>
              <w:spacing w:after="0"/>
              <w:rPr>
                <w:sz w:val="10"/>
                <w:szCs w:val="10"/>
                <w:color w:val="auto"/>
              </w:rPr>
            </w:pPr>
          </w:p>
        </w:tc>
        <w:tc>
          <w:tcPr>
            <w:tcW w:w="130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60" w:type="dxa"/>
            <w:vAlign w:val="bottom"/>
            <w:vMerge w:val="continue"/>
          </w:tcPr>
          <w:p>
            <w:pPr>
              <w:spacing w:after="0"/>
              <w:rPr>
                <w:sz w:val="15"/>
                <w:szCs w:val="15"/>
                <w:color w:val="auto"/>
              </w:rPr>
            </w:pPr>
          </w:p>
        </w:tc>
        <w:tc>
          <w:tcPr>
            <w:tcW w:w="5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760" w:type="dxa"/>
            <w:vAlign w:val="bottom"/>
          </w:tcPr>
          <w:p>
            <w:pPr>
              <w:spacing w:after="0"/>
              <w:rPr>
                <w:sz w:val="15"/>
                <w:szCs w:val="15"/>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Available</w:t>
            </w:r>
            <w:r>
              <w:rPr>
                <w:rFonts w:ascii="Times New Roman" w:cs="Times New Roman" w:eastAsia="Times New Roman" w:hAnsi="Times New Roman"/>
                <w:sz w:val="12"/>
                <w:szCs w:val="12"/>
                <w:b w:val="1"/>
                <w:bCs w:val="1"/>
                <w:color w:val="auto"/>
                <w:w w:val="98"/>
              </w:rPr>
              <w:t>(1)</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Credit Facility</w:t>
            </w:r>
            <w:r>
              <w:rPr>
                <w:rFonts w:ascii="Times New Roman" w:cs="Times New Roman" w:eastAsia="Times New Roman" w:hAnsi="Times New Roman"/>
                <w:sz w:val="15"/>
                <w:szCs w:val="15"/>
                <w:color w:val="auto"/>
              </w:rPr>
              <w:t>(4)</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$250.0</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SPV Asset Facility</w:t>
            </w:r>
            <w:r>
              <w:rPr>
                <w:rFonts w:ascii="Times New Roman" w:cs="Times New Roman" w:eastAsia="Times New Roman" w:hAnsi="Times New Roman"/>
                <w:sz w:val="15"/>
                <w:szCs w:val="15"/>
                <w:color w:val="auto"/>
              </w:rPr>
              <w:t>(2)</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5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550.0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331.</w:t>
            </w:r>
            <w:r>
              <w:rPr>
                <w:rFonts w:ascii="Times New Roman" w:cs="Times New Roman" w:eastAsia="Times New Roman" w:hAnsi="Times New Roman"/>
                <w:sz w:val="18"/>
                <w:szCs w:val="18"/>
                <w:u w:val="single" w:color="auto"/>
                <w:color w:val="auto"/>
              </w:rPr>
              <w:t>8</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2014, we amended the SPV Asset Facility to increase the size of the facility to $175.0 million.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2014, we amended the Revolving Credit Facility to increase the size of the facility to $581.3 million.</w:t>
      </w:r>
    </w:p>
    <w:p>
      <w:pPr>
        <w:spacing w:after="0" w:line="9" w:lineRule="exact"/>
        <w:rPr>
          <w:rFonts w:ascii="Times New Roman" w:cs="Times New Roman" w:eastAsia="Times New Roman" w:hAnsi="Times New Roman"/>
          <w:sz w:val="18"/>
          <w:szCs w:val="18"/>
          <w:color w:val="auto"/>
        </w:rPr>
      </w:pPr>
    </w:p>
    <w:p>
      <w:pPr>
        <w:ind w:left="460" w:right="580" w:hanging="452"/>
        <w:spacing w:after="0" w:line="261"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2014, we terminated the Subscription Credit Facility, effective March 4, 2014. The outstanding balance was paid down prior to terminating the facility.</w:t>
      </w:r>
    </w:p>
    <w:p>
      <w:pPr>
        <w:spacing w:after="0" w:line="180"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2014, December 31, 2013 and December 31, 2012, we were in compliance with the terms of our debt arrangements. We intend to continue to utilize our credit facilities to fund investments and for other general corporate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On February 27, 2014, we further amended and restated the agreement, which we refer to as the Revolving Credit Facility. The second amended and restated Revolving Credit Facility, among other things:</w:t>
      </w:r>
    </w:p>
    <w:p>
      <w:pPr>
        <w:spacing w:after="0" w:line="67" w:lineRule="exact"/>
        <w:rPr>
          <w:sz w:val="20"/>
          <w:szCs w:val="20"/>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to $581.3 million;</w:t>
      </w:r>
    </w:p>
    <w:p>
      <w:pPr>
        <w:spacing w:after="0" w:line="130"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uncommitted accordion feature to allow us, under certain circumstances, to increase the size of the facility up to $956.3 million;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limit for swingline loans to $100 million;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$545 million in commitments:</w:t>
      </w:r>
    </w:p>
    <w:p>
      <w:pPr>
        <w:spacing w:after="0" w:line="130" w:lineRule="exact"/>
        <w:rPr>
          <w:rFonts w:ascii="Times New Roman" w:cs="Times New Roman" w:eastAsia="Times New Roman" w:hAnsi="Times New Roman"/>
          <w:sz w:val="18"/>
          <w:szCs w:val="18"/>
          <w:color w:val="auto"/>
        </w:rPr>
      </w:pPr>
    </w:p>
    <w:p>
      <w:pPr>
        <w:ind w:left="1480" w:right="400" w:hanging="446"/>
        <w:spacing w:after="0" w:line="282" w:lineRule="auto"/>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revolving period from June 30, 2017 to February 27, 2018, during which period we, subject to certain conditions, may make borrowings under the facility;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July 2, 2018 to February 27, 2019; and</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Net proceeds received from the closing of our IPO and concurrent private placement were used to pay down borrowings on the Revolving Credit Facility.</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May 30, 2014, we exercised our right under the accordion feature and increased the size of the Revolving Credit Facility to $781.3 million. The Revolving Credit Facility continues to include the accordion feature, which would allow us, under certain circumstances, to increase the size of the Revolving Credit Facility further to a maximum of $956.3 million.</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Net proceeds received from the offering of our Convertible Senior Notes on June 10, 2014 were used to pay down borrowings on the Revolving Credit Facility.</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In connection with settling our foreign currency forward contracts related to our investments in Jeeves Information Systems AB and Soho House Bond Ltd., during the three months ended March 31, 2014 we borrowed in foreign currencies from our Revolving Credit Facility. As of March 31, 2014, we have outstanding debt denominated in Swedish Krona of 218,379,000 and outstanding debt denominated in Pound Sterling of 7,000,000 on our Revolving Credit Facility, included in the Borrowings Outstanding amount in the table above.</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TC Lending, LLC and certain of our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67"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$205 million plus 25% of the net proceeds of the sale of equity interests after August 23, 2012.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SPV Asset Facility</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May 8, 2012, the “Closing Date,” our wholly owned subsidiary TPG SL SPV, LLC, a Delaware limited liability company,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may be used to finance the acquisition of eligible assets by TPG SL SPV, including the purchase of such assets from us. We retain a residual interest in assets contributed to or acquired by TPG SL SPV through our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89" w:lineRule="exact"/>
        <w:rPr>
          <w:sz w:val="20"/>
          <w:szCs w:val="20"/>
          <w:color w:val="auto"/>
        </w:rPr>
      </w:pPr>
    </w:p>
    <w:p>
      <w:pPr>
        <w:jc w:val="both"/>
        <w:ind w:right="120" w:firstLine="456"/>
        <w:spacing w:after="0" w:line="270" w:lineRule="auto"/>
        <w:rPr>
          <w:sz w:val="20"/>
          <w:szCs w:val="20"/>
          <w:color w:val="auto"/>
        </w:rPr>
      </w:pPr>
      <w:r>
        <w:rPr>
          <w:rFonts w:ascii="Times New Roman" w:cs="Times New Roman" w:eastAsia="Times New Roman" w:hAnsi="Times New Roman"/>
          <w:sz w:val="17"/>
          <w:szCs w:val="17"/>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w:t>
      </w:r>
    </w:p>
    <w:p>
      <w:pPr>
        <w:spacing w:after="0" w:line="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8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On January 21, 2014, TPG SL SPV entered into an agreement to amend and restate the credit and security agreement, which we refer to as the SPV Asset Facility. The amended and restated facility, among other things:</w:t>
      </w:r>
    </w:p>
    <w:p>
      <w:pPr>
        <w:spacing w:after="0" w:line="67"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from $100 million to $175 million;</w:t>
      </w:r>
    </w:p>
    <w:p>
      <w:pPr>
        <w:spacing w:after="0" w:line="130" w:lineRule="exact"/>
        <w:rPr>
          <w:rFonts w:ascii="Times New Roman" w:cs="Times New Roman" w:eastAsia="Times New Roman" w:hAnsi="Times New Roman"/>
          <w:sz w:val="18"/>
          <w:szCs w:val="18"/>
          <w:color w:val="auto"/>
        </w:rPr>
      </w:pPr>
    </w:p>
    <w:p>
      <w:pPr>
        <w:ind w:left="900" w:right="40" w:hanging="325"/>
        <w:spacing w:after="0" w:line="266"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reopened the reinvestment period thereunder for an additional period of six months following the closing date of January 21, 2014, which reinvestment period was subsequently extended by the borrower for an additional six-month period (pursuant to an extension right exercisable by the borrower) so that the reinvestment period will remain open until January 21, 2015;</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May 8, 2020 to January 21, 2021;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pricing;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certain changes to the eligibility criteria and concentration limits.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our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 TPG SL SPV had $8.5 million and $6.3 million, respectively, in restricted cash, a component of prepaid expenses and other assets, in the accompanying consolidated financial statements.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Borrowings of TPG SL SPV are considered our borrowings for purposes of complying with the asset coverage requirements of the 1940 Act.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 Credit Facility</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On February 27, 2014, we terminated our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June 10, 2014, we issued in a private offering $115 million aggregate principal amount of the Convertible Senior Notes. The Convertible Senior Notes are unsecured, and bear interest at a rate of 4.50% per year, payable semiannually.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$110.1 million. The Convertible Senior Notes were issued under an indenture between us and Wells Fargo Bank, National Association, as trustee, under which 25% of the principal amount of the Convertible Senior Notes is generally necessary to require the trustee to take action. We used the net proceeds of the offering to pay down debt under the Revolving Credit Facility. In connection with the offering of Convertible Senior Notes, we entered into an interest rate swap to continue to align the interest rates of its liabilities with our investment portfolio, which consists of predominately floating rate loans. As a result of the swap, the effective interest rate on the Convertible Senior Notes is three-month LIBOR plus 252.9 basis points.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March 31, 2014 and December 31, 2013 and 2012, we had the following commitments to fund investments: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23.7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18.4</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120" w:type="dxa"/>
            <w:vAlign w:val="bottom"/>
          </w:tcPr>
          <w:p>
            <w:pPr>
              <w:spacing w:after="0"/>
              <w:rPr>
                <w:sz w:val="18"/>
                <w:szCs w:val="18"/>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2013, we had $1.5 billion in total capital commitments from investors (over $0.9 billion unfunded). These unfunded commitments terminated upon the completion of our IPO, and hence as of March 31, 2014 no longer remain in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March 31, 2014, December 31, 2013 and 2012, we had outstanding commitments to fund investments totaling $55.7 million, $55.0 million and $32.0 million, respectively.</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right="500" w:firstLine="456"/>
        <w:spacing w:after="0" w:line="256"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financial officer and chief compliance officer and their respective staffs. Our Adviser also offers on our behalf significant managerial assistance to those portfolio companies to which we are required to offer to provide such assistance.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March 31, 2014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920" w:type="dxa"/>
            <w:vAlign w:val="bottom"/>
            <w:gridSpan w:val="2"/>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1-</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3-</w:t>
            </w:r>
          </w:p>
        </w:tc>
        <w:tc>
          <w:tcPr>
            <w:tcW w:w="500" w:type="dxa"/>
            <w:vAlign w:val="bottom"/>
          </w:tcPr>
          <w:p>
            <w:pPr>
              <w:spacing w:after="0"/>
              <w:rPr>
                <w:sz w:val="10"/>
                <w:szCs w:val="10"/>
                <w:color w:val="auto"/>
              </w:rPr>
            </w:pPr>
          </w:p>
        </w:tc>
        <w:tc>
          <w:tcPr>
            <w:tcW w:w="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2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4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SPV Asset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5"/>
                <w:szCs w:val="15"/>
                <w:color w:val="auto"/>
              </w:rPr>
              <w:t>(1)</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248.9</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402.1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248.9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360" w:hanging="452"/>
        <w:spacing w:after="0" w:line="282" w:lineRule="auto"/>
        <w:tabs>
          <w:tab w:leader="none" w:pos="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10, 2014, we issued in a private offering $115 million aggregate principal amount of the Convertible Senior Notes due 2019. Net proceeds received from the offering were used to pay down borrowings on the Revolving Credit Facility.</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our contractual payment obligations as of December 31, 2013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0"/>
                <w:szCs w:val="10"/>
                <w:color w:val="auto"/>
              </w:rPr>
            </w:pPr>
          </w:p>
        </w:tc>
        <w:tc>
          <w:tcPr>
            <w:tcW w:w="32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1-</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3-</w:t>
            </w:r>
          </w:p>
        </w:tc>
        <w:tc>
          <w:tcPr>
            <w:tcW w:w="500" w:type="dxa"/>
            <w:vAlign w:val="bottom"/>
          </w:tcPr>
          <w:p>
            <w:pPr>
              <w:spacing w:after="0"/>
              <w:rPr>
                <w:sz w:val="10"/>
                <w:szCs w:val="10"/>
                <w:color w:val="auto"/>
              </w:rPr>
            </w:pPr>
          </w:p>
        </w:tc>
        <w:tc>
          <w:tcPr>
            <w:tcW w:w="44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0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Credit Facility</w:t>
            </w:r>
            <w:r>
              <w:rPr>
                <w:rFonts w:ascii="Times New Roman" w:cs="Times New Roman" w:eastAsia="Times New Roman" w:hAnsi="Times New Roman"/>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SPV Asset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77.8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322.5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8"/>
              </w:rPr>
              <w:t>322.5</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432.3</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322.5</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120" w:hanging="452"/>
        <w:spacing w:after="0" w:line="282"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2014, we terminated the Subscription Credit Facility, effective March 4, 2014. The outstanding balance under the Subscription Credit Facility was paid down prior to terminating the facility.</w:t>
      </w:r>
    </w:p>
    <w:p>
      <w:pPr>
        <w:spacing w:after="0" w:line="162"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See “—Off-Balance Sheet Arrangements—Portfolio Company Commitments.”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67" w:lineRule="exact"/>
        <w:rPr>
          <w:sz w:val="20"/>
          <w:szCs w:val="20"/>
          <w:color w:val="auto"/>
        </w:rPr>
      </w:pPr>
    </w:p>
    <w:p>
      <w:pPr>
        <w:ind w:left="900" w:hanging="325"/>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 exempt interest income over certain disallowed deductions) for such taxable year.</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62"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right="80" w:firstLine="456"/>
        <w:spacing w:after="0" w:line="313" w:lineRule="auto"/>
        <w:rPr>
          <w:sz w:val="20"/>
          <w:szCs w:val="20"/>
          <w:color w:val="auto"/>
        </w:rPr>
      </w:pPr>
      <w:r>
        <w:rPr>
          <w:rFonts w:ascii="Times New Roman" w:cs="Times New Roman" w:eastAsia="Times New Roman" w:hAnsi="Times New Roman"/>
          <w:sz w:val="17"/>
          <w:szCs w:val="17"/>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44" w:lineRule="exact"/>
        <w:rPr>
          <w:sz w:val="20"/>
          <w:szCs w:val="20"/>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98.0% of our net ordinary income excluding certain ordinary gains or losses for that calendar year;</w:t>
      </w:r>
    </w:p>
    <w:p>
      <w:pPr>
        <w:spacing w:after="0" w:line="130" w:lineRule="exact"/>
        <w:rPr>
          <w:rFonts w:ascii="Times New Roman" w:cs="Times New Roman" w:eastAsia="Times New Roman" w:hAnsi="Times New Roman"/>
          <w:sz w:val="18"/>
          <w:szCs w:val="18"/>
          <w:color w:val="auto"/>
        </w:rPr>
      </w:pPr>
    </w:p>
    <w:p>
      <w:pPr>
        <w:ind w:left="900" w:right="740" w:hanging="325"/>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 of our capital gain net income, adjusted for certain ordinary gains and losses, recognized for the twelve-month period ending on October 31 of that calendar year;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 distribution carefully and should not assume that the source of any distribution is our ordinary income or gains.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30"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 See “—Results of Operations—Hedging.”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“—Critical Accounting Policies—Investments at Fair Value” and Note 2 to our audited consolidated financial statements included elsewhere in this prospectus for more details on estimates and judgments made by us in connection with the valuation of our investments.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40" w:firstLine="456"/>
        <w:spacing w:after="0" w:line="289" w:lineRule="auto"/>
        <w:rPr>
          <w:sz w:val="20"/>
          <w:szCs w:val="20"/>
          <w:color w:val="auto"/>
        </w:rPr>
      </w:pPr>
      <w:r>
        <w:rPr>
          <w:rFonts w:ascii="Times New Roman" w:cs="Times New Roman" w:eastAsia="Times New Roman" w:hAnsi="Times New Roman"/>
          <w:sz w:val="17"/>
          <w:szCs w:val="17"/>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58"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March 31, 2014, 98.6% of our debt investments bore interest at floating rates, subject to interest rate floors. Our credit facilities also bear interest at floating rates.</w:t>
      </w:r>
    </w:p>
    <w:p>
      <w:pPr>
        <w:spacing w:after="0" w:line="162"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240" w:top="455" w:right="31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March 31, 2014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340" w:type="dxa"/>
            <w:vAlign w:val="bottom"/>
          </w:tcPr>
          <w:p>
            <w:pPr>
              <w:spacing w:after="0"/>
              <w:rPr>
                <w:sz w:val="13"/>
                <w:szCs w:val="13"/>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3"/>
                <w:szCs w:val="13"/>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76"/>
        </w:trPr>
        <w:tc>
          <w:tcPr>
            <w:tcW w:w="6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4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bl>
    <w:p>
      <w:pPr>
        <w:spacing w:after="0" w:line="17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5620" w:right="1480" w:hanging="5045"/>
        <w:spacing w:after="0" w:line="454" w:lineRule="auto"/>
        <w:tabs>
          <w:tab w:leader="none" w:pos="8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fair value of the portfolio company’s debt and equity); 78</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jc w:val="both"/>
        <w:ind w:left="900" w:right="520" w:hanging="325"/>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conduct this valuation process on a quarterly basis.</w:t>
      </w:r>
    </w:p>
    <w:p>
      <w:pPr>
        <w:spacing w:after="0" w:line="225"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6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91" w:lineRule="exact"/>
        <w:rPr>
          <w:sz w:val="20"/>
          <w:szCs w:val="20"/>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60"/>
          </w:cols>
          <w:pgMar w:left="240" w:top="455" w:right="29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2"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76"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See Note 6 to our audited consolidated financial statements included elsewhere in this prospectus for more information on the fair value of our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7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8"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Taxes</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455" w:right="2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272" w:lineRule="auto"/>
        <w:rPr>
          <w:sz w:val="20"/>
          <w:szCs w:val="20"/>
          <w:color w:val="auto"/>
        </w:rPr>
      </w:pPr>
      <w:r>
        <w:rPr>
          <w:rFonts w:ascii="Times New Roman" w:cs="Times New Roman" w:eastAsia="Times New Roman" w:hAnsi="Times New Roman"/>
          <w:sz w:val="17"/>
          <w:szCs w:val="17"/>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w:t>
      </w:r>
    </w:p>
    <w:p>
      <w:pPr>
        <w:spacing w:after="0" w:line="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Conclusions regarding tax positions are subject to review and may be adjusted at a later date based on factors including on-going analyses of tax laws, regulations and interpretations thereof.</w:t>
      </w:r>
    </w:p>
    <w:p>
      <w:pPr>
        <w:spacing w:after="0" w:line="18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80"/>
          </w:cols>
          <w:pgMar w:left="240" w:top="455" w:right="3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the end of each fiscal year ended December 31, 2013, 2012 and 2011 and as of March 31, 2014. The report of our independent registered public accounting firm, KPMG LLP, on the senior securities table as of December 31, 2013 is attached as an exhibit to the registration statement of which this prospectus is a part.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1760" w:type="dxa"/>
            <w:vAlign w:val="bottom"/>
            <w:gridSpan w:val="2"/>
          </w:tcPr>
          <w:p>
            <w:pPr>
              <w:jc w:val="right"/>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Average Market</w:t>
            </w:r>
          </w:p>
        </w:tc>
        <w:tc>
          <w:tcPr>
            <w:tcW w:w="0" w:type="dxa"/>
            <w:vAlign w:val="bottom"/>
          </w:tcPr>
          <w:p>
            <w:pPr>
              <w:spacing w:after="0"/>
              <w:rPr>
                <w:sz w:val="1"/>
                <w:szCs w:val="1"/>
                <w:color w:val="auto"/>
              </w:rPr>
            </w:pPr>
          </w:p>
        </w:tc>
      </w:tr>
      <w:tr>
        <w:trPr>
          <w:trHeight w:val="149"/>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720" w:type="dxa"/>
            <w:vAlign w:val="bottom"/>
          </w:tcPr>
          <w:p>
            <w:pPr>
              <w:spacing w:after="0"/>
              <w:rPr>
                <w:sz w:val="12"/>
                <w:szCs w:val="12"/>
                <w:color w:val="auto"/>
              </w:rPr>
            </w:pPr>
          </w:p>
        </w:tc>
        <w:tc>
          <w:tcPr>
            <w:tcW w:w="1680" w:type="dxa"/>
            <w:vAlign w:val="bottom"/>
            <w:gridSpan w:val="3"/>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2"/>
                <w:szCs w:val="12"/>
                <w:b w:val="1"/>
                <w:bCs w:val="1"/>
                <w:color w:val="auto"/>
              </w:rPr>
              <w:t>(1)</w:t>
            </w:r>
          </w:p>
        </w:tc>
        <w:tc>
          <w:tcPr>
            <w:tcW w:w="1800" w:type="dxa"/>
            <w:vAlign w:val="bottom"/>
            <w:gridSpan w:val="3"/>
            <w:vMerge w:val="continue"/>
          </w:tcPr>
          <w:p>
            <w:pPr>
              <w:spacing w:after="0"/>
              <w:rPr>
                <w:sz w:val="12"/>
                <w:szCs w:val="12"/>
                <w:color w:val="auto"/>
              </w:rPr>
            </w:pPr>
          </w:p>
        </w:tc>
        <w:tc>
          <w:tcPr>
            <w:tcW w:w="176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Preference Per</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120" w:type="dxa"/>
            <w:vAlign w:val="bottom"/>
          </w:tcPr>
          <w:p>
            <w:pPr>
              <w:spacing w:after="0"/>
              <w:rPr>
                <w:sz w:val="15"/>
                <w:szCs w:val="15"/>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(2)</w:t>
            </w:r>
          </w:p>
        </w:tc>
        <w:tc>
          <w:tcPr>
            <w:tcW w:w="176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2"/>
                <w:szCs w:val="12"/>
                <w:b w:val="1"/>
                <w:bCs w:val="1"/>
                <w:color w:val="auto"/>
              </w:rPr>
              <w:t>(3)</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Value Per Unit</w:t>
            </w:r>
            <w:r>
              <w:rPr>
                <w:rFonts w:ascii="Times New Roman" w:cs="Times New Roman" w:eastAsia="Times New Roman" w:hAnsi="Times New Roman"/>
                <w:sz w:val="12"/>
                <w:szCs w:val="12"/>
                <w:b w:val="1"/>
                <w:bCs w:val="1"/>
                <w:color w:val="auto"/>
                <w:w w:val="98"/>
              </w:rPr>
              <w:t>(4)</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2014 (as of March 31, 2014) (Unaudited)</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840" w:type="dxa"/>
            <w:vAlign w:val="bottom"/>
          </w:tcPr>
          <w:p>
            <w:pPr>
              <w:spacing w:after="0"/>
              <w:rPr>
                <w:sz w:val="18"/>
                <w:szCs w:val="18"/>
                <w:color w:val="auto"/>
              </w:rPr>
            </w:pPr>
          </w:p>
        </w:tc>
        <w:tc>
          <w:tcPr>
            <w:tcW w:w="17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840" w:type="dxa"/>
            <w:vAlign w:val="bottom"/>
          </w:tcPr>
          <w:p>
            <w:pPr>
              <w:spacing w:after="0"/>
              <w:rPr>
                <w:sz w:val="18"/>
                <w:szCs w:val="18"/>
                <w:color w:val="auto"/>
              </w:rPr>
            </w:pPr>
          </w:p>
        </w:tc>
        <w:tc>
          <w:tcPr>
            <w:tcW w:w="17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2011</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2,116.7</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Senior Notes due 2019</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 (as of March 31, 2014) (Unaudited)</w:t>
            </w:r>
            <w:r>
              <w:rPr>
                <w:rFonts w:ascii="Times New Roman" w:cs="Times New Roman" w:eastAsia="Times New Roman" w:hAnsi="Times New Roman"/>
                <w:sz w:val="15"/>
                <w:szCs w:val="15"/>
                <w:color w:val="auto"/>
              </w:rPr>
              <w:t>(5)</w:t>
            </w:r>
          </w:p>
        </w:tc>
        <w:tc>
          <w:tcPr>
            <w:tcW w:w="8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the end of the period presented.</w:t>
      </w:r>
    </w:p>
    <w:p>
      <w:pPr>
        <w:spacing w:after="0" w:line="27"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aggregate principal amount of Convertible Senior Notes due 2019 were issued in June 2014.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March 31, 2014, we have originated more than $2.6 billion aggregate principal amount of investments and retained more than $1.8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18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Based on fair value as of March 31, 2014, our portfolio consisted of 82.4% first-lien debt investments, 17.0% second-lien debt investments, 0.4% mezzanine debt investments, and 0.2% equity investments. Approximately 98.6% of our investments as of March 31, 2014 are floating rate in nature, subject to interest rate floors, which we believe helps act as a portfolio-wide hedge against inflation. As of March 31, 2014 and December 31, 2013, we had investments in 30 and 27 portfolio companies, respectively. As of March 31, 2014, our average investment size in our portfolio companies was $40 million.</w:t>
      </w:r>
    </w:p>
    <w:p>
      <w:pPr>
        <w:spacing w:after="0" w:line="18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As of March 31, 2014, our portfolio was invested across 19 different industries. The largest industries in our portfolio, based on fair value as of March 31, 2014, were business services, healthcare and pharmaceuticals, and financial services, which represented, as a percentage of our portfolio, 11.6%, 11.2% and 9.2%, respectively. We expect that no single investment will represent more than 15% of our total investment portfolio, based on fair value. See “Portfolio Companies” for more information on our portfolio as of March 31, 2014.</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TSL—Our Investment Adviser” below. Pursuant to our certificate of incorporation, the Board consists of five members divided into three classes with staggered three-year terms. As a BDC, a majority of our Board consists of Independent Directors.</w:t>
      </w:r>
    </w:p>
    <w:p>
      <w:pPr>
        <w:spacing w:after="0" w:line="18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money, we analyze the maturity, covenant package and rate structure of the proposed borrowings, as well as the risks of those borrowings compared to our investment outlook. Currently, we employ a variety of credit facilities. We may, in the future, enter into other credit facilities.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an “emerging growth company” under the JOBS Act and will be subject to reduced public company reporting requirements. Further,</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107 of the JOBS Act also provides that an “emerging growth company” can take advantage of the extended transition period provided in Section 7(a) (2)(B) of the Securities Act and Section 13(a) of the Exchange Act for complying with new or revised accounting standards. In other words, an “emerging growth company” can delay the adoption of certain accounting standards until those standards would otherwise apply to private companies.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TSL</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 On June 1, 2011, we formed a wholly owned subsidiary, TC Lending, LLC, a Delaware limited liability company, which holds a California finance lender and broker license. On March 22, 2012, we formed another wholly owned subsidiary, TPG SL SPV, LLC, a Delaware limited liability company, in which we hold assets to support our asset-backed credit facility. On May 19, 2014, we formed another wholly owned subsidiary, TSL MR, LLC, a Delaware limited liability company, to hold certain of our investments.</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 Adviser</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TSSP, which encompasses TPG Specialty Lending, TPG Opportunities Partners and TPG Institutional Credit Partners, is TPG’s special situations and credit platform.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80"/>
          </w:cols>
          <w:pgMar w:left="240" w:top="455" w:right="2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with over $59 billion of assets under management, as of March 31,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5.2% of our common stock. See “Management,” “Related-Party Transactions and Certain Relationships” and “Control Persons and Principal Stockholders.”</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62"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 Under the terms of the Investment Advisory Agreement, we pay the Adviser the Management Fee and the Incentive Fee. For a discussion of the Management Fee and Incentive Fee payable by us to the Adviser, see “Management and Other Agreements— Investment Advisory Agreement; Administration Agreement; License Agreement.” Our Board monitors the mix and performance of our investments over time and seeks to satisfy itself that the Adviser is acting in our interests and that our fee structure appropriately incentivizes the Adviser to do so. On November 5, 2013, our Board renewed the Investment Advisory Agreement. Unless earlier terminated, the Investment Advisory Agreement will remain in effect until November 5, 2014 and may be extended subject to required approvals.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Administrator</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Under the terms of the Administration Agreement, the Adviser acts as our administrator, providing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455"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reimbursable to the Adviser under the terms of the Administration Agreement. See “Management and Other Agreements—Payment of Our Expenses.” In addition, the Adviser is permitted to delegate its duties under the Administration Agreement to affiliates or third parties and we will pay or reimburse the Adviser expenses incurred by any such affiliates or third parties for work done on our behalf.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jc w:val="both"/>
        <w:ind w:right="260" w:firstLine="45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6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8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7"/>
          <w:szCs w:val="17"/>
          <w:i w:val="1"/>
          <w:iCs w:val="1"/>
          <w:color w:val="auto"/>
        </w:rPr>
        <w:t>Strong demand for debt capital</w:t>
      </w:r>
      <w:r>
        <w:rPr>
          <w:rFonts w:ascii="Times New Roman" w:cs="Times New Roman" w:eastAsia="Times New Roman" w:hAnsi="Times New Roman"/>
          <w:sz w:val="17"/>
          <w:szCs w:val="17"/>
          <w:color w:val="auto"/>
        </w:rPr>
        <w:t>. We believe middle-market companies will continue to require access to debt capital to refinance existing debt, support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growth and finance acquisitions. In addition, we believe the large amount of uninvested capital held by funds of private equity firms, estimated by Preqin Ltd., an alternative assets industry data and research company, at $1.1 trillion as of March 2014, will continue to drive deal activity. We expect that private equity firms will continue to pursue acquisitions and to seek to leverage their equity investments with secured loans provided by companies such as ours.</w:t>
      </w:r>
    </w:p>
    <w:p>
      <w:pPr>
        <w:spacing w:after="0" w:line="16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 dynamics.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3"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 borrowers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60"/>
          </w:cols>
          <w:pgMar w:left="240" w:top="455" w:right="29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right="2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176"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Illustrative of the market opportunity for BDCs, the graph below demonstrates the decline in U.S. Federal Deposit Insurance Corporation, or FDIC, insured commercial banks and the drop in bank participation in the leveraged loan market over the past two decades.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172085</wp:posOffset>
            </wp:positionV>
            <wp:extent cx="2512695" cy="17754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1269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of investment banks or other traditional Wall Street sources. Our Adviser has a dedicated team of 17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62"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74" w:lineRule="exact"/>
        <w:rPr>
          <w:sz w:val="20"/>
          <w:szCs w:val="20"/>
          <w:color w:val="auto"/>
        </w:rPr>
      </w:pPr>
    </w:p>
    <w:p>
      <w:pPr>
        <w:ind w:right="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 opposed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79" w:lineRule="exact"/>
        <w:rPr>
          <w:sz w:val="20"/>
          <w:szCs w:val="20"/>
          <w:color w:val="auto"/>
        </w:rPr>
      </w:pPr>
    </w:p>
    <w:p>
      <w:pPr>
        <w:ind w:left="900" w:right="320" w:hanging="325"/>
        <w:spacing w:after="0" w:line="284"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TSSP and TPG allow us to determine current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and identify relative value.</w:t>
      </w:r>
    </w:p>
    <w:p>
      <w:pPr>
        <w:spacing w:after="0" w:line="63" w:lineRule="exact"/>
        <w:rPr>
          <w:rFonts w:ascii="Times New Roman" w:cs="Times New Roman" w:eastAsia="Times New Roman" w:hAnsi="Times New Roman"/>
          <w:sz w:val="18"/>
          <w:szCs w:val="18"/>
          <w:color w:val="auto"/>
        </w:rPr>
      </w:pPr>
    </w:p>
    <w:p>
      <w:pPr>
        <w:ind w:left="900" w:right="40" w:hanging="325"/>
        <w:spacing w:after="0" w:line="259"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 premiums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5" w:lineRule="exact"/>
        <w:rPr>
          <w:rFonts w:ascii="Times New Roman" w:cs="Times New Roman" w:eastAsia="Times New Roman" w:hAnsi="Times New Roman"/>
          <w:sz w:val="18"/>
          <w:szCs w:val="18"/>
          <w:color w:val="auto"/>
        </w:rPr>
      </w:pPr>
    </w:p>
    <w:p>
      <w:pPr>
        <w:ind w:left="900" w:right="300" w:hanging="325"/>
        <w:spacing w:after="0" w:line="284"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 four-tiered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framework:</w:t>
      </w:r>
    </w:p>
    <w:p>
      <w:pPr>
        <w:spacing w:after="0" w:line="63" w:lineRule="exact"/>
        <w:rPr>
          <w:rFonts w:ascii="Times New Roman" w:cs="Times New Roman" w:eastAsia="Times New Roman" w:hAnsi="Times New Roman"/>
          <w:sz w:val="18"/>
          <w:szCs w:val="18"/>
          <w:color w:val="auto"/>
        </w:rPr>
      </w:pPr>
    </w:p>
    <w:p>
      <w:pPr>
        <w:ind w:left="1480" w:hanging="446"/>
        <w:spacing w:after="0" w:line="259" w:lineRule="auto"/>
        <w:tabs>
          <w:tab w:leader="none" w:pos="1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85" w:lineRule="exact"/>
        <w:rPr>
          <w:rFonts w:ascii="Times New Roman" w:cs="Times New Roman" w:eastAsia="Times New Roman" w:hAnsi="Times New Roman"/>
          <w:sz w:val="18"/>
          <w:szCs w:val="18"/>
          <w:color w:val="auto"/>
        </w:rPr>
      </w:pPr>
    </w:p>
    <w:p>
      <w:pPr>
        <w:ind w:left="1480" w:right="20" w:hanging="446"/>
        <w:spacing w:after="0" w:line="257" w:lineRule="auto"/>
        <w:tabs>
          <w:tab w:leader="none" w:pos="1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 diligence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8" w:lineRule="exact"/>
        <w:rPr>
          <w:rFonts w:ascii="Times New Roman" w:cs="Times New Roman" w:eastAsia="Times New Roman" w:hAnsi="Times New Roman"/>
          <w:sz w:val="18"/>
          <w:szCs w:val="18"/>
          <w:color w:val="auto"/>
        </w:rPr>
      </w:pPr>
    </w:p>
    <w:p>
      <w:pPr>
        <w:jc w:val="both"/>
        <w:ind w:left="1480" w:right="220" w:hanging="446"/>
        <w:spacing w:after="0" w:line="267" w:lineRule="auto"/>
        <w:tabs>
          <w:tab w:leader="none" w:pos="1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78" w:lineRule="exact"/>
        <w:rPr>
          <w:rFonts w:ascii="Times New Roman" w:cs="Times New Roman" w:eastAsia="Times New Roman" w:hAnsi="Times New Roman"/>
          <w:sz w:val="18"/>
          <w:szCs w:val="18"/>
          <w:color w:val="auto"/>
        </w:rPr>
      </w:pPr>
    </w:p>
    <w:p>
      <w:pPr>
        <w:ind w:left="1480" w:right="60" w:hanging="446"/>
        <w:spacing w:after="0" w:line="267" w:lineRule="auto"/>
        <w:tabs>
          <w:tab w:leader="none" w:pos="14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payment income. In addition, most of our investments are floating rate in nature, which we believe helps act as a portfolio-wide hedge against inflation.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540" w:hanging="325"/>
        <w:spacing w:after="0" w:line="267"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proactively identifying sector and operational issues and carefully managing risks. The information gathered on market trends through this process also informs our underwriting for new loans.</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 We closed approximately 1.8% of approximately 2,700 investment opportunities our Investment Team reviewed since our inception through March 31, 2014.</w:t>
      </w:r>
    </w:p>
    <w:p>
      <w:pPr>
        <w:spacing w:after="0" w:line="160"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Carefully constructed, existing, wide-ranging portfolio consisting of predominantly senior, floating rate loans</w:t>
      </w:r>
      <w:r>
        <w:rPr>
          <w:rFonts w:ascii="Times New Roman" w:cs="Times New Roman" w:eastAsia="Times New Roman" w:hAnsi="Times New Roman"/>
          <w:sz w:val="18"/>
          <w:szCs w:val="18"/>
          <w:color w:val="auto"/>
        </w:rPr>
        <w:t>. Since we began investing in 2011,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invested more than $1.8 billion. As of March 31, 2014, we had a portfolio of investments in 30 portfolio companies totaling $1,195.5 million that we believe exhibits strong credit quality and broad industry composition. As of March 31, 2014, approximately 98.6% of our debt investments bore interest at floating rates, subject to interest rate floors, and 82.4% of the fair value of our portfolio was invested in first-lien debt investments. We believe this portfolio will allow us to generate meaningful investment income, and consequently dividend income, for our stockholders.</w:t>
      </w:r>
    </w:p>
    <w:p>
      <w:pPr>
        <w:spacing w:after="0" w:line="18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Experienced management team. The eight managing directors of TSSP on the Adviser’s team have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3" w:lineRule="exact"/>
        <w:rPr>
          <w:sz w:val="20"/>
          <w:szCs w:val="20"/>
          <w:color w:val="auto"/>
        </w:rPr>
      </w:pPr>
    </w:p>
    <w:p>
      <w:pPr>
        <w:jc w:val="both"/>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 structure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investment professionals is based on our returns, as opposed to transaction volume, which we believe fosters a focus on credit quality when originating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right="900" w:firstLine="456"/>
        <w:spacing w:after="0" w:line="282" w:lineRule="auto"/>
        <w:rPr>
          <w:sz w:val="20"/>
          <w:szCs w:val="20"/>
          <w:color w:val="auto"/>
        </w:rPr>
      </w:pPr>
      <w:r>
        <w:rPr>
          <w:rFonts w:ascii="Times New Roman" w:cs="Times New Roman" w:eastAsia="Times New Roman" w:hAnsi="Times New Roman"/>
          <w:sz w:val="18"/>
          <w:szCs w:val="18"/>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67" w:lineRule="exact"/>
        <w:rPr>
          <w:sz w:val="20"/>
          <w:szCs w:val="20"/>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Origination and Sourcing</w:t>
      </w:r>
    </w:p>
    <w:p>
      <w:pPr>
        <w:spacing w:after="0" w:line="121"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 Process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management group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86" w:lineRule="exact"/>
        <w:rPr>
          <w:sz w:val="20"/>
          <w:szCs w:val="20"/>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loan, the key personnel and variables, as well as the sources and uses of the proceeds;</w:t>
      </w:r>
    </w:p>
    <w:p>
      <w:pPr>
        <w:spacing w:after="0" w:line="130"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TSSP and TPG internal resources with institutional knowledge of the company’s business;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Selective Investment Process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After an investment has been identified and preliminary diligence has been completed, a credit research and analysis report is prepared. This report is reviewed by the senior investment professional in charge of the potential investment. If these senior and other investment professionals are in favor of the potential investment,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Formal Commitment</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Approval of an origination requires the approval of the Investment Review Committee or, depending on the size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Monitoring</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and fair value of our investments, which may include the following:</w:t>
      </w:r>
    </w:p>
    <w:p>
      <w:pPr>
        <w:spacing w:after="0" w:line="67" w:lineRule="exact"/>
        <w:rPr>
          <w:sz w:val="20"/>
          <w:szCs w:val="20"/>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2" w:lineRule="exact"/>
        <w:rPr>
          <w:sz w:val="20"/>
          <w:szCs w:val="20"/>
          <w:color w:val="auto"/>
        </w:rPr>
      </w:pPr>
    </w:p>
    <w:p>
      <w:pPr>
        <w:ind w:left="900" w:right="300" w:hanging="325"/>
        <w:spacing w:after="0" w:line="266"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1"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1"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1" w:lineRule="exact"/>
        <w:rPr>
          <w:rFonts w:ascii="Times New Roman" w:cs="Times New Roman" w:eastAsia="Times New Roman" w:hAnsi="Times New Roman"/>
          <w:sz w:val="18"/>
          <w:szCs w:val="18"/>
          <w:color w:val="auto"/>
        </w:rPr>
      </w:pPr>
    </w:p>
    <w:p>
      <w:pPr>
        <w:ind w:left="900" w:right="220" w:hanging="325"/>
        <w:spacing w:after="0" w:line="266"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00"/>
          </w:cols>
          <w:pgMar w:left="240" w:top="455" w:right="3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380"/>
        <w:spacing w:after="0" w:line="266" w:lineRule="auto"/>
        <w:rPr>
          <w:sz w:val="20"/>
          <w:szCs w:val="20"/>
          <w:color w:val="auto"/>
        </w:rPr>
      </w:pPr>
      <w:r>
        <w:rPr>
          <w:rFonts w:ascii="Times New Roman" w:cs="Times New Roman" w:eastAsia="Times New Roman" w:hAnsi="Times New Roman"/>
          <w:sz w:val="18"/>
          <w:szCs w:val="18"/>
          <w:color w:val="auto"/>
        </w:rPr>
        <w:t>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82" w:lineRule="exact"/>
        <w:rPr>
          <w:sz w:val="20"/>
          <w:szCs w:val="20"/>
          <w:color w:val="auto"/>
        </w:rPr>
      </w:pPr>
    </w:p>
    <w:p>
      <w:pPr>
        <w:ind w:left="900" w:right="60" w:hanging="325"/>
        <w:spacing w:after="0" w:line="261"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Review Committee</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TSSP and TPG, as well as certain other persons appointed by the Adviser from time to time. Our Investment Team and the Investment Review Committee are supported by and have access to the investment professionals, analytical capabilities and support personnel of TPG. Some of the officers and employees of the Adviser, including some of its senior officers, are also employees of TPG. See “Management” and “Related-Party Transactions and Certain Relationships.”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Structure of Investments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Since beginning our investment activities in July 2011, we have sought to generate current income primarily in U.S.-domiciled middle-market companies through direct originations of senior secured loans and, to a lesser extent, originations of mezzanine loans and investments in corporate bonds and equity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0" w:lineRule="exact"/>
        <w:rPr>
          <w:sz w:val="20"/>
          <w:szCs w:val="20"/>
          <w:color w:val="auto"/>
        </w:rPr>
      </w:pPr>
    </w:p>
    <w:p>
      <w:pPr>
        <w:ind w:left="900" w:hanging="325"/>
        <w:spacing w:after="0" w:line="261"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First-lien debt is typically senior on a lien basis to other liabilities in the issuer’s capital structure and has the 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85" w:lineRule="exact"/>
        <w:rPr>
          <w:rFonts w:ascii="Times New Roman" w:cs="Times New Roman" w:eastAsia="Times New Roman" w:hAnsi="Times New Roman"/>
          <w:sz w:val="18"/>
          <w:szCs w:val="18"/>
          <w:color w:val="auto"/>
        </w:rPr>
      </w:pPr>
    </w:p>
    <w:p>
      <w:pPr>
        <w:ind w:left="1480" w:right="160" w:hanging="446"/>
        <w:spacing w:after="0" w:line="284" w:lineRule="auto"/>
        <w:tabs>
          <w:tab w:leader="none" w:pos="148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Stand-alone first-lien loans</w:t>
      </w:r>
      <w:r>
        <w:rPr>
          <w:rFonts w:ascii="Times New Roman" w:cs="Times New Roman" w:eastAsia="Times New Roman" w:hAnsi="Times New Roman"/>
          <w:sz w:val="18"/>
          <w:szCs w:val="18"/>
          <w:color w:val="auto"/>
        </w:rPr>
        <w:t>. Stand-alone first-lien loans are traditional first-lien loans. All lenders in the facility have equal rights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that is subject to the first-priority security interest.</w:t>
      </w:r>
    </w:p>
    <w:p>
      <w:pPr>
        <w:spacing w:after="0" w:line="63" w:lineRule="exact"/>
        <w:rPr>
          <w:rFonts w:ascii="Times New Roman" w:cs="Times New Roman" w:eastAsia="Times New Roman" w:hAnsi="Times New Roman"/>
          <w:sz w:val="15"/>
          <w:szCs w:val="15"/>
          <w:color w:val="auto"/>
        </w:rPr>
      </w:pPr>
    </w:p>
    <w:p>
      <w:pPr>
        <w:ind w:left="1480" w:right="40" w:hanging="446"/>
        <w:spacing w:after="0" w:line="259" w:lineRule="auto"/>
        <w:tabs>
          <w:tab w:leader="none" w:pos="1480"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“Last out” first-lien loans</w:t>
      </w:r>
      <w:r>
        <w:rPr>
          <w:rFonts w:ascii="Times New Roman" w:cs="Times New Roman" w:eastAsia="Times New Roman" w:hAnsi="Times New Roman"/>
          <w:sz w:val="18"/>
          <w:szCs w:val="18"/>
          <w:color w:val="auto"/>
        </w:rPr>
        <w:t>. “Last out” first-lien loans have a secondary priority behind super-senior “first out” first-lien loans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455"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20"/>
        <w:spacing w:after="0" w:line="261" w:lineRule="auto"/>
        <w:rPr>
          <w:sz w:val="20"/>
          <w:szCs w:val="20"/>
          <w:color w:val="auto"/>
        </w:rPr>
      </w:pPr>
      <w:r>
        <w:rPr>
          <w:rFonts w:ascii="Times New Roman" w:cs="Times New Roman" w:eastAsia="Times New Roman" w:hAnsi="Times New Roman"/>
          <w:sz w:val="18"/>
          <w:szCs w:val="18"/>
          <w:color w:val="auto"/>
        </w:rPr>
        <w:t>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84" w:lineRule="exact"/>
        <w:rPr>
          <w:sz w:val="20"/>
          <w:szCs w:val="20"/>
          <w:color w:val="auto"/>
        </w:rPr>
      </w:pPr>
    </w:p>
    <w:p>
      <w:pPr>
        <w:ind w:left="1480" w:hanging="446"/>
        <w:spacing w:after="0" w:line="267" w:lineRule="auto"/>
        <w:tabs>
          <w:tab w:leader="none" w:pos="1480"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i w:val="1"/>
          <w:iCs w:val="1"/>
          <w:color w:val="auto"/>
        </w:rPr>
        <w:t>“Unitranche” loans</w:t>
      </w:r>
      <w:r>
        <w:rPr>
          <w:rFonts w:ascii="Times New Roman" w:cs="Times New Roman" w:eastAsia="Times New Roman" w:hAnsi="Times New Roman"/>
          <w:sz w:val="18"/>
          <w:szCs w:val="18"/>
          <w:color w:val="auto"/>
        </w:rPr>
        <w:t>. Unitranche loans combine features of first-lien, second-lien and mezzanine debt, generally in a first-lien position.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78" w:lineRule="exact"/>
        <w:rPr>
          <w:rFonts w:ascii="Times New Roman" w:cs="Times New Roman" w:eastAsia="Times New Roman" w:hAnsi="Times New Roman"/>
          <w:sz w:val="15"/>
          <w:szCs w:val="15"/>
          <w:color w:val="auto"/>
        </w:rPr>
      </w:pPr>
    </w:p>
    <w:p>
      <w:pPr>
        <w:ind w:left="900" w:hanging="325"/>
        <w:spacing w:after="0" w:line="259"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Second-lien debt</w:t>
      </w:r>
      <w:r>
        <w:rPr>
          <w:rFonts w:ascii="Times New Roman" w:cs="Times New Roman" w:eastAsia="Times New Roman" w:hAnsi="Times New Roman"/>
          <w:sz w:val="18"/>
          <w:szCs w:val="18"/>
          <w:color w:val="auto"/>
        </w:rPr>
        <w:t>. Our second-lien debt may include secured loans, and, to a lesser extent, secured corporate bonds, with a secondary 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85" w:lineRule="exact"/>
        <w:rPr>
          <w:rFonts w:ascii="Times New Roman" w:cs="Times New Roman" w:eastAsia="Times New Roman" w:hAnsi="Times New Roman"/>
          <w:sz w:val="18"/>
          <w:szCs w:val="18"/>
          <w:color w:val="auto"/>
        </w:rPr>
      </w:pPr>
    </w:p>
    <w:p>
      <w:pPr>
        <w:ind w:left="900" w:right="20" w:hanging="325"/>
        <w:spacing w:after="0" w:line="256"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“Mezzanine” debt</w:t>
      </w:r>
      <w:r>
        <w:rPr>
          <w:rFonts w:ascii="Times New Roman" w:cs="Times New Roman" w:eastAsia="Times New Roman" w:hAnsi="Times New Roman"/>
          <w:sz w:val="18"/>
          <w:szCs w:val="18"/>
          <w:color w:val="auto"/>
        </w:rPr>
        <w:t>. Structurally, mezzanine debt usually ranks subordinate in priority of payment to first-lien and second-lien debt, is often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and may not have the benefit of financial covenants common in first-lien and second-lien debt. However, mezzanine debt ranks senior to common and preferred equity in an issuer’s capital structure. Mezzanine debt investments generally offer lenders fixed returns in the form of interest payments and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debt generally bears a higher stated interest rate than first-lien and second-lien debt.</w:t>
      </w:r>
    </w:p>
    <w:p>
      <w:pPr>
        <w:spacing w:after="0" w:line="185"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7" w:lineRule="exact"/>
        <w:rPr>
          <w:sz w:val="20"/>
          <w:szCs w:val="20"/>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130" w:lineRule="exact"/>
        <w:rPr>
          <w:rFonts w:ascii="Times New Roman" w:cs="Times New Roman" w:eastAsia="Times New Roman" w:hAnsi="Times New Roman"/>
          <w:sz w:val="18"/>
          <w:szCs w:val="18"/>
          <w:color w:val="auto"/>
        </w:rPr>
      </w:pPr>
    </w:p>
    <w:p>
      <w:pPr>
        <w:ind w:left="900" w:right="20" w:hanging="325"/>
        <w:spacing w:after="0" w:line="261"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0" w:lineRule="exact"/>
        <w:rPr>
          <w:sz w:val="20"/>
          <w:szCs w:val="20"/>
          <w:color w:val="auto"/>
        </w:rPr>
      </w:pPr>
    </w:p>
    <w:p>
      <w:pPr>
        <w:jc w:val="both"/>
        <w:ind w:right="200" w:firstLine="456"/>
        <w:spacing w:after="0" w:line="261"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21"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making an investment in a more senior part of the capital structure of the issuer.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80"/>
          </w:cols>
          <w:pgMar w:left="240" w:top="455" w:right="2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As of March 31, 2014 and December 31, 2013, we had made investments with an aggregate fair value of $1,195.5 million and $1,016.5 million, respectively, in 30 and 27 portfolio companies, respectively. See “Portfolio Companies” for more information on these investments, including a list of companies and type and amount of investments.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consisted of the following at March 31, 2014 and December 31, 2013:</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amounts in millions)</w:t>
            </w:r>
          </w:p>
        </w:tc>
        <w:tc>
          <w:tcPr>
            <w:tcW w:w="100" w:type="dxa"/>
            <w:vAlign w:val="bottom"/>
          </w:tcPr>
          <w:p>
            <w:pPr>
              <w:spacing w:after="0"/>
              <w:rPr>
                <w:sz w:val="10"/>
                <w:szCs w:val="10"/>
                <w:color w:val="auto"/>
              </w:rPr>
            </w:pPr>
          </w:p>
        </w:tc>
        <w:tc>
          <w:tcPr>
            <w:tcW w:w="96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6"/>
              </w:rPr>
              <w:t>Cost</w:t>
            </w:r>
            <w:r>
              <w:rPr>
                <w:rFonts w:ascii="Times New Roman" w:cs="Times New Roman" w:eastAsia="Times New Roman" w:hAnsi="Times New Roman"/>
                <w:sz w:val="12"/>
                <w:szCs w:val="12"/>
                <w:b w:val="1"/>
                <w:bCs w:val="1"/>
                <w:color w:val="auto"/>
                <w:w w:val="96"/>
              </w:rPr>
              <w:t>(1)</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194.1</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203.8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4"/>
              </w:rPr>
              <w:t>$ 1,172.4</w:t>
            </w:r>
          </w:p>
        </w:tc>
        <w:tc>
          <w:tcPr>
            <w:tcW w:w="1660" w:type="dxa"/>
            <w:vAlign w:val="bottom"/>
            <w:gridSpan w:val="5"/>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1,195.5</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amounts in millions)</w:t>
            </w:r>
          </w:p>
        </w:tc>
        <w:tc>
          <w:tcPr>
            <w:tcW w:w="106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(1)</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1,016.5</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40" w:hanging="452"/>
        <w:spacing w:after="0" w:line="282" w:lineRule="auto"/>
        <w:tabs>
          <w:tab w:leader="none" w:pos="4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Amortized cost represents the original cost adjusted for the amortization of discounts or premiums, as applicable, on debt investments using the effective interest method.</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composition of investments at fair value at March 31, 2014 and December 31, 2013 were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3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March 31, 2014</w:t>
            </w:r>
            <w:r>
              <w:rPr>
                <w:rFonts w:ascii="Times New Roman" w:cs="Times New Roman" w:eastAsia="Times New Roman" w:hAnsi="Times New Roman"/>
                <w:sz w:val="12"/>
                <w:szCs w:val="12"/>
                <w:b w:val="1"/>
                <w:bCs w:val="1"/>
                <w:color w:val="auto"/>
              </w:rPr>
              <w:t>(1)</w:t>
            </w:r>
          </w:p>
        </w:tc>
        <w:tc>
          <w:tcPr>
            <w:tcW w:w="7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2013</w:t>
            </w:r>
            <w:r>
              <w:rPr>
                <w:rFonts w:ascii="Times New Roman" w:cs="Times New Roman" w:eastAsia="Times New Roman" w:hAnsi="Times New Roman"/>
                <w:sz w:val="12"/>
                <w:szCs w:val="12"/>
                <w:b w:val="1"/>
                <w:bCs w:val="1"/>
                <w:color w:val="auto"/>
              </w:rPr>
              <w:t>(1)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1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4.9%</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5.3%</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11.6%</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4.3%</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Containers and packaging</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3.9%</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9.2%</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11.2%</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6.2%</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4.5%</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2.9%</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32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3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8.9%</w:t>
            </w: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4.4%</w:t>
            </w:r>
          </w:p>
        </w:tc>
        <w:tc>
          <w:tcPr>
            <w:tcW w:w="2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3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8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vMerge w:val="continue"/>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94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455" w:right="81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380" w:hanging="452"/>
        <w:spacing w:after="0" w:line="282" w:lineRule="auto"/>
        <w:tabs>
          <w:tab w:leader="none" w:pos="4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classify the industries of our portfolio companies by end-market (such as healthcare and pharmaceuticals, and business services) and not by the products or services (such as software) directed to those end-markets.</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composition of investments at fair value at March 31, 2014 and December 31, 2013 was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36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United States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Midwest</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12.5%</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Northeast</w:t>
            </w:r>
          </w:p>
        </w:tc>
        <w:tc>
          <w:tcPr>
            <w:tcW w:w="3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23.0%</w:t>
            </w:r>
          </w:p>
        </w:tc>
        <w:tc>
          <w:tcPr>
            <w:tcW w:w="1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South</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17.7%</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3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33.2%</w:t>
            </w:r>
          </w:p>
        </w:tc>
        <w:tc>
          <w:tcPr>
            <w:tcW w:w="1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8.1%</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and December 31, 2013, we had the following commitments to fund investments: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4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2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680" w:type="dxa"/>
            <w:vAlign w:val="bottom"/>
            <w:gridSpan w:val="2"/>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Managerial Assistance</w:t>
      </w:r>
    </w:p>
    <w:p>
      <w:pPr>
        <w:spacing w:after="0" w:line="121"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maintain our principal executive office at 301 Commerce Street, Suite 3300, Fort Worth, TX 76102. We do not own any real estate.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and, to our knowledge, no material legal proceeding is threatened against us.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60"/>
          </w:cols>
          <w:pgMar w:left="240" w:top="455" w:right="29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March 31, 2014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As of March 31, 2014, we did not “control” and are not an “affiliate” of any of our portfolio companies, each as defined in the 1940 Act. In general, under the 1940 Act, we would “control” a portfolio company if we owned 25% or more of its voting securities and would be an “affiliate” of a portfolio company if we owned five percent or more of its voting securities. We either originated or purchased in the secondary market the loans and securities in our current portfolio.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1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(Par amounts in</w:t>
            </w:r>
          </w:p>
        </w:tc>
        <w:tc>
          <w:tcPr>
            <w:tcW w:w="9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gridSpan w:val="2"/>
            <w:vMerge w:val="continue"/>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4360" w:type="dxa"/>
            <w:vAlign w:val="bottom"/>
            <w:gridSpan w:val="2"/>
            <w:vMerge w:val="continue"/>
          </w:tcPr>
          <w:p>
            <w:pPr>
              <w:spacing w:after="0"/>
              <w:rPr>
                <w:sz w:val="15"/>
                <w:szCs w:val="15"/>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2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Aerospace and defense</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MSC Software Corporation</w:t>
            </w:r>
            <w:r>
              <w:rPr>
                <w:rFonts w:ascii="Times New Roman" w:cs="Times New Roman" w:eastAsia="Times New Roman" w:hAnsi="Times New Roman"/>
                <w:sz w:val="15"/>
                <w:szCs w:val="15"/>
                <w:color w:val="auto"/>
              </w:rPr>
              <w:t>(3)(4)(6)</w:t>
            </w:r>
          </w:p>
        </w:tc>
        <w:tc>
          <w:tcPr>
            <w:tcW w:w="1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($53,452 par, due</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11/2017)</w:t>
            </w:r>
          </w:p>
        </w:tc>
        <w:tc>
          <w:tcPr>
            <w:tcW w:w="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12/23/2011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52,875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53,720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5"/>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5" w:right="239" w:bottom="1440" w:gutter="0" w:footer="0" w:header="0"/>
        </w:sectPr>
      </w:pPr>
    </w:p>
    <w:p>
      <w:pPr>
        <w:spacing w:after="0"/>
        <w:tabs>
          <w:tab w:leader="none" w:pos="4340" w:val="left"/>
        </w:tabs>
        <w:rPr>
          <w:sz w:val="20"/>
          <w:szCs w:val="20"/>
          <w:color w:val="auto"/>
        </w:rPr>
      </w:pPr>
      <w:r>
        <w:rPr>
          <w:rFonts w:ascii="Times New Roman" w:cs="Times New Roman" w:eastAsia="Times New Roman" w:hAnsi="Times New Roman"/>
          <w:sz w:val="18"/>
          <w:szCs w:val="18"/>
          <w:color w:val="auto"/>
        </w:rPr>
        <w:t>Heartland Automotive Holdings, LLC</w:t>
      </w:r>
      <w:r>
        <w:rPr>
          <w:rFonts w:ascii="Times New Roman" w:cs="Times New Roman" w:eastAsia="Times New Roman" w:hAnsi="Times New Roman"/>
          <w:sz w:val="15"/>
          <w:szCs w:val="15"/>
          <w:color w:val="auto"/>
        </w:rPr>
        <w:t>(3)(4)</w:t>
      </w:r>
      <w:r>
        <w:rPr>
          <w:sz w:val="20"/>
          <w:szCs w:val="20"/>
          <w:color w:val="auto"/>
        </w:rPr>
        <w:tab/>
      </w:r>
      <w:r>
        <w:rPr>
          <w:rFonts w:ascii="Times New Roman" w:cs="Times New Roman" w:eastAsia="Times New Roman" w:hAnsi="Times New Roman"/>
          <w:sz w:val="18"/>
          <w:szCs w:val="18"/>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18"/>
          <w:szCs w:val="18"/>
          <w:color w:val="auto"/>
        </w:rPr>
        <w:t>($33,910 par, due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6/2017)</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First-lien revolving</w:t>
      </w:r>
    </w:p>
    <w:p>
      <w:pPr>
        <w:spacing w:after="0" w:line="2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loan ($4,611 par, due</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6/2017)</w:t>
      </w:r>
    </w:p>
    <w:p>
      <w:pPr>
        <w:spacing w:after="0" w:line="8" w:lineRule="exact"/>
        <w:rPr>
          <w:sz w:val="20"/>
          <w:szCs w:val="20"/>
          <w:color w:val="auto"/>
        </w:rPr>
      </w:pPr>
    </w:p>
    <w:p>
      <w:pPr>
        <w:spacing w:after="0"/>
        <w:tabs>
          <w:tab w:leader="none" w:pos="4340" w:val="left"/>
        </w:tabs>
        <w:rPr>
          <w:sz w:val="20"/>
          <w:szCs w:val="20"/>
          <w:color w:val="auto"/>
        </w:rPr>
      </w:pPr>
      <w:r>
        <w:rPr>
          <w:rFonts w:ascii="Times New Roman" w:cs="Times New Roman" w:eastAsia="Times New Roman" w:hAnsi="Times New Roman"/>
          <w:sz w:val="18"/>
          <w:szCs w:val="18"/>
          <w:color w:val="auto"/>
        </w:rPr>
        <w:t>Sage Automotive Interiors, Inc.</w:t>
      </w:r>
      <w:r>
        <w:rPr>
          <w:rFonts w:ascii="Times New Roman" w:cs="Times New Roman" w:eastAsia="Times New Roman" w:hAnsi="Times New Roman"/>
          <w:sz w:val="15"/>
          <w:szCs w:val="15"/>
          <w:color w:val="auto"/>
        </w:rPr>
        <w:t>(3)(4)(6)</w:t>
      </w:r>
      <w:r>
        <w:rPr>
          <w:sz w:val="20"/>
          <w:szCs w:val="20"/>
          <w:color w:val="auto"/>
        </w:rPr>
        <w:tab/>
      </w:r>
      <w:r>
        <w:rPr>
          <w:rFonts w:ascii="Times New Roman" w:cs="Times New Roman" w:eastAsia="Times New Roman" w:hAnsi="Times New Roman"/>
          <w:sz w:val="18"/>
          <w:szCs w:val="18"/>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420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18"/>
          <w:szCs w:val="18"/>
          <w:color w:val="auto"/>
        </w:rPr>
        <w:t>($21,330 par, due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12/2016)</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Beverage, food and tobacco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33,281</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32,977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10.75%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4,458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12/31/2012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21,437</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58,872</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ectPr>
          <w:pgSz w:w="11900" w:h="16838" w:orient="portrait"/>
          <w:cols w:equalWidth="0" w:num="2">
            <w:col w:w="5880" w:space="300"/>
            <w:col w:w="524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AFS Technologies, Inc.</w:t>
            </w:r>
            <w:r>
              <w:rPr>
                <w:rFonts w:ascii="Times New Roman" w:cs="Times New Roman" w:eastAsia="Times New Roman" w:hAnsi="Times New Roman"/>
                <w:sz w:val="15"/>
                <w:szCs w:val="15"/>
                <w:color w:val="auto"/>
              </w:rPr>
              <w:t>(3)(4)(6)</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First-lien loan</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($65,000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3/2020)</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3/3/2014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63,551</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63,538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Actian Corporation</w:t>
            </w:r>
            <w:r>
              <w:rPr>
                <w:rFonts w:ascii="Times New Roman" w:cs="Times New Roman" w:eastAsia="Times New Roman" w:hAnsi="Times New Roman"/>
                <w:sz w:val="15"/>
                <w:szCs w:val="15"/>
                <w:color w:val="auto"/>
              </w:rPr>
              <w:t>(3)(4)(6)</w:t>
            </w:r>
          </w:p>
        </w:tc>
        <w:tc>
          <w:tcPr>
            <w:tcW w:w="168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($66,933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4/2018)</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4/11/2013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64,891</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66,933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Beyond Trust Software Holding Group, Inc.</w:t>
            </w:r>
            <w:r>
              <w:rPr>
                <w:rFonts w:ascii="Times New Roman" w:cs="Times New Roman" w:eastAsia="Times New Roman" w:hAnsi="Times New Roman"/>
                <w:sz w:val="15"/>
                <w:szCs w:val="15"/>
                <w:color w:val="auto"/>
              </w:rPr>
              <w:t>(3)(6)</w:t>
            </w:r>
          </w:p>
        </w:tc>
        <w:tc>
          <w:tcPr>
            <w:tcW w:w="1680" w:type="dxa"/>
            <w:vAlign w:val="bottom"/>
            <w:shd w:val="clear" w:color="auto" w:fill="CCEEFF"/>
          </w:tcPr>
          <w:p>
            <w:pPr>
              <w:ind w:left="42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7"/>
              </w:rPr>
              <w:t>($42,234 par, due</w:t>
            </w: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8"/>
        </w:trPr>
        <w:tc>
          <w:tcPr>
            <w:tcW w:w="3940" w:type="dxa"/>
            <w:vAlign w:val="bottom"/>
            <w:shd w:val="clear" w:color="auto" w:fill="CCEEFF"/>
          </w:tcPr>
          <w:p>
            <w:pPr>
              <w:spacing w:after="0"/>
              <w:rPr>
                <w:sz w:val="21"/>
                <w:szCs w:val="21"/>
                <w:color w:val="auto"/>
              </w:rPr>
            </w:pPr>
          </w:p>
        </w:tc>
        <w:tc>
          <w:tcPr>
            <w:tcW w:w="1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12/2019)</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7.25%</w:t>
            </w:r>
          </w:p>
        </w:tc>
        <w:tc>
          <w:tcPr>
            <w:tcW w:w="1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12/18/2013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41,268</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41,390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Network Merchants, Inc</w:t>
            </w:r>
            <w:r>
              <w:rPr>
                <w:rFonts w:ascii="Times New Roman" w:cs="Times New Roman" w:eastAsia="Times New Roman" w:hAnsi="Times New Roman"/>
                <w:sz w:val="15"/>
                <w:szCs w:val="15"/>
                <w:color w:val="auto"/>
              </w:rPr>
              <w:t>(3)(4)</w:t>
            </w:r>
          </w:p>
        </w:tc>
        <w:tc>
          <w:tcPr>
            <w:tcW w:w="1680" w:type="dxa"/>
            <w:vAlign w:val="bottom"/>
          </w:tcPr>
          <w:p>
            <w:pPr>
              <w:ind w:left="42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($29,659 par, due</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9/2018)</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9/12/2013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3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r>
      <w:tr>
        <w:trPr>
          <w:trHeight w:val="372"/>
        </w:trPr>
        <w:tc>
          <w:tcPr>
            <w:tcW w:w="3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97</w:t>
            </w:r>
          </w:p>
        </w:tc>
        <w:tc>
          <w:tcPr>
            <w:tcW w:w="1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type w:val="continuous"/>
        </w:sectPr>
      </w:pPr>
    </w:p>
    <w:bookmarkStart w:id="102" w:name="page103"/>
    <w:bookmarkEnd w:id="10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 amounts in</w:t>
            </w:r>
          </w:p>
        </w:tc>
        <w:tc>
          <w:tcPr>
            <w:tcW w:w="0" w:type="dxa"/>
            <w:vAlign w:val="bottom"/>
          </w:tcPr>
          <w:p>
            <w:pPr>
              <w:spacing w:after="0"/>
              <w:rPr>
                <w:sz w:val="1"/>
                <w:szCs w:val="1"/>
                <w:color w:val="auto"/>
              </w:rPr>
            </w:pPr>
          </w:p>
        </w:tc>
      </w:tr>
      <w:tr>
        <w:trPr>
          <w:trHeight w:val="187"/>
        </w:trPr>
        <w:tc>
          <w:tcPr>
            <w:tcW w:w="4040" w:type="dxa"/>
            <w:vAlign w:val="bottom"/>
            <w:gridSpan w:val="3"/>
            <w:vMerge w:val="continue"/>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Construction and building</w:t>
            </w:r>
          </w:p>
        </w:tc>
        <w:tc>
          <w:tcPr>
            <w:tcW w:w="2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Mannington Mills, Inc.</w:t>
            </w:r>
            <w:r>
              <w:rPr>
                <w:rFonts w:ascii="Times New Roman" w:cs="Times New Roman" w:eastAsia="Times New Roman" w:hAnsi="Times New Roman"/>
                <w:sz w:val="15"/>
                <w:szCs w:val="15"/>
                <w:color w:val="auto"/>
              </w:rPr>
              <w:t>(3)(4)</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Second-lien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($47,366 par, due</w:t>
            </w:r>
          </w:p>
        </w:tc>
        <w:tc>
          <w:tcPr>
            <w:tcW w:w="0" w:type="dxa"/>
            <w:vAlign w:val="bottom"/>
          </w:tcPr>
          <w:p>
            <w:pPr>
              <w:spacing w:after="0"/>
              <w:rPr>
                <w:sz w:val="1"/>
                <w:szCs w:val="1"/>
                <w:color w:val="auto"/>
              </w:rPr>
            </w:pPr>
          </w:p>
        </w:tc>
      </w:tr>
      <w:tr>
        <w:trPr>
          <w:trHeight w:val="234"/>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Containers and packaging</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3/2017)</w:t>
            </w:r>
          </w:p>
        </w:tc>
        <w:tc>
          <w:tcPr>
            <w:tcW w:w="0" w:type="dxa"/>
            <w:vAlign w:val="bottom"/>
          </w:tcPr>
          <w:p>
            <w:pPr>
              <w:spacing w:after="0"/>
              <w:rPr>
                <w:sz w:val="1"/>
                <w:szCs w:val="1"/>
                <w:color w:val="auto"/>
              </w:rPr>
            </w:pPr>
          </w:p>
        </w:tc>
      </w:tr>
      <w:tr>
        <w:trPr>
          <w:trHeight w:val="198"/>
        </w:trPr>
        <w:tc>
          <w:tcPr>
            <w:tcW w:w="4040" w:type="dxa"/>
            <w:vAlign w:val="bottom"/>
            <w:gridSpan w:val="3"/>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Newark Group, Inc.</w:t>
            </w:r>
            <w:r>
              <w:rPr>
                <w:rFonts w:ascii="Times New Roman" w:cs="Times New Roman" w:eastAsia="Times New Roman" w:hAnsi="Times New Roman"/>
                <w:sz w:val="15"/>
                <w:szCs w:val="15"/>
                <w:color w:val="auto"/>
              </w:rPr>
              <w:t>(3)(4)</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($46,080 par, due</w:t>
            </w:r>
          </w:p>
        </w:tc>
        <w:tc>
          <w:tcPr>
            <w:tcW w:w="0" w:type="dxa"/>
            <w:vAlign w:val="bottom"/>
          </w:tcPr>
          <w:p>
            <w:pPr>
              <w:spacing w:after="0"/>
              <w:rPr>
                <w:sz w:val="1"/>
                <w:szCs w:val="1"/>
                <w:color w:val="auto"/>
              </w:rPr>
            </w:pPr>
          </w:p>
        </w:tc>
      </w:tr>
      <w:tr>
        <w:trPr>
          <w:trHeight w:val="234"/>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2/2018)</w:t>
            </w:r>
          </w:p>
        </w:tc>
        <w:tc>
          <w:tcPr>
            <w:tcW w:w="0" w:type="dxa"/>
            <w:vAlign w:val="bottom"/>
          </w:tcPr>
          <w:p>
            <w:pPr>
              <w:spacing w:after="0"/>
              <w:rPr>
                <w:sz w:val="1"/>
                <w:szCs w:val="1"/>
                <w:color w:val="auto"/>
              </w:rPr>
            </w:pPr>
          </w:p>
        </w:tc>
      </w:tr>
      <w:tr>
        <w:trPr>
          <w:trHeight w:val="198"/>
        </w:trPr>
        <w:tc>
          <w:tcPr>
            <w:tcW w:w="4040" w:type="dxa"/>
            <w:vAlign w:val="bottom"/>
            <w:gridSpan w:val="3"/>
            <w:vMerge w:val="continue"/>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Campus Management, Inc.</w:t>
            </w:r>
            <w:r>
              <w:rPr>
                <w:rFonts w:ascii="Times New Roman" w:cs="Times New Roman" w:eastAsia="Times New Roman" w:hAnsi="Times New Roman"/>
                <w:sz w:val="15"/>
                <w:szCs w:val="15"/>
                <w:color w:val="auto"/>
              </w:rPr>
              <w:t>(3)(4)(6)</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($29,250 par, due</w:t>
            </w:r>
          </w:p>
        </w:tc>
        <w:tc>
          <w:tcPr>
            <w:tcW w:w="0" w:type="dxa"/>
            <w:vAlign w:val="bottom"/>
          </w:tcPr>
          <w:p>
            <w:pPr>
              <w:spacing w:after="0"/>
              <w:rPr>
                <w:sz w:val="1"/>
                <w:szCs w:val="1"/>
                <w:color w:val="auto"/>
              </w:rPr>
            </w:pPr>
          </w:p>
        </w:tc>
      </w:tr>
      <w:tr>
        <w:trPr>
          <w:trHeight w:val="234"/>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Electronics</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9/2018)</w:t>
            </w:r>
          </w:p>
        </w:tc>
        <w:tc>
          <w:tcPr>
            <w:tcW w:w="0" w:type="dxa"/>
            <w:vAlign w:val="bottom"/>
          </w:tcPr>
          <w:p>
            <w:pPr>
              <w:spacing w:after="0"/>
              <w:rPr>
                <w:sz w:val="1"/>
                <w:szCs w:val="1"/>
                <w:color w:val="auto"/>
              </w:rPr>
            </w:pPr>
          </w:p>
        </w:tc>
      </w:tr>
      <w:tr>
        <w:trPr>
          <w:trHeight w:val="211"/>
        </w:trPr>
        <w:tc>
          <w:tcPr>
            <w:tcW w:w="4040" w:type="dxa"/>
            <w:vAlign w:val="bottom"/>
            <w:gridSpan w:val="3"/>
            <w:vMerge w:val="continue"/>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My Alarm Center, LLC</w:t>
            </w:r>
            <w:r>
              <w:rPr>
                <w:rFonts w:ascii="Times New Roman" w:cs="Times New Roman" w:eastAsia="Times New Roman" w:hAnsi="Times New Roman"/>
                <w:sz w:val="15"/>
                <w:szCs w:val="15"/>
                <w:color w:val="auto"/>
              </w:rPr>
              <w:t>(3)(4)</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($52,550 par, due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-2219325</wp:posOffset>
            </wp:positionV>
            <wp:extent cx="72466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-1104265</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w:t>
            </w: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4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11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Date</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7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14.00%</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(incl. 2.00%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PIK)</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3/2/2012</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46,540</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51,156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864"/>
        </w:trPr>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45,708</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46,771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878"/>
        </w:trPr>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9/30/2013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28,594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28,811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862"/>
        </w:trPr>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1/9/2014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51,514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51,743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740" w:space="40"/>
            <w:col w:w="564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5520" w:type="dxa"/>
            <w:vAlign w:val="bottom"/>
            <w:shd w:val="clear" w:color="auto" w:fill="CCEEFF"/>
          </w:tcPr>
          <w:p>
            <w:pPr>
              <w:ind w:left="4040"/>
              <w:spacing w:after="0" w:line="200" w:lineRule="exact"/>
              <w:rPr>
                <w:sz w:val="20"/>
                <w:szCs w:val="20"/>
                <w:color w:val="auto"/>
              </w:rPr>
            </w:pPr>
            <w:r>
              <w:rPr>
                <w:rFonts w:ascii="Times New Roman" w:cs="Times New Roman" w:eastAsia="Times New Roman" w:hAnsi="Times New Roman"/>
                <w:sz w:val="18"/>
                <w:szCs w:val="18"/>
                <w:color w:val="auto"/>
              </w:rPr>
              <w:t>Mezzanine loan</w:t>
            </w:r>
          </w:p>
        </w:tc>
        <w:tc>
          <w:tcPr>
            <w:tcW w:w="1480" w:type="dxa"/>
            <w:vAlign w:val="bottom"/>
            <w:shd w:val="clear" w:color="auto" w:fill="CCEEFF"/>
          </w:tcPr>
          <w:p>
            <w:pPr>
              <w:jc w:val="right"/>
              <w:ind w:right="170"/>
              <w:spacing w:after="0" w:line="200" w:lineRule="exact"/>
              <w:rPr>
                <w:sz w:val="20"/>
                <w:szCs w:val="20"/>
                <w:color w:val="auto"/>
              </w:rPr>
            </w:pPr>
            <w:r>
              <w:rPr>
                <w:rFonts w:ascii="Times New Roman" w:cs="Times New Roman" w:eastAsia="Times New Roman" w:hAnsi="Times New Roman"/>
                <w:sz w:val="18"/>
                <w:szCs w:val="18"/>
                <w:color w:val="auto"/>
              </w:rPr>
              <w:t>16.25%</w:t>
            </w: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52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($4,688 par, due</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(incl. 4.25%</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8"/>
        </w:trPr>
        <w:tc>
          <w:tcPr>
            <w:tcW w:w="5520" w:type="dxa"/>
            <w:vAlign w:val="bottom"/>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7/2018)</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PIK)</w:t>
            </w:r>
          </w:p>
        </w:tc>
        <w:tc>
          <w:tcPr>
            <w:tcW w:w="12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1/9/2014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3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5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5" w:right="2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Embarcadero Technologies, Inc</w:t>
      </w:r>
      <w:r>
        <w:rPr>
          <w:rFonts w:ascii="Times New Roman" w:cs="Times New Roman" w:eastAsia="Times New Roman" w:hAnsi="Times New Roman"/>
          <w:sz w:val="15"/>
          <w:szCs w:val="15"/>
          <w:color w:val="auto"/>
        </w:rPr>
        <w:t>(3)(4)(6)</w:t>
      </w:r>
      <w:r>
        <w:rPr>
          <w:sz w:val="20"/>
          <w:szCs w:val="20"/>
          <w:color w:val="auto"/>
        </w:rPr>
        <w:tab/>
      </w:r>
      <w:r>
        <w:rPr>
          <w:rFonts w:ascii="Times New Roman" w:cs="Times New Roman" w:eastAsia="Times New Roman" w:hAnsi="Times New Roman"/>
          <w:sz w:val="17"/>
          <w:szCs w:val="17"/>
          <w:color w:val="auto"/>
        </w:rPr>
        <w:t>First-lien loan</w:t>
      </w:r>
    </w:p>
    <w:p>
      <w:pPr>
        <w:spacing w:after="0" w:line="1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($42,479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12/2017)</w:t>
      </w:r>
    </w:p>
    <w:p>
      <w:pPr>
        <w:spacing w:after="0" w:line="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Rogue Wave Holdings, Inc.</w:t>
      </w:r>
      <w:r>
        <w:rPr>
          <w:rFonts w:ascii="Times New Roman" w:cs="Times New Roman" w:eastAsia="Times New Roman" w:hAnsi="Times New Roman"/>
          <w:sz w:val="15"/>
          <w:szCs w:val="15"/>
          <w:color w:val="auto"/>
        </w:rPr>
        <w:t>(3)(4)(6)</w:t>
      </w:r>
      <w:r>
        <w:rPr>
          <w:sz w:val="20"/>
          <w:szCs w:val="20"/>
          <w:color w:val="auto"/>
        </w:rPr>
        <w:tab/>
      </w:r>
      <w:r>
        <w:rPr>
          <w:rFonts w:ascii="Times New Roman" w:cs="Times New Roman" w:eastAsia="Times New Roman" w:hAnsi="Times New Roman"/>
          <w:sz w:val="17"/>
          <w:szCs w:val="17"/>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($68,174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12/2018)</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and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Global Healthcare Exchange, LLC</w:t>
      </w:r>
      <w:r>
        <w:rPr>
          <w:rFonts w:ascii="Times New Roman" w:cs="Times New Roman" w:eastAsia="Times New Roman" w:hAnsi="Times New Roman"/>
          <w:sz w:val="15"/>
          <w:szCs w:val="15"/>
          <w:color w:val="auto"/>
        </w:rPr>
        <w:t>(3)(4)</w:t>
      </w:r>
      <w:r>
        <w:rPr>
          <w:sz w:val="20"/>
          <w:szCs w:val="20"/>
          <w:color w:val="auto"/>
        </w:rPr>
        <w:tab/>
      </w:r>
      <w:r>
        <w:rPr>
          <w:rFonts w:ascii="Times New Roman" w:cs="Times New Roman" w:eastAsia="Times New Roman" w:hAnsi="Times New Roman"/>
          <w:sz w:val="17"/>
          <w:szCs w:val="17"/>
          <w:color w:val="auto"/>
        </w:rPr>
        <w:t>First-lien term loan</w:t>
      </w:r>
    </w:p>
    <w:p>
      <w:pPr>
        <w:spacing w:after="0" w:line="1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($25,000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3/2020)</w:t>
      </w:r>
    </w:p>
    <w:p>
      <w:pPr>
        <w:spacing w:after="0" w:line="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Mediware Information Systems, Inc.</w:t>
      </w:r>
      <w:r>
        <w:rPr>
          <w:rFonts w:ascii="Times New Roman" w:cs="Times New Roman" w:eastAsia="Times New Roman" w:hAnsi="Times New Roman"/>
          <w:sz w:val="15"/>
          <w:szCs w:val="15"/>
          <w:color w:val="auto"/>
        </w:rPr>
        <w:t>(3)(4)(6)</w:t>
      </w:r>
      <w:r>
        <w:rPr>
          <w:sz w:val="20"/>
          <w:szCs w:val="20"/>
          <w:color w:val="auto"/>
        </w:rPr>
        <w:tab/>
      </w:r>
      <w:r>
        <w:rPr>
          <w:rFonts w:ascii="Times New Roman" w:cs="Times New Roman" w:eastAsia="Times New Roman" w:hAnsi="Times New Roman"/>
          <w:sz w:val="17"/>
          <w:szCs w:val="17"/>
          <w:color w:val="auto"/>
        </w:rPr>
        <w:t>First-lien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($70,975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5/2018)</w:t>
      </w:r>
    </w:p>
    <w:p>
      <w:pPr>
        <w:spacing w:after="0" w:line="9"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18"/>
          <w:szCs w:val="18"/>
          <w:color w:val="auto"/>
        </w:rPr>
        <w:t>SRS Software, LLC</w:t>
      </w:r>
      <w:r>
        <w:rPr>
          <w:rFonts w:ascii="Times New Roman" w:cs="Times New Roman" w:eastAsia="Times New Roman" w:hAnsi="Times New Roman"/>
          <w:sz w:val="15"/>
          <w:szCs w:val="15"/>
          <w:color w:val="auto"/>
        </w:rPr>
        <w:t>(3)(4)</w:t>
      </w:r>
      <w:r>
        <w:rPr>
          <w:sz w:val="20"/>
          <w:szCs w:val="20"/>
          <w:color w:val="auto"/>
        </w:rPr>
        <w:tab/>
      </w:r>
      <w:r>
        <w:rPr>
          <w:rFonts w:ascii="Times New Roman" w:cs="Times New Roman" w:eastAsia="Times New Roman" w:hAnsi="Times New Roman"/>
          <w:sz w:val="17"/>
          <w:szCs w:val="17"/>
          <w:color w:val="auto"/>
        </w:rPr>
        <w:t>First-lien loan</w:t>
      </w:r>
    </w:p>
    <w:p>
      <w:pPr>
        <w:spacing w:after="0" w:line="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($35,156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12/2017)</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First-lien revolving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411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18"/>
          <w:szCs w:val="18"/>
          <w:color w:val="auto"/>
        </w:rPr>
        <w:t>loan ($2,000 par, due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12/2017)</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56,407</w:t>
            </w:r>
          </w:p>
        </w:tc>
        <w:tc>
          <w:tcPr>
            <w:tcW w:w="3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41,641</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7.23%</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11/21/2012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67,663</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108,461</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110,141</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10.00%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24,442</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24,438</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662"/>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8.00%</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11/9/2012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69,543</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70,975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w:t>
            </w:r>
          </w:p>
        </w:tc>
        <w:tc>
          <w:tcPr>
            <w:tcW w:w="14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35,244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8.75%</w:t>
            </w: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130,353</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132,662</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800" w:space="380"/>
            <w:col w:w="5240"/>
          </w:cols>
          <w:pgMar w:left="240" w:top="455" w:right="239" w:bottom="1440" w:gutter="0" w:footer="0" w:header="0"/>
          <w:type w:val="continuous"/>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w:t>
            </w: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tc>
        <w:tc>
          <w:tcPr>
            <w:tcW w:w="17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(Par amounts in</w:t>
            </w:r>
          </w:p>
        </w:tc>
        <w:tc>
          <w:tcPr>
            <w:tcW w:w="12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9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4040" w:type="dxa"/>
            <w:vAlign w:val="bottom"/>
            <w:gridSpan w:val="3"/>
            <w:vMerge w:val="continue"/>
          </w:tcPr>
          <w:p>
            <w:pPr>
              <w:spacing w:after="0"/>
              <w:rPr>
                <w:sz w:val="15"/>
                <w:szCs w:val="15"/>
                <w:color w:val="auto"/>
              </w:rPr>
            </w:pPr>
          </w:p>
        </w:tc>
        <w:tc>
          <w:tcPr>
            <w:tcW w:w="1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0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AMF Bowling Worldwide, Inc.</w:t>
            </w:r>
            <w:r>
              <w:rPr>
                <w:rFonts w:ascii="Times New Roman" w:cs="Times New Roman" w:eastAsia="Times New Roman" w:hAnsi="Times New Roman"/>
                <w:sz w:val="15"/>
                <w:szCs w:val="15"/>
                <w:color w:val="auto"/>
              </w:rPr>
              <w:t>(3)(4)</w:t>
            </w: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($14,719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6/2018)</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13,651</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14,676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Centaur, LLC</w:t>
            </w:r>
            <w:r>
              <w:rPr>
                <w:rFonts w:ascii="Times New Roman" w:cs="Times New Roman" w:eastAsia="Times New Roman" w:hAnsi="Times New Roman"/>
                <w:sz w:val="15"/>
                <w:szCs w:val="15"/>
                <w:color w:val="auto"/>
              </w:rPr>
              <w:t>(3)</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2/2020)</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2/15/2013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9,923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Mandalay Baseball Properties, LLC</w:t>
            </w:r>
            <w:r>
              <w:rPr>
                <w:rFonts w:ascii="Times New Roman" w:cs="Times New Roman" w:eastAsia="Times New Roman" w:hAnsi="Times New Roman"/>
                <w:sz w:val="15"/>
                <w:szCs w:val="15"/>
                <w:color w:val="auto"/>
              </w:rPr>
              <w:t>(3)(4)</w:t>
            </w: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2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12.00%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($35,279 par, due</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(incl. 4.50%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3/2017)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PIK)</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4/12/2012</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34,734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36,601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Soho House</w:t>
            </w:r>
            <w:r>
              <w:rPr>
                <w:rFonts w:ascii="Times New Roman" w:cs="Times New Roman" w:eastAsia="Times New Roman" w:hAnsi="Times New Roman"/>
                <w:sz w:val="15"/>
                <w:szCs w:val="15"/>
                <w:color w:val="auto"/>
              </w:rPr>
              <w:t>(5)</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Second-lien bond</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(GBP 7,000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9/20/2013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69,509</w:t>
            </w:r>
          </w:p>
        </w:tc>
        <w:tc>
          <w:tcPr>
            <w:tcW w:w="30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73,821</w:t>
            </w:r>
          </w:p>
        </w:tc>
        <w:tc>
          <w:tcPr>
            <w:tcW w:w="300" w:type="dxa"/>
            <w:vAlign w:val="bottom"/>
            <w:vMerge w:val="continue"/>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Human resource support services</w:t>
            </w: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Pai Group, Inc.</w:t>
            </w:r>
            <w:r>
              <w:rPr>
                <w:rFonts w:ascii="Times New Roman" w:cs="Times New Roman" w:eastAsia="Times New Roman" w:hAnsi="Times New Roman"/>
                <w:sz w:val="15"/>
                <w:szCs w:val="15"/>
                <w:color w:val="auto"/>
              </w:rPr>
              <w:t>(3)(4)</w:t>
            </w: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($34,413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5/2018)</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33,696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34,118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Sum Total Systems, LLC</w:t>
            </w:r>
            <w:r>
              <w:rPr>
                <w:rFonts w:ascii="Times New Roman" w:cs="Times New Roman" w:eastAsia="Times New Roman" w:hAnsi="Times New Roman"/>
                <w:sz w:val="15"/>
                <w:szCs w:val="15"/>
                <w:color w:val="auto"/>
              </w:rPr>
              <w:t>(3)(4)</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 ($7,463</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due 11/2018)</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11/16/2012</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7,380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7,416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($12,000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5/2019)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11/16/2012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53,019</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Internet Services</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Highwinds Capital, Inc.</w:t>
            </w:r>
            <w:r>
              <w:rPr>
                <w:rFonts w:ascii="Times New Roman" w:cs="Times New Roman" w:eastAsia="Times New Roman" w:hAnsi="Times New Roman"/>
                <w:sz w:val="15"/>
                <w:szCs w:val="15"/>
                <w:color w:val="auto"/>
              </w:rPr>
              <w:t>(3)(4)</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($29,000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7/2018)</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3/7/2014</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28,698</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28,768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Infogix, Inc. </w:t>
            </w:r>
            <w:r>
              <w:rPr>
                <w:rFonts w:ascii="Times New Roman" w:cs="Times New Roman" w:eastAsia="Times New Roman" w:hAnsi="Times New Roman"/>
                <w:sz w:val="15"/>
                <w:szCs w:val="15"/>
                <w:color w:val="auto"/>
              </w:rPr>
              <w:t>(3)(4)</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($36,900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6/2017)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36,372</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36,900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First-lien revolving</w:t>
            </w: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 ($650 par, due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6/2017)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3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Jeeves Information Systems AB</w:t>
            </w:r>
            <w:r>
              <w:rPr>
                <w:rFonts w:ascii="Times New Roman" w:cs="Times New Roman" w:eastAsia="Times New Roman" w:hAnsi="Times New Roman"/>
                <w:sz w:val="15"/>
                <w:szCs w:val="15"/>
                <w:color w:val="auto"/>
              </w:rPr>
              <w:t>(3)(5)(6)</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 (SEK</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211,066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6/2018)</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6/5/2013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31,440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32,229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Metalico, Inc.</w:t>
            </w:r>
            <w:r>
              <w:rPr>
                <w:rFonts w:ascii="Times New Roman" w:cs="Times New Roman" w:eastAsia="Times New Roman" w:hAnsi="Times New Roman"/>
                <w:sz w:val="15"/>
                <w:szCs w:val="15"/>
                <w:color w:val="auto"/>
              </w:rPr>
              <w:t>(3)(4)(6)</w:t>
            </w:r>
          </w:p>
        </w:tc>
        <w:tc>
          <w:tcPr>
            <w:tcW w:w="17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($35,435 par, due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11/2019)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11/21/2013</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33,391</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34,049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w w:val="99"/>
              </w:rPr>
              <w:t>99</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2"/>
          <w:szCs w:val="12"/>
          <w:b w:val="1"/>
          <w:bCs w:val="1"/>
          <w:color w:val="auto"/>
        </w:rPr>
        <w:t>(1)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products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Ecommerce Industries, Inc.</w:t>
      </w:r>
      <w:r>
        <w:rPr>
          <w:rFonts w:ascii="Times New Roman" w:cs="Times New Roman" w:eastAsia="Times New Roman" w:hAnsi="Times New Roman"/>
          <w:sz w:val="15"/>
          <w:szCs w:val="15"/>
          <w:color w:val="auto"/>
        </w:rPr>
        <w:t>(3)(4)</w:t>
      </w:r>
    </w:p>
    <w:p>
      <w:pPr>
        <w:spacing w:after="0" w:line="218"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Oil, gas and consumable fuels </w:t>
      </w:r>
      <w:r>
        <w:rPr>
          <w:rFonts w:ascii="Times New Roman" w:cs="Times New Roman" w:eastAsia="Times New Roman" w:hAnsi="Times New Roman"/>
          <w:sz w:val="18"/>
          <w:szCs w:val="18"/>
          <w:color w:val="auto"/>
        </w:rPr>
        <w:t>Global Geophysical</w:t>
      </w:r>
      <w:r>
        <w:rPr>
          <w:rFonts w:ascii="Times New Roman" w:cs="Times New Roman" w:eastAsia="Times New Roman" w:hAnsi="Times New Roman"/>
          <w:sz w:val="15"/>
          <w:szCs w:val="15"/>
          <w:color w:val="auto"/>
        </w:rPr>
        <w:t>(3)(4)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Trident Exploration Corp.</w:t>
      </w:r>
      <w:r>
        <w:rPr>
          <w:rFonts w:ascii="Times New Roman" w:cs="Times New Roman" w:eastAsia="Times New Roman" w:hAnsi="Times New Roman"/>
          <w:sz w:val="15"/>
          <w:szCs w:val="15"/>
          <w:color w:val="auto"/>
        </w:rPr>
        <w:t>(3)(4)(5)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Transportation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Kewill, Ltd</w:t>
      </w:r>
      <w:r>
        <w:rPr>
          <w:rFonts w:ascii="Times New Roman" w:cs="Times New Roman" w:eastAsia="Times New Roman" w:hAnsi="Times New Roman"/>
          <w:sz w:val="15"/>
          <w:szCs w:val="15"/>
          <w:color w:val="auto"/>
        </w:rPr>
        <w:t>.(3)(5)</w:t>
      </w:r>
    </w:p>
    <w:p>
      <w:pPr>
        <w:spacing w:after="0" w:line="200" w:lineRule="exact"/>
        <w:rPr>
          <w:sz w:val="20"/>
          <w:szCs w:val="20"/>
          <w:color w:val="auto"/>
        </w:rPr>
      </w:pPr>
    </w:p>
    <w:p>
      <w:pPr>
        <w:spacing w:after="0" w:line="2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Total Debt Investments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Business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Network Merchants, Inc</w:t>
      </w:r>
    </w:p>
    <w:p>
      <w:pPr>
        <w:spacing w:after="0" w:line="203" w:lineRule="exact"/>
        <w:rPr>
          <w:sz w:val="20"/>
          <w:szCs w:val="20"/>
          <w:color w:val="auto"/>
        </w:rPr>
      </w:pPr>
    </w:p>
    <w:p>
      <w:pPr>
        <w:ind w:right="8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Healthcare and pharmaceuticals </w:t>
      </w:r>
      <w:r>
        <w:rPr>
          <w:rFonts w:ascii="Times New Roman" w:cs="Times New Roman" w:eastAsia="Times New Roman" w:hAnsi="Times New Roman"/>
          <w:sz w:val="17"/>
          <w:szCs w:val="17"/>
          <w:color w:val="auto"/>
        </w:rPr>
        <w:t>Global Healthcare Exchange, LLC</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SRS Parent Corp.</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2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2"/>
                <w:szCs w:val="12"/>
                <w:b w:val="1"/>
                <w:bCs w:val="1"/>
                <w:color w:val="auto"/>
              </w:rPr>
              <w:t>(2)</w:t>
            </w:r>
          </w:p>
        </w:tc>
        <w:tc>
          <w:tcPr>
            <w:tcW w:w="11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(Par amounts in</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420" w:type="dxa"/>
            <w:vAlign w:val="bottom"/>
            <w:vMerge w:val="restart"/>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 amounts in</w:t>
            </w:r>
          </w:p>
        </w:tc>
        <w:tc>
          <w:tcPr>
            <w:tcW w:w="8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Net</w:t>
            </w:r>
          </w:p>
        </w:tc>
        <w:tc>
          <w:tcPr>
            <w:tcW w:w="0" w:type="dxa"/>
            <w:vAlign w:val="bottom"/>
          </w:tcPr>
          <w:p>
            <w:pPr>
              <w:spacing w:after="0"/>
              <w:rPr>
                <w:sz w:val="1"/>
                <w:szCs w:val="1"/>
                <w:color w:val="auto"/>
              </w:rPr>
            </w:pPr>
          </w:p>
        </w:tc>
      </w:tr>
      <w:tr>
        <w:trPr>
          <w:trHeight w:val="176"/>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Date</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00" w:type="dxa"/>
            <w:vAlign w:val="bottom"/>
          </w:tcPr>
          <w:p>
            <w:pPr>
              <w:spacing w:after="0"/>
              <w:rPr>
                <w:sz w:val="15"/>
                <w:szCs w:val="15"/>
                <w:color w:val="auto"/>
              </w:rPr>
            </w:pPr>
          </w:p>
        </w:tc>
        <w:tc>
          <w:tcPr>
            <w:tcW w:w="7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($35,657</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due 3/2019)</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3/11/2014</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35,309</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35,059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($40,883</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due 9/2016)</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9/30/2013</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39,916</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40,269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Second-lien loan</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($64,838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10/2017)</w:t>
            </w:r>
          </w:p>
        </w:tc>
        <w:tc>
          <w:tcPr>
            <w:tcW w:w="2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62,960</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66,296</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102,876</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106,565</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421"/>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Second-lien loan</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($52,500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10/2019)</w:t>
            </w:r>
          </w:p>
        </w:tc>
        <w:tc>
          <w:tcPr>
            <w:tcW w:w="22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51,974</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1,169,162</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1,193,199</w:t>
            </w:r>
          </w:p>
        </w:tc>
        <w:tc>
          <w:tcPr>
            <w:tcW w:w="30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421"/>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Non-Voting Preferred</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(774,099 units)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9/12/2013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41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Class A</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(495 shares)</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Class 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(187.5 shares)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Class A</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(1,980 shares)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Class B</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(2,953,020 shares)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-3369945</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-2957830</wp:posOffset>
            </wp:positionV>
            <wp:extent cx="7246620" cy="411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-2374900</wp:posOffset>
            </wp:positionV>
            <wp:extent cx="72466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-1809115</wp:posOffset>
            </wp:positionV>
            <wp:extent cx="72466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-1517015</wp:posOffset>
            </wp:positionV>
            <wp:extent cx="7246620"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-1105535</wp:posOffset>
            </wp:positionV>
            <wp:extent cx="7246620" cy="2832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-548005</wp:posOffset>
            </wp:positionV>
            <wp:extent cx="7246620" cy="274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-3798570</wp:posOffset>
            </wp:positionV>
            <wp:extent cx="7246620" cy="146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720"/>
            <w:col w:w="7320"/>
          </w:cols>
          <w:pgMar w:left="240" w:top="45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1,560</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Equity Investments</w:t>
            </w: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3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$ 1,172,442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$ 1,195,539</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80" w:hanging="452"/>
        <w:spacing w:after="0" w:line="282" w:lineRule="auto"/>
        <w:tabs>
          <w:tab w:leader="none" w:pos="4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our portfolio companies are domiciled in the United States. As of March 31, 2014, we do not “control” any of the portfolio companies nor are any of our portfolio companies considered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55" w:right="23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640"/>
        <w:spacing w:after="0" w:line="261" w:lineRule="auto"/>
        <w:rPr>
          <w:sz w:val="20"/>
          <w:szCs w:val="20"/>
          <w:color w:val="auto"/>
        </w:rPr>
      </w:pPr>
      <w:r>
        <w:rPr>
          <w:rFonts w:ascii="Times New Roman" w:cs="Times New Roman" w:eastAsia="Times New Roman" w:hAnsi="Times New Roman"/>
          <w:sz w:val="18"/>
          <w:szCs w:val="18"/>
          <w:color w:val="auto"/>
        </w:rPr>
        <w:t>to be “affiliates”—see Note 4 to our unaudited interim consolidated financial statements. Certain portfolio company investments are subject to contractual restrictions on sales.</w:t>
      </w:r>
    </w:p>
    <w:p>
      <w:pPr>
        <w:ind w:left="460" w:right="18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46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460" w:right="52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our wholly owned subsidiary, and is pledged as collateral supporting the amounts outstanding under the SPV Asset Facility (see Note 7 to our unaudited interim consolidated financial statements).</w:t>
      </w:r>
    </w:p>
    <w:p>
      <w:pPr>
        <w:ind w:left="460" w:hanging="452"/>
        <w:spacing w:after="0" w:line="250"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a non-U.S. corporation and, as a result, is not a qualifying asset under Section 55(a) of the 1940 Act. Under the 1940 Act, we may not acquire any non-qualifying asset unless, at the time such acquisition is made, qualifying assets represent at least 70% of total assets.</w:t>
      </w:r>
    </w:p>
    <w:p>
      <w:pPr>
        <w:ind w:left="460" w:right="400" w:hanging="452"/>
        <w:spacing w:after="0" w:line="261" w:lineRule="auto"/>
        <w:tabs>
          <w:tab w:leader="none" w:pos="4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we may be entitled to receive additional interest as a result of our arrangement with other lenders in a syndication.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60"/>
          </w:cols>
          <w:pgMar w:left="240" w:top="455" w:right="29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expire at the 2017 annual meeting of stockholders.</w:t>
      </w:r>
    </w:p>
    <w:p>
      <w:pPr>
        <w:spacing w:after="0" w:line="176"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Messrs. Higginbotham and Tanemura serve as Class I directors (with a term expiring in 2015). Mr. Ross serves as a Class II director (with a term expiring in 2016). Messrs. Easterly and Fishman serve as Class III directors (with a term expiring in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Brief biographies of the members of the Board are set forth below.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00" w:type="dxa"/>
            <w:vAlign w:val="bottom"/>
          </w:tcPr>
          <w:p>
            <w:pPr>
              <w:spacing w:after="0"/>
              <w:rPr>
                <w:sz w:val="13"/>
                <w:szCs w:val="13"/>
                <w:color w:val="auto"/>
              </w:rPr>
            </w:pPr>
          </w:p>
        </w:tc>
        <w:tc>
          <w:tcPr>
            <w:tcW w:w="5360" w:type="dxa"/>
            <w:vAlign w:val="bottom"/>
            <w:gridSpan w:val="2"/>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Director</w:t>
            </w:r>
          </w:p>
        </w:tc>
        <w:tc>
          <w:tcPr>
            <w:tcW w:w="0" w:type="dxa"/>
            <w:vAlign w:val="bottom"/>
          </w:tcPr>
          <w:p>
            <w:pPr>
              <w:spacing w:after="0"/>
              <w:rPr>
                <w:sz w:val="1"/>
                <w:szCs w:val="1"/>
                <w:color w:val="auto"/>
              </w:rPr>
            </w:pPr>
          </w:p>
        </w:tc>
      </w:tr>
      <w:tr>
        <w:trPr>
          <w:trHeight w:val="173"/>
        </w:trPr>
        <w:tc>
          <w:tcPr>
            <w:tcW w:w="368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360" w:type="dxa"/>
            <w:vAlign w:val="bottom"/>
            <w:gridSpan w:val="2"/>
            <w:vMerge w:val="continue"/>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 Term</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5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5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Ross</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5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3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5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Chairman, Director and Co-Chief Executive Officer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Fishman</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5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and Co-Chief Executive Officer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117"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director of TSL in March 2011. From 2010 to 2013, he was a director of Healthcare Finance Group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Ronald Tanemura </w:t>
      </w:r>
      <w:r>
        <w:rPr>
          <w:rFonts w:ascii="Times New Roman" w:cs="Times New Roman" w:eastAsia="Times New Roman" w:hAnsi="Times New Roman"/>
          <w:sz w:val="17"/>
          <w:szCs w:val="17"/>
          <w:color w:val="auto"/>
        </w:rPr>
        <w:t>was elected a director of TSL in March 2011. Since 2012, Mr. Tanemura has served as a director of Lehman Brothers Holdings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7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John Ross </w:t>
      </w:r>
      <w:r>
        <w:rPr>
          <w:rFonts w:ascii="Times New Roman" w:cs="Times New Roman" w:eastAsia="Times New Roman" w:hAnsi="Times New Roman"/>
          <w:sz w:val="18"/>
          <w:szCs w:val="18"/>
          <w:color w:val="auto"/>
        </w:rPr>
        <w:t>was elected a director of TSL in March 2011. From 2003 to 2011, Mr. Ross was a director and member of the board risk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17"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Co-Chief Executive Officer in December 2013 and elected a director and Chairman of TSL in March 2011.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8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was appointed director and Chief Executive Officer of TSL in April 2011 and became Co-Chief Executive Officer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2013. 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Executive Officers Who Are Not Directors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20" w:type="dxa"/>
            <w:vAlign w:val="bottom"/>
            <w:vMerge w:val="restart"/>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00" w:type="dxa"/>
            <w:vAlign w:val="bottom"/>
            <w:vMerge w:val="restart"/>
          </w:tcPr>
          <w:p>
            <w:pPr>
              <w:spacing w:after="0"/>
              <w:rPr>
                <w:sz w:val="13"/>
                <w:szCs w:val="13"/>
                <w:color w:val="auto"/>
              </w:rPr>
            </w:pPr>
          </w:p>
        </w:tc>
        <w:tc>
          <w:tcPr>
            <w:tcW w:w="6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vMerge w:val="restart"/>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Officer</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vMerge w:val="continue"/>
          </w:tcPr>
          <w:p>
            <w:pPr>
              <w:spacing w:after="0"/>
              <w:rPr>
                <w:sz w:val="15"/>
                <w:szCs w:val="15"/>
                <w:color w:val="auto"/>
              </w:rPr>
            </w:pPr>
          </w:p>
        </w:tc>
        <w:tc>
          <w:tcPr>
            <w:tcW w:w="33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64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Cami</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Vice President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Alan Kirshenbaum</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Ollwerther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Mello</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Compliance Officer, Vice President and Secretary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Pluss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Vice President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Vice President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Vice President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Ronald Cami </w:t>
      </w:r>
      <w:r>
        <w:rPr>
          <w:rFonts w:ascii="Times New Roman" w:cs="Times New Roman" w:eastAsia="Times New Roman" w:hAnsi="Times New Roman"/>
          <w:sz w:val="18"/>
          <w:szCs w:val="18"/>
          <w:color w:val="auto"/>
        </w:rPr>
        <w:t>is a Vice President of TSL. Mr. Cami joined TPG as Partner and General Counsel in June 2010. From 2000 until he joined TPG in 2010,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Cami was a partner at the law firm Cravath, Swaine &amp; Moore LLP, in New York, where his practice focused on mergers and acquisitions, leveraged transactions and general 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83" w:lineRule="exact"/>
        <w:rPr>
          <w:sz w:val="20"/>
          <w:szCs w:val="20"/>
          <w:color w:val="auto"/>
        </w:rPr>
      </w:pPr>
    </w:p>
    <w:p>
      <w:pPr>
        <w:ind w:right="360" w:firstLine="456"/>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Alan Kirshenbaum </w:t>
      </w:r>
      <w:r>
        <w:rPr>
          <w:rFonts w:ascii="Times New Roman" w:cs="Times New Roman" w:eastAsia="Times New Roman" w:hAnsi="Times New Roman"/>
          <w:sz w:val="18"/>
          <w:szCs w:val="18"/>
          <w:color w:val="auto"/>
        </w:rPr>
        <w:t>is Chief Financial Officer of TSL. Prior to being named Chief Financial Officer, Mr. Kirshenbaum was a Vice President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since 2011. From 2011 to 2013, Mr. Kirshenbaum was Chief Financial Officer and Executive Director of TSSP. From 2007 to 2011,</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in 1994 and an M.B.A. from New York University’s Stern School of Business in 2003.</w:t>
      </w:r>
    </w:p>
    <w:p>
      <w:pPr>
        <w:spacing w:after="0" w:line="183" w:lineRule="exact"/>
        <w:rPr>
          <w:sz w:val="20"/>
          <w:szCs w:val="20"/>
          <w:color w:val="auto"/>
        </w:rPr>
      </w:pPr>
    </w:p>
    <w:p>
      <w:pPr>
        <w:ind w:right="20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Robert Ollwerther </w:t>
      </w:r>
      <w:r>
        <w:rPr>
          <w:rFonts w:ascii="Times New Roman" w:cs="Times New Roman" w:eastAsia="Times New Roman" w:hAnsi="Times New Roman"/>
          <w:sz w:val="18"/>
          <w:szCs w:val="18"/>
          <w:color w:val="auto"/>
        </w:rPr>
        <w:t>is the Chief Operating Officer of TSL. Since 2014, he has served as a Managing Director for TSSP. From 2013 to 2014, he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0"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Jennifer Mello </w:t>
      </w:r>
      <w:r>
        <w:rPr>
          <w:rFonts w:ascii="Times New Roman" w:cs="Times New Roman" w:eastAsia="Times New Roman" w:hAnsi="Times New Roman"/>
          <w:sz w:val="18"/>
          <w:szCs w:val="18"/>
          <w:color w:val="auto"/>
        </w:rPr>
        <w:t>is Chief Compliance Officer, Vice President and Secretary of TSL. Since 2012, Ms. Mello has been the General Counsel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of TSSP and, prior to 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77"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TSL. He is also a TPG and TSSP Partner and has been the Chief Financial Officer and Chief Risk Officer of TSSP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2013. Prior to joining TSSP, Mr. Pluss was a Managing Director and co-head of the Goldman Sachs Specialty Lending Group at Goldman, Sachs &amp; Co., where he worked from 2004 to 2013. From 1999 to 2004, Mr. Pluss was a Partner, Founder and Managing Member of</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RTV Ventures, a special situations lending joint venture with Goldman, Sachs &amp; Co. Mr. Pluss received a B.B.A from Texas A&amp;M University and an M.B.A from Southern Methodist University.</w:t>
      </w:r>
    </w:p>
    <w:p>
      <w:pPr>
        <w:spacing w:after="0" w:line="158"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is a Vice President of TSL. He is also a TPG and TSSP Partner and has served as TSSP’s Chief Operating Officer since 2010.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80"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TSL. Mr. Waxman is a TPG Partner and is a member of the TPG’s Executive Committee. He has been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is an independent director under the applicable NYSE listing standards.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Messrs. Easterly and Fishman are considered “interested persons” (as defined in the 1940 Act) of since both of them are employed by the Adviser. See “—Biographical Information—Interested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and Attendance</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Our Board has met twice in 2014, met four times in 2013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Attendance at the Meeting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policy is to encourage our directors to attend each annual meeting of stockholders; however, attendance is not required.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0"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6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8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its committees and monitoring by our Chief Compliance Officer in accordance with its compliance policies and procedures.</w:t>
      </w:r>
    </w:p>
    <w:p>
      <w:pPr>
        <w:spacing w:after="0" w:line="16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4"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2" w:lineRule="exact"/>
        <w:rPr>
          <w:sz w:val="20"/>
          <w:szCs w:val="20"/>
          <w:color w:val="auto"/>
        </w:rPr>
      </w:pPr>
    </w:p>
    <w:p>
      <w:pPr>
        <w:ind w:left="5580" w:right="2380" w:hanging="5005"/>
        <w:spacing w:after="0" w:line="454"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 106</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In addition, the Chief Compliance Officer meets separately in executive session with the Independent Directors periodically, typically every quarter, but in no event less than once each year.</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8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4"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non-management directors via email is available on our website at http://www.tpgspecialtylending.com.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We currently have three standing committees: the Audit Committee, the Nominating and Corporate Governance Committee and the Compensation Committee.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2" w:lineRule="exact"/>
        <w:rPr>
          <w:sz w:val="20"/>
          <w:szCs w:val="20"/>
          <w:color w:val="auto"/>
        </w:rPr>
      </w:pPr>
    </w:p>
    <w:p>
      <w:pPr>
        <w:ind w:left="900" w:hanging="325"/>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880" w:hanging="325"/>
        <w:spacing w:after="0" w:line="282"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Audit Committee has the sole authority to approve the engagement, and review the performance of, our independent registered public accounting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w:t>
      </w:r>
    </w:p>
    <w:p>
      <w:pPr>
        <w:spacing w:after="0" w:line="207"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Messrs. Ross, Higginbotham and Tanemura are members of the Audit Committee and Mr. Ross serves as Chairman. The Audit Committee has met four times in 2014, held eight meetings in 2013 and acted on various occasions by written consent.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2" w:lineRule="exact"/>
        <w:rPr>
          <w:sz w:val="20"/>
          <w:szCs w:val="20"/>
          <w:color w:val="auto"/>
        </w:rPr>
      </w:pPr>
    </w:p>
    <w:p>
      <w:pPr>
        <w:ind w:left="900" w:hanging="325"/>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directors for election by our stockholders;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Ross, Higginbotham and Tanemura, each of whom is independent for purposes of the NYSE corporate governance rules, and Mr. Higginbotham serves as Chairman. The Nominating and Corporate Governance Committee will meet one time each year and at additional times as necessary to carry out its responsibilities.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67" w:lineRule="exact"/>
        <w:rPr>
          <w:sz w:val="20"/>
          <w:szCs w:val="20"/>
          <w:color w:val="auto"/>
        </w:rPr>
      </w:pPr>
    </w:p>
    <w:p>
      <w:pPr>
        <w:ind w:left="900" w:right="240" w:hanging="325"/>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reimbursement by us of compensation paid by the Adviser or its affiliates pursuant to the terms of the Investment Advisory Agreement and the Administration Agreement;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setting compensation for our directors;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“—Compensation and Insider Participation—Compensation of Executive Officers.”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00"/>
          </w:cols>
          <w:pgMar w:left="240" w:top="455" w:right="2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are Messrs. Ross, Higginbotham and Tanemura, each of whom is independent for purposes of the NYSE corporate governance rules. Mr. Ross serves as Chairman. The Compensation Committee will meet one time each year and at additional times as necessary to carry out its responsibilities.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IPO Committee</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IPO Committee, which was dissolved after our IPO, held one meeting in 2013. Messrs. Easterly, Fishman and Tanemura were members of the IPO Committee. Mr. Easterly served as Chairman.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 Charters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at 345 California Street, Suite 3300, San Francisco, CA 94104, Attention: TSL Investor Relations, or by emailing us at IRTSL@tpg.com:</w:t>
      </w:r>
    </w:p>
    <w:p>
      <w:pPr>
        <w:spacing w:after="0" w:line="89" w:lineRule="exact"/>
        <w:rPr>
          <w:sz w:val="20"/>
          <w:szCs w:val="20"/>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Charter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Charter</w:t>
      </w:r>
    </w:p>
    <w:p>
      <w:pPr>
        <w:spacing w:after="0" w:line="225" w:lineRule="exact"/>
        <w:rPr>
          <w:sz w:val="20"/>
          <w:szCs w:val="20"/>
          <w:color w:val="auto"/>
        </w:rPr>
      </w:pPr>
    </w:p>
    <w:p>
      <w:pPr>
        <w:ind w:right="120" w:firstLine="456"/>
        <w:spacing w:after="0" w:line="313" w:lineRule="auto"/>
        <w:rPr>
          <w:sz w:val="20"/>
          <w:szCs w:val="20"/>
          <w:color w:val="auto"/>
        </w:rPr>
      </w:pPr>
      <w:r>
        <w:rPr>
          <w:rFonts w:ascii="Times New Roman" w:cs="Times New Roman" w:eastAsia="Times New Roman" w:hAnsi="Times New Roman"/>
          <w:sz w:val="17"/>
          <w:szCs w:val="17"/>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TPG Specialty Lending, Inc., 301 Commerce Street, Suite 3300, Fort Worth, TX 76102. Please refer to the text of our bylaws (including Article II, paragraph (K)), which are on file with the SEC.</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size and composition of our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person is an “interested person” of TSL as defined in Section 2(a)(19) of the 1940 Act;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needs of TSL with respect to the particular talents and experience of its directors;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skills and experience of nominees in light of prevailing business conditions and the knowledge, skills and experience already possessed by other members of the Board;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 and integrity;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with national and international business matters;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with accounting rules and practices;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balance the considerable benefit of continuity with the periodic injection of the fresh perspective provided by new members;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laws, rules, regulations, and listing standards.</w:t>
      </w:r>
    </w:p>
    <w:p>
      <w:pPr>
        <w:spacing w:after="0" w:line="22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62"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8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 and the interests of its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Insider Participation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$100,000 annual retainer (which was $75,000 prior to the IPO);</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$5,000 per year for the chairman of the Audit Committee.</w:t>
      </w:r>
    </w:p>
    <w:p>
      <w:pPr>
        <w:spacing w:after="0" w:line="225"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2013, we also reimbursed directors for certain out-of-pocket expenses each Independent Director incurred in connection with the fulfillment of his duties as an Independent Director. In each case these amounts were under $2,500 in the aggregate per Independent Director.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00"/>
          </w:cols>
          <w:pgMar w:left="240" w:top="455" w:right="2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total compensation earned by or paid to each of our Independent Directors during the fiscal year ended December 31, 2013:</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3180" w:type="dxa"/>
            <w:vAlign w:val="bottom"/>
            <w:gridSpan w:val="3"/>
          </w:tcPr>
          <w:p>
            <w:pPr>
              <w:ind w:left="24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740" w:type="dxa"/>
            <w:vAlign w:val="bottom"/>
          </w:tcPr>
          <w:p>
            <w:pPr>
              <w:spacing w:after="0"/>
              <w:rPr>
                <w:sz w:val="12"/>
                <w:szCs w:val="12"/>
                <w:color w:val="auto"/>
              </w:rPr>
            </w:pP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7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John Ross</w:t>
            </w:r>
          </w:p>
        </w:tc>
        <w:tc>
          <w:tcPr>
            <w:tcW w:w="252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3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$98,000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252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340" w:type="dxa"/>
            <w:vAlign w:val="bottom"/>
            <w:gridSpan w:val="2"/>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Executive Officers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TSSP and TPG.</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TSSP, which encompasses TPG Specialty Lending, TPG Opportunities Partners and TPG Institutional Credit Partners, is TPG’s special situations and credit platform. TSSP had over $9 billion of assets under management as of March 31, 2014. TSSP has extensive experience with highly complex, global public and private investments executed through primary originations, secondary market purchases and restructurings, and has a team of over 80 investment and operating professionals. Twenty-three of these personnel are dedicated to our business, including 17 investment professionals. The TSSP members of the Investment Review Committee are Joshua Easterly, Michael Fishman, Alan Waxman and David Stiepleman.</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with over $59 billion of assets under management, as of March 31, 2014, and offices in San Francisco, Fort Worth, Austin, New York and throughout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80"/>
          </w:cols>
          <w:pgMar w:left="240" w:top="455" w:right="27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250 professionals. The TPG members of the Investment Review Committee are TPG co-founders, David Bonderman and James Coulter, and TPG Senior Partners, Jonathan Coslet and James Gates.</w:t>
      </w:r>
    </w:p>
    <w:p>
      <w:pPr>
        <w:spacing w:after="0" w:line="18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jc w:val="both"/>
        <w:ind w:firstLine="456"/>
        <w:spacing w:after="0" w:line="289" w:lineRule="auto"/>
        <w:rPr>
          <w:sz w:val="20"/>
          <w:szCs w:val="20"/>
          <w:color w:val="auto"/>
        </w:rPr>
      </w:pPr>
      <w:r>
        <w:rPr>
          <w:rFonts w:ascii="Times New Roman" w:cs="Times New Roman" w:eastAsia="Times New Roman" w:hAnsi="Times New Roman"/>
          <w:sz w:val="17"/>
          <w:szCs w:val="17"/>
          <w:color w:val="auto"/>
        </w:rPr>
        <w:t>Management of the Adviser consists primarily of senior executives of TSSP and TPG. TSSP and TPG executives, including members of our Investment Review Committee and certain of our other senior personnel, own a significant stake in the Adviser. As of May 7, 2014, our Adviser owned 2,799,517 shares, or 5.2%, of our common stock. See “Related-Party Transactions and Certain Relationships” and “Control Persons and Principal Stockholders.”</w:t>
      </w:r>
    </w:p>
    <w:p>
      <w:pPr>
        <w:spacing w:after="0" w:line="158"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Adviser has also entered into an agreement with Goldman, Sachs &amp; Co. in accordance with Rules 10b5-1 and 10b-18 under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AND OTHER AGREEMENTS</w:t>
      </w:r>
    </w:p>
    <w:p>
      <w:pPr>
        <w:spacing w:after="0" w:line="229" w:lineRule="exact"/>
        <w:rPr>
          <w:sz w:val="20"/>
          <w:szCs w:val="20"/>
          <w:color w:val="auto"/>
        </w:rPr>
      </w:pPr>
    </w:p>
    <w:p>
      <w:pPr>
        <w:ind w:right="560" w:firstLine="456"/>
        <w:spacing w:after="0" w:line="266" w:lineRule="auto"/>
        <w:rPr>
          <w:sz w:val="20"/>
          <w:szCs w:val="20"/>
          <w:color w:val="auto"/>
        </w:rPr>
      </w:pPr>
      <w:r>
        <w:rPr>
          <w:rFonts w:ascii="Times New Roman" w:cs="Times New Roman" w:eastAsia="Times New Roman" w:hAnsi="Times New Roman"/>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Advisory Agreement; Administration Agreement; License Agreement</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On April 15, 2011, we entered into the Investment Advisory Agreement with our Adviser. The Investment Advisory Agreement was subsequently amended on December 12, 2011.</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jc w:val="both"/>
        <w:ind w:right="40" w:firstLine="456"/>
        <w:spacing w:after="0" w:line="282" w:lineRule="auto"/>
        <w:rPr>
          <w:sz w:val="20"/>
          <w:szCs w:val="20"/>
          <w:color w:val="auto"/>
        </w:rPr>
      </w:pPr>
      <w:r>
        <w:rPr>
          <w:rFonts w:ascii="Times New Roman" w:cs="Times New Roman" w:eastAsia="Times New Roman" w:hAnsi="Times New Roman"/>
          <w:sz w:val="18"/>
          <w:szCs w:val="18"/>
          <w:color w:val="auto"/>
        </w:rPr>
        <w:t>Under the terms of the Investment Advisory Agreement, we pay the Adviser a base management fee (the “Management Fee”) and may also pay certain incentive fees (the “Incentive Fees”).</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76"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2013, Management Fees were $13.4 million, of which $7.1 million were waived (see below). For the three months ended March 31, 2014, Management Fees were $4.2 million, of which $1.8 million were payable at March 31, 2014 and $2.5 million were waived.</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Until the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the IPO, the Adviser does not intend to waive its right to receive the full Management Fee and accordingly, we will be required to pay the full amount of the Management Fee.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through March 31, 2014, equaled 100% of the pre-Incentive Fee net investment income in excess of a 1.5% quarterly “hurdle rate,”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00"/>
          </w:cols>
          <w:pgMar w:left="240" w:top="455" w:right="2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was the rate at which catch-up is achieved. Once the “hurdle rate” was reached and catch-up was achieved, 15% of any pre-Incentive Fee net investment income in excess of 1.76% in any quarter was payable to the Adviser.</w:t>
      </w:r>
    </w:p>
    <w:p>
      <w:pPr>
        <w:spacing w:after="0" w:line="93" w:lineRule="exact"/>
        <w:rPr>
          <w:sz w:val="20"/>
          <w:szCs w:val="20"/>
          <w:color w:val="auto"/>
        </w:rPr>
      </w:pPr>
    </w:p>
    <w:p>
      <w:pPr>
        <w:ind w:left="900" w:right="20"/>
        <w:spacing w:after="0" w:line="255" w:lineRule="auto"/>
        <w:rPr>
          <w:sz w:val="20"/>
          <w:szCs w:val="20"/>
          <w:color w:val="auto"/>
        </w:rPr>
      </w:pPr>
      <w:r>
        <w:rPr>
          <w:rFonts w:ascii="Times New Roman" w:cs="Times New Roman" w:eastAsia="Times New Roman" w:hAnsi="Times New Roman"/>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91" w:lineRule="exact"/>
        <w:rPr>
          <w:sz w:val="20"/>
          <w:szCs w:val="20"/>
          <w:color w:val="auto"/>
        </w:rPr>
      </w:pPr>
    </w:p>
    <w:p>
      <w:pPr>
        <w:ind w:left="900" w:right="160"/>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54"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through March 31, 2014, equaled 15%,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will be subject to an Incentive Fee rate of 15% and the portion of our realized capital gains that accrued beginning April 1, 2014 will be subject to an Incentive Fee rate of 17.5%.</w:t>
      </w:r>
    </w:p>
    <w:p>
      <w:pPr>
        <w:spacing w:after="0" w:line="189" w:lineRule="exact"/>
        <w:rPr>
          <w:sz w:val="20"/>
          <w:szCs w:val="20"/>
          <w:color w:val="auto"/>
        </w:rPr>
      </w:pPr>
    </w:p>
    <w:p>
      <w:pPr>
        <w:ind w:right="160" w:firstLine="456"/>
        <w:spacing w:after="0" w:line="313" w:lineRule="auto"/>
        <w:rPr>
          <w:sz w:val="20"/>
          <w:szCs w:val="20"/>
          <w:color w:val="auto"/>
        </w:rPr>
      </w:pPr>
      <w:r>
        <w:rPr>
          <w:rFonts w:ascii="Times New Roman" w:cs="Times New Roman" w:eastAsia="Times New Roman" w:hAnsi="Times New Roman"/>
          <w:sz w:val="17"/>
          <w:szCs w:val="17"/>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4" w:lineRule="exact"/>
        <w:rPr>
          <w:sz w:val="20"/>
          <w:szCs w:val="20"/>
          <w:color w:val="auto"/>
        </w:rPr>
      </w:pPr>
    </w:p>
    <w:p>
      <w:pPr>
        <w:ind w:left="900" w:hanging="325"/>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assets as of the end of the calendar quarter immediately preceding the day; plus</w:t>
      </w:r>
    </w:p>
    <w:p>
      <w:pPr>
        <w:spacing w:after="0" w:line="130"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capital drawn from investors (or reinvested pursuant to our dividend reinvestment plan) from the beginning of the current quarter to the day; minus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2"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6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8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three months ended March 31, 2014, Incentive Fees were $4.5 million, of which $3.7 million were realized and payable to the Adviser.</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on not more than 60 days’ written notice to the other party. See “Risk Factors—Risks Related to Our Business and Structure—We are dependent upon management personnel of the Adviser for our future success.”</w:t>
      </w:r>
    </w:p>
    <w:p>
      <w:pPr>
        <w:spacing w:after="0" w:line="184" w:lineRule="exact"/>
        <w:rPr>
          <w:sz w:val="20"/>
          <w:szCs w:val="20"/>
          <w:color w:val="auto"/>
        </w:rPr>
      </w:pPr>
    </w:p>
    <w:p>
      <w:pPr>
        <w:jc w:val="both"/>
        <w:ind w:right="400" w:firstLine="456"/>
        <w:spacing w:after="0" w:line="261" w:lineRule="auto"/>
        <w:rPr>
          <w:sz w:val="20"/>
          <w:szCs w:val="20"/>
          <w:color w:val="auto"/>
        </w:rPr>
      </w:pPr>
      <w:r>
        <w:rPr>
          <w:rFonts w:ascii="Times New Roman" w:cs="Times New Roman" w:eastAsia="Times New Roman" w:hAnsi="Times New Roman"/>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For the year ended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00"/>
          </w:cols>
          <w:pgMar w:left="240" w:top="455" w:right="2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December 31, 2013, we incurred expenses of $1.4 million for administrative services payable under the terms of the Administration Agreement. For the three months ended March 31, 2014, we incurred expenses of $0.6 million for administrative services payable to the Adviser under the terms of the Administration Agreement.</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 Expenses incurred by the Adviser on behalf of the Company for the year ended December 31, 2013 were $5.0 million. Expenses incurred by the Adviser on our behalf of for the three months ended March 31, 2014 were $1.5 million.</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on not more than 60 days’ written notice to the other party. See “Risk Factors—Risks Related to Our Business and Structure—We are dependent upon management personnel of the Adviser for our future success.”</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 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84"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62"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Incentive Fee Based on Net Investment Income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172085</wp:posOffset>
            </wp:positionV>
            <wp:extent cx="5145405" cy="943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5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455" w:right="2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(investment income – (management fee + other expenses)) = 1.425%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2.375%</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 (1.8% – 1.5%)</w:t>
      </w:r>
    </w:p>
    <w:p>
      <w:pPr>
        <w:spacing w:after="0" w:line="9" w:lineRule="exact"/>
        <w:rPr>
          <w:rFonts w:ascii="Times New Roman" w:cs="Times New Roman" w:eastAsia="Times New Roman" w:hAnsi="Times New Roman"/>
          <w:sz w:val="18"/>
          <w:szCs w:val="18"/>
          <w:color w:val="auto"/>
        </w:rPr>
      </w:pPr>
    </w:p>
    <w:p>
      <w:pPr>
        <w:ind w:left="1060" w:hanging="139"/>
        <w:spacing w:after="0"/>
        <w:tabs>
          <w:tab w:leader="none" w:pos="10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Alternative 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income (including interest, dividends, fees, etc.) = 3.5%</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Times New Roman" w:cs="Times New Roman" w:eastAsia="Times New Roman" w:hAnsi="Times New Roman"/>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(17.5% × 1.105%)</w:t>
      </w:r>
    </w:p>
    <w:p>
      <w:pPr>
        <w:spacing w:after="0" w:line="9" w:lineRule="exact"/>
        <w:rPr>
          <w:rFonts w:ascii="Times New Roman" w:cs="Times New Roman" w:eastAsia="Times New Roman" w:hAnsi="Times New Roman"/>
          <w:sz w:val="18"/>
          <w:szCs w:val="18"/>
          <w:color w:val="auto"/>
        </w:rPr>
      </w:pPr>
    </w:p>
    <w:p>
      <w:pPr>
        <w:ind w:left="1060" w:hanging="139"/>
        <w:spacing w:after="0"/>
        <w:tabs>
          <w:tab w:leader="none" w:pos="1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0.32% + 0.193%</w:t>
      </w:r>
    </w:p>
    <w:p>
      <w:pPr>
        <w:spacing w:after="0" w:line="9" w:lineRule="exact"/>
        <w:rPr>
          <w:rFonts w:ascii="Times New Roman" w:cs="Times New Roman" w:eastAsia="Times New Roman" w:hAnsi="Times New Roman"/>
          <w:sz w:val="18"/>
          <w:szCs w:val="18"/>
          <w:color w:val="auto"/>
        </w:rPr>
      </w:pPr>
    </w:p>
    <w:p>
      <w:pPr>
        <w:ind w:left="1060" w:hanging="139"/>
        <w:spacing w:after="0"/>
        <w:tabs>
          <w:tab w:leader="none" w:pos="10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0.513%</w:t>
      </w:r>
    </w:p>
    <w:p>
      <w:pPr>
        <w:spacing w:after="0" w:line="23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6.0% annualized hurdle rate.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 annualized management fee.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organizational and offering expenses.</w:t>
      </w:r>
    </w:p>
    <w:p>
      <w:pPr>
        <w:spacing w:after="0" w:line="9" w:lineRule="exact"/>
        <w:rPr>
          <w:rFonts w:ascii="Times New Roman" w:cs="Times New Roman" w:eastAsia="Times New Roman" w:hAnsi="Times New Roman"/>
          <w:sz w:val="18"/>
          <w:szCs w:val="18"/>
          <w:color w:val="auto"/>
        </w:rPr>
      </w:pPr>
    </w:p>
    <w:p>
      <w:pPr>
        <w:ind w:left="460" w:hanging="452"/>
        <w:spacing w:after="0" w:line="255"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“catch-up” provision is intended to provide the Adviser with an Incentive Fee of 17.5% on all of our pre-Incentive Fee net investment income as if a hurdle rate did not apply when our net investment income exceeds 17.5% in any calendar quarter and is not applied once the Adviser has received 17.5% of</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240" w:top="455" w:right="31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1" w:lineRule="auto"/>
        <w:rPr>
          <w:sz w:val="20"/>
          <w:szCs w:val="20"/>
          <w:color w:val="auto"/>
        </w:rPr>
      </w:pPr>
      <w:r>
        <w:rPr>
          <w:rFonts w:ascii="Times New Roman" w:cs="Times New Roman" w:eastAsia="Times New Roman" w:hAnsi="Times New Roman"/>
          <w:sz w:val="18"/>
          <w:szCs w:val="18"/>
          <w:color w:val="auto"/>
        </w:rPr>
        <w:t>investment income in a quarter. The “catch-up” portion of our pre-Incentive Fee Net Investment Income is the portion that exceeds the 1.5% hurdle rate but is less than or equal to approximately 1.82% (that is, 1.5% divided by (1 – 0.175)) in any fiscal quarter.</w:t>
      </w: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hypothetical amount of pre-Incentive Fee net investment income shown is based on a percentage of total net assets.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 2: Capital Gains Portion of Incentive Fee: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133" w:lineRule="exact"/>
        <w:rPr>
          <w:sz w:val="20"/>
          <w:szCs w:val="20"/>
          <w:color w:val="auto"/>
        </w:rPr>
      </w:pPr>
    </w:p>
    <w:p>
      <w:pPr>
        <w:ind w:left="900" w:hanging="325"/>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$10 million investment made in Company A (“Investment A”), $10 million investment made in Company B (“Investment B”),</w:t>
      </w:r>
    </w:p>
    <w:p>
      <w:pPr>
        <w:spacing w:after="0" w:line="27" w:lineRule="exact"/>
        <w:rPr>
          <w:rFonts w:ascii="Times New Roman" w:cs="Times New Roman" w:eastAsia="Times New Roman" w:hAnsi="Times New Roman"/>
          <w:sz w:val="18"/>
          <w:szCs w:val="18"/>
          <w:color w:val="auto"/>
        </w:rPr>
      </w:pPr>
    </w:p>
    <w:p>
      <w:pPr>
        <w:ind w:left="900"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investment made in Company C (“Investment C”), $10 million investment made in Company D (“Investment D”) and $10 million investment made in Company E (“Investment E”).</w:t>
      </w:r>
    </w:p>
    <w:p>
      <w:pPr>
        <w:spacing w:after="0" w:line="85"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67"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67" w:lineRule="exact"/>
        <w:rPr>
          <w:rFonts w:ascii="Times New Roman" w:cs="Times New Roman" w:eastAsia="Times New Roman" w:hAnsi="Times New Roman"/>
          <w:sz w:val="18"/>
          <w:szCs w:val="18"/>
          <w:color w:val="auto"/>
        </w:rPr>
      </w:pPr>
    </w:p>
    <w:p>
      <w:pPr>
        <w:ind w:left="900" w:right="740" w:hanging="325"/>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 Investment C sold for $20 million, FMV of Investment B determined to be $14 million, FMV of Investment E determined to be $10 million and FMV of Investment F determined to $12 million.</w:t>
      </w:r>
    </w:p>
    <w:p>
      <w:pPr>
        <w:spacing w:after="0" w:line="67"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 Investment B sold for $16 million, FMV of Investment E determined to be $8 million and FMV of Investment F determined to be $15 million.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 Investment E sold for $8 million and FMV of Investment F determined to be $17 million.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 Investment F sold for $18 million.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00"/>
          </w:cols>
          <w:pgMar w:left="240" w:top="455" w:right="2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assumptions are summarized in the following chart: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120" w:type="dxa"/>
            <w:vAlign w:val="bottom"/>
          </w:tcPr>
          <w:p>
            <w:pPr>
              <w:spacing w:after="0"/>
              <w:rPr>
                <w:sz w:val="12"/>
                <w:szCs w:val="12"/>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Cumulative</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Realized</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r>
      <w:tr>
        <w:trPr>
          <w:trHeight w:val="166"/>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A</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C</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D</w:t>
            </w:r>
          </w:p>
        </w:tc>
        <w:tc>
          <w:tcPr>
            <w:tcW w:w="9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Gains</w:t>
            </w:r>
          </w:p>
        </w:tc>
      </w:tr>
      <w:tr>
        <w:trPr>
          <w:trHeight w:val="122"/>
        </w:trPr>
        <w:tc>
          <w:tcPr>
            <w:tcW w:w="1580" w:type="dxa"/>
            <w:vAlign w:val="bottom"/>
            <w:tcBorders>
              <w:top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2" w:lineRule="exact"/>
              <w:rPr>
                <w:sz w:val="20"/>
                <w:szCs w:val="20"/>
                <w:color w:val="auto"/>
              </w:rPr>
            </w:pPr>
            <w:r>
              <w:rPr>
                <w:rFonts w:ascii="Times New Roman" w:cs="Times New Roman" w:eastAsia="Times New Roman" w:hAnsi="Times New Roman"/>
                <w:sz w:val="14"/>
                <w:szCs w:val="14"/>
                <w:color w:val="auto"/>
              </w:rPr>
              <w:t>—</w:t>
            </w:r>
          </w:p>
        </w:tc>
      </w:tr>
      <w:tr>
        <w:trPr>
          <w:trHeight w:val="171"/>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(cost basis)</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basis)</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Year 2</w:t>
            </w:r>
          </w:p>
        </w:tc>
        <w:tc>
          <w:tcPr>
            <w:tcW w:w="1880" w:type="dxa"/>
            <w:vAlign w:val="bottom"/>
            <w:gridSpan w:val="3"/>
          </w:tcPr>
          <w:p>
            <w:pPr>
              <w:ind w:left="840"/>
              <w:spacing w:after="0" w:line="126" w:lineRule="exact"/>
              <w:rPr>
                <w:sz w:val="20"/>
                <w:szCs w:val="20"/>
                <w:color w:val="auto"/>
              </w:rPr>
            </w:pPr>
            <w:r>
              <w:rPr>
                <w:rFonts w:ascii="Times New Roman" w:cs="Times New Roman" w:eastAsia="Times New Roman" w:hAnsi="Times New Roman"/>
                <w:sz w:val="14"/>
                <w:szCs w:val="14"/>
                <w:color w:val="auto"/>
              </w:rPr>
              <w:t>$20 million</w:t>
            </w:r>
          </w:p>
        </w:tc>
        <w:tc>
          <w:tcPr>
            <w:tcW w:w="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$8 million</w:t>
            </w:r>
          </w:p>
        </w:tc>
        <w:tc>
          <w:tcPr>
            <w:tcW w:w="116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$12 million</w:t>
            </w:r>
          </w:p>
        </w:tc>
        <w:tc>
          <w:tcPr>
            <w:tcW w:w="1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c>
          <w:tcPr>
            <w:tcW w:w="100" w:type="dxa"/>
            <w:vAlign w:val="bottom"/>
          </w:tcPr>
          <w:p>
            <w:pPr>
              <w:spacing w:after="0"/>
              <w:rPr>
                <w:sz w:val="10"/>
                <w:szCs w:val="10"/>
                <w:color w:val="auto"/>
              </w:rPr>
            </w:pPr>
          </w:p>
        </w:tc>
        <w:tc>
          <w:tcPr>
            <w:tcW w:w="102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$2 million</w:t>
            </w:r>
          </w:p>
        </w:tc>
        <w:tc>
          <w:tcPr>
            <w:tcW w:w="120" w:type="dxa"/>
            <w:vAlign w:val="bottom"/>
          </w:tcPr>
          <w:p>
            <w:pPr>
              <w:spacing w:after="0"/>
              <w:rPr>
                <w:sz w:val="10"/>
                <w:szCs w:val="10"/>
                <w:color w:val="auto"/>
              </w:rPr>
            </w:pPr>
          </w:p>
        </w:tc>
        <w:tc>
          <w:tcPr>
            <w:tcW w:w="900" w:type="dxa"/>
            <w:vAlign w:val="bottom"/>
            <w:gridSpan w:val="2"/>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r>
      <w:tr>
        <w:trPr>
          <w:trHeight w:val="171"/>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(sale price)</w:t>
            </w: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FMV</w:t>
            </w: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FMV</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FMV</w:t>
            </w: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Year 3 (IPO)</w:t>
            </w:r>
          </w:p>
        </w:tc>
        <w:tc>
          <w:tcPr>
            <w:tcW w:w="8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$8 million</w:t>
            </w:r>
          </w:p>
        </w:tc>
        <w:tc>
          <w:tcPr>
            <w:tcW w:w="11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$14 million</w:t>
            </w:r>
          </w:p>
        </w:tc>
        <w:tc>
          <w:tcPr>
            <w:tcW w:w="1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$14 million</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$16 million</w:t>
            </w:r>
          </w:p>
        </w:tc>
        <w:tc>
          <w:tcPr>
            <w:tcW w:w="10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$2 million</w:t>
            </w:r>
          </w:p>
        </w:tc>
        <w:tc>
          <w:tcPr>
            <w:tcW w:w="1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r>
      <w:tr>
        <w:trPr>
          <w:trHeight w:val="171"/>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FMV at IPO</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Year 4</w:t>
            </w:r>
          </w:p>
        </w:tc>
        <w:tc>
          <w:tcPr>
            <w:tcW w:w="840" w:type="dxa"/>
            <w:vAlign w:val="bottom"/>
          </w:tcPr>
          <w:p>
            <w:pPr>
              <w:spacing w:after="0"/>
              <w:rPr>
                <w:sz w:val="10"/>
                <w:szCs w:val="10"/>
                <w:color w:val="auto"/>
              </w:rPr>
            </w:pP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c>
          <w:tcPr>
            <w:tcW w:w="116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$16 million</w:t>
            </w:r>
          </w:p>
        </w:tc>
        <w:tc>
          <w:tcPr>
            <w:tcW w:w="1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$12 million</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$14 million</w:t>
            </w:r>
          </w:p>
        </w:tc>
        <w:tc>
          <w:tcPr>
            <w:tcW w:w="112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$10 million</w:t>
            </w:r>
          </w:p>
        </w:tc>
        <w:tc>
          <w:tcPr>
            <w:tcW w:w="900" w:type="dxa"/>
            <w:vAlign w:val="bottom"/>
          </w:tcPr>
          <w:p>
            <w:pPr>
              <w:ind w:left="6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900" w:type="dxa"/>
            <w:vAlign w:val="bottom"/>
            <w:gridSpan w:val="2"/>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$12 million</w:t>
            </w:r>
          </w:p>
        </w:tc>
      </w:tr>
      <w:tr>
        <w:trPr>
          <w:trHeight w:val="171"/>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FMV</w:t>
            </w: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FMV</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 price)</w:t>
            </w: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FMV</w:t>
            </w: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Year 5</w:t>
            </w:r>
          </w:p>
        </w:tc>
        <w:tc>
          <w:tcPr>
            <w:tcW w:w="8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$14 million</w:t>
            </w:r>
          </w:p>
        </w:tc>
        <w:tc>
          <w:tcPr>
            <w:tcW w:w="116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$20 million</w:t>
            </w: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$10 million</w:t>
            </w:r>
          </w:p>
        </w:tc>
        <w:tc>
          <w:tcPr>
            <w:tcW w:w="1120" w:type="dxa"/>
            <w:vAlign w:val="bottom"/>
            <w:gridSpan w:val="3"/>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$12 million</w:t>
            </w:r>
          </w:p>
        </w:tc>
        <w:tc>
          <w:tcPr>
            <w:tcW w:w="900" w:type="dxa"/>
            <w:vAlign w:val="bottom"/>
            <w:shd w:val="clear" w:color="auto" w:fill="CCEEFF"/>
          </w:tcPr>
          <w:p>
            <w:pPr>
              <w:ind w:left="6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$22 million</w:t>
            </w:r>
          </w:p>
        </w:tc>
      </w:tr>
      <w:tr>
        <w:trPr>
          <w:trHeight w:val="171"/>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Year 6</w:t>
            </w:r>
          </w:p>
        </w:tc>
        <w:tc>
          <w:tcPr>
            <w:tcW w:w="840" w:type="dxa"/>
            <w:vAlign w:val="bottom"/>
          </w:tcPr>
          <w:p>
            <w:pPr>
              <w:spacing w:after="0"/>
              <w:rPr>
                <w:sz w:val="10"/>
                <w:szCs w:val="10"/>
                <w:color w:val="auto"/>
              </w:rPr>
            </w:pP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$16 million</w:t>
            </w:r>
          </w:p>
        </w:tc>
        <w:tc>
          <w:tcPr>
            <w:tcW w:w="120" w:type="dxa"/>
            <w:vAlign w:val="bottom"/>
          </w:tcPr>
          <w:p>
            <w:pPr>
              <w:spacing w:after="0"/>
              <w:rPr>
                <w:sz w:val="10"/>
                <w:szCs w:val="10"/>
                <w:color w:val="auto"/>
              </w:rPr>
            </w:pP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$8 million</w:t>
            </w:r>
          </w:p>
        </w:tc>
        <w:tc>
          <w:tcPr>
            <w:tcW w:w="112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$15 million</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$2 million</w:t>
            </w:r>
          </w:p>
        </w:tc>
        <w:tc>
          <w:tcPr>
            <w:tcW w:w="120" w:type="dxa"/>
            <w:vAlign w:val="bottom"/>
          </w:tcPr>
          <w:p>
            <w:pPr>
              <w:spacing w:after="0"/>
              <w:rPr>
                <w:sz w:val="10"/>
                <w:szCs w:val="10"/>
                <w:color w:val="auto"/>
              </w:rPr>
            </w:pPr>
          </w:p>
        </w:tc>
        <w:tc>
          <w:tcPr>
            <w:tcW w:w="900" w:type="dxa"/>
            <w:vAlign w:val="bottom"/>
            <w:gridSpan w:val="2"/>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$28 million</w:t>
            </w:r>
          </w:p>
        </w:tc>
      </w:tr>
      <w:tr>
        <w:trPr>
          <w:trHeight w:val="171"/>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(sale price)</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FMV</w:t>
            </w: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Year 7</w:t>
            </w:r>
          </w:p>
        </w:tc>
        <w:tc>
          <w:tcPr>
            <w:tcW w:w="84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$8 million (sale</w:t>
            </w:r>
          </w:p>
        </w:tc>
        <w:tc>
          <w:tcPr>
            <w:tcW w:w="1120" w:type="dxa"/>
            <w:vAlign w:val="bottom"/>
            <w:gridSpan w:val="3"/>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$17 million</w:t>
            </w:r>
          </w:p>
        </w:tc>
        <w:tc>
          <w:tcPr>
            <w:tcW w:w="900" w:type="dxa"/>
            <w:vAlign w:val="bottom"/>
            <w:shd w:val="clear" w:color="auto" w:fill="CCEEFF"/>
          </w:tcPr>
          <w:p>
            <w:pPr>
              <w:ind w:left="6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$2 million</w:t>
            </w:r>
          </w:p>
        </w:tc>
        <w:tc>
          <w:tcPr>
            <w:tcW w:w="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$28 million</w:t>
            </w:r>
          </w:p>
        </w:tc>
      </w:tr>
      <w:tr>
        <w:trPr>
          <w:trHeight w:val="171"/>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price)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Year 8</w:t>
            </w:r>
          </w:p>
        </w:tc>
        <w:tc>
          <w:tcPr>
            <w:tcW w:w="840" w:type="dxa"/>
            <w:vAlign w:val="bottom"/>
          </w:tcPr>
          <w:p>
            <w:pPr>
              <w:spacing w:after="0"/>
              <w:rPr>
                <w:sz w:val="10"/>
                <w:szCs w:val="10"/>
                <w:color w:val="auto"/>
              </w:rPr>
            </w:pP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6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$18 million</w:t>
            </w:r>
          </w:p>
        </w:tc>
        <w:tc>
          <w:tcPr>
            <w:tcW w:w="900" w:type="dxa"/>
            <w:vAlign w:val="bottom"/>
          </w:tcPr>
          <w:p>
            <w:pPr>
              <w:ind w:left="6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$2 million</w:t>
            </w:r>
          </w:p>
        </w:tc>
        <w:tc>
          <w:tcPr>
            <w:tcW w:w="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$36 million</w:t>
            </w:r>
          </w:p>
        </w:tc>
      </w:tr>
      <w:tr>
        <w:trPr>
          <w:trHeight w:val="188"/>
        </w:trPr>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(sale price)</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1: None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2:</w:t>
      </w:r>
    </w:p>
    <w:p>
      <w:pPr>
        <w:spacing w:after="0" w:line="117" w:lineRule="exact"/>
        <w:rPr>
          <w:sz w:val="20"/>
          <w:szCs w:val="20"/>
          <w:color w:val="auto"/>
        </w:rPr>
      </w:pPr>
    </w:p>
    <w:p>
      <w:pPr>
        <w:ind w:left="920" w:right="94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15% multiplied by ($10 million realized capital gains on sale of Investment A less $2 million cumulative capital depreciation) = </w:t>
      </w:r>
      <w:r>
        <w:rPr>
          <w:rFonts w:ascii="Times New Roman" w:cs="Times New Roman" w:eastAsia="Times New Roman" w:hAnsi="Times New Roman"/>
          <w:sz w:val="18"/>
          <w:szCs w:val="18"/>
          <w:b w:val="1"/>
          <w:bCs w:val="1"/>
          <w:color w:val="auto"/>
        </w:rPr>
        <w:t>$1.2 million</w:t>
      </w:r>
    </w:p>
    <w:p>
      <w:pPr>
        <w:spacing w:after="0" w:line="67" w:lineRule="exact"/>
        <w:rPr>
          <w:sz w:val="20"/>
          <w:szCs w:val="20"/>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3:</w:t>
      </w:r>
    </w:p>
    <w:p>
      <w:pPr>
        <w:spacing w:after="0" w:line="117" w:lineRule="exact"/>
        <w:rPr>
          <w:sz w:val="20"/>
          <w:szCs w:val="20"/>
          <w:color w:val="auto"/>
        </w:rPr>
      </w:pPr>
    </w:p>
    <w:p>
      <w:pPr>
        <w:ind w:left="920" w:right="60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Times New Roman" w:cs="Times New Roman" w:eastAsia="Times New Roman" w:hAnsi="Times New Roman"/>
          <w:sz w:val="18"/>
          <w:szCs w:val="18"/>
          <w:b w:val="1"/>
          <w:bCs w:val="1"/>
          <w:color w:val="auto"/>
        </w:rPr>
        <w:t>$0.00</w:t>
      </w:r>
    </w:p>
    <w:p>
      <w:pPr>
        <w:spacing w:after="0" w:line="54" w:lineRule="exact"/>
        <w:rPr>
          <w:sz w:val="20"/>
          <w:szCs w:val="20"/>
          <w:color w:val="auto"/>
        </w:rPr>
      </w:pPr>
    </w:p>
    <w:p>
      <w:pPr>
        <w:ind w:left="920" w:right="58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Times New Roman" w:cs="Times New Roman" w:eastAsia="Times New Roman" w:hAnsi="Times New Roman"/>
          <w:sz w:val="18"/>
          <w:szCs w:val="18"/>
          <w:b w:val="1"/>
          <w:bCs w:val="1"/>
          <w:color w:val="auto"/>
        </w:rPr>
        <w:t>15%</w:t>
      </w:r>
    </w:p>
    <w:p>
      <w:pPr>
        <w:spacing w:after="0" w:line="67" w:lineRule="exact"/>
        <w:rPr>
          <w:sz w:val="20"/>
          <w:szCs w:val="20"/>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4:</w:t>
      </w:r>
    </w:p>
    <w:p>
      <w:pPr>
        <w:spacing w:after="0" w:line="117" w:lineRule="exact"/>
        <w:rPr>
          <w:sz w:val="20"/>
          <w:szCs w:val="20"/>
          <w:color w:val="auto"/>
        </w:rPr>
      </w:pPr>
    </w:p>
    <w:p>
      <w:pPr>
        <w:ind w:left="920" w:right="30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Times New Roman" w:cs="Times New Roman" w:eastAsia="Times New Roman" w:hAnsi="Times New Roman"/>
          <w:sz w:val="18"/>
          <w:szCs w:val="18"/>
          <w:b w:val="1"/>
          <w:bCs w:val="1"/>
          <w:color w:val="auto"/>
        </w:rPr>
        <w:t>$0.6 million</w:t>
      </w:r>
    </w:p>
    <w:p>
      <w:pPr>
        <w:spacing w:after="0" w:line="54" w:lineRule="exact"/>
        <w:rPr>
          <w:sz w:val="20"/>
          <w:szCs w:val="20"/>
          <w:color w:val="auto"/>
        </w:rPr>
      </w:pPr>
    </w:p>
    <w:p>
      <w:pPr>
        <w:ind w:left="920" w:right="6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Times New Roman" w:cs="Times New Roman" w:eastAsia="Times New Roman" w:hAnsi="Times New Roman"/>
          <w:sz w:val="18"/>
          <w:szCs w:val="18"/>
          <w:b w:val="1"/>
          <w:bCs w:val="1"/>
          <w:color w:val="auto"/>
        </w:rPr>
        <w:t>15%</w:t>
      </w:r>
    </w:p>
    <w:p>
      <w:pPr>
        <w:spacing w:after="0" w:line="67" w:lineRule="exact"/>
        <w:rPr>
          <w:sz w:val="20"/>
          <w:szCs w:val="20"/>
          <w:color w:val="auto"/>
        </w:rPr>
      </w:pPr>
    </w:p>
    <w:p>
      <w:pPr>
        <w:ind w:left="900" w:hanging="325"/>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5:</w:t>
      </w:r>
    </w:p>
    <w:p>
      <w:pPr>
        <w:spacing w:after="0" w:line="117" w:lineRule="exact"/>
        <w:rPr>
          <w:sz w:val="20"/>
          <w:szCs w:val="20"/>
          <w:color w:val="auto"/>
        </w:rPr>
      </w:pPr>
    </w:p>
    <w:p>
      <w:pPr>
        <w:ind w:left="920" w:right="30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Times New Roman" w:cs="Times New Roman" w:eastAsia="Times New Roman" w:hAnsi="Times New Roman"/>
          <w:sz w:val="18"/>
          <w:szCs w:val="18"/>
          <w:b w:val="1"/>
          <w:bCs w:val="1"/>
          <w:color w:val="auto"/>
        </w:rPr>
        <w:t>$1.65 million</w:t>
      </w:r>
    </w:p>
    <w:p>
      <w:pPr>
        <w:spacing w:after="0" w:line="54" w:lineRule="exact"/>
        <w:rPr>
          <w:sz w:val="20"/>
          <w:szCs w:val="20"/>
          <w:color w:val="auto"/>
        </w:rPr>
      </w:pPr>
    </w:p>
    <w:p>
      <w:pPr>
        <w:ind w:left="920" w:right="6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$22 million Total Gain Amount)) plus (17.5% multiplied by ($6 million Post-IPO Gain Amount divided by $22 million Total Gain Amount)) = </w:t>
      </w:r>
      <w:r>
        <w:rPr>
          <w:rFonts w:ascii="Times New Roman" w:cs="Times New Roman" w:eastAsia="Times New Roman" w:hAnsi="Times New Roman"/>
          <w:sz w:val="18"/>
          <w:szCs w:val="18"/>
          <w:b w:val="1"/>
          <w:bCs w:val="1"/>
          <w:color w:val="auto"/>
        </w:rPr>
        <w:t>15.68%</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6:</w:t>
      </w:r>
    </w:p>
    <w:p>
      <w:pPr>
        <w:spacing w:after="0" w:line="117" w:lineRule="exact"/>
        <w:rPr>
          <w:sz w:val="20"/>
          <w:szCs w:val="20"/>
          <w:color w:val="auto"/>
        </w:rPr>
      </w:pPr>
    </w:p>
    <w:p>
      <w:pPr>
        <w:ind w:left="920" w:right="50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Times New Roman" w:cs="Times New Roman" w:eastAsia="Times New Roman" w:hAnsi="Times New Roman"/>
          <w:sz w:val="18"/>
          <w:szCs w:val="18"/>
          <w:b w:val="1"/>
          <w:bCs w:val="1"/>
          <w:color w:val="auto"/>
        </w:rPr>
        <w:t>$0.73 million</w:t>
      </w:r>
    </w:p>
    <w:p>
      <w:pPr>
        <w:spacing w:after="0" w:line="54" w:lineRule="exact"/>
        <w:rPr>
          <w:sz w:val="20"/>
          <w:szCs w:val="20"/>
          <w:color w:val="auto"/>
        </w:rPr>
      </w:pPr>
    </w:p>
    <w:p>
      <w:pPr>
        <w:ind w:left="920" w:right="5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67" w:lineRule="exact"/>
        <w:rPr>
          <w:sz w:val="20"/>
          <w:szCs w:val="20"/>
          <w:color w:val="auto"/>
        </w:rPr>
      </w:pPr>
    </w:p>
    <w:p>
      <w:pPr>
        <w:ind w:left="900" w:hanging="325"/>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7:</w:t>
      </w:r>
    </w:p>
    <w:p>
      <w:pPr>
        <w:spacing w:after="0" w:line="117" w:lineRule="exact"/>
        <w:rPr>
          <w:sz w:val="20"/>
          <w:szCs w:val="20"/>
          <w:color w:val="auto"/>
        </w:rPr>
      </w:pPr>
    </w:p>
    <w:p>
      <w:pPr>
        <w:ind w:left="920" w:right="420"/>
        <w:spacing w:after="0" w:line="282" w:lineRule="auto"/>
        <w:rPr>
          <w:sz w:val="20"/>
          <w:szCs w:val="20"/>
          <w:color w:val="auto"/>
        </w:rPr>
      </w:pPr>
      <w:r>
        <w:rPr>
          <w:rFonts w:ascii="Times New Roman" w:cs="Times New Roman" w:eastAsia="Times New Roman" w:hAnsi="Times New Roman"/>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Times New Roman" w:cs="Times New Roman" w:eastAsia="Times New Roman" w:hAnsi="Times New Roman"/>
          <w:sz w:val="18"/>
          <w:szCs w:val="18"/>
          <w:b w:val="1"/>
          <w:bCs w:val="1"/>
          <w:color w:val="auto"/>
        </w:rPr>
        <w:t>$0.00</w:t>
      </w:r>
    </w:p>
    <w:p>
      <w:pPr>
        <w:spacing w:after="0" w:line="54" w:lineRule="exact"/>
        <w:rPr>
          <w:sz w:val="20"/>
          <w:szCs w:val="20"/>
          <w:color w:val="auto"/>
        </w:rPr>
      </w:pPr>
    </w:p>
    <w:p>
      <w:pPr>
        <w:ind w:left="920" w:right="5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$28 million Total Gain Amount)) plus (17.5% multiplied by ($12 million Post-IPO Gain Amount divided by $28 million Total Gain Amount)) = </w:t>
      </w:r>
      <w:r>
        <w:rPr>
          <w:rFonts w:ascii="Times New Roman" w:cs="Times New Roman" w:eastAsia="Times New Roman" w:hAnsi="Times New Roman"/>
          <w:sz w:val="18"/>
          <w:szCs w:val="18"/>
          <w:b w:val="1"/>
          <w:bCs w:val="1"/>
          <w:color w:val="auto"/>
        </w:rPr>
        <w:t>16.07%</w:t>
      </w:r>
    </w:p>
    <w:p>
      <w:pPr>
        <w:spacing w:after="0" w:line="67" w:lineRule="exact"/>
        <w:rPr>
          <w:sz w:val="20"/>
          <w:szCs w:val="20"/>
          <w:color w:val="auto"/>
        </w:rPr>
      </w:pPr>
    </w:p>
    <w:p>
      <w:pPr>
        <w:ind w:left="900" w:hanging="325"/>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8:</w:t>
      </w:r>
    </w:p>
    <w:p>
      <w:pPr>
        <w:spacing w:after="0" w:line="117" w:lineRule="exact"/>
        <w:rPr>
          <w:sz w:val="20"/>
          <w:szCs w:val="20"/>
          <w:color w:val="auto"/>
        </w:rPr>
      </w:pPr>
    </w:p>
    <w:p>
      <w:pPr>
        <w:ind w:left="920" w:right="420"/>
        <w:spacing w:after="0" w:line="313" w:lineRule="auto"/>
        <w:rPr>
          <w:sz w:val="20"/>
          <w:szCs w:val="20"/>
          <w:color w:val="auto"/>
        </w:rPr>
      </w:pPr>
      <w:r>
        <w:rPr>
          <w:rFonts w:ascii="Times New Roman" w:cs="Times New Roman" w:eastAsia="Times New Roman" w:hAnsi="Times New Roman"/>
          <w:sz w:val="17"/>
          <w:szCs w:val="17"/>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Times New Roman" w:cs="Times New Roman" w:eastAsia="Times New Roman" w:hAnsi="Times New Roman"/>
          <w:sz w:val="17"/>
          <w:szCs w:val="17"/>
          <w:b w:val="1"/>
          <w:bCs w:val="1"/>
          <w:color w:val="auto"/>
        </w:rPr>
        <w:t>$1.39 million</w:t>
      </w:r>
    </w:p>
    <w:p>
      <w:pPr>
        <w:spacing w:after="0" w:line="30" w:lineRule="exact"/>
        <w:rPr>
          <w:sz w:val="20"/>
          <w:szCs w:val="20"/>
          <w:color w:val="auto"/>
        </w:rPr>
      </w:pPr>
    </w:p>
    <w:p>
      <w:pPr>
        <w:ind w:left="920" w:right="520"/>
        <w:spacing w:after="0" w:line="282" w:lineRule="auto"/>
        <w:rPr>
          <w:sz w:val="20"/>
          <w:szCs w:val="20"/>
          <w:color w:val="auto"/>
        </w:rPr>
      </w:pPr>
      <w:r>
        <w:rPr>
          <w:rFonts w:ascii="Times New Roman" w:cs="Times New Roman" w:eastAsia="Times New Roman" w:hAnsi="Times New Roman"/>
          <w:sz w:val="18"/>
          <w:szCs w:val="18"/>
          <w:color w:val="auto"/>
        </w:rPr>
        <w:t xml:space="preserve">Weighted Percentage = (15% multiplied by ($16 million Pre-IPO Gain Amount divided by $36 million Total Gain Amount)) plus (17.5% multiplied by ($18 million Post-IPO Gain Amount divided by $36 million Total Gain Amount)) = </w:t>
      </w:r>
      <w:r>
        <w:rPr>
          <w:rFonts w:ascii="Times New Roman" w:cs="Times New Roman" w:eastAsia="Times New Roman" w:hAnsi="Times New Roman"/>
          <w:sz w:val="18"/>
          <w:szCs w:val="18"/>
          <w:b w:val="1"/>
          <w:bCs w:val="1"/>
          <w:color w:val="auto"/>
        </w:rPr>
        <w:t>16.39%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Our Expenses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costs associated with our Investment Team and staff of the Adviser, when and to the extent engaged in providing us investment advisory and management services are paid for by the Adviser.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bear all other costs and expenses of our operations, administration and transactions, including those relating to:</w:t>
      </w:r>
    </w:p>
    <w:p>
      <w:pPr>
        <w:spacing w:after="0" w:line="131" w:lineRule="exact"/>
        <w:rPr>
          <w:sz w:val="20"/>
          <w:szCs w:val="20"/>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20"/>
          </w:cols>
          <w:pgMar w:left="240" w:top="455"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81" w:lineRule="exact"/>
        <w:rPr>
          <w:rFonts w:ascii="Times New Roman" w:cs="Times New Roman" w:eastAsia="Times New Roman" w:hAnsi="Times New Roman"/>
          <w:sz w:val="18"/>
          <w:szCs w:val="18"/>
          <w:color w:val="auto"/>
        </w:rPr>
      </w:pPr>
    </w:p>
    <w:p>
      <w:pPr>
        <w:ind w:left="900" w:right="100" w:hanging="325"/>
        <w:spacing w:after="0" w:line="313" w:lineRule="auto"/>
        <w:tabs>
          <w:tab w:leader="none" w:pos="9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of the expenses described above are ultimately borne by our stockholders.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Termination</w:t>
      </w:r>
    </w:p>
    <w:p>
      <w:pPr>
        <w:spacing w:after="0" w:line="121" w:lineRule="exact"/>
        <w:rPr>
          <w:sz w:val="20"/>
          <w:szCs w:val="20"/>
          <w:color w:val="auto"/>
        </w:rPr>
      </w:pPr>
    </w:p>
    <w:p>
      <w:pPr>
        <w:ind w:right="240" w:firstLine="456"/>
        <w:spacing w:after="0" w:line="273" w:lineRule="auto"/>
        <w:rPr>
          <w:sz w:val="20"/>
          <w:szCs w:val="20"/>
          <w:color w:val="auto"/>
        </w:rPr>
      </w:pPr>
      <w:r>
        <w:rPr>
          <w:rFonts w:ascii="Times New Roman" w:cs="Times New Roman" w:eastAsia="Times New Roman" w:hAnsi="Times New Roman"/>
          <w:sz w:val="17"/>
          <w:szCs w:val="17"/>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not more than 60 days’ written notice to the other party. The holders of a majority of our outstanding voting securities may also terminate each agreement without penalty on not more than 60 days’ written notice. See “Risk Factors—Risks Related to Our Business and Structure—We are dependent upon management personnel of the Adviser for our future success.”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Approval of the Investment Advisory Agreement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82" w:lineRule="exact"/>
        <w:rPr>
          <w:sz w:val="20"/>
          <w:szCs w:val="20"/>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extent of the advisory and other services to be provided to us by the Adviser;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performance and the performance of the Adviser;</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comparative data with respect to advisory fees or similar expenses paid by other BDCs with similar investment objectives;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expenses and expense ratio compared to BDCs with similar investment objectives;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existing and potential sources of indirect income to the Adviser from its relationships with us and the profitability of those income sources;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services to be performed and the personnel performing those services under the Investment Advisory Agreement;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capability and financial condition of the Adviser and its respective affiliates;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62"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60"/>
          </w:cols>
          <w:pgMar w:left="240" w:top="455" w:right="29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TPG</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2,799,517 shares, or 5.2%, of our common stock as of May 7, 2014.</w:t>
      </w:r>
    </w:p>
    <w:p>
      <w:pPr>
        <w:spacing w:after="0" w:line="180"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color w:val="auto"/>
        </w:rPr>
        <w:t>The Adviser has entered into the 10b5-1 Plan under which Goldman, Sachs &amp; Co., as agent for the Adviser, will buy up to $25 million in the aggregate of our common stock during the period beginning April 23, 2014 and ending on the earlier of the date on which all the capital committed to the 10b5-1 Plan has been exhausted or December 31, 2014, subject to certain conditions. The 10b5-1 Plan will require Goldman, Sachs &amp; Co. to purchase for the</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Adviser shares of common stock (i) through the date we announce our earnings for the second quarter of 2014, when the market price per share is below the initial public offering price per share and, (ii) from and after that date, when the market price per share is below our most recently reported net asset value per share (including any updates, corrections or adjustments publicly announced by us to any previously announced net asset value per share). The purchase</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of shares by Goldman, Sachs &amp; Co. pursuant to the 10b5-1 Plan is intended to satisfy the conditions of Rules 10b5-1 and 10b-18 under the Exchange Act, and will otherwise be subject to applicable law, including Regulation M, which may prohibit purchases under certain circumstances. Any shares of common stock purchased by the Adviser pursuant to the 10b5-1 Plan will be subject to the lock-up agreement between the Adviser and the underwriters of our IPO, meaning the shares purchased will be locked-up until March 20, 2015. Under the 10b5-1 Plan, Goldman, Sachs &amp; Co. will increase the volume of purchases made as the price of our common stock declines, subject to volume restrictions. Whether purchases will be made under the 10b5-1 Plan and how much will be purchased at any time is uncertain, dependent on prevailing market prices and trading volumes, all of which we cannot predict. These activities may have the effect of maintaining the market price of the common stock or retarding a decline in the market price of the common stock, and, as a result, the price of our common stock may be higher than the price that otherwise might exist in the open market.</w:t>
      </w:r>
    </w:p>
    <w:p>
      <w:pPr>
        <w:spacing w:after="0" w:line="1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Allocations of Loan Origination Investment Opportunities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Certain 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00"/>
          </w:cols>
          <w:pgMar w:left="240" w:top="455" w:right="2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Non-Loan Origination Investment Opportunities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89"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Exemptive Relief Application</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On November 23, 2011, we, the Adviser and certain other affiliates of TPG filed an application with the SEC for exemptive relief. We most recently filed a revised application with the SEC on May 6,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 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8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assure you, however, when or whether the SEC will grant the requested exemptive relief.</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Administrator</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course of our investing activities, we pay fees to the Adviser, incur direct expenses and reimburse the Adviser for certain expenses it incurs.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Business Relationships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of our current directors and officers are directors or officers of the Adviser or its affiliates. See “Management—Biographical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of Management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or Ratification of Transactions with Related Persons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Audit Committee is required to review and approve any transactions with related persons (as such term is defined in Item 404 of Regulation S-K).</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80"/>
          </w:cols>
          <w:pgMar w:left="240" w:top="455" w:right="27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CONTROL PERSONS AND PRINCIPAL STOCKHOLDERS</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May 7, 2014,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 and other information known to us.</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percentage ownership is based on 53,347,891 shares of common stock outstanding as of May 7, 2014.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Texas 76102.</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 of Common</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00" w:type="dxa"/>
            <w:vAlign w:val="bottom"/>
            <w:gridSpan w:val="2"/>
          </w:tcPr>
          <w:p>
            <w:pPr>
              <w:jc w:val="center"/>
              <w:ind w:right="12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Individual or Identity of Group</w:t>
            </w:r>
          </w:p>
        </w:tc>
        <w:tc>
          <w:tcPr>
            <w:tcW w:w="2500" w:type="dxa"/>
            <w:vAlign w:val="bottom"/>
            <w:gridSpan w:val="2"/>
          </w:tcPr>
          <w:p>
            <w:pPr>
              <w:jc w:val="center"/>
              <w:ind w:right="1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0" w:type="dxa"/>
            <w:vAlign w:val="bottom"/>
          </w:tcPr>
          <w:p>
            <w:pPr>
              <w:spacing w:after="0"/>
              <w:rPr>
                <w:sz w:val="1"/>
                <w:szCs w:val="1"/>
                <w:color w:val="auto"/>
              </w:rPr>
            </w:pPr>
          </w:p>
        </w:tc>
      </w:tr>
      <w:tr>
        <w:trPr>
          <w:trHeight w:val="173"/>
        </w:trPr>
        <w:tc>
          <w:tcPr>
            <w:tcW w:w="6560" w:type="dxa"/>
            <w:vAlign w:val="bottom"/>
            <w:gridSpan w:val="2"/>
            <w:vMerge w:val="continue"/>
          </w:tcPr>
          <w:p>
            <w:pPr>
              <w:spacing w:after="0"/>
              <w:rPr>
                <w:sz w:val="15"/>
                <w:szCs w:val="15"/>
                <w:color w:val="auto"/>
              </w:rPr>
            </w:pPr>
          </w:p>
        </w:tc>
        <w:tc>
          <w:tcPr>
            <w:tcW w:w="250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(1)(2)</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Joshua Easterly</w:t>
            </w:r>
            <w:r>
              <w:rPr>
                <w:rFonts w:ascii="Times New Roman" w:cs="Times New Roman" w:eastAsia="Times New Roman" w:hAnsi="Times New Roman"/>
                <w:sz w:val="15"/>
                <w:szCs w:val="15"/>
                <w:color w:val="auto"/>
              </w:rPr>
              <w:t>(3)</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6,995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Michael Fishman</w:t>
            </w:r>
            <w:r>
              <w:rPr>
                <w:rFonts w:ascii="Times New Roman" w:cs="Times New Roman" w:eastAsia="Times New Roman" w:hAnsi="Times New Roman"/>
                <w:sz w:val="15"/>
                <w:szCs w:val="15"/>
                <w:color w:val="auto"/>
              </w:rPr>
              <w:t>(4)</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36,362</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250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John Ross</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16,575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31,091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Named Executive Officers Who Are Not Directors</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Alan Kirshenbaum</w:t>
            </w:r>
            <w:r>
              <w:rPr>
                <w:rFonts w:ascii="Times New Roman" w:cs="Times New Roman" w:eastAsia="Times New Roman" w:hAnsi="Times New Roman"/>
                <w:sz w:val="15"/>
                <w:szCs w:val="15"/>
                <w:color w:val="auto"/>
              </w:rPr>
              <w:t>(5)</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4,181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(12 persons)</w:t>
            </w:r>
            <w:r>
              <w:rPr>
                <w:rFonts w:ascii="Times New Roman" w:cs="Times New Roman" w:eastAsia="Times New Roman" w:hAnsi="Times New Roman"/>
                <w:sz w:val="15"/>
                <w:szCs w:val="15"/>
                <w:color w:val="auto"/>
              </w:rPr>
              <w:t>(6)(7)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2,897,520</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Five-Percent Stockholders:</w:t>
            </w: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of New Jersey Common Pension Fund E</w:t>
            </w:r>
            <w:r>
              <w:rPr>
                <w:rFonts w:ascii="Times New Roman" w:cs="Times New Roman" w:eastAsia="Times New Roman" w:hAnsi="Times New Roman"/>
                <w:sz w:val="15"/>
                <w:szCs w:val="15"/>
                <w:color w:val="auto"/>
              </w:rPr>
              <w:t>(8)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7,102,217</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MSSB TPG Specialty Lending Onshore Feeder Fund</w:t>
            </w:r>
            <w:r>
              <w:rPr>
                <w:rFonts w:ascii="Times New Roman" w:cs="Times New Roman" w:eastAsia="Times New Roman" w:hAnsi="Times New Roman"/>
                <w:sz w:val="15"/>
                <w:szCs w:val="15"/>
                <w:color w:val="auto"/>
              </w:rPr>
              <w:t>(9)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5,994,646</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Universities Superannuation Scheme Ltd.</w:t>
            </w:r>
            <w:r>
              <w:rPr>
                <w:rFonts w:ascii="Times New Roman" w:cs="Times New Roman" w:eastAsia="Times New Roman" w:hAnsi="Times New Roman"/>
                <w:sz w:val="15"/>
                <w:szCs w:val="15"/>
                <w:color w:val="auto"/>
              </w:rPr>
              <w:t>(10)</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3,911,472</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Teachers Retirement System of Ohio</w:t>
            </w:r>
            <w:r>
              <w:rPr>
                <w:rFonts w:ascii="Times New Roman" w:cs="Times New Roman" w:eastAsia="Times New Roman" w:hAnsi="Times New Roman"/>
                <w:sz w:val="15"/>
                <w:szCs w:val="15"/>
                <w:color w:val="auto"/>
              </w:rPr>
              <w:t>(11)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3,571,124</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TPG Funds</w:t>
            </w:r>
            <w:r>
              <w:rPr>
                <w:rFonts w:ascii="Times New Roman" w:cs="Times New Roman" w:eastAsia="Times New Roman" w:hAnsi="Times New Roman"/>
                <w:sz w:val="15"/>
                <w:szCs w:val="15"/>
                <w:color w:val="auto"/>
              </w:rPr>
              <w:t>(7)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3,234,929</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Silver Creek Group</w:t>
            </w:r>
            <w:r>
              <w:rPr>
                <w:rFonts w:ascii="Times New Roman" w:cs="Times New Roman" w:eastAsia="Times New Roman" w:hAnsi="Times New Roman"/>
                <w:sz w:val="15"/>
                <w:szCs w:val="15"/>
                <w:color w:val="auto"/>
              </w:rPr>
              <w:t>(12)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3,178,051</w:t>
            </w:r>
          </w:p>
        </w:tc>
        <w:tc>
          <w:tcPr>
            <w:tcW w:w="1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Oregon Public Employees Retirement Fund</w:t>
            </w:r>
            <w:r>
              <w:rPr>
                <w:rFonts w:ascii="Times New Roman" w:cs="Times New Roman" w:eastAsia="Times New Roman" w:hAnsi="Times New Roman"/>
                <w:sz w:val="15"/>
                <w:szCs w:val="15"/>
                <w:color w:val="auto"/>
              </w:rPr>
              <w:t>(13)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3,013,977</w:t>
            </w:r>
          </w:p>
        </w:tc>
        <w:tc>
          <w:tcPr>
            <w:tcW w:w="1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0.1%.</w:t>
      </w:r>
    </w:p>
    <w:p>
      <w:pPr>
        <w:spacing w:after="0" w:line="27" w:lineRule="exact"/>
        <w:rPr>
          <w:sz w:val="20"/>
          <w:szCs w:val="20"/>
          <w:color w:val="auto"/>
        </w:rPr>
      </w:pPr>
    </w:p>
    <w:p>
      <w:pPr>
        <w:ind w:left="460" w:right="20" w:hanging="452"/>
        <w:spacing w:after="0" w:line="252"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00"/>
          </w:cols>
          <w:pgMar w:left="240" w:top="455" w:right="2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660" w:hanging="452"/>
        <w:spacing w:after="0" w:line="261"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this column do not reflect any shares issued through our dividend reinvestment plan in connection with the dividend that was paid on April 30, 2014.</w:t>
      </w:r>
    </w:p>
    <w:p>
      <w:pPr>
        <w:ind w:left="460" w:right="40" w:hanging="452"/>
        <w:spacing w:after="0" w:line="250"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Easterly is a TPG and TSSP Partner. TPG and TSSP are affiliated with Tarrant and Group Advisors (both as defined below). Mr. Easterly disclaims beneficial ownership of the shares that are or may be beneficially owned by Tarrant, Group Advisors or any of its affiliates.</w:t>
      </w:r>
    </w:p>
    <w:p>
      <w:pPr>
        <w:ind w:left="460" w:right="300" w:hanging="452"/>
        <w:spacing w:after="0" w:line="250"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Fishman is employed by TSL Advisers, LLC (“TSL Advisers”), our Adviser, which is affiliated with Tarrant and Group Advisors. Mr. Fishman disclaims beneficial ownership of the shares that are or may be beneficially owned by Tarrant, Group Advisors or any of its affiliates.</w:t>
      </w:r>
    </w:p>
    <w:p>
      <w:pPr>
        <w:ind w:left="460" w:right="140" w:hanging="452"/>
        <w:spacing w:after="0" w:line="250"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right="540" w:hanging="452"/>
        <w:spacing w:after="0" w:line="250"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officers that are not “Named Executive Officers,” as defined in Item 402 of Regulation S-K, as promulgated under the Securities Act.</w:t>
      </w:r>
    </w:p>
    <w:p>
      <w:pPr>
        <w:ind w:left="460" w:right="100" w:hanging="452"/>
        <w:spacing w:after="0" w:line="254"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held by the TPG Funds (as defined below) includes (i) 2,799,517 shares of common stock, or the TSL Shares, held by TSL Advisers; (ii) 435,346 shares of common stock, or the TSL FOF Shares, held by TSL FOF, L.P., a Delaware limited partnership, or TSL FOF; and (iii) 66 shares of common stock held by Tarrant Advisors, Inc., a Delaware corporation, or Tarrant, and, together with TSL Advisers and TSL FOF, the TPG Funds.</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business and affairs of TSL Advisers are managed by its board of managers, whose sole members are Messrs. Bonderman, Coulter and Waxman.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decision or determination by the board of managers requires the approval of each of Messrs. Bonderman, Coulter and Waxman.</w:t>
      </w:r>
    </w:p>
    <w:p>
      <w:pPr>
        <w:spacing w:after="0" w:line="72"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54"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2,374,970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54"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49" w:lineRule="exact"/>
        <w:rPr>
          <w:sz w:val="20"/>
          <w:szCs w:val="20"/>
          <w:color w:val="auto"/>
        </w:rPr>
      </w:pPr>
    </w:p>
    <w:p>
      <w:pPr>
        <w:ind w:left="460" w:right="100"/>
        <w:spacing w:after="0" w:line="266" w:lineRule="auto"/>
        <w:rPr>
          <w:sz w:val="20"/>
          <w:szCs w:val="20"/>
          <w:color w:val="auto"/>
        </w:rPr>
      </w:pPr>
      <w:r>
        <w:rPr>
          <w:rFonts w:ascii="Times New Roman" w:cs="Times New Roman" w:eastAsia="Times New Roman" w:hAnsi="Times New Roman"/>
          <w:sz w:val="18"/>
          <w:szCs w:val="18"/>
          <w:color w:val="auto"/>
        </w:rPr>
        <w:t>Messrs. Bonderman and Coulter are officers and sole stockholders of each of Tarrant Capital and Group Advisors. As officers and sole stockholders of Group Advisors, Mr. Bonderman and Mr. Coulter may indirectly issue voting instructions to TSL Advisers in respect of the shares of common stock beneficially owned by Holdings II Sub. Because of the relationship of Messrs. Bonderman and Coulter to Tarrant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57" w:lineRule="auto"/>
        <w:rPr>
          <w:sz w:val="20"/>
          <w:szCs w:val="20"/>
          <w:color w:val="auto"/>
        </w:rPr>
      </w:pPr>
      <w:r>
        <w:rPr>
          <w:rFonts w:ascii="Times New Roman" w:cs="Times New Roman" w:eastAsia="Times New Roman" w:hAnsi="Times New Roman"/>
          <w:sz w:val="18"/>
          <w:szCs w:val="18"/>
          <w:color w:val="auto"/>
        </w:rPr>
        <w:t>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w:t>
      </w:r>
    </w:p>
    <w:p>
      <w:pPr>
        <w:spacing w:after="0" w:line="2" w:lineRule="exact"/>
        <w:rPr>
          <w:sz w:val="20"/>
          <w:szCs w:val="20"/>
          <w:color w:val="auto"/>
        </w:rPr>
      </w:pPr>
    </w:p>
    <w:p>
      <w:pPr>
        <w:ind w:left="460" w:right="220"/>
        <w:spacing w:after="0" w:line="265" w:lineRule="auto"/>
        <w:rPr>
          <w:sz w:val="20"/>
          <w:szCs w:val="20"/>
          <w:color w:val="auto"/>
        </w:rPr>
      </w:pPr>
      <w:r>
        <w:rPr>
          <w:rFonts w:ascii="Times New Roman" w:cs="Times New Roman" w:eastAsia="Times New Roman" w:hAnsi="Times New Roman"/>
          <w:sz w:val="17"/>
          <w:szCs w:val="17"/>
          <w:color w:val="auto"/>
        </w:rPr>
        <w:t>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ind w:left="460" w:right="340" w:hanging="452"/>
        <w:spacing w:after="0" w:line="25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State of New Jersey Common Pension Fund E is New Jersey Division of Investment 50 West State Street, 9th Floor Trenton, NJ 08608.</w:t>
      </w:r>
    </w:p>
    <w:p>
      <w:pPr>
        <w:ind w:left="460" w:hanging="452"/>
        <w:spacing w:after="0" w:line="25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Universities Superannuation Scheme Ltd. is Royal Liver Building Liverpool L3 1PY, United Kingdom.</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State Teachers Retirement System of Ohio is 275 East Broad Street Columbus, OH 43215-3771.</w:t>
      </w:r>
    </w:p>
    <w:p>
      <w:pPr>
        <w:spacing w:after="0" w:line="9"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Master Fund, L.P. and Silver Creek Credit Opportunities III Fund B Master Fund, L.P. (collectively, the Silver Creek Group) and other information known to us.</w:t>
      </w:r>
    </w:p>
    <w:p>
      <w:pPr>
        <w:spacing w:after="0" w:line="1" w:lineRule="exact"/>
        <w:rPr>
          <w:rFonts w:ascii="Times New Roman" w:cs="Times New Roman" w:eastAsia="Times New Roman" w:hAnsi="Times New Roman"/>
          <w:sz w:val="18"/>
          <w:szCs w:val="18"/>
          <w:color w:val="auto"/>
        </w:rPr>
      </w:pPr>
    </w:p>
    <w:p>
      <w:pPr>
        <w:ind w:left="460" w:right="480" w:hanging="452"/>
        <w:spacing w:after="0" w:line="261" w:lineRule="auto"/>
        <w:tabs>
          <w:tab w:leader="none" w:pos="4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Oregon Public Employees Retirement Fund is c/o Office of the Oregon Treasurer 6650 SW Redwood Lane, Suite 190, Tigard, Oregon 97224-7184.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Owned by Directors in the Company</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dollar range of our equity securities of beneficially owned by each director as of May 7, 2014. We are not part of a “family of investment companies,” as that term is defined in the 1940 Act.</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 Range of</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our Common</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r>
      <w:tr>
        <w:trPr>
          <w:trHeight w:val="149"/>
        </w:trPr>
        <w:tc>
          <w:tcPr>
            <w:tcW w:w="6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r>
      <w:tr>
        <w:trPr>
          <w:trHeight w:val="173"/>
        </w:trPr>
        <w:tc>
          <w:tcPr>
            <w:tcW w:w="6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(1)(2)</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Interested Directors</w:t>
            </w: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Joshua Easterly</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over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Fishman</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over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Independent Directors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Richard Higginbotham</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John Ross</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over</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Ronald Tanemura</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over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460" w:hanging="452"/>
        <w:spacing w:after="0"/>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ranges used in the above table are $1—$10,000, $10,001—$50,000, $50,001—$100,000, or over $100,000.</w:t>
      </w:r>
    </w:p>
    <w:p>
      <w:pPr>
        <w:spacing w:after="0" w:line="27" w:lineRule="exact"/>
        <w:rPr>
          <w:rFonts w:ascii="Times New Roman" w:cs="Times New Roman" w:eastAsia="Times New Roman" w:hAnsi="Times New Roman"/>
          <w:sz w:val="18"/>
          <w:szCs w:val="18"/>
          <w:color w:val="auto"/>
        </w:rPr>
      </w:pPr>
    </w:p>
    <w:p>
      <w:pPr>
        <w:ind w:left="460" w:right="300" w:hanging="452"/>
        <w:spacing w:after="0" w:line="261" w:lineRule="auto"/>
        <w:tabs>
          <w:tab w:leader="none" w:pos="4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were determined using the number of shares that are beneficially owned as of May 7, 2014, multiplied by the closing sale price of our common stock as reported on the NYSE as of May 7, 2014.</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00"/>
          </w:cols>
          <w:pgMar w:left="240" w:top="455" w:right="2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This prospectus also relates to 42,040,525 shares of our common stock that may be offered for resale on behalf of the stockholders identified below. The stockholders acquired their respective shares of our common stock either (i) through subscription agreements prior to our IPO or (ii) in the concurrent private placement to certain of our existing investors in connection with our IPO. We are registering the shares to permit the stockholders and their pledgees, donees, transferees and other successors-in-interest that receive their shares from a stockholder as a gift, partnership distribution or other non-sale related transfer after the date of this prospectus to resell the shares when and as they deem appropriate. We do not know how long the stockholders will hold the shares before selling them, if at all, or how many shares they will sell, if any, and we currently have no agreements, arrangements or understandings with any of the stockholders regarding the sale of any of the resale shares.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w:t>
      </w:r>
    </w:p>
    <w:p>
      <w:pPr>
        <w:spacing w:after="0" w:line="131" w:lineRule="exact"/>
        <w:rPr>
          <w:sz w:val="20"/>
          <w:szCs w:val="20"/>
          <w:color w:val="auto"/>
        </w:rPr>
      </w:pPr>
    </w:p>
    <w:p>
      <w:pPr>
        <w:ind w:left="900" w:hanging="325"/>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stockholders;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 of shares of our common stock that the stockholders beneficially owned prior to the offering for resale of the shares under this prospectus;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that may be offered for resale for the account of the stockholders under this prospectus; and</w:t>
      </w:r>
    </w:p>
    <w:p>
      <w:pPr>
        <w:spacing w:after="0" w:line="130" w:lineRule="exact"/>
        <w:rPr>
          <w:rFonts w:ascii="Times New Roman" w:cs="Times New Roman" w:eastAsia="Times New Roman" w:hAnsi="Times New Roman"/>
          <w:sz w:val="18"/>
          <w:szCs w:val="18"/>
          <w:color w:val="auto"/>
        </w:rPr>
      </w:pPr>
    </w:p>
    <w:p>
      <w:pPr>
        <w:ind w:left="900" w:right="620" w:hanging="325"/>
        <w:spacing w:after="0" w:line="282" w:lineRule="auto"/>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 of shares of our common stock to be beneficially owned by the stockholders after the offering of the resale shares (assuming all of the offered resale shares are sold by the stockholders).</w:t>
      </w:r>
    </w:p>
    <w:p>
      <w:pPr>
        <w:spacing w:after="0" w:line="162"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The number of shares in the column “Number of Shares Being Offered” represents all of the shares that each stockholder may offer under this prospectus. The shares offered by this prospectus may be offered from time to time by the stockholders listed below.</w:t>
      </w:r>
    </w:p>
    <w:p>
      <w:pPr>
        <w:spacing w:after="0" w:line="162"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This table is prepared solely based on information supplied to us by the listed stockholders and any public documents filed with the SEC, and assumes the sale of all of the resale shares. The applicable percentages of beneficial ownership are based on an aggregate of 53,347,891 shares of our common stock issued and outstanding on May 7, 2014, adjusted as may be required by rules promulgated by the SEC.</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Beneficial ownership has been determined in accordance with the rules and regulations of the SEC and includes voting or investment power (including the power to dispose) with respect to the securities and assumes no other purchases or sales of securities since the most recently available SEC filings. This assumption has been made under the rules and regulations of the SEC and does not reflect any knowledge that we have with respect to the present intent of the beneficial owners of the securities listed in the table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4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2440" w:type="dxa"/>
            <w:vAlign w:val="bottom"/>
            <w:gridSpan w:val="3"/>
          </w:tcPr>
          <w:p>
            <w:pPr>
              <w:jc w:val="center"/>
              <w:ind w:left="648"/>
              <w:spacing w:after="0" w:line="129" w:lineRule="exact"/>
              <w:rPr>
                <w:sz w:val="20"/>
                <w:szCs w:val="20"/>
                <w:color w:val="auto"/>
              </w:rPr>
            </w:pPr>
            <w:r>
              <w:rPr>
                <w:rFonts w:ascii="Times New Roman" w:cs="Times New Roman" w:eastAsia="Times New Roman" w:hAnsi="Times New Roman"/>
                <w:sz w:val="14"/>
                <w:szCs w:val="14"/>
                <w:b w:val="1"/>
                <w:bCs w:val="1"/>
                <w:color w:val="auto"/>
              </w:rPr>
              <w:t>Prior to Offering</w:t>
            </w: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Shares Being</w:t>
            </w:r>
          </w:p>
        </w:tc>
        <w:tc>
          <w:tcPr>
            <w:tcW w:w="740" w:type="dxa"/>
            <w:vAlign w:val="bottom"/>
          </w:tcPr>
          <w:p>
            <w:pPr>
              <w:spacing w:after="0"/>
              <w:rPr>
                <w:sz w:val="12"/>
                <w:szCs w:val="12"/>
                <w:color w:val="auto"/>
              </w:rPr>
            </w:pPr>
          </w:p>
        </w:tc>
        <w:tc>
          <w:tcPr>
            <w:tcW w:w="2280" w:type="dxa"/>
            <w:vAlign w:val="bottom"/>
            <w:gridSpan w:val="3"/>
          </w:tcPr>
          <w:p>
            <w:pPr>
              <w:jc w:val="center"/>
              <w:ind w:right="1300"/>
              <w:spacing w:after="0" w:line="129" w:lineRule="exact"/>
              <w:rPr>
                <w:sz w:val="20"/>
                <w:szCs w:val="20"/>
                <w:color w:val="auto"/>
              </w:rPr>
            </w:pPr>
            <w:r>
              <w:rPr>
                <w:rFonts w:ascii="Times New Roman" w:cs="Times New Roman" w:eastAsia="Times New Roman" w:hAnsi="Times New Roman"/>
                <w:sz w:val="14"/>
                <w:szCs w:val="14"/>
                <w:b w:val="1"/>
                <w:bCs w:val="1"/>
                <w:color w:val="auto"/>
              </w:rPr>
              <w:t>After Offering</w:t>
            </w: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2440" w:type="dxa"/>
            <w:vAlign w:val="bottom"/>
            <w:tcBorders>
              <w:top w:val="single" w:sz="8" w:color="auto"/>
            </w:tcBorders>
            <w:gridSpan w:val="3"/>
          </w:tcPr>
          <w:p>
            <w:pPr>
              <w:ind w:left="70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Borders>
              <w:top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900" w:type="dxa"/>
            <w:vAlign w:val="bottom"/>
          </w:tcPr>
          <w:p>
            <w:pPr>
              <w:spacing w:after="0"/>
              <w:rPr>
                <w:sz w:val="13"/>
                <w:szCs w:val="13"/>
                <w:color w:val="auto"/>
              </w:rPr>
            </w:pPr>
          </w:p>
        </w:tc>
        <w:tc>
          <w:tcPr>
            <w:tcW w:w="1240" w:type="dxa"/>
            <w:vAlign w:val="bottom"/>
            <w:gridSpan w:val="2"/>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tcBorders>
              <w:top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2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82" w:lineRule="exact"/>
        <w:rPr>
          <w:sz w:val="20"/>
          <w:szCs w:val="20"/>
          <w:color w:val="auto"/>
        </w:rPr>
      </w:pPr>
    </w:p>
    <w:p>
      <w:pPr>
        <w:ind w:left="900" w:hanging="325"/>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900" w:right="220" w:hanging="325"/>
        <w:spacing w:after="0" w:line="258"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4"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00"/>
          </w:cols>
          <w:pgMar w:left="240" w:top="455" w:right="2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84"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cash dividends and other distributions in cash by notifying their broker or other financial intermediary of their election. 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9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4"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80"/>
          </w:cols>
          <w:pgMar w:left="240" w:top="455" w:right="2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4"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6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80"/>
          </w:cols>
          <w:pgMar w:left="240" w:top="455" w:right="37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or any state, local or foreign tax consequences.</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20"/>
          </w:cols>
          <w:pgMar w:left="240" w:top="455" w:right="2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that or preferred stock that that is not a U.S. stockholder and not an entity taxed as a partnership.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In addition, certain distributions that we make to our Non-U.S. stockholders with respect to our taxable years commencing April 1, 2014 may be eligible for look-through tax treatment if Congress extends certain rules to apply to such taxable years.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900" w:right="720" w:hanging="325"/>
        <w:spacing w:after="0" w:line="282"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900" w:right="180" w:hanging="325"/>
        <w:spacing w:after="0" w:line="266"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1" w:lineRule="exact"/>
        <w:rPr>
          <w:rFonts w:ascii="Times New Roman" w:cs="Times New Roman" w:eastAsia="Times New Roman" w:hAnsi="Times New Roman"/>
          <w:sz w:val="18"/>
          <w:szCs w:val="18"/>
          <w:color w:val="auto"/>
        </w:rPr>
      </w:pPr>
    </w:p>
    <w:p>
      <w:pPr>
        <w:ind w:left="900" w:right="300" w:hanging="325"/>
        <w:spacing w:after="0" w:line="266" w:lineRule="auto"/>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900" w:hanging="325"/>
        <w:spacing w:after="0"/>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20"/>
          </w:cols>
          <w:pgMar w:left="240" w:top="455" w:right="2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456"/>
        <w:spacing w:after="0" w:line="289" w:lineRule="auto"/>
        <w:rPr>
          <w:sz w:val="20"/>
          <w:szCs w:val="20"/>
          <w:color w:val="auto"/>
        </w:rPr>
      </w:pPr>
      <w:r>
        <w:rPr>
          <w:rFonts w:ascii="Times New Roman" w:cs="Times New Roman" w:eastAsia="Times New Roman" w:hAnsi="Times New Roman"/>
          <w:sz w:val="17"/>
          <w:szCs w:val="17"/>
          <w:color w:val="auto"/>
        </w:rPr>
        <w:t>We generally expect to distribute substantially all of our earnings on a quarterly basis, but will reinvest dividends on behalf of those investors that do not elect to receive their dividends in cash. See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64" w:lineRule="exact"/>
        <w:rPr>
          <w:sz w:val="20"/>
          <w:szCs w:val="20"/>
          <w:color w:val="auto"/>
        </w:rPr>
      </w:pPr>
    </w:p>
    <w:p>
      <w:pPr>
        <w:ind w:left="900" w:right="100" w:hanging="325"/>
        <w:spacing w:after="0" w:line="266"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81"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67" w:lineRule="exact"/>
        <w:rPr>
          <w:rFonts w:ascii="Times New Roman" w:cs="Times New Roman" w:eastAsia="Times New Roman" w:hAnsi="Times New Roman"/>
          <w:sz w:val="18"/>
          <w:szCs w:val="18"/>
          <w:color w:val="auto"/>
        </w:rPr>
      </w:pPr>
    </w:p>
    <w:p>
      <w:pPr>
        <w:jc w:val="both"/>
        <w:ind w:left="900" w:right="80" w:hanging="325"/>
        <w:spacing w:after="0" w:line="266"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tax treatment of certain dividends payable to Non-U.S. stockholders depends on whether and when Congress extends the look-through rules applicable to “interest-related dividends” and “short-term capital gain dividends.” The look-through rules expired for taxable years beginning after December 31, 2013.</w:t>
      </w:r>
    </w:p>
    <w:p>
      <w:pPr>
        <w:spacing w:after="0" w:line="17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85"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00"/>
          </w:cols>
          <w:pgMar w:left="240" w:top="455" w:right="2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8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86" w:lineRule="exact"/>
        <w:rPr>
          <w:sz w:val="20"/>
          <w:szCs w:val="20"/>
          <w:color w:val="auto"/>
        </w:rPr>
      </w:pPr>
    </w:p>
    <w:p>
      <w:pPr>
        <w:ind w:left="900" w:right="200" w:hanging="325"/>
        <w:spacing w:after="0" w:line="282"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but</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7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400"/>
          </w:cols>
          <w:pgMar w:left="240" w:top="455" w:right="2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income and as long-term capital gain.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85" w:lineRule="exact"/>
        <w:rPr>
          <w:sz w:val="20"/>
          <w:szCs w:val="20"/>
          <w:color w:val="auto"/>
        </w:rPr>
      </w:pPr>
    </w:p>
    <w:p>
      <w:pPr>
        <w:ind w:right="320" w:firstLine="456"/>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 unless (i) Congress enacts legislation extending pass-through treatment for dividends under the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recent years, Congress has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were paid in connection with our “qualified short-term capital gains” (generally, the excess of our net short-term capital gain over our net long-term capital loss for such taxable year) qualify for an exemption from U.S. withholding tax. The pass-through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400"/>
          </w:cols>
          <w:pgMar w:left="240" w:top="456" w:right="2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rules expired for taxable years beginning after December 31, 2013. Further legislation is required to make the exemption available with respect to taxable years that commence after December 31, 2013. We cannot assure you that Congress will enact an extension or that any such extension will apply to all dividends that we distribute with respect to taxable years commencing after December 31, 2013. If Congress does extend the exemption, dividends that we designate as “interest-related dividends” or “short-term capital gain dividends” generally will be exempt from U.S. withholding tax if the underlying income is U.S.-source and the Non-U.S. stockholder could have received the underlying income free of tax. If the exemption is not extended,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 or W-8BEN-E or other applicable tax certification establishing its entitlement to the exemption or reduced rate, or otherwise establishing an exemption from backup withholding.</w:t>
      </w:r>
    </w:p>
    <w:p>
      <w:pPr>
        <w:spacing w:after="0" w:line="18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5"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In the case of distributions made on or after July 1, 2014, and in the case of gross proceeds from the sale or other of shares of our common stock or preferred stock paid on or after January 1, 2017,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has entered into an agreement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9"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00"/>
          </w:cols>
          <w:pgMar w:left="240" w:top="455" w:right="2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 or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80"/>
          </w:cols>
          <w:pgMar w:left="240" w:top="455" w:right="2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22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warrants and units. These summaries are not meant to be a complete description of each security. However, this prospectus and the accompanying prospectus supplement will describe the terms and conditions for each security.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which was adopted on March 8, 2011 and amended on March 10, 2014, our authorized capital stock consists of 400,000,000 shares of common stock, par value $0.01 per share, of which 53,347,891 shares are outstanding as of May 7, 2014, and 100,000,000 shares of preferred stock, par value $0.01 per share, of which no shares are outstanding as of May 7, 2014.</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80"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May 7,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Held by Us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 Amount Held by</w:t>
            </w:r>
          </w:p>
        </w:tc>
        <w:tc>
          <w:tcPr>
            <w:tcW w:w="0" w:type="dxa"/>
            <w:vAlign w:val="bottom"/>
          </w:tcPr>
          <w:p>
            <w:pPr>
              <w:spacing w:after="0"/>
              <w:rPr>
                <w:sz w:val="1"/>
                <w:szCs w:val="1"/>
                <w:color w:val="auto"/>
              </w:rPr>
            </w:pPr>
          </w:p>
        </w:tc>
      </w:tr>
      <w:tr>
        <w:trPr>
          <w:trHeight w:val="187"/>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 for Our Account</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 or for Our Account</w:t>
            </w:r>
          </w:p>
        </w:tc>
        <w:tc>
          <w:tcPr>
            <w:tcW w:w="0" w:type="dxa"/>
            <w:vAlign w:val="bottom"/>
          </w:tcPr>
          <w:p>
            <w:pPr>
              <w:spacing w:after="0"/>
              <w:rPr>
                <w:sz w:val="1"/>
                <w:szCs w:val="1"/>
                <w:color w:val="auto"/>
              </w:rPr>
            </w:pPr>
          </w:p>
        </w:tc>
      </w:tr>
      <w:tr>
        <w:trPr>
          <w:trHeight w:val="228"/>
        </w:trPr>
        <w:tc>
          <w:tcPr>
            <w:tcW w:w="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999</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53,347,891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investors, which included a $100 million capital commitment by our Adviser. Our existing investors’ obligations to purchase additional shares from the undrawn portion of their capital commitments terminated upon the completion of the IPO.</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80" w:firstLine="456"/>
        <w:spacing w:after="0" w:line="257"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2" w:lineRule="exact"/>
        <w:rPr>
          <w:sz w:val="20"/>
          <w:szCs w:val="20"/>
          <w:color w:val="auto"/>
        </w:rPr>
      </w:pPr>
    </w:p>
    <w:p>
      <w:pPr>
        <w:ind w:left="900" w:right="100" w:hanging="325"/>
        <w:spacing w:after="0" w:line="282"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certification of incorporation limits our directors’ liability to the fullest extent permitted under Delaware corporate law and the 1940 Act. Specifically, our directors will not be personally liable to us or our stockholders for any breach of fiduciary duty as a director, except for any liability:</w:t>
      </w:r>
    </w:p>
    <w:p>
      <w:pPr>
        <w:spacing w:after="0" w:line="82" w:lineRule="exact"/>
        <w:rPr>
          <w:sz w:val="20"/>
          <w:szCs w:val="20"/>
          <w:color w:val="auto"/>
        </w:rPr>
      </w:pPr>
    </w:p>
    <w:p>
      <w:pPr>
        <w:ind w:left="900" w:hanging="446"/>
        <w:spacing w:after="0"/>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400"/>
          </w:cols>
          <w:pgMar w:left="240" w:top="455" w:right="2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registered or regulated under the 1940 Act, any limitation of liability of our directors and officers as described above is limited to the extent prohibited by the 1940 Act or by any valid rule, regulation or order of the SEC.</w:t>
      </w:r>
    </w:p>
    <w:p>
      <w:pPr>
        <w:spacing w:after="0" w:line="162"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4"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and Other Agreements—Investment Advisory Agreement; Administration Agreement; License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82"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900" w:right="380" w:hanging="325"/>
        <w:spacing w:after="0" w:line="266"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 The Board has delegated the power to fill vacancies to the Nominating and Corporate Governance Committee.</w:t>
      </w:r>
    </w:p>
    <w:p>
      <w:pPr>
        <w:spacing w:after="0" w:line="17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900" w:right="40" w:hanging="325"/>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5"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20"/>
          </w:cols>
          <w:pgMar w:left="240" w:top="455" w:right="2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jc w:val="both"/>
        <w:ind w:left="900" w:right="300" w:hanging="325"/>
        <w:spacing w:after="0" w:line="266"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900" w:right="200" w:hanging="325"/>
        <w:spacing w:after="0" w:line="266"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1"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w:t>
      </w:r>
    </w:p>
    <w:p>
      <w:pPr>
        <w:ind w:right="560"/>
        <w:spacing w:after="0" w:line="261" w:lineRule="auto"/>
        <w:rPr>
          <w:sz w:val="20"/>
          <w:szCs w:val="20"/>
          <w:color w:val="auto"/>
        </w:rPr>
      </w:pPr>
      <w:r>
        <w:rPr>
          <w:rFonts w:ascii="Times New Roman" w:cs="Times New Roman" w:eastAsia="Times New Roman" w:hAnsi="Times New Roman"/>
          <w:sz w:val="18"/>
          <w:szCs w:val="18"/>
          <w:color w:val="auto"/>
        </w:rPr>
        <w:t>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20"/>
          </w:cols>
          <w:pgMar w:left="240" w:top="455" w:right="2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82" w:lineRule="auto"/>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will vote together as a single class, except to the extent required by the 1940 Act or our certificate of incorporation, with respect to any class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of shares. If a separate class vote is required, the applicable proportion of shares of the class or series, voting as a separate class or series, also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w:t>
      </w:r>
    </w:p>
    <w:p>
      <w:pPr>
        <w:spacing w:after="0" w:line="207" w:lineRule="exact"/>
        <w:rPr>
          <w:sz w:val="20"/>
          <w:szCs w:val="20"/>
          <w:color w:val="auto"/>
        </w:rPr>
      </w:pPr>
    </w:p>
    <w:p>
      <w:pPr>
        <w:ind w:right="900" w:firstLine="456"/>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20"/>
          </w:cols>
          <w:pgMar w:left="240" w:top="455" w:right="2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addition to shares of common stock, we have 100,000,000 shares of preferred stock authorized,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88"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Times New Roman" w:cs="Times New Roman" w:eastAsia="Times New Roman" w:hAnsi="Times New Roman"/>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2" w:lineRule="exact"/>
        <w:rPr>
          <w:sz w:val="20"/>
          <w:szCs w:val="20"/>
          <w:color w:val="auto"/>
        </w:rPr>
      </w:pPr>
    </w:p>
    <w:p>
      <w:pPr>
        <w:ind w:left="900" w:right="100" w:hanging="325"/>
        <w:spacing w:after="0" w:line="282"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900" w:hanging="325"/>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900" w:right="580" w:hanging="325"/>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and all shares of each series of preferred stock will be identical and of equal rank except as to the dates from which dividends, if any, thereon will be cumulative.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00"/>
          </w:cols>
          <w:pgMar w:left="240" w:top="455" w:right="2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131" w:lineRule="exact"/>
        <w:rPr>
          <w:sz w:val="20"/>
          <w:szCs w:val="20"/>
          <w:color w:val="auto"/>
        </w:rPr>
      </w:pPr>
    </w:p>
    <w:p>
      <w:pPr>
        <w:ind w:left="900" w:hanging="325"/>
        <w:spacing w:after="0" w:line="282"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Subscription Rights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360"/>
          </w:cols>
          <w:pgMar w:left="240" w:top="456" w:right="29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Dilutive Effects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00"/>
          </w:cols>
          <w:pgMar w:left="240" w:top="456" w:right="2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400"/>
          </w:cols>
          <w:pgMar w:left="240" w:top="455" w:right="2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76"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25.0% of our outstanding voting securities.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240" w:top="455" w:right="31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4"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jc w:val="both"/>
        <w:ind w:left="900" w:right="240" w:hanging="325"/>
        <w:spacing w:after="0" w:line="266"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400"/>
          </w:cols>
          <w:pgMar w:left="240" w:top="455" w:right="2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400"/>
          </w:cols>
          <w:pgMar w:left="240" w:top="456" w:right="2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7"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420"/>
          </w:cols>
          <w:pgMar w:left="240" w:top="456" w:right="2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Certificated Securities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76"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they will receive payments on their debt securities.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225"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900" w:hanging="325"/>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and do not cure this default within five days.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67"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67"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exemptive relief granted to us by the SEC.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Remedies if an Event of Default Occurs</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reasonable protection from expenses and liability (called an “indemnity”) (Section 315 of the Trust Indenture Act of 1939).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4"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900" w:right="280" w:hanging="325"/>
        <w:spacing w:after="0" w:line="266"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221"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360"/>
          </w:cols>
          <w:pgMar w:left="240" w:top="455" w:right="29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2" w:lineRule="exact"/>
        <w:rPr>
          <w:sz w:val="20"/>
          <w:szCs w:val="20"/>
          <w:color w:val="auto"/>
        </w:rPr>
      </w:pPr>
    </w:p>
    <w:p>
      <w:pPr>
        <w:ind w:left="900" w:right="240" w:hanging="325"/>
        <w:spacing w:after="0" w:line="282" w:lineRule="auto"/>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happened and be continuing.</w:t>
      </w:r>
    </w:p>
    <w:p>
      <w:pPr>
        <w:spacing w:after="0" w:line="130" w:lineRule="exact"/>
        <w:rPr>
          <w:rFonts w:ascii="Times New Roman" w:cs="Times New Roman" w:eastAsia="Times New Roman" w:hAnsi="Times New Roman"/>
          <w:sz w:val="18"/>
          <w:szCs w:val="18"/>
          <w:color w:val="auto"/>
        </w:rPr>
      </w:pPr>
    </w:p>
    <w:p>
      <w:pPr>
        <w:ind w:left="900" w:right="120" w:hanging="325"/>
        <w:spacing w:after="0" w:line="272" w:lineRule="auto"/>
        <w:tabs>
          <w:tab w:leader="none" w:pos="9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indenture, no merger or sale of assets may be made if as a result any of our property or assets or any property or assets of one of our subsidiaries, if any, would become subject to any mortgage, lien or other encumbrance unless either (a) the mortgage, lien or other encumbrance could be created pursuant to the limitation on liens covenant in the indenture without equally and ratably securing the indenture securities or</w:t>
      </w:r>
    </w:p>
    <w:p>
      <w:pPr>
        <w:spacing w:after="0" w:line="1"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indenture securities are secured equally and ratably with or prior to the debt secured by the mortgage, lien or other encumbrance.</w:t>
      </w:r>
    </w:p>
    <w:p>
      <w:pPr>
        <w:spacing w:after="0" w:line="112"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131" w:lineRule="exact"/>
        <w:rPr>
          <w:sz w:val="20"/>
          <w:szCs w:val="20"/>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400"/>
          </w:cols>
          <w:pgMar w:left="240" w:top="456" w:right="2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82" w:lineRule="auto"/>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6"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400"/>
          </w:cols>
          <w:pgMar w:left="240" w:top="456" w:right="2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900" w:right="180" w:hanging="325"/>
        <w:spacing w:after="0" w:line="266"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900" w:right="180" w:hanging="325"/>
        <w:spacing w:after="0" w:line="266"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900" w:hanging="325"/>
        <w:spacing w:after="0" w:line="258"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9"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400"/>
          </w:cols>
          <w:pgMar w:left="240" w:top="455" w:right="2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jc w:val="both"/>
        <w:ind w:right="160" w:firstLine="456"/>
        <w:spacing w:after="0" w:line="313" w:lineRule="auto"/>
        <w:rPr>
          <w:sz w:val="20"/>
          <w:szCs w:val="20"/>
          <w:color w:val="auto"/>
        </w:rPr>
      </w:pPr>
      <w:r>
        <w:rPr>
          <w:rFonts w:ascii="Times New Roman" w:cs="Times New Roman" w:eastAsia="Times New Roman" w:hAnsi="Times New Roman"/>
          <w:sz w:val="17"/>
          <w:szCs w:val="17"/>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3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420"/>
          </w:cols>
          <w:pgMar w:left="240" w:top="456"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4"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80" w:hanging="325"/>
        <w:spacing w:after="0" w:line="261"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Indebtedness and Ranking</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use a nationally recognized financial institution to serve as the trustee under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60"/>
          </w:cols>
          <w:pgMar w:left="240" w:top="455" w:right="29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 foreign exchange controls and potential illiquidity in the secondary market. These risks will vary depending upon the currency or currencies involved and will be more fully described in the applicable prospectus supplement.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 registered securities registered in the name of Cede &amp; Co. (DTC’s partnership nominee) or such other name as may be requested by an authorized representative of DTC. One fully-registered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More information about DTC can be found at </w:t>
      </w:r>
      <w:r>
        <w:rPr>
          <w:rFonts w:ascii="Times New Roman" w:cs="Times New Roman" w:eastAsia="Times New Roman" w:hAnsi="Times New Roman"/>
          <w:sz w:val="18"/>
          <w:szCs w:val="18"/>
          <w:i w:val="1"/>
          <w:iCs w:val="1"/>
          <w:color w:val="auto"/>
        </w:rPr>
        <w:t>www.dtcc.com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89" w:lineRule="exact"/>
        <w:rPr>
          <w:sz w:val="20"/>
          <w:szCs w:val="20"/>
          <w:color w:val="auto"/>
        </w:rPr>
      </w:pPr>
    </w:p>
    <w:p>
      <w:pPr>
        <w:ind w:right="280" w:firstLine="456"/>
        <w:spacing w:after="0" w:line="261"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9" w:lineRule="exact"/>
        <w:rPr>
          <w:sz w:val="20"/>
          <w:szCs w:val="20"/>
          <w:color w:val="auto"/>
        </w:rPr>
      </w:pPr>
    </w:p>
    <w:p>
      <w:pPr>
        <w:ind w:right="380" w:firstLine="456"/>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400"/>
          </w:cols>
          <w:pgMar w:left="240" w:top="456" w:right="2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OUR UNITS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units we may issue from time to time. Particular terms of any units we offer will be described in the prospectus supplement relating to such units. For a complete description of the terms of particular units, you should read both this prospectus and the prospectus supplement relating to those particular units.</w:t>
      </w:r>
    </w:p>
    <w:p>
      <w:pPr>
        <w:spacing w:after="0" w:line="176"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units we may issue, including the following:</w:t>
      </w:r>
    </w:p>
    <w:p>
      <w:pPr>
        <w:spacing w:after="0" w:line="131" w:lineRule="exact"/>
        <w:rPr>
          <w:sz w:val="20"/>
          <w:szCs w:val="20"/>
          <w:color w:val="auto"/>
        </w:rPr>
      </w:pPr>
    </w:p>
    <w:p>
      <w:pPr>
        <w:ind w:left="900" w:right="140" w:hanging="325"/>
        <w:spacing w:after="0" w:line="282"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terms of any unit agreement governing the units;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provisions for the payment, settlement, transfer or exchange of the units;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340"/>
          </w:cols>
          <w:pgMar w:left="240" w:top="455" w:right="31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such sales could occur, could adversely affect the prevailing market price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general, under Rule 144 under the Securities Act, or Rule 144,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connection with our IPO on March 20, 2014, we, the Adviser, our directors, executive officers and substantially all of our existing stockholders agreed with the underwriters in the IPO that, without the prior written consent of J.P. Morgan Securities LLC, Merrill Lynch, Pierce, Fenner &amp; Smith Incorporated and Goldman, Sachs &amp; Co., we and they will not, subject to certain exceptions and extensions, during certain lock-up periods as described below, (1) offer, pledge, sell, contract to sell, sell any option or contract to purchase, purchase any option or contract to sell, grant any option, right or warrant to purchase or otherwise transfer or dispose of, directly or indirectly, any shares of our common stock or securities convertible into or exchangeable or exercisable for any shares of our common stock, or publicly disclose the intention to make any offer, sale, pledge or disposition, (2)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or (3) if applicable, make any demand for or exercise any right with respect to the registration of any shares of our common stock or any security convertible into or exercisable or exchangeable for our common stock. The lock-ups apply to all shares of our common stock acquired prior to the date of the IPO, as well as any shares acquired in the concurrent private placement, but will not apply to any shares acquired in open market transactions or acquired from us under the dividend reinvestment plan after the completion of the IPO, subject to certain exceptions. Any shares of common stock purchased by the Adviser pursuant to the 10b5-1 Plan will be subject to the lock-up agreement between the Adviser and the underwriters in the IPO.</w:t>
      </w:r>
    </w:p>
    <w:p>
      <w:pPr>
        <w:spacing w:after="0" w:line="18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the case of the Company, the lock-up period in the previous paragraph is the period ending 180 days after the date of the IPO. In the case of our Adviser, including shares of common stock beneficially owned by our executive officers through the Adviser, the lock-up period is the period ending 365 days after the date of the IPO. In the case of our directors and existing stockholders, the lock-up period in the previous paragraph is 180 days after the date of the IPO for all shares of common stock held by those stockholders and 270 days after the date of the IPO for 50% of the shares of common stock held by those stockholders. Each lock-up period is subject to extension in certain circumstances.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400"/>
          </w:cols>
          <w:pgMar w:left="240" w:top="456" w:right="2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and December 31, 2013, our asset coverage was 300.1% and 232.9%, respectively.</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2" w:lineRule="exact"/>
        <w:rPr>
          <w:sz w:val="20"/>
          <w:szCs w:val="20"/>
          <w:color w:val="auto"/>
        </w:rPr>
      </w:pPr>
    </w:p>
    <w:p>
      <w:pPr>
        <w:ind w:left="900" w:right="40" w:hanging="325"/>
        <w:spacing w:after="0" w:line="282"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such company’s voting securities present at a meeting if more than 50% of the outstanding voting securities of such company are present or represented by proxy;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such company. We do not anticipate any substantial change in the nature of our business.</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88" w:lineRule="exact"/>
        <w:rPr>
          <w:sz w:val="20"/>
          <w:szCs w:val="20"/>
          <w:color w:val="auto"/>
        </w:rPr>
      </w:pPr>
    </w:p>
    <w:p>
      <w:pPr>
        <w:jc w:val="both"/>
        <w:ind w:right="280" w:firstLine="456"/>
        <w:spacing w:after="0" w:line="261" w:lineRule="auto"/>
        <w:rPr>
          <w:sz w:val="20"/>
          <w:szCs w:val="20"/>
          <w:color w:val="auto"/>
        </w:rPr>
      </w:pPr>
      <w:r>
        <w:rPr>
          <w:rFonts w:ascii="Times New Roman" w:cs="Times New Roman" w:eastAsia="Times New Roman" w:hAnsi="Times New Roman"/>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400"/>
          </w:cols>
          <w:pgMar w:left="240" w:top="455" w:right="2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currently do not intend to issue and sell our common stock, or warrants, options or rights to acquire our common stock, at a price below the then-current net asset value of our common stock but we may elect to do so if our Board determines that the sale is in our best interests and the best interests of our stockholders, and our stockholders have approved our policy and practice of making these sales within the preceding 12 months.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8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0"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have applied for an exemptive order from the SEC that, if granted,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among others, prior approval by a majority of our Independent Directors. The terms and conditions of the investment applicable to any affiliates of TSSP and TPG also must be the same as those applicable to us.</w:t>
      </w:r>
    </w:p>
    <w:p>
      <w:pPr>
        <w:spacing w:after="0" w:line="18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If the SEC grants our exemptive relief request, to the extent the size of the opportunity exceeds the amount our Adviser independently determines is appropriate for us to invest, our affiliates may be able to co-invest with us. We believe our ability to co-invest with TSSP and TPG affiliates would be particularly useful where we identify larger capital commitments than otherwise would be appropriate for us. We would be able to provide “one-stop” financing to a potential portfolio company in these circumstances, which could allow us to capture opportunities where we alone could not commit the full amount of required capital or would have to spend additional time to locate unaffiliated co-investors.</w:t>
      </w:r>
    </w:p>
    <w:p>
      <w:pPr>
        <w:spacing w:after="0" w:line="18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Further, if we are granted exemptive relief, we would undertake that, in connection with any commitment to a co-investment, a “required majority” (as defined in Section 57(o) of the 1940 Act) of Independent Directors would make certain conclusions, including that:</w:t>
      </w:r>
    </w:p>
    <w:p>
      <w:pPr>
        <w:spacing w:after="0" w:line="67" w:lineRule="exact"/>
        <w:rPr>
          <w:sz w:val="20"/>
          <w:szCs w:val="20"/>
          <w:color w:val="auto"/>
        </w:rPr>
      </w:pPr>
    </w:p>
    <w:p>
      <w:pPr>
        <w:ind w:left="900" w:hanging="325"/>
        <w:spacing w:after="0" w:line="282" w:lineRule="auto"/>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proposed transaction are reasonable and fair to us and our stockholders and do not involve overreaching of us or our stockholders on the part of any person concerned;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 the interests of our stockholders and is consistent with our investment strategies and policies.</w:t>
      </w:r>
    </w:p>
    <w:p>
      <w:pPr>
        <w:spacing w:after="0" w:line="225"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We cannot assure you, however, when or whether the SEC will grant our exemptive relief request or that, if granted, it will be on the terms set forth above.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BDC, we are subject to certain risks and uncertainties. See “Risk Factors—Risks Related to Our Business and Structure.”</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80"/>
          </w:cols>
          <w:pgMar w:left="240" w:top="456" w:right="27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Qualifying Assets</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2" w:lineRule="exact"/>
        <w:rPr>
          <w:sz w:val="20"/>
          <w:szCs w:val="20"/>
          <w:color w:val="auto"/>
        </w:rPr>
      </w:pPr>
    </w:p>
    <w:p>
      <w:pPr>
        <w:ind w:left="900" w:right="200" w:hanging="325"/>
        <w:spacing w:after="0" w:line="261"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30" w:lineRule="exact"/>
        <w:rPr>
          <w:rFonts w:ascii="Times New Roman" w:cs="Times New Roman" w:eastAsia="Times New Roman" w:hAnsi="Times New Roman"/>
          <w:sz w:val="18"/>
          <w:szCs w:val="18"/>
          <w:color w:val="auto"/>
        </w:rPr>
      </w:pPr>
    </w:p>
    <w:p>
      <w:pPr>
        <w:ind w:left="1480" w:right="600" w:hanging="446"/>
        <w:spacing w:after="0" w:line="282" w:lineRule="auto"/>
        <w:tabs>
          <w:tab w:leader="none" w:pos="1480" w:val="left"/>
        </w:tabs>
        <w:numPr>
          <w:ilvl w:val="1"/>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has an equity market capitalization of less than $250 million or does not have any class of securities listed on a national securities exchange;</w:t>
      </w:r>
    </w:p>
    <w:p>
      <w:pPr>
        <w:spacing w:after="0" w:line="67" w:lineRule="exact"/>
        <w:rPr>
          <w:rFonts w:ascii="Times New Roman" w:cs="Times New Roman" w:eastAsia="Times New Roman" w:hAnsi="Times New Roman"/>
          <w:sz w:val="15"/>
          <w:szCs w:val="15"/>
          <w:color w:val="auto"/>
        </w:rPr>
      </w:pPr>
    </w:p>
    <w:p>
      <w:pPr>
        <w:ind w:left="1480" w:right="180" w:hanging="446"/>
        <w:spacing w:after="0" w:line="266" w:lineRule="auto"/>
        <w:tabs>
          <w:tab w:leader="none" w:pos="1480" w:val="left"/>
        </w:tabs>
        <w:numPr>
          <w:ilvl w:val="1"/>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1" w:lineRule="exact"/>
        <w:rPr>
          <w:rFonts w:ascii="Times New Roman" w:cs="Times New Roman" w:eastAsia="Times New Roman" w:hAnsi="Times New Roman"/>
          <w:sz w:val="15"/>
          <w:szCs w:val="15"/>
          <w:color w:val="auto"/>
        </w:rPr>
      </w:pPr>
    </w:p>
    <w:p>
      <w:pPr>
        <w:ind w:left="1480" w:hanging="446"/>
        <w:spacing w:after="0"/>
        <w:tabs>
          <w:tab w:leader="none" w:pos="1480" w:val="left"/>
        </w:tabs>
        <w:numPr>
          <w:ilvl w:val="1"/>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is a small and solvent company having total assets of not more than $4 million and capital and surplus of not less than $2 million.</w:t>
      </w:r>
    </w:p>
    <w:p>
      <w:pPr>
        <w:spacing w:after="0" w:line="130" w:lineRule="exact"/>
        <w:rPr>
          <w:rFonts w:ascii="Times New Roman" w:cs="Times New Roman" w:eastAsia="Times New Roman" w:hAnsi="Times New Roman"/>
          <w:sz w:val="15"/>
          <w:szCs w:val="15"/>
          <w:color w:val="auto"/>
        </w:rPr>
      </w:pPr>
    </w:p>
    <w:p>
      <w:pPr>
        <w:ind w:left="900" w:hanging="325"/>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that we control.</w:t>
      </w:r>
    </w:p>
    <w:p>
      <w:pPr>
        <w:spacing w:after="0" w:line="130" w:lineRule="exact"/>
        <w:rPr>
          <w:rFonts w:ascii="Times New Roman" w:cs="Times New Roman" w:eastAsia="Times New Roman" w:hAnsi="Times New Roman"/>
          <w:sz w:val="18"/>
          <w:szCs w:val="18"/>
          <w:color w:val="auto"/>
        </w:rPr>
      </w:pPr>
    </w:p>
    <w:p>
      <w:pPr>
        <w:ind w:left="900" w:right="100" w:hanging="325"/>
        <w:spacing w:after="0" w:line="261"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5"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above, or pursuant to the exercise of warrants or rights relating to such securities.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U.S. Government securities or high-quality debt securities maturing in one year or less from the time of investment.</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Managerial Assistance to Portfolio Companies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 BDC must be operated for the purpose of making investments in the types of securities described under “Qualifying Assets” above. However, to count portfolio securities as qualifying assets for the purpose of the 70%</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400"/>
          </w:cols>
          <w:pgMar w:left="240" w:top="456" w:right="2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As required by the Advisers Act and the 1940 Act, we and the Adviser have adopted a code of ethics which applies to, among others, our and our Adviser’s executive officers, including our Chief Executive Officer and Chief Financial Officer, as well as our and our Adviser’s officers, directors and employees. The code of ethics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You may read and copy the code of ethics at the SEC’s Public Reference Room in Washington, D.C. You may obtain information on the operation of the Public Reference Room by calling the SEC at 1-800-SEC-0330. In addition, the code of ethics is attached as an exhibit to the registration statement of which this prospectus is a part, and is available on the SEC’s internet site at http://www.sec.gov. You may also obtain copies of the code of ethics, after paying a duplicating fee, by electronic request at the following e-mail address: publicinfo@sec.gov, or by writing the SEC’s Public Reference Section at 100 F Street, Room 1580 N.E. Washington, D.C. 20549. We also hereby undertake to provide a copy of this code to any person, without charge, upon request. Requests for a copy of the code may be made in writing addressed to our Secretary, Jennifer Mello, 345 California Street, Suite 3300 San Francisco, CA 94104, Attention: TSL Investor Relations, or by emailing us at </w:t>
      </w:r>
      <w:r>
        <w:rPr>
          <w:rFonts w:ascii="Times New Roman" w:cs="Times New Roman" w:eastAsia="Times New Roman" w:hAnsi="Times New Roman"/>
          <w:sz w:val="18"/>
          <w:szCs w:val="18"/>
          <w:i w:val="1"/>
          <w:iCs w:val="1"/>
          <w:color w:val="auto"/>
        </w:rPr>
        <w:t>IRTSL@tpg.com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Policies and Procedures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21"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67" w:lineRule="exact"/>
        <w:rPr>
          <w:sz w:val="20"/>
          <w:szCs w:val="20"/>
          <w:color w:val="auto"/>
        </w:rPr>
      </w:pPr>
    </w:p>
    <w:p>
      <w:pPr>
        <w:ind w:left="900" w:right="180" w:hanging="325"/>
        <w:spacing w:after="0" w:line="282" w:lineRule="auto"/>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Exchange Act, our Co-Chief Executive Officers and Chief Financial Officer certify the accuracy of the financial statements contained in our periodic reports;</w:t>
      </w:r>
    </w:p>
    <w:p>
      <w:pPr>
        <w:spacing w:after="0" w:line="67" w:lineRule="exact"/>
        <w:rPr>
          <w:rFonts w:ascii="Times New Roman" w:cs="Times New Roman" w:eastAsia="Times New Roman" w:hAnsi="Times New Roman"/>
          <w:sz w:val="18"/>
          <w:szCs w:val="18"/>
          <w:color w:val="auto"/>
        </w:rPr>
      </w:pPr>
    </w:p>
    <w:p>
      <w:pPr>
        <w:ind w:left="900" w:right="460" w:hanging="325"/>
        <w:spacing w:after="0" w:line="282" w:lineRule="auto"/>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disclose our conclusions about the effectiveness of our disclosure controls and procedures;</w:t>
      </w:r>
    </w:p>
    <w:p>
      <w:pPr>
        <w:spacing w:after="0" w:line="67"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Exchange Act, subject to certain assumptions, our management is required to prepare an annual report regarding its assessment of our internal control over financial reporting and, depending on our accelerated filer or loss of emerging growth company status, this report may be required to be audited by our independent registered public accounting firm; and</w:t>
      </w:r>
    </w:p>
    <w:p>
      <w:pPr>
        <w:spacing w:after="0" w:line="81" w:lineRule="exact"/>
        <w:rPr>
          <w:rFonts w:ascii="Times New Roman" w:cs="Times New Roman" w:eastAsia="Times New Roman" w:hAnsi="Times New Roman"/>
          <w:sz w:val="18"/>
          <w:szCs w:val="18"/>
          <w:color w:val="auto"/>
        </w:rPr>
      </w:pPr>
    </w:p>
    <w:p>
      <w:pPr>
        <w:ind w:left="900" w:right="120" w:hanging="325"/>
        <w:spacing w:after="0" w:line="266" w:lineRule="auto"/>
        <w:tabs>
          <w:tab w:leader="none" w:pos="9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400"/>
          </w:cols>
          <w:pgMar w:left="240" w:top="456" w:right="2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Jumpstart Our Business Startups Act of 2012</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as that term is used in the JOBS Act. An emerging growth company may take advantage of specified reduced reporting and other burdens that are otherwise applicable generally to public companies. These provisions include:</w:t>
      </w:r>
    </w:p>
    <w:p>
      <w:pPr>
        <w:spacing w:after="0" w:line="67" w:lineRule="exact"/>
        <w:rPr>
          <w:sz w:val="20"/>
          <w:szCs w:val="20"/>
          <w:color w:val="auto"/>
        </w:rPr>
      </w:pPr>
    </w:p>
    <w:p>
      <w:pPr>
        <w:ind w:left="900" w:right="580" w:hanging="325"/>
        <w:spacing w:after="0" w:line="282" w:lineRule="auto"/>
        <w:tabs>
          <w:tab w:leader="none" w:pos="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the emerging growth company’s internal control over financial reporting under Section 404 of the Sarbanes-Oxley Act;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non-binding advisory votes on executive compensation or golden parachute arrangements;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financial statement and executive compensation disclosure requirements.</w:t>
      </w:r>
    </w:p>
    <w:p>
      <w:pPr>
        <w:spacing w:after="0" w:line="22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Although we expect to become a large accelerated filer at the end of this fiscal year, we currently are a “non-accelerated filer” under the Exchange Act, and as a non-accelerated filer, we are currently exempt from compliance with auditor attestation requirements under Section 404 of the Sarbanes-Oxley Act. In addition, we do not have any direct executive compensation or golden parachute payments to report in our periodic reports or proxy statements because we have no employees. We do not know if some investors will find our securities less attractive as a result of our taking advantage of exemptions available to emerging growth companies. The result may be a less active trading market for our securities and the price of our securities may be more volatile.</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and Section 13(a) of the Exchange Act for complying with new or revised accounting standards. However, we are choosing to “opt out” of the extended transition period and, as a result, we will comply with new or revised accounting standards on the relevant dates on which adoption of these standards is required for non-emerging growth companies. Our decision to opt out of the extended transition period for complying with new or revised accounting standards is irrevocable.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w:t>
      </w:r>
    </w:p>
    <w:p>
      <w:pPr>
        <w:spacing w:after="0" w:line="131" w:lineRule="exact"/>
        <w:rPr>
          <w:sz w:val="20"/>
          <w:szCs w:val="20"/>
          <w:color w:val="auto"/>
        </w:rPr>
      </w:pPr>
    </w:p>
    <w:p>
      <w:pPr>
        <w:ind w:left="900" w:hanging="325"/>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years measured from the date of the first sale of common equity securities pursuant to an effective registration statement;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first fiscal year in which our annual gross revenues exceed $1 billion;</w:t>
      </w:r>
    </w:p>
    <w:p>
      <w:pPr>
        <w:spacing w:after="0" w:line="130" w:lineRule="exact"/>
        <w:rPr>
          <w:rFonts w:ascii="Times New Roman" w:cs="Times New Roman" w:eastAsia="Times New Roman" w:hAnsi="Times New Roman"/>
          <w:sz w:val="18"/>
          <w:szCs w:val="18"/>
          <w:color w:val="auto"/>
        </w:rPr>
      </w:pPr>
    </w:p>
    <w:p>
      <w:pPr>
        <w:ind w:left="900" w:right="80" w:hanging="325"/>
        <w:spacing w:after="0" w:line="266" w:lineRule="auto"/>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become a “large accelerated filer” as defined in Rule 12b-2 under the Exchange Act, which would occur if the market value of our common stock that is held by non-affiliates exceeds $700 million as of the last business day of our most recently completed second fiscal quarter;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securities during the preceding three-year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NYSE has adopted corporate governance rules that listed companies must comply with. We are in compliance with these rules.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Policies and Procedures</w:t>
      </w:r>
    </w:p>
    <w:p>
      <w:pPr>
        <w:spacing w:after="0" w:line="121"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8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TSL Adviser, 345 California Street, Suite 3300 San Francisco, CA 94104, Attention: TSL Investor Relations, or by emailing us at IRTSL@tpg.com. The SEC also maintains a website at http://www.sec.gov that contains such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Principles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generally will not receive any nonpublic personal information relating to stockholders who purchase common stock. We may collect nonpublic personal information regarding our existing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85"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Any party that receives nonpublic personal information relating to investors from us is permitted to use the information only for legitimate business purposes or as otherwise required or permitted by applicable law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regulation. In this regard, for officers, employees and agents of ours and our affiliates, access to such information is restricted to those who need such access to provide services to us and investors. We maintain physical, electronic and procedural safeguards to seek to guard investor nonpublic personal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Obligations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345 California Street, Suite 3300, San Francisco, CA 94104, Attention: TSL Investor Relations, or by emailing us at IRTSL@tpg.com.</w:t>
      </w:r>
    </w:p>
    <w:p>
      <w:pPr>
        <w:spacing w:after="0" w:line="180"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Investors and the public may also read and copy any materials we file with the SEC at the SEC’s Public Reference Room at 100 F Street, Room 1580 Washington, DC 20549. The public may also obtain information on the operation of the Public Reference Room by calling the SEC at 1-800-SEC-0330. The SEC also maintains a website (www.sec.gov) that contains this information.</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20"/>
          </w:cols>
          <w:pgMar w:left="240" w:top="456" w:right="3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400"/>
          </w:cols>
          <w:pgMar w:left="240" w:top="456" w:right="2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$500 million of our common stock, preferred stock, debt securities, subscription rights to purchase shares of our common stock or warrants representing rights to purchase shares of our common stock, preferred stock or debt securities, or units comprised of any combination of the foregoing, in one or more underwritten public offerings, at-the-market offerings, negotiated transactions, block trades, best efforts or a combination of these methods. In addition, this prospectus relates to 42,040,525 shares of our common stock that may be sold by the selling stockholders identified under “Selling Stockholders.”</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We or the selling stockholders may sell the securities through underwriters or dealers, directly to one or more purchasers, including existing stockholders in a rights offering, through agents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or the selling stockholders will receive from the sale; any over-allotment options under which underwriters may purchase additional securities from us or the selling stockholders;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common stockholders or (c) under such circumstances as the SEC may permit. The price at which securities may be distributed may represent a discount from prevailing market prices.</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the selling stockholders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or the selling stockholders and any profit realized by them on the resale of the securities may be deemed to be underwriting discounts and commissions under the Securities Act. Any such underwriter or agent will be identified and any such compensation received from us or the selling stockholders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or the selling stockholders, as applicable, may also reimburse the underwriter or agent for certain fees and legal expenses incurred by it.</w:t>
      </w:r>
    </w:p>
    <w:p>
      <w:pPr>
        <w:spacing w:after="0" w:line="18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420"/>
          </w:cols>
          <w:pgMar w:left="240" w:top="456" w:right="2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0"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or the selling stockholders may sell securities directly or through agents we designate from time to time. We will name any agent involved in the offering and sale of securities and we will describe any commissions we or the selling stockholders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Under agreements that we or the selling stockholders may enter, underwriters, dealers and agents who participate in the distribution of the securities may be entitled to indemnification by us or the selling stockholders, as applicable,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or the selling stockholders will authorize underwriters or other persons acting as agents to solicit offers by certain institutions to purchase securities from us or the selling stockholders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or the selling stockholders, as applicable.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or the selling stockholders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the selling stockholders or borrowed from us, the selling stockholders or others to settle those sales or to close out any related open borrowings of stock, and may use securities received from us or the selling stockholders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380"/>
          </w:cols>
          <w:pgMar w:left="240" w:top="455" w:right="27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Cleary Gottlieb Steen &amp; Hamilton LLP, New York, New York. In addition, Sutherland Asbill &amp; Brennan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TPG Specialty Lending, Inc. (and subsidiaries) as of December 31, 2013 and 2012, and for each of the years in the three-year period ended December 31, 2013 and the Senior Securities schedule under the heading “Senior Securities” have been included herein and in the registration statement in reliance upon the reports of KPMG LLP, 55 Second Street, Suite 1400, San Francisco, CA 94105, independent registered public accounting firm, appearing elsewhere herein, and upon the authority of said firm as experts in accounting and auditing.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0"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345 California Street Suite 3300, San Francisco, CA 94104, Attention: TSL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420"/>
          </w:cols>
          <w:pgMar w:left="240" w:top="456" w:right="2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9520" w:type="dxa"/>
            <w:vAlign w:val="bottom"/>
            <w:gridSpan w:val="14"/>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60" w:type="dxa"/>
            <w:vAlign w:val="bottom"/>
            <w:gridSpan w:val="1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00" w:type="dxa"/>
            <w:vAlign w:val="bottom"/>
          </w:tcPr>
          <w:p>
            <w:pPr>
              <w:spacing w:after="0"/>
              <w:rPr>
                <w:sz w:val="24"/>
                <w:szCs w:val="24"/>
                <w:color w:val="auto"/>
              </w:rPr>
            </w:pPr>
          </w:p>
        </w:tc>
      </w:tr>
      <w:tr>
        <w:trPr>
          <w:trHeight w:val="441"/>
        </w:trPr>
        <w:tc>
          <w:tcPr>
            <w:tcW w:w="9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800" w:type="dxa"/>
            <w:vAlign w:val="bottom"/>
          </w:tcPr>
          <w:p>
            <w:pPr>
              <w:spacing w:after="0"/>
              <w:rPr>
                <w:sz w:val="24"/>
                <w:szCs w:val="24"/>
                <w:color w:val="auto"/>
              </w:rPr>
            </w:pPr>
          </w:p>
        </w:tc>
      </w:tr>
      <w:tr>
        <w:trPr>
          <w:trHeight w:val="194"/>
        </w:trPr>
        <w:tc>
          <w:tcPr>
            <w:tcW w:w="9520" w:type="dxa"/>
            <w:vAlign w:val="bottom"/>
            <w:gridSpan w:val="14"/>
          </w:tcPr>
          <w:p>
            <w:pPr>
              <w:spacing w:after="0" w:line="194" w:lineRule="exact"/>
              <w:rPr>
                <w:rFonts w:ascii="Times New Roman" w:cs="Times New Roman" w:eastAsia="Times New Roman" w:hAnsi="Times New Roman"/>
                <w:sz w:val="18"/>
                <w:szCs w:val="18"/>
                <w:color w:val="0000EE"/>
              </w:rPr>
            </w:pPr>
            <w:hyperlink w:anchor="page184">
              <w:r>
                <w:rPr>
                  <w:rFonts w:ascii="Times New Roman" w:cs="Times New Roman" w:eastAsia="Times New Roman" w:hAnsi="Times New Roman"/>
                  <w:sz w:val="18"/>
                  <w:szCs w:val="18"/>
                  <w:color w:val="0000EE"/>
                </w:rPr>
                <w:t>Report of Independent Registered Public Accounting Firm</w:t>
              </w:r>
            </w:hyperlink>
          </w:p>
        </w:tc>
        <w:tc>
          <w:tcPr>
            <w:tcW w:w="1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185">
              <w:r>
                <w:rPr>
                  <w:rFonts w:ascii="Times New Roman" w:cs="Times New Roman" w:eastAsia="Times New Roman" w:hAnsi="Times New Roman"/>
                  <w:sz w:val="18"/>
                  <w:szCs w:val="18"/>
                  <w:color w:val="0000EE"/>
                  <w:w w:val="99"/>
                </w:rPr>
                <w:t>Consolidated Balance Sheets as of December 31, 2013 and 2012</w:t>
              </w:r>
            </w:hyperlink>
          </w:p>
        </w:tc>
        <w:tc>
          <w:tcPr>
            <w:tcW w:w="486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6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186">
              <w:r>
                <w:rPr>
                  <w:rFonts w:ascii="Times New Roman" w:cs="Times New Roman" w:eastAsia="Times New Roman" w:hAnsi="Times New Roman"/>
                  <w:sz w:val="18"/>
                  <w:szCs w:val="18"/>
                  <w:color w:val="0000EE"/>
                  <w:w w:val="99"/>
                </w:rPr>
                <w:t>Consolidated Statements of Operations for the Years Ended December 31, 2013, 2012 and 2011</w:t>
              </w:r>
            </w:hyperlink>
          </w:p>
        </w:tc>
        <w:tc>
          <w:tcPr>
            <w:tcW w:w="262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9520" w:type="dxa"/>
            <w:vAlign w:val="bottom"/>
            <w:gridSpan w:val="14"/>
          </w:tcPr>
          <w:p>
            <w:pPr>
              <w:spacing w:after="0" w:line="196" w:lineRule="exact"/>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Consolidated Schedules of Investments as of December 31, 2013 and 2012</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Consolidated Statements of Changes in Net Assets for the Years Ended December 31, 2013, 2012 and 2011</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r>
      <w:tr>
        <w:trPr>
          <w:trHeight w:val="196"/>
        </w:trPr>
        <w:tc>
          <w:tcPr>
            <w:tcW w:w="77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195">
              <w:r>
                <w:rPr>
                  <w:rFonts w:ascii="Times New Roman" w:cs="Times New Roman" w:eastAsia="Times New Roman" w:hAnsi="Times New Roman"/>
                  <w:sz w:val="18"/>
                  <w:szCs w:val="18"/>
                  <w:color w:val="0000EE"/>
                </w:rPr>
                <w:t>Consolidated Statements of Cash Flows for the Years Ended December 31, 2013, 2012 and 2011</w:t>
              </w:r>
            </w:hyperlink>
          </w:p>
        </w:tc>
        <w:tc>
          <w:tcPr>
            <w:tcW w:w="178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F-13</w:t>
            </w: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96">
              <w:r>
                <w:rPr>
                  <w:rFonts w:ascii="Times New Roman" w:cs="Times New Roman" w:eastAsia="Times New Roman" w:hAnsi="Times New Roman"/>
                  <w:sz w:val="18"/>
                  <w:szCs w:val="18"/>
                  <w:color w:val="0000EE"/>
                  <w:w w:val="99"/>
                </w:rPr>
                <w:t>Notes to Consolidated Financial Statements</w:t>
              </w:r>
            </w:hyperlink>
          </w:p>
        </w:tc>
        <w:tc>
          <w:tcPr>
            <w:tcW w:w="3800" w:type="dxa"/>
            <w:vAlign w:val="bottom"/>
            <w:tcBorders>
              <w:top w:val="single" w:sz="8" w:color="0000EE"/>
            </w:tcBorders>
            <w:gridSpan w:val="9"/>
          </w:tcPr>
          <w:p>
            <w:pPr>
              <w:spacing w:after="0"/>
              <w:rPr>
                <w:sz w:val="17"/>
                <w:szCs w:val="17"/>
                <w:color w:val="auto"/>
              </w:rPr>
            </w:pPr>
          </w:p>
        </w:tc>
        <w:tc>
          <w:tcPr>
            <w:tcW w:w="256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F-14</w:t>
            </w:r>
          </w:p>
        </w:tc>
      </w:tr>
      <w:tr>
        <w:trPr>
          <w:trHeight w:val="326"/>
        </w:trPr>
        <w:tc>
          <w:tcPr>
            <w:tcW w:w="9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Interim Unaudited Consolidated Financial Statements</w:t>
            </w:r>
          </w:p>
        </w:tc>
        <w:tc>
          <w:tcPr>
            <w:tcW w:w="1800" w:type="dxa"/>
            <w:vAlign w:val="bottom"/>
          </w:tcPr>
          <w:p>
            <w:pPr>
              <w:spacing w:after="0"/>
              <w:rPr>
                <w:sz w:val="24"/>
                <w:szCs w:val="24"/>
                <w:color w:val="auto"/>
              </w:rPr>
            </w:pPr>
          </w:p>
        </w:tc>
      </w:tr>
      <w:tr>
        <w:trPr>
          <w:trHeight w:val="194"/>
        </w:trPr>
        <w:tc>
          <w:tcPr>
            <w:tcW w:w="9520" w:type="dxa"/>
            <w:vAlign w:val="bottom"/>
            <w:gridSpan w:val="14"/>
          </w:tcPr>
          <w:p>
            <w:pPr>
              <w:spacing w:after="0" w:line="194" w:lineRule="exact"/>
              <w:rPr>
                <w:rFonts w:ascii="Times New Roman" w:cs="Times New Roman" w:eastAsia="Times New Roman" w:hAnsi="Times New Roman"/>
                <w:sz w:val="18"/>
                <w:szCs w:val="18"/>
                <w:color w:val="0000EE"/>
              </w:rPr>
            </w:pPr>
            <w:hyperlink w:anchor="page220">
              <w:r>
                <w:rPr>
                  <w:rFonts w:ascii="Times New Roman" w:cs="Times New Roman" w:eastAsia="Times New Roman" w:hAnsi="Times New Roman"/>
                  <w:sz w:val="18"/>
                  <w:szCs w:val="18"/>
                  <w:color w:val="0000EE"/>
                </w:rPr>
                <w:t>Consolidated Balance Sheets as of March 31, 2014 and December 31, 2013</w:t>
              </w:r>
            </w:hyperlink>
          </w:p>
        </w:tc>
        <w:tc>
          <w:tcPr>
            <w:tcW w:w="1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F-38</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Times New Roman" w:cs="Times New Roman" w:eastAsia="Times New Roman" w:hAnsi="Times New Roman"/>
                <w:sz w:val="18"/>
                <w:szCs w:val="18"/>
                <w:color w:val="0000EE"/>
              </w:rPr>
            </w:pPr>
            <w:hyperlink w:anchor="page221">
              <w:r>
                <w:rPr>
                  <w:rFonts w:ascii="Times New Roman" w:cs="Times New Roman" w:eastAsia="Times New Roman" w:hAnsi="Times New Roman"/>
                  <w:sz w:val="18"/>
                  <w:szCs w:val="18"/>
                  <w:color w:val="0000EE"/>
                </w:rPr>
                <w:t>Consolidated Statements of Operations for the Three Months Ended March 31, 2014 and 2013</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F-39</w:t>
            </w:r>
          </w:p>
        </w:tc>
      </w:tr>
      <w:tr>
        <w:trPr>
          <w:trHeight w:val="196"/>
        </w:trPr>
        <w:tc>
          <w:tcPr>
            <w:tcW w:w="680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222">
              <w:r>
                <w:rPr>
                  <w:rFonts w:ascii="Times New Roman" w:cs="Times New Roman" w:eastAsia="Times New Roman" w:hAnsi="Times New Roman"/>
                  <w:sz w:val="18"/>
                  <w:szCs w:val="18"/>
                  <w:color w:val="0000EE"/>
                </w:rPr>
                <w:t>Consolidated Schedules of Investments as of March 31, 2014 and December 31, 2013</w:t>
              </w:r>
            </w:hyperlink>
          </w:p>
        </w:tc>
        <w:tc>
          <w:tcPr>
            <w:tcW w:w="272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F-40</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14"/>
          </w:tcPr>
          <w:p>
            <w:pPr>
              <w:spacing w:after="0" w:line="196" w:lineRule="exact"/>
              <w:rPr>
                <w:rFonts w:ascii="Times New Roman" w:cs="Times New Roman" w:eastAsia="Times New Roman" w:hAnsi="Times New Roman"/>
                <w:sz w:val="18"/>
                <w:szCs w:val="18"/>
                <w:color w:val="0000EE"/>
              </w:rPr>
            </w:pPr>
            <w:hyperlink w:anchor="page231">
              <w:r>
                <w:rPr>
                  <w:rFonts w:ascii="Times New Roman" w:cs="Times New Roman" w:eastAsia="Times New Roman" w:hAnsi="Times New Roman"/>
                  <w:sz w:val="18"/>
                  <w:szCs w:val="18"/>
                  <w:color w:val="0000EE"/>
                </w:rPr>
                <w:t>Consolidated Statements of Changes in Net Assets for the Three Months Ended March 31, 2014 and 2013</w:t>
              </w:r>
            </w:hyperlink>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F-49</w:t>
            </w:r>
          </w:p>
        </w:tc>
      </w:tr>
      <w:tr>
        <w:trPr>
          <w:trHeight w:val="196"/>
        </w:trPr>
        <w:tc>
          <w:tcPr>
            <w:tcW w:w="76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232">
              <w:r>
                <w:rPr>
                  <w:rFonts w:ascii="Times New Roman" w:cs="Times New Roman" w:eastAsia="Times New Roman" w:hAnsi="Times New Roman"/>
                  <w:sz w:val="18"/>
                  <w:szCs w:val="18"/>
                  <w:color w:val="0000EE"/>
                </w:rPr>
                <w:t>Consolidated Statements of Cash Flows for the Three Months Ended March 31, 2014 and 2013</w:t>
              </w:r>
            </w:hyperlink>
          </w:p>
        </w:tc>
        <w:tc>
          <w:tcPr>
            <w:tcW w:w="188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F-50</w:t>
            </w:r>
          </w:p>
        </w:tc>
      </w:tr>
      <w:tr>
        <w:trPr>
          <w:trHeight w:val="196"/>
        </w:trPr>
        <w:tc>
          <w:tcPr>
            <w:tcW w:w="686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33">
              <w:r>
                <w:rPr>
                  <w:rFonts w:ascii="Times New Roman" w:cs="Times New Roman" w:eastAsia="Times New Roman" w:hAnsi="Times New Roman"/>
                  <w:sz w:val="18"/>
                  <w:szCs w:val="18"/>
                  <w:color w:val="0000EE"/>
                </w:rPr>
                <w:t>Notes to Consolidated Financial Statements</w:t>
              </w:r>
            </w:hyperlink>
          </w:p>
        </w:tc>
        <w:tc>
          <w:tcPr>
            <w:tcW w:w="26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F-51</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gridSpan w:val="8"/>
          </w:tcPr>
          <w:p>
            <w:pPr>
              <w:jc w:val="center"/>
              <w:ind w:right="3540"/>
              <w:spacing w:after="0"/>
              <w:rPr>
                <w:sz w:val="20"/>
                <w:szCs w:val="20"/>
                <w:color w:val="auto"/>
              </w:rPr>
            </w:pPr>
            <w:r>
              <w:rPr>
                <w:rFonts w:ascii="Times New Roman" w:cs="Times New Roman" w:eastAsia="Times New Roman" w:hAnsi="Times New Roman"/>
                <w:sz w:val="18"/>
                <w:szCs w:val="18"/>
                <w:color w:val="auto"/>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07"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These consolidated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securities owned as of December 31, 2013 and 2012, by correspondence with custodians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TPG Specialty Lending, Inc. (and subsidiaries) as of December 31, 2013 and 2012, the results of their operations and their cash flows, and the changes in net assets for each of the years in the three-year period ended December 31, 2013 in conformity with U.S. generally accepted accounting principles.</w:t>
      </w:r>
    </w:p>
    <w:p>
      <w:pPr>
        <w:spacing w:after="0" w:line="17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2014</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420"/>
          </w:cols>
          <w:pgMar w:left="240" w:top="455" w:right="2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60" w:type="dxa"/>
            <w:vAlign w:val="bottom"/>
          </w:tcPr>
          <w:p>
            <w:pPr>
              <w:spacing w:after="0"/>
              <w:rPr>
                <w:sz w:val="13"/>
                <w:szCs w:val="13"/>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$997,298 and $644,421, respectively)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1,016,451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investments sold</w:t>
            </w:r>
          </w:p>
        </w:tc>
        <w:tc>
          <w:tcPr>
            <w:tcW w:w="100" w:type="dxa"/>
            <w:vAlign w:val="bottom"/>
          </w:tcPr>
          <w:p>
            <w:pPr>
              <w:spacing w:after="0"/>
              <w:rPr>
                <w:sz w:val="18"/>
                <w:szCs w:val="18"/>
                <w:color w:val="auto"/>
              </w:rPr>
            </w:pPr>
          </w:p>
        </w:tc>
        <w:tc>
          <w:tcPr>
            <w:tcW w:w="13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1,039,150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432,267</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14,810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on foreign currency forward contracts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Payables to affiliate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464,454</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37,027,022 and 31,583,953 shares issued,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respectively; and 37,026,023 and 31,582,954 shares outstanding, respectively (1)</w:t>
            </w: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 (1)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552,436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999 shares</w:t>
            </w:r>
          </w:p>
        </w:tc>
        <w:tc>
          <w:tcPr>
            <w:tcW w:w="100" w:type="dxa"/>
            <w:vAlign w:val="bottom"/>
          </w:tcPr>
          <w:p>
            <w:pPr>
              <w:spacing w:after="0"/>
              <w:rPr>
                <w:sz w:val="18"/>
                <w:szCs w:val="18"/>
                <w:color w:val="auto"/>
              </w:rPr>
            </w:pPr>
          </w:p>
        </w:tc>
        <w:tc>
          <w:tcPr>
            <w:tcW w:w="13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17,910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net realized gains on investments</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574,696</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1,039,150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0" w:hanging="452"/>
        <w:spacing w:after="0" w:line="282" w:lineRule="auto"/>
        <w:tabs>
          <w:tab w:leader="none" w:pos="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amounts as of December 31, 2012 have been retroactively adjusted for the stock split which was effected in the form of a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6"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40" w:type="dxa"/>
            <w:vAlign w:val="bottom"/>
          </w:tcPr>
          <w:p>
            <w:pPr>
              <w:spacing w:after="0"/>
              <w:rPr>
                <w:sz w:val="15"/>
                <w:szCs w:val="15"/>
                <w:color w:val="auto"/>
              </w:rPr>
            </w:pPr>
          </w:p>
        </w:tc>
        <w:tc>
          <w:tcPr>
            <w:tcW w:w="208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Income</w:t>
            </w: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income from non-controlled, non-affiliated investments: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from investments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90,374</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46,402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630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from cash and cash equivalents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investment income from non-controlled, non-affiliated</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investments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92,610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47,046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income from non-controlled, affiliated investments: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from investments</w:t>
            </w:r>
          </w:p>
        </w:tc>
        <w:tc>
          <w:tcPr>
            <w:tcW w:w="14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2,724</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 income</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1,231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investment income from non-controlled, affiliated investments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3,965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92,610</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51,011</w:t>
            </w: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6,020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organization</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8,892</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Incentive fees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11,790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6,996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2,881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fees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287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Other general and administrative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expenses</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42,045</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26,640</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Management fees waived (Note 3)</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Net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34,910</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22,936</w:t>
            </w:r>
          </w:p>
        </w:tc>
        <w:tc>
          <w:tcPr>
            <w:tcW w:w="92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 Before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57,700</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28,075</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including excise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28,029</w:t>
            </w:r>
          </w:p>
        </w:tc>
        <w:tc>
          <w:tcPr>
            <w:tcW w:w="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Unrealized and 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unrealized gains (losses):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Non-controlled, non-affiliated investments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7,372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Non-controlled, affiliated investments</w:t>
            </w:r>
          </w:p>
        </w:tc>
        <w:tc>
          <w:tcPr>
            <w:tcW w:w="14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6"/>
                <w:szCs w:val="16"/>
                <w:color w:val="auto"/>
              </w:rPr>
              <w:t>(161)</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(1,244)</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Total net change in unrealized gains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7,211</w:t>
            </w: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Non-controlled, non-affiliated investments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4,255</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Non-controlled, affiliated investments</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Total realized gains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4,355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Total Unrealized and Realized Gains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11,566</w:t>
            </w:r>
          </w:p>
        </w:tc>
        <w:tc>
          <w:tcPr>
            <w:tcW w:w="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Increase in Net Assets Resulting from Operations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66,983</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39,595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line="236" w:lineRule="exact"/>
              <w:rPr>
                <w:sz w:val="20"/>
                <w:szCs w:val="20"/>
                <w:color w:val="auto"/>
              </w:rPr>
            </w:pPr>
            <w:r>
              <w:rPr>
                <w:rFonts w:ascii="Times New Roman" w:cs="Times New Roman" w:eastAsia="Times New Roman" w:hAnsi="Times New Roman"/>
                <w:sz w:val="16"/>
                <w:szCs w:val="16"/>
                <w:color w:val="auto"/>
              </w:rPr>
              <w:t xml:space="preserve">Earnings per common share—basic and diluted </w:t>
            </w:r>
            <w:r>
              <w:rPr>
                <w:rFonts w:ascii="Times New Roman" w:cs="Times New Roman" w:eastAsia="Times New Roman" w:hAnsi="Times New Roman"/>
                <w:sz w:val="27"/>
                <w:szCs w:val="27"/>
                <w:color w:val="auto"/>
                <w:vertAlign w:val="superscript"/>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80" w:type="dxa"/>
            <w:vAlign w:val="bottom"/>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9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Weighted average shares of common stock outstanding—basic and diluted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34,635,208</w:t>
            </w: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20,541,475</w:t>
            </w:r>
          </w:p>
        </w:tc>
        <w:tc>
          <w:tcPr>
            <w:tcW w:w="9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3,347,602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60" w:right="220" w:hanging="452"/>
        <w:spacing w:after="0" w:line="282" w:lineRule="auto"/>
        <w:tabs>
          <w:tab w:leader="none" w:pos="4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the years ended December 31, 2012 and 2011 have been retroactively adjusted for the stock split which was effected in the form of a stock dividend.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5" w:right="2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13"/>
                <w:szCs w:val="13"/>
                <w:color w:val="auto"/>
              </w:rPr>
            </w:pPr>
          </w:p>
        </w:tc>
        <w:tc>
          <w:tcPr>
            <w:tcW w:w="6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7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gridSpan w:val="3"/>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30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Debt Investments</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Aerospace and defense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MSC Software Corporation </w:t>
            </w:r>
            <w:r>
              <w:rPr>
                <w:rFonts w:ascii="Times New Roman" w:cs="Times New Roman" w:eastAsia="Times New Roman" w:hAnsi="Times New Roman"/>
                <w:sz w:val="22"/>
                <w:szCs w:val="22"/>
                <w:color w:val="auto"/>
                <w:vertAlign w:val="superscript"/>
              </w:rPr>
              <w:t>(3)(4)(6)</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($53,452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11/2017)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12/23/2011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52,828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$ 53,720</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4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Heartland Automotive Holdings,</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LLC </w:t>
            </w:r>
            <w:r>
              <w:rPr>
                <w:rFonts w:ascii="Times New Roman" w:cs="Times New Roman" w:eastAsia="Times New Roman" w:hAnsi="Times New Roman"/>
                <w:sz w:val="13"/>
                <w:szCs w:val="13"/>
                <w:color w:val="auto"/>
              </w:rPr>
              <w:t>(3)(4)</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($36,733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6/2017)</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9.75%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8/28/2012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36,182</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revolving</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 ($4,611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6/2017)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10.75%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8/28/2012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Sage Automotive Interiors, Inc. </w:t>
            </w:r>
            <w:r>
              <w:rPr>
                <w:rFonts w:ascii="Times New Roman" w:cs="Times New Roman" w:eastAsia="Times New Roman" w:hAnsi="Times New Roman"/>
                <w:sz w:val="21"/>
                <w:szCs w:val="21"/>
                <w:color w:val="auto"/>
                <w:vertAlign w:val="superscript"/>
              </w:rPr>
              <w:t>(3)(4)(6)</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($21,553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12/2016)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8.50%</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12/31/2012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21,336</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21,445</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61,838</w:t>
            </w:r>
          </w:p>
        </w:tc>
        <w:tc>
          <w:tcPr>
            <w:tcW w:w="30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62,155</w:t>
            </w:r>
          </w:p>
        </w:tc>
        <w:tc>
          <w:tcPr>
            <w:tcW w:w="280" w:type="dxa"/>
            <w:vAlign w:val="bottom"/>
            <w:vMerge w:val="continue"/>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Beverage, food and tobacco</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AFS Technologies, Inc. </w:t>
            </w:r>
            <w:r>
              <w:rPr>
                <w:rFonts w:ascii="Times New Roman" w:cs="Times New Roman" w:eastAsia="Times New Roman" w:hAnsi="Times New Roman"/>
                <w:sz w:val="21"/>
                <w:szCs w:val="21"/>
                <w:color w:val="auto"/>
                <w:vertAlign w:val="superscript"/>
              </w:rPr>
              <w:t>(3)(4)(6)</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($44,394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8/2015)</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7.75%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8/31/2011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43,837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45,837</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Actian Corporation </w:t>
            </w:r>
            <w:r>
              <w:rPr>
                <w:rFonts w:ascii="Times New Roman" w:cs="Times New Roman" w:eastAsia="Times New Roman" w:hAnsi="Times New Roman"/>
                <w:sz w:val="21"/>
                <w:szCs w:val="21"/>
                <w:color w:val="auto"/>
                <w:vertAlign w:val="superscript"/>
              </w:rPr>
              <w:t>(3)(4)(6)</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($67,933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4/2018)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4/11/2013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65,762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66,405</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Aptean Holdings, Inc. f/k/a Consona Holdings, Inc. </w:t>
            </w:r>
            <w:r>
              <w:rPr>
                <w:rFonts w:ascii="Times New Roman" w:cs="Times New Roman" w:eastAsia="Times New Roman" w:hAnsi="Times New Roman"/>
                <w:sz w:val="21"/>
                <w:szCs w:val="21"/>
                <w:color w:val="auto"/>
                <w:vertAlign w:val="superscript"/>
              </w:rPr>
              <w:t>(3)(4)</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($29,625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8/2018)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7.25%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8/13/2012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29,477</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95"/>
        </w:trPr>
        <w:tc>
          <w:tcPr>
            <w:tcW w:w="4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Beyond Trust Software Holding</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40" w:type="dxa"/>
            <w:vAlign w:val="bottom"/>
            <w:gridSpan w:val="2"/>
          </w:tcPr>
          <w:p>
            <w:pPr>
              <w:ind w:left="160"/>
              <w:spacing w:after="0" w:line="204" w:lineRule="exact"/>
              <w:rPr>
                <w:sz w:val="20"/>
                <w:szCs w:val="20"/>
                <w:color w:val="auto"/>
              </w:rPr>
            </w:pPr>
            <w:r>
              <w:rPr>
                <w:rFonts w:ascii="Times New Roman" w:cs="Times New Roman" w:eastAsia="Times New Roman" w:hAnsi="Times New Roman"/>
                <w:sz w:val="14"/>
                <w:szCs w:val="14"/>
                <w:color w:val="auto"/>
              </w:rPr>
              <w:t xml:space="preserve">Group, Inc. </w:t>
            </w:r>
            <w:r>
              <w:rPr>
                <w:rFonts w:ascii="Times New Roman" w:cs="Times New Roman" w:eastAsia="Times New Roman" w:hAnsi="Times New Roman"/>
                <w:sz w:val="23"/>
                <w:szCs w:val="23"/>
                <w:color w:val="auto"/>
                <w:vertAlign w:val="superscript"/>
              </w:rPr>
              <w:t>(3)(6)</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($42,500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12/2019)</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7.25%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12/18/2013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41,462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41,437</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Network Merchants, Inc </w:t>
            </w:r>
            <w:r>
              <w:rPr>
                <w:rFonts w:ascii="Times New Roman" w:cs="Times New Roman" w:eastAsia="Times New Roman" w:hAnsi="Times New Roman"/>
                <w:sz w:val="21"/>
                <w:szCs w:val="21"/>
                <w:color w:val="auto"/>
                <w:vertAlign w:val="superscript"/>
              </w:rPr>
              <w:t>(3)(4)</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($29,659 par,</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9/2018)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9/12/2013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29,105</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165,608</w:t>
            </w:r>
          </w:p>
        </w:tc>
        <w:tc>
          <w:tcPr>
            <w:tcW w:w="30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166,521</w:t>
            </w:r>
          </w:p>
        </w:tc>
        <w:tc>
          <w:tcPr>
            <w:tcW w:w="28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Construction and building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Mannington Mills, Inc. </w:t>
            </w:r>
            <w:r>
              <w:rPr>
                <w:rFonts w:ascii="Times New Roman" w:cs="Times New Roman" w:eastAsia="Times New Roman" w:hAnsi="Times New Roman"/>
                <w:sz w:val="21"/>
                <w:szCs w:val="21"/>
                <w:color w:val="auto"/>
                <w:vertAlign w:val="superscript"/>
              </w:rPr>
              <w:t>(3)(4)</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Second-lien loan</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14.00%</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($47,430 par,</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(incl. 2.00%</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3/2017)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PIK)</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3/2/2012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46,545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51,817</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Containers and packaging</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The Newark Group, Inc. </w:t>
            </w:r>
            <w:r>
              <w:rPr>
                <w:rFonts w:ascii="Times New Roman" w:cs="Times New Roman" w:eastAsia="Times New Roman" w:hAnsi="Times New Roman"/>
                <w:sz w:val="21"/>
                <w:szCs w:val="21"/>
                <w:color w:val="auto"/>
                <w:vertAlign w:val="superscript"/>
              </w:rPr>
              <w:t>(3)(4)</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($46,560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2/2018)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8.50%</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2/8/2013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46,164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47,142</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Education</w:t>
            </w: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Campus Management,</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(3)(4)(6)</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($29,625 par,</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9/2018)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9/30/2013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29,032</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gridSpan w:val="3"/>
            <w:vMerge w:val="continue"/>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gridSpan w:val="2"/>
            <w:shd w:val="clear" w:color="auto" w:fill="CCEEFF"/>
          </w:tcPr>
          <w:p>
            <w:pPr>
              <w:ind w:left="320"/>
              <w:spacing w:after="0" w:line="183" w:lineRule="exact"/>
              <w:rPr>
                <w:sz w:val="20"/>
                <w:szCs w:val="20"/>
                <w:color w:val="auto"/>
              </w:rPr>
            </w:pPr>
            <w:r>
              <w:rPr>
                <w:rFonts w:ascii="Times New Roman" w:cs="Times New Roman" w:eastAsia="Times New Roman" w:hAnsi="Times New Roman"/>
                <w:sz w:val="16"/>
                <w:szCs w:val="16"/>
                <w:b w:val="1"/>
                <w:bCs w:val="1"/>
                <w:color w:val="auto"/>
              </w:rPr>
              <w:t>Financial services</w:t>
            </w:r>
          </w:p>
        </w:tc>
        <w:tc>
          <w:tcPr>
            <w:tcW w:w="1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Embarcadero Technologies, Inc. </w:t>
            </w:r>
            <w:r>
              <w:rPr>
                <w:rFonts w:ascii="Times New Roman" w:cs="Times New Roman" w:eastAsia="Times New Roman" w:hAnsi="Times New Roman"/>
                <w:sz w:val="21"/>
                <w:szCs w:val="21"/>
                <w:color w:val="auto"/>
                <w:vertAlign w:val="superscript"/>
              </w:rPr>
              <w:t>(3)(4)(6)</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($42,479</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12/2017)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8.00%</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41,597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42,372</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Rogue Wave Holdings, Inc. </w:t>
            </w:r>
            <w:r>
              <w:rPr>
                <w:rFonts w:ascii="Times New Roman" w:cs="Times New Roman" w:eastAsia="Times New Roman" w:hAnsi="Times New Roman"/>
                <w:sz w:val="21"/>
                <w:szCs w:val="21"/>
                <w:color w:val="auto"/>
                <w:vertAlign w:val="superscript"/>
              </w:rPr>
              <w:t>(3)(4)(6)</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($76,337</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12/2018)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11/21/2012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116,349</w:t>
            </w:r>
          </w:p>
        </w:tc>
        <w:tc>
          <w:tcPr>
            <w:tcW w:w="30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118,136</w:t>
            </w:r>
          </w:p>
        </w:tc>
        <w:tc>
          <w:tcPr>
            <w:tcW w:w="300" w:type="dxa"/>
            <w:vAlign w:val="bottom"/>
            <w:vMerge w:val="continue"/>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Healthcare and pharmaceuticals</w:t>
            </w: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Mediware Information Systems, Inc. </w:t>
            </w:r>
            <w:r>
              <w:rPr>
                <w:rFonts w:ascii="Times New Roman" w:cs="Times New Roman" w:eastAsia="Times New Roman" w:hAnsi="Times New Roman"/>
                <w:sz w:val="21"/>
                <w:szCs w:val="21"/>
                <w:color w:val="auto"/>
                <w:vertAlign w:val="superscript"/>
              </w:rPr>
              <w:t>(3)(4)(6)</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($71,634</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5/2018)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8.00%</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11/9/2012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70,120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71,097</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SRS Software, LLC </w:t>
            </w:r>
            <w:r>
              <w:rPr>
                <w:rFonts w:ascii="Times New Roman" w:cs="Times New Roman" w:eastAsia="Times New Roman" w:hAnsi="Times New Roman"/>
                <w:sz w:val="21"/>
                <w:szCs w:val="21"/>
                <w:color w:val="auto"/>
                <w:vertAlign w:val="superscript"/>
              </w:rPr>
              <w:t>(3)(4)</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($35,625</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12/2017)</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34,782</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revolving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($2,000 par,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12/2017)</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106,902</w:t>
            </w: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AMF Bowling Worldwide,</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($14,813</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Inc. </w:t>
            </w:r>
            <w:r>
              <w:rPr>
                <w:rFonts w:ascii="Times New Roman" w:cs="Times New Roman" w:eastAsia="Times New Roman" w:hAnsi="Times New Roman"/>
                <w:sz w:val="13"/>
                <w:szCs w:val="13"/>
                <w:color w:val="auto"/>
              </w:rPr>
              <w:t>(3)(4)</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6/2018)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7/2/2013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97"/>
        </w:trPr>
        <w:tc>
          <w:tcPr>
            <w:tcW w:w="4320" w:type="dxa"/>
            <w:vAlign w:val="bottom"/>
            <w:gridSpan w:val="3"/>
          </w:tcPr>
          <w:p>
            <w:pPr>
              <w:spacing w:after="0" w:line="297" w:lineRule="exact"/>
              <w:rPr>
                <w:sz w:val="20"/>
                <w:szCs w:val="20"/>
                <w:color w:val="auto"/>
              </w:rPr>
            </w:pPr>
            <w:r>
              <w:rPr>
                <w:rFonts w:ascii="Times New Roman" w:cs="Times New Roman" w:eastAsia="Times New Roman" w:hAnsi="Times New Roman"/>
                <w:sz w:val="16"/>
                <w:szCs w:val="16"/>
                <w:color w:val="auto"/>
              </w:rPr>
              <w:t xml:space="preserve">Centaur, LLC </w:t>
            </w:r>
            <w:r>
              <w:rPr>
                <w:rFonts w:ascii="Times New Roman" w:cs="Times New Roman" w:eastAsia="Times New Roman" w:hAnsi="Times New Roman"/>
                <w:sz w:val="27"/>
                <w:szCs w:val="27"/>
                <w:color w:val="auto"/>
                <w:vertAlign w:val="superscript"/>
              </w:rPr>
              <w:t>(3)</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Second-lien loan</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($10,000 par,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2/2020)</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8.75%</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2/15/2013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9,923</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Mandalay Baseball Properties, LLC </w:t>
            </w:r>
            <w:r>
              <w:rPr>
                <w:rFonts w:ascii="Times New Roman" w:cs="Times New Roman" w:eastAsia="Times New Roman" w:hAnsi="Times New Roman"/>
                <w:sz w:val="21"/>
                <w:szCs w:val="21"/>
                <w:color w:val="auto"/>
                <w:vertAlign w:val="superscript"/>
              </w:rPr>
              <w:t>(3)(4)</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($34,886</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12.00%</w:t>
            </w: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3/2017)</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(incl. 4.50%</w:t>
            </w: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PIK)</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4/12/2012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97"/>
        </w:trPr>
        <w:tc>
          <w:tcPr>
            <w:tcW w:w="4320" w:type="dxa"/>
            <w:vAlign w:val="bottom"/>
            <w:gridSpan w:val="3"/>
          </w:tcPr>
          <w:p>
            <w:pPr>
              <w:spacing w:after="0" w:line="297" w:lineRule="exact"/>
              <w:rPr>
                <w:sz w:val="20"/>
                <w:szCs w:val="20"/>
                <w:color w:val="auto"/>
              </w:rPr>
            </w:pPr>
            <w:r>
              <w:rPr>
                <w:rFonts w:ascii="Times New Roman" w:cs="Times New Roman" w:eastAsia="Times New Roman" w:hAnsi="Times New Roman"/>
                <w:sz w:val="16"/>
                <w:szCs w:val="16"/>
                <w:color w:val="auto"/>
              </w:rPr>
              <w:t xml:space="preserve">Soho House </w:t>
            </w:r>
            <w:r>
              <w:rPr>
                <w:rFonts w:ascii="Times New Roman" w:cs="Times New Roman" w:eastAsia="Times New Roman" w:hAnsi="Times New Roman"/>
                <w:sz w:val="27"/>
                <w:szCs w:val="27"/>
                <w:color w:val="auto"/>
                <w:vertAlign w:val="superscript"/>
              </w:rPr>
              <w:t>(5)</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Second-lien bond (GBP</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7,000 par, due 10/2018)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9.13%</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9/20/2013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11,200</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11,913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69,113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Human resource support services</w:t>
            </w: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Pai Group, Inc. </w:t>
            </w:r>
            <w:r>
              <w:rPr>
                <w:rFonts w:ascii="Times New Roman" w:cs="Times New Roman" w:eastAsia="Times New Roman" w:hAnsi="Times New Roman"/>
                <w:sz w:val="22"/>
                <w:szCs w:val="22"/>
                <w:color w:val="auto"/>
                <w:vertAlign w:val="superscript"/>
              </w:rPr>
              <w:t>(3)(4)</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($34,737</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5/2018)</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10.50%</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5/8/2013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97"/>
        </w:trPr>
        <w:tc>
          <w:tcPr>
            <w:tcW w:w="4320" w:type="dxa"/>
            <w:vAlign w:val="bottom"/>
            <w:gridSpan w:val="3"/>
          </w:tcPr>
          <w:p>
            <w:pPr>
              <w:spacing w:after="0" w:line="297" w:lineRule="exact"/>
              <w:rPr>
                <w:sz w:val="20"/>
                <w:szCs w:val="20"/>
                <w:color w:val="auto"/>
              </w:rPr>
            </w:pPr>
            <w:r>
              <w:rPr>
                <w:rFonts w:ascii="Times New Roman" w:cs="Times New Roman" w:eastAsia="Times New Roman" w:hAnsi="Times New Roman"/>
                <w:sz w:val="16"/>
                <w:szCs w:val="16"/>
                <w:color w:val="auto"/>
              </w:rPr>
              <w:t xml:space="preserve">SumTotal Systems, LLC </w:t>
            </w:r>
            <w:r>
              <w:rPr>
                <w:rFonts w:ascii="Times New Roman" w:cs="Times New Roman" w:eastAsia="Times New Roman" w:hAnsi="Times New Roman"/>
                <w:sz w:val="27"/>
                <w:szCs w:val="27"/>
                <w:color w:val="auto"/>
                <w:vertAlign w:val="superscript"/>
              </w:rPr>
              <w:t>(3)(4)</w:t>
            </w: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($7,483</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11/2018)</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6.25%</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11/16/2012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Second-lien loan</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($12,000 par,</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5/2019)</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10.25%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11/16/2012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11,932</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11,790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53,316</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53,302</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6" w:right="2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780" w:type="dxa"/>
            <w:vAlign w:val="bottom"/>
          </w:tcPr>
          <w:p>
            <w:pPr>
              <w:spacing w:after="0"/>
              <w:rPr>
                <w:sz w:val="12"/>
                <w:szCs w:val="12"/>
                <w:color w:val="auto"/>
              </w:rPr>
            </w:pPr>
          </w:p>
        </w:tc>
        <w:tc>
          <w:tcPr>
            <w:tcW w:w="1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0" w:type="dxa"/>
            <w:vAlign w:val="bottom"/>
            <w:gridSpan w:val="2"/>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4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40" w:type="dxa"/>
            <w:vAlign w:val="bottom"/>
            <w:gridSpan w:val="2"/>
            <w:shd w:val="clear" w:color="auto" w:fill="CCEEFF"/>
          </w:tcPr>
          <w:p>
            <w:pPr>
              <w:ind w:left="340"/>
              <w:spacing w:after="0" w:line="183" w:lineRule="exact"/>
              <w:rPr>
                <w:sz w:val="20"/>
                <w:szCs w:val="20"/>
                <w:color w:val="auto"/>
              </w:rPr>
            </w:pPr>
            <w:r>
              <w:rPr>
                <w:rFonts w:ascii="Times New Roman" w:cs="Times New Roman" w:eastAsia="Times New Roman" w:hAnsi="Times New Roman"/>
                <w:sz w:val="16"/>
                <w:szCs w:val="16"/>
                <w:b w:val="1"/>
                <w:bCs w:val="1"/>
                <w:color w:val="auto"/>
              </w:rPr>
              <w:t>Insurance</w:t>
            </w:r>
          </w:p>
        </w:tc>
        <w:tc>
          <w:tcPr>
            <w:tcW w:w="7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Infogix, Inc. </w:t>
            </w:r>
            <w:r>
              <w:rPr>
                <w:rFonts w:ascii="Times New Roman" w:cs="Times New Roman" w:eastAsia="Times New Roman" w:hAnsi="Times New Roman"/>
                <w:sz w:val="21"/>
                <w:szCs w:val="21"/>
                <w:color w:val="auto"/>
                <w:vertAlign w:val="superscript"/>
              </w:rPr>
              <w:t>(3)(4)</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($31,888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6/2017)</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6/1/2012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31,808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First-lien revolving</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loan ($850 par,</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due 6/2017)</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18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rPr>
              <w:t>6/1/2012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32,215</w:t>
            </w:r>
          </w:p>
        </w:tc>
        <w:tc>
          <w:tcPr>
            <w:tcW w:w="28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280" w:type="dxa"/>
            <w:vAlign w:val="bottom"/>
            <w:vMerge w:val="continue"/>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Manufacturing</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Jeeves Information</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First-lien loan (SEK</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40" w:type="dxa"/>
            <w:vAlign w:val="bottom"/>
            <w:gridSpan w:val="2"/>
          </w:tcPr>
          <w:p>
            <w:pPr>
              <w:ind w:left="180"/>
              <w:spacing w:after="0" w:line="204" w:lineRule="exact"/>
              <w:rPr>
                <w:sz w:val="20"/>
                <w:szCs w:val="20"/>
                <w:color w:val="auto"/>
              </w:rPr>
            </w:pPr>
            <w:r>
              <w:rPr>
                <w:rFonts w:ascii="Times New Roman" w:cs="Times New Roman" w:eastAsia="Times New Roman" w:hAnsi="Times New Roman"/>
                <w:sz w:val="14"/>
                <w:szCs w:val="14"/>
                <w:color w:val="auto"/>
              </w:rPr>
              <w:t xml:space="preserve">Systems AB </w:t>
            </w:r>
            <w:r>
              <w:rPr>
                <w:rFonts w:ascii="Times New Roman" w:cs="Times New Roman" w:eastAsia="Times New Roman" w:hAnsi="Times New Roman"/>
                <w:sz w:val="23"/>
                <w:szCs w:val="23"/>
                <w:color w:val="auto"/>
                <w:vertAlign w:val="superscript"/>
              </w:rPr>
              <w:t>(3)(5)</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177,161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6/2018)</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9.25%</w:t>
            </w: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6/5/2013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26,486</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27,170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Metals and mining</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Metalico, Inc. </w:t>
            </w:r>
            <w:r>
              <w:rPr>
                <w:rFonts w:ascii="Times New Roman" w:cs="Times New Roman" w:eastAsia="Times New Roman" w:hAnsi="Times New Roman"/>
                <w:sz w:val="21"/>
                <w:szCs w:val="21"/>
                <w:color w:val="auto"/>
                <w:vertAlign w:val="superscript"/>
              </w:rPr>
              <w:t>(3)(6)</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($35,650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11/2019)</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9.50%</w:t>
            </w: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11/21/2013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33,523</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33,841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Office products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Ecommerce Industries, Inc. </w:t>
            </w:r>
            <w:r>
              <w:rPr>
                <w:rFonts w:ascii="Times New Roman" w:cs="Times New Roman" w:eastAsia="Times New Roman" w:hAnsi="Times New Roman"/>
                <w:sz w:val="21"/>
                <w:szCs w:val="21"/>
                <w:color w:val="auto"/>
                <w:vertAlign w:val="superscript"/>
              </w:rPr>
              <w:t>(3)(4)(6)</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($19,936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10/2016)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10/17/2011</w:t>
            </w: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19,764</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20,086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Oil, gas and consumable fuels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Global Geophysical </w:t>
            </w:r>
            <w:r>
              <w:rPr>
                <w:rFonts w:ascii="Times New Roman" w:cs="Times New Roman" w:eastAsia="Times New Roman" w:hAnsi="Times New Roman"/>
                <w:sz w:val="21"/>
                <w:szCs w:val="21"/>
                <w:color w:val="auto"/>
                <w:vertAlign w:val="superscript"/>
              </w:rPr>
              <w:t>(3)(4)</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First-lien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($40,883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9/2016)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10.75%</w:t>
            </w: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9/30/2013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39,617</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40,065</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Kewill, Ltd. </w:t>
            </w:r>
            <w:r>
              <w:rPr>
                <w:rFonts w:ascii="Times New Roman" w:cs="Times New Roman" w:eastAsia="Times New Roman" w:hAnsi="Times New Roman"/>
                <w:sz w:val="21"/>
                <w:szCs w:val="21"/>
                <w:color w:val="auto"/>
                <w:vertAlign w:val="superscript"/>
              </w:rPr>
              <w:t>(3)(5)</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Second-lien loan</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($52,500 par,</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due 10/2019)</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9.50%</w:t>
            </w: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10/2/2013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51,713</w:t>
            </w:r>
          </w:p>
        </w:tc>
        <w:tc>
          <w:tcPr>
            <w:tcW w:w="2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994,518</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1,014,647</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315"/>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Equity Investments</w:t>
            </w: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Network Merchants, Inc</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Non-Voting Preferred</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Units (774,099 units)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9/12/2013</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780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6"/>
        </w:trPr>
        <w:tc>
          <w:tcPr>
            <w:tcW w:w="3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Healthcare and pharmaceuticals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SRS Parent Corp.</w:t>
            </w: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Common Shares</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80" w:type="dxa"/>
            <w:vAlign w:val="bottom"/>
            <w:gridSpan w:val="3"/>
          </w:tcPr>
          <w:p>
            <w:pPr>
              <w:ind w:left="780"/>
              <w:spacing w:after="0"/>
              <w:rPr>
                <w:sz w:val="20"/>
                <w:szCs w:val="20"/>
                <w:color w:val="auto"/>
              </w:rPr>
            </w:pPr>
            <w:r>
              <w:rPr>
                <w:rFonts w:ascii="Times New Roman" w:cs="Times New Roman" w:eastAsia="Times New Roman" w:hAnsi="Times New Roman"/>
                <w:sz w:val="16"/>
                <w:szCs w:val="16"/>
                <w:color w:val="auto"/>
              </w:rPr>
              <w:t>Class A (1,980 shares)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102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1,024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14"/>
        </w:trPr>
        <w:tc>
          <w:tcPr>
            <w:tcW w:w="7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76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Common Shares</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Class B</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(2,953,020 shares)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vMerge w:val="continue"/>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80" w:type="dxa"/>
            <w:vAlign w:val="bottom"/>
            <w:vMerge w:val="continue"/>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Equity Investments</w:t>
            </w:r>
          </w:p>
        </w:tc>
        <w:tc>
          <w:tcPr>
            <w:tcW w:w="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3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$ 997,298</w:t>
            </w:r>
          </w:p>
        </w:tc>
        <w:tc>
          <w:tcPr>
            <w:tcW w:w="280" w:type="dxa"/>
            <w:vAlign w:val="bottom"/>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1,016,451</w:t>
            </w:r>
          </w:p>
        </w:tc>
        <w:tc>
          <w:tcPr>
            <w:tcW w:w="280" w:type="dxa"/>
            <w:vAlign w:val="bottom"/>
            <w:vMerge w:val="continue"/>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176.9%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20" w:hanging="452"/>
        <w:spacing w:after="0" w:line="257" w:lineRule="auto"/>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spacing w:after="0" w:line="1" w:lineRule="exact"/>
        <w:rPr>
          <w:rFonts w:ascii="Times New Roman" w:cs="Times New Roman" w:eastAsia="Times New Roman" w:hAnsi="Times New Roman"/>
          <w:sz w:val="18"/>
          <w:szCs w:val="18"/>
          <w:color w:val="auto"/>
        </w:rPr>
      </w:pPr>
    </w:p>
    <w:p>
      <w:pPr>
        <w:ind w:left="460" w:right="240" w:hanging="452"/>
        <w:spacing w:after="0" w:line="261" w:lineRule="auto"/>
        <w:tabs>
          <w:tab w:leader="none" w:pos="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6" w:right="2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60" w:hanging="452"/>
        <w:spacing w:after="0" w:line="257"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460" w:right="560" w:hanging="452"/>
        <w:spacing w:after="0" w:line="250"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jc w:val="both"/>
        <w:ind w:left="460" w:hanging="452"/>
        <w:spacing w:after="0" w:line="265" w:lineRule="auto"/>
        <w:tabs>
          <w:tab w:leader="none" w:pos="4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20" w:hanging="452"/>
        <w:spacing w:after="0" w:line="261" w:lineRule="auto"/>
        <w:tabs>
          <w:tab w:leader="none" w:pos="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80"/>
          </w:cols>
          <w:pgMar w:left="240" w:top="456" w:right="27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7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60" w:type="dxa"/>
            <w:vAlign w:val="bottom"/>
            <w:gridSpan w:val="3"/>
            <w:vMerge w:val="continue"/>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Debt Investments</w:t>
            </w:r>
          </w:p>
        </w:tc>
        <w:tc>
          <w:tcPr>
            <w:tcW w:w="1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Aerospace and defense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MSC.Software Corporation </w:t>
            </w:r>
            <w:r>
              <w:rPr>
                <w:rFonts w:ascii="Times New Roman" w:cs="Times New Roman" w:eastAsia="Times New Roman" w:hAnsi="Times New Roman"/>
                <w:sz w:val="22"/>
                <w:szCs w:val="22"/>
                <w:color w:val="auto"/>
                <w:vertAlign w:val="superscript"/>
              </w:rPr>
              <w:t>(3)(4)(5)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($56,266</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11/2017)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7.75%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12/23/2011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55,423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55,984</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54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Automotive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Heartland Automotive Holdings, LLC </w:t>
            </w:r>
            <w:r>
              <w:rPr>
                <w:rFonts w:ascii="Times New Roman" w:cs="Times New Roman" w:eastAsia="Times New Roman" w:hAnsi="Times New Roman"/>
                <w:sz w:val="22"/>
                <w:szCs w:val="22"/>
                <w:color w:val="auto"/>
                <w:vertAlign w:val="superscript"/>
              </w:rPr>
              <w:t>(3)(5)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($38,951</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6/2017)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8/28/2012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37,998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38,075</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revolving loan ($555</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6/2017)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8/28/2012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Sage Automotive Interiors, Inc. </w:t>
            </w:r>
            <w:r>
              <w:rPr>
                <w:rFonts w:ascii="Times New Roman" w:cs="Times New Roman" w:eastAsia="Times New Roman" w:hAnsi="Times New Roman"/>
                <w:sz w:val="21"/>
                <w:szCs w:val="21"/>
                <w:color w:val="auto"/>
                <w:vertAlign w:val="superscript"/>
              </w:rPr>
              <w:t>(3)(4)(5)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($19,878</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12/2016)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12/31/2012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19,717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19,679</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58,128</w:t>
            </w:r>
          </w:p>
        </w:tc>
        <w:tc>
          <w:tcPr>
            <w:tcW w:w="1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58,185</w:t>
            </w:r>
          </w:p>
        </w:tc>
        <w:tc>
          <w:tcPr>
            <w:tcW w:w="28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Beverage, food and tobacco</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AFS Technologies, Inc. </w:t>
            </w:r>
            <w:r>
              <w:rPr>
                <w:rFonts w:ascii="Times New Roman" w:cs="Times New Roman" w:eastAsia="Times New Roman" w:hAnsi="Times New Roman"/>
                <w:sz w:val="21"/>
                <w:szCs w:val="21"/>
                <w:color w:val="auto"/>
                <w:vertAlign w:val="superscript"/>
              </w:rPr>
              <w:t>(3)(4)(5)</w:t>
            </w: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($46,884</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8/2015)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8/31/2011</w:t>
            </w: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45,987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46,532</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Checkers Drive-In Restaurants, Inc. </w:t>
            </w:r>
            <w:r>
              <w:rPr>
                <w:rFonts w:ascii="Times New Roman" w:cs="Times New Roman" w:eastAsia="Times New Roman" w:hAnsi="Times New Roman"/>
                <w:sz w:val="21"/>
                <w:szCs w:val="21"/>
                <w:color w:val="auto"/>
                <w:vertAlign w:val="superscript"/>
              </w:rPr>
              <w:t>(5)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Second-lien bond</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($10,000 par,</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12/2017)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11/16/2012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10,017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10,025</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56,004</w:t>
            </w:r>
          </w:p>
        </w:tc>
        <w:tc>
          <w:tcPr>
            <w:tcW w:w="1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56,557</w:t>
            </w:r>
          </w:p>
        </w:tc>
        <w:tc>
          <w:tcPr>
            <w:tcW w:w="28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Business services</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Consona Holdings, Inc. </w:t>
            </w:r>
            <w:r>
              <w:rPr>
                <w:rFonts w:ascii="Times New Roman" w:cs="Times New Roman" w:eastAsia="Times New Roman" w:hAnsi="Times New Roman"/>
                <w:sz w:val="21"/>
                <w:szCs w:val="21"/>
                <w:color w:val="auto"/>
                <w:vertAlign w:val="superscript"/>
              </w:rPr>
              <w:t>(3)(5)</w:t>
            </w: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($29,925</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8/2018)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7.25%</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8/13/2012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29,514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29,925</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Attachmate Corporation </w:t>
            </w:r>
            <w:r>
              <w:rPr>
                <w:rFonts w:ascii="Times New Roman" w:cs="Times New Roman" w:eastAsia="Times New Roman" w:hAnsi="Times New Roman"/>
                <w:sz w:val="21"/>
                <w:szCs w:val="21"/>
                <w:color w:val="auto"/>
                <w:vertAlign w:val="superscript"/>
              </w:rPr>
              <w:t>(3)(5)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($926</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11/2017)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7.25%</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6/25/2012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30,458</w:t>
            </w:r>
          </w:p>
        </w:tc>
        <w:tc>
          <w:tcPr>
            <w:tcW w:w="1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30,819</w:t>
            </w:r>
          </w:p>
        </w:tc>
        <w:tc>
          <w:tcPr>
            <w:tcW w:w="28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Capital equipment</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Federal Signal Corporation </w:t>
            </w:r>
            <w:r>
              <w:rPr>
                <w:rFonts w:ascii="Times New Roman" w:cs="Times New Roman" w:eastAsia="Times New Roman" w:hAnsi="Times New Roman"/>
                <w:sz w:val="21"/>
                <w:szCs w:val="21"/>
                <w:color w:val="auto"/>
                <w:vertAlign w:val="superscript"/>
              </w:rPr>
              <w:t>(3)(5)</w:t>
            </w: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First-lien loan ($41,608</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 due 2/2017)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12.00%</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2/22/2012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40,897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43,064</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38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International Equipment Solutions, Inc. </w:t>
            </w:r>
            <w:r>
              <w:rPr>
                <w:rFonts w:ascii="Times New Roman" w:cs="Times New Roman" w:eastAsia="Times New Roman" w:hAnsi="Times New Roman"/>
                <w:sz w:val="21"/>
                <w:szCs w:val="21"/>
                <w:color w:val="auto"/>
                <w:vertAlign w:val="superscript"/>
              </w:rPr>
              <w:t>(3)(5)</w:t>
            </w: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loan ($29,391</w:t>
            </w: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 due 9/2016)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9/18/2012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28,732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28,876</w:t>
            </w: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69,629</w:t>
            </w:r>
          </w:p>
        </w:tc>
        <w:tc>
          <w:tcPr>
            <w:tcW w:w="1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71,940</w:t>
            </w:r>
          </w:p>
        </w:tc>
        <w:tc>
          <w:tcPr>
            <w:tcW w:w="28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Construction and building</w:t>
            </w: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Mannington Mills, Inc. </w:t>
            </w:r>
            <w:r>
              <w:rPr>
                <w:rFonts w:ascii="Times New Roman" w:cs="Times New Roman" w:eastAsia="Times New Roman" w:hAnsi="Times New Roman"/>
                <w:sz w:val="21"/>
                <w:szCs w:val="21"/>
                <w:color w:val="auto"/>
                <w:vertAlign w:val="superscript"/>
              </w:rPr>
              <w:t>(3)(5)</w:t>
            </w: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Second-lien loan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($50,537 par,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(incl. 2.00%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3/2017)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PIK)</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3/2/2012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49,551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53,190</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620" w:type="dxa"/>
            <w:vAlign w:val="bottom"/>
          </w:tcPr>
          <w:p>
            <w:pPr>
              <w:spacing w:after="0"/>
              <w:rPr>
                <w:sz w:val="12"/>
                <w:szCs w:val="12"/>
                <w:color w:val="auto"/>
              </w:rPr>
            </w:pPr>
          </w:p>
        </w:tc>
        <w:tc>
          <w:tcPr>
            <w:tcW w:w="1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7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gridSpan w:val="3"/>
            <w:vMerge w:val="continue"/>
          </w:tcPr>
          <w:p>
            <w:pPr>
              <w:spacing w:after="0"/>
              <w:rPr>
                <w:sz w:val="15"/>
                <w:szCs w:val="15"/>
                <w:color w:val="auto"/>
              </w:rPr>
            </w:pPr>
          </w:p>
        </w:tc>
        <w:tc>
          <w:tcPr>
            <w:tcW w:w="62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900" w:type="dxa"/>
            <w:vAlign w:val="bottom"/>
            <w:gridSpan w:val="2"/>
            <w:vMerge w:val="continue"/>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gridSpan w:val="2"/>
            <w:shd w:val="clear" w:color="auto" w:fill="CCEEFF"/>
          </w:tcPr>
          <w:p>
            <w:pPr>
              <w:ind w:left="320"/>
              <w:spacing w:after="0" w:line="183" w:lineRule="exact"/>
              <w:rPr>
                <w:sz w:val="20"/>
                <w:szCs w:val="20"/>
                <w:color w:val="auto"/>
              </w:rPr>
            </w:pPr>
            <w:r>
              <w:rPr>
                <w:rFonts w:ascii="Times New Roman" w:cs="Times New Roman" w:eastAsia="Times New Roman" w:hAnsi="Times New Roman"/>
                <w:sz w:val="16"/>
                <w:szCs w:val="16"/>
                <w:b w:val="1"/>
                <w:bCs w:val="1"/>
                <w:color w:val="auto"/>
              </w:rPr>
              <w:t>Environmental Services</w:t>
            </w:r>
          </w:p>
        </w:tc>
        <w:tc>
          <w:tcPr>
            <w:tcW w:w="6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Synagro Technologies, Inc. </w:t>
            </w:r>
            <w:r>
              <w:rPr>
                <w:rFonts w:ascii="Times New Roman" w:cs="Times New Roman" w:eastAsia="Times New Roman" w:hAnsi="Times New Roman"/>
                <w:sz w:val="21"/>
                <w:szCs w:val="21"/>
                <w:color w:val="auto"/>
                <w:vertAlign w:val="superscript"/>
              </w:rPr>
              <w:t>(3)</w:t>
            </w: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First-lien loan ($3,134</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par, due 10/2014)</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2.31%</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11/8/2012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2,759</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2,813</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Second-lien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($5,670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10/2014)</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7.00%</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9/14/2012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w:t>
            </w:r>
          </w:p>
        </w:tc>
        <w:tc>
          <w:tcPr>
            <w:tcW w:w="2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26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24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Financial services</w:t>
            </w: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Embarcadero Technologies, Inc. </w:t>
            </w:r>
            <w:r>
              <w:rPr>
                <w:rFonts w:ascii="Times New Roman" w:cs="Times New Roman" w:eastAsia="Times New Roman" w:hAnsi="Times New Roman"/>
                <w:sz w:val="21"/>
                <w:szCs w:val="21"/>
                <w:color w:val="auto"/>
                <w:vertAlign w:val="superscript"/>
              </w:rPr>
              <w:t>(3)(4)(5)</w:t>
            </w: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($59,714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due 12/2017)</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58,223</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58,221</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Rogue Wave Holdings, Inc. </w:t>
            </w:r>
            <w:r>
              <w:rPr>
                <w:rFonts w:ascii="Times New Roman" w:cs="Times New Roman" w:eastAsia="Times New Roman" w:hAnsi="Times New Roman"/>
                <w:sz w:val="21"/>
                <w:szCs w:val="21"/>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($40,000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11/2017)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8.25%</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11/21/2012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38,947</w:t>
            </w:r>
          </w:p>
        </w:tc>
        <w:tc>
          <w:tcPr>
            <w:tcW w:w="2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97,170</w:t>
            </w:r>
          </w:p>
        </w:tc>
        <w:tc>
          <w:tcPr>
            <w:tcW w:w="26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97,821</w:t>
            </w:r>
          </w:p>
        </w:tc>
        <w:tc>
          <w:tcPr>
            <w:tcW w:w="240" w:type="dxa"/>
            <w:vAlign w:val="bottom"/>
            <w:vMerge w:val="continue"/>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Healthcare and pharmaceuticals</w:t>
            </w: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eResearch Technology, Inc. </w:t>
            </w:r>
            <w:r>
              <w:rPr>
                <w:rFonts w:ascii="Times New Roman" w:cs="Times New Roman" w:eastAsia="Times New Roman" w:hAnsi="Times New Roman"/>
                <w:sz w:val="21"/>
                <w:szCs w:val="21"/>
                <w:color w:val="auto"/>
                <w:vertAlign w:val="superscript"/>
              </w:rPr>
              <w:t>(3)(5)</w:t>
            </w: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($24,937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due 5/2018)</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7/3/2012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24,006</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24,626</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Mediware Information Systems, Inc. </w:t>
            </w:r>
            <w:r>
              <w:rPr>
                <w:rFonts w:ascii="Times New Roman" w:cs="Times New Roman" w:eastAsia="Times New Roman" w:hAnsi="Times New Roman"/>
                <w:sz w:val="21"/>
                <w:szCs w:val="21"/>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($50,500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5/2018)</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11/9/2012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49,230</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49,218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97"/>
        </w:trPr>
        <w:tc>
          <w:tcPr>
            <w:tcW w:w="3540" w:type="dxa"/>
            <w:vAlign w:val="bottom"/>
            <w:gridSpan w:val="3"/>
          </w:tcPr>
          <w:p>
            <w:pPr>
              <w:spacing w:after="0" w:line="297" w:lineRule="exact"/>
              <w:rPr>
                <w:sz w:val="20"/>
                <w:szCs w:val="20"/>
                <w:color w:val="auto"/>
              </w:rPr>
            </w:pPr>
            <w:r>
              <w:rPr>
                <w:rFonts w:ascii="Times New Roman" w:cs="Times New Roman" w:eastAsia="Times New Roman" w:hAnsi="Times New Roman"/>
                <w:sz w:val="16"/>
                <w:szCs w:val="16"/>
                <w:color w:val="auto"/>
              </w:rPr>
              <w:t xml:space="preserve">SRS Software, LLC </w:t>
            </w:r>
            <w:r>
              <w:rPr>
                <w:rFonts w:ascii="Times New Roman" w:cs="Times New Roman" w:eastAsia="Times New Roman" w:hAnsi="Times New Roman"/>
                <w:sz w:val="27"/>
                <w:szCs w:val="27"/>
                <w:color w:val="auto"/>
                <w:vertAlign w:val="superscript"/>
              </w:rPr>
              <w:t>(3)(5)</w:t>
            </w: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($37,500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due 12/2017)</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8.75%</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12/28/2012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109,675</w:t>
            </w: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110,407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Hotel, gaming, and leisure</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Mandalay Baseball Properties, LLC </w:t>
            </w:r>
            <w:r>
              <w:rPr>
                <w:rFonts w:ascii="Times New Roman" w:cs="Times New Roman" w:eastAsia="Times New Roman" w:hAnsi="Times New Roman"/>
                <w:sz w:val="22"/>
                <w:szCs w:val="22"/>
                <w:color w:val="auto"/>
                <w:vertAlign w:val="superscript"/>
              </w:rPr>
              <w:t>(3)(5)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12.00%</w:t>
            </w: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($28,414 par,</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(incl. 4.00%</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3/2017)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PIK)</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4/12/2012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27,684</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28,556</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Human resource support services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SumTotal Systems, LLC </w:t>
            </w:r>
            <w:r>
              <w:rPr>
                <w:rFonts w:ascii="Times New Roman" w:cs="Times New Roman" w:eastAsia="Times New Roman" w:hAnsi="Times New Roman"/>
                <w:sz w:val="22"/>
                <w:szCs w:val="22"/>
                <w:color w:val="auto"/>
                <w:vertAlign w:val="superscript"/>
              </w:rPr>
              <w:t>(3)</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($10,000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11/2018)</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6.25%</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11/16/2012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9,867</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9,925</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Second-lien loan</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($5,000 par,</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26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due 5/2018)</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10.25%</w:t>
            </w:r>
          </w:p>
        </w:tc>
        <w:tc>
          <w:tcPr>
            <w:tcW w:w="17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11/16/2012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14,817</w:t>
            </w: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Infogix, Inc. </w:t>
            </w:r>
            <w:r>
              <w:rPr>
                <w:rFonts w:ascii="Times New Roman" w:cs="Times New Roman" w:eastAsia="Times New Roman" w:hAnsi="Times New Roman"/>
                <w:sz w:val="22"/>
                <w:szCs w:val="22"/>
                <w:color w:val="auto"/>
                <w:vertAlign w:val="superscript"/>
              </w:rPr>
              <w:t>(3)(5)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($30,613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6/2017)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6/1/2012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29,974</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30,346</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Office products</w:t>
            </w:r>
          </w:p>
        </w:tc>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4"/>
                <w:szCs w:val="14"/>
                <w:color w:val="auto"/>
              </w:rPr>
              <w:t xml:space="preserve">Ecommerce Industries, Inc. </w:t>
            </w:r>
            <w:r>
              <w:rPr>
                <w:rFonts w:ascii="Times New Roman" w:cs="Times New Roman" w:eastAsia="Times New Roman" w:hAnsi="Times New Roman"/>
                <w:sz w:val="22"/>
                <w:szCs w:val="22"/>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($21,562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10/2016)</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8.00%</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10/17/2011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21,286</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21,808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Transportation</w:t>
            </w: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Teletrac, Inc. </w:t>
            </w:r>
            <w:r>
              <w:rPr>
                <w:rFonts w:ascii="Times New Roman" w:cs="Times New Roman" w:eastAsia="Times New Roman" w:hAnsi="Times New Roman"/>
                <w:sz w:val="21"/>
                <w:szCs w:val="21"/>
                <w:color w:val="auto"/>
                <w:vertAlign w:val="superscript"/>
              </w:rPr>
              <w:t>(3)(4)(5)</w:t>
            </w: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First-lien loan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tcBorders>
              <w:lef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($17,413 par,</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due 7/2017)</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6.65%</w:t>
            </w:r>
          </w:p>
        </w:tc>
        <w:tc>
          <w:tcPr>
            <w:tcW w:w="17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7/23/2012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17,049</w:t>
            </w:r>
          </w:p>
        </w:tc>
        <w:tc>
          <w:tcPr>
            <w:tcW w:w="26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Total Debt Investments</w:t>
            </w: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642,421</w:t>
            </w:r>
          </w:p>
        </w:tc>
        <w:tc>
          <w:tcPr>
            <w:tcW w:w="26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651,944</w:t>
            </w:r>
          </w:p>
        </w:tc>
        <w:tc>
          <w:tcPr>
            <w:tcW w:w="240" w:type="dxa"/>
            <w:vAlign w:val="bottom"/>
            <w:vMerge w:val="continue"/>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5" w:right="2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6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7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900" w:type="dxa"/>
            <w:vAlign w:val="bottom"/>
            <w:gridSpan w:val="2"/>
            <w:vMerge w:val="continue"/>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Equity Investments</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Healthcare and pharmaceuticals</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SRS Parent Corp.</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(1,980 shares)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12/28/2012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1,980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1,980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Shares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B</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(2,953,020 shares)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12/28/2012</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2,000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2,000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Total Equity Investments</w:t>
            </w: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0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6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vMerge w:val="continue"/>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0"/>
        </w:trPr>
        <w:tc>
          <w:tcPr>
            <w:tcW w:w="7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$ 644,421</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$ 653,944</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0" w:hanging="452"/>
        <w:spacing w:after="0" w:line="254"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December 31, 2012, the Company does not “control” any of the portfolio companies nor were any of the portfolio companies deemed to be “affiliates”. Certain portfolio company investments are subject to contractual restrictions on sales.</w:t>
      </w:r>
    </w:p>
    <w:p>
      <w:pPr>
        <w:spacing w:after="0" w:line="3"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jc w:val="both"/>
        <w:ind w:left="460" w:right="80" w:hanging="452"/>
        <w:spacing w:after="0" w:line="250"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460" w:right="460" w:hanging="452"/>
        <w:spacing w:after="0" w:line="250"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amounts as a result of an arrangement between the Company and other lenders in any syndication.</w:t>
      </w:r>
    </w:p>
    <w:p>
      <w:pPr>
        <w:ind w:left="460" w:right="600" w:hanging="452"/>
        <w:spacing w:after="0" w:line="261" w:lineRule="auto"/>
        <w:tabs>
          <w:tab w:leader="none" w:pos="4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Revolving Credit Facility (Natixis) (see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6" w:right="2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4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44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57,501</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28,029</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 on investments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8,386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66,983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39,595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Capital Share Transactions</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sold</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56,857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287,692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172,928</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Reinvestment of dividends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26,438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9,194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from net investment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(48,301)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(26,997)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from realized gains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(7,084)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5580" w:type="dxa"/>
            <w:vAlign w:val="bottom"/>
          </w:tcPr>
          <w:p>
            <w:pPr>
              <w:ind w:left="360"/>
              <w:spacing w:after="0" w:line="201" w:lineRule="exact"/>
              <w:rPr>
                <w:sz w:val="20"/>
                <w:szCs w:val="20"/>
                <w:color w:val="auto"/>
              </w:rPr>
            </w:pPr>
            <w:r>
              <w:rPr>
                <w:rFonts w:ascii="Times New Roman" w:cs="Times New Roman" w:eastAsia="Times New Roman" w:hAnsi="Times New Roman"/>
                <w:sz w:val="18"/>
                <w:szCs w:val="18"/>
                <w:b w:val="1"/>
                <w:bCs w:val="1"/>
                <w:color w:val="auto"/>
              </w:rPr>
              <w:t>Increase in Net Assets Resulting from Capital Share</w:t>
            </w: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5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27,910</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267,116</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Increase in Net Assets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94,893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306,711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173,091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assets, beginning of period</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479,803</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173,092</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End of Period</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574,696</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479,803</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173,092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Undistributed Net Investment Income Included in Net Assets at the</w:t>
            </w: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End of the Period</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3,981</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(1,016)</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456" w:right="23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2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42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2011</w:t>
            </w: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66,983</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39,595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w:t>
            </w:r>
          </w:p>
        </w:tc>
      </w:tr>
      <w:tr>
        <w:trPr>
          <w:trHeight w:val="198"/>
        </w:trPr>
        <w:tc>
          <w:tcPr>
            <w:tcW w:w="5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increase in net assets resulting from operations</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net cash used in operating activities: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change in unrealized gains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(9,630)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(7,211)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(2,312)</w:t>
            </w:r>
          </w:p>
        </w:tc>
      </w:tr>
      <w:tr>
        <w:trPr>
          <w:trHeight w:val="198"/>
        </w:trPr>
        <w:tc>
          <w:tcPr>
            <w:tcW w:w="564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Net change in unrealized loss on foreign currency forward</w:t>
            </w: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6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contracts</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1,244</w:t>
            </w: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(1,061)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(4,355)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realized gains on foreign currency forward contracts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(6,728)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(4,489)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1,903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1,496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(602,988)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(760,668)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(184,196)</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investments,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46,390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119,126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Repayments on investments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214,293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190,594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Paid-in-kind interest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(2,749)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(1,808)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receivable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(2,579)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(1,071)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Management fees payable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Incentive fees payable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2,083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3,706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Payable to affiliate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1,057</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1,324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w:t>
            </w:r>
          </w:p>
        </w:tc>
      </w:tr>
      <w:tr>
        <w:trPr>
          <w:trHeight w:val="27"/>
        </w:trPr>
        <w:tc>
          <w:tcPr>
            <w:tcW w:w="5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(289,631)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(430,099)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(182,128)</w:t>
            </w: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on revolving credit facilities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902,000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1,332,688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304,000</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(801,569)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(1,155,852)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(149,000)</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(1,615)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(2,108)</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56,857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287,692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172,928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(24,396)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(10,968)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131,277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448,232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325,819</w:t>
            </w:r>
          </w:p>
        </w:tc>
      </w:tr>
      <w:tr>
        <w:trPr>
          <w:trHeight w:val="223"/>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(158,354)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18,133</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143,691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161,825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143,692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161,825</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143,692</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8,792</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3,580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Excise taxes paid during the period</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46</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declared during the period</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55,385</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29,770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5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Reinvestment of dividends during the period</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26,438</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9,194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Subscription receivable from common stockholders</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1,870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6" w:right="23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 in thousands, unless otherwise indicated)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186"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color w:val="auto"/>
        </w:rPr>
        <w:t xml:space="preserve">During the six months ended June 30, 2011, the Company was a development stage company as defined in ASC 915-10-05, </w:t>
      </w:r>
      <w:r>
        <w:rPr>
          <w:rFonts w:ascii="Times New Roman" w:cs="Times New Roman" w:eastAsia="Times New Roman" w:hAnsi="Times New Roman"/>
          <w:sz w:val="18"/>
          <w:szCs w:val="18"/>
          <w:i w:val="1"/>
          <w:iCs w:val="1"/>
          <w:color w:val="auto"/>
        </w:rPr>
        <w:t>Development Stage Entity</w:t>
      </w:r>
      <w:r>
        <w:rPr>
          <w:rFonts w:ascii="Times New Roman" w:cs="Times New Roman" w:eastAsia="Times New Roman" w:hAnsi="Times New Roman"/>
          <w:sz w:val="18"/>
          <w:szCs w:val="18"/>
          <w:color w:val="auto"/>
        </w:rPr>
        <w:t>. During this time the Company was devoting substantially all of its efforts to establishing the business and its planned principal operations had not commenced. All losses accumulated during the six months ended June 30, 2011, have been considered a part of the Company’s development stage activities.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119"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February 18, 2014, we filed a registration statement on Form N-2 (File No. 333-193986) with the Securities and Exchange Commission related to an initial public offering of the Company’s common stock. The timing of the Company’s initial public offering is uncertain. The SEC has not declared this registration statement effective and securities may not be sold, nor may offers to buy the securities be accepted, prior to the time this registration statement becomes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6" w:right="2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20" w:hanging="325"/>
        <w:spacing w:after="0" w:line="282" w:lineRule="auto"/>
        <w:tabs>
          <w:tab w:leader="none" w:pos="9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jc w:val="both"/>
        <w:ind w:left="900" w:right="540" w:hanging="325"/>
        <w:spacing w:after="0" w:line="266" w:lineRule="auto"/>
        <w:tabs>
          <w:tab w:leader="none" w:pos="9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currently conducts this valuation process on a quarterly basis.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80"/>
          </w:cols>
          <w:pgMar w:left="240" w:top="455" w:right="27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2013,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8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91" w:lineRule="exact"/>
        <w:rPr>
          <w:sz w:val="20"/>
          <w:szCs w:val="20"/>
          <w:color w:val="auto"/>
        </w:rPr>
      </w:pPr>
    </w:p>
    <w:p>
      <w:pPr>
        <w:ind w:left="900" w:hanging="325"/>
        <w:spacing w:after="0"/>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85"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8"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80"/>
          </w:cols>
          <w:pgMar w:left="240" w:top="456" w:right="27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31" w:lineRule="exact"/>
        <w:rPr>
          <w:sz w:val="20"/>
          <w:szCs w:val="20"/>
          <w:color w:val="auto"/>
        </w:rPr>
      </w:pPr>
    </w:p>
    <w:p>
      <w:pPr>
        <w:ind w:left="900" w:hanging="325"/>
        <w:spacing w:after="0"/>
        <w:tabs>
          <w:tab w:leader="none" w:pos="9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investments, other assets and liabilities: at the spot exchange rate on the last business day of the period; and</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income and expenses: at the rates of exchange prevailing on the respective dates of such transactions, income or expenses.</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issuance costs for revolving credit facilities are amortized over the life of the related debt instrument using the straight line method.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are amortized into interest income over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456" w:right="2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contractual life of the respective security using the effective yield method. The amortized cost of investments represents the original cost adjusted for the amortization of discounts and premiums, if any.</w:t>
      </w:r>
    </w:p>
    <w:p>
      <w:pPr>
        <w:spacing w:after="0" w:line="16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8"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80"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8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BDC under the 1940 Act. The Company also has elected to be treated as a RIC under the Code for the taxable year ended March 31, 2013.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4"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5" w:right="2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right="440" w:firstLine="456"/>
        <w:spacing w:after="0" w:line="266" w:lineRule="auto"/>
        <w:rPr>
          <w:sz w:val="20"/>
          <w:szCs w:val="20"/>
          <w:color w:val="auto"/>
        </w:rPr>
      </w:pPr>
      <w:r>
        <w:rPr>
          <w:rFonts w:ascii="Times New Roman" w:cs="Times New Roman" w:eastAsia="Times New Roman" w:hAnsi="Times New Roman"/>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76" w:lineRule="exact"/>
        <w:rPr>
          <w:sz w:val="20"/>
          <w:szCs w:val="20"/>
          <w:color w:val="auto"/>
        </w:rPr>
      </w:pPr>
    </w:p>
    <w:p>
      <w:pPr>
        <w:jc w:val="both"/>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June 2013, the Financial Accounting Standards Board issued Accounting Standards Update (“ASU”) 2013-08, </w:t>
      </w:r>
      <w:r>
        <w:rPr>
          <w:rFonts w:ascii="Times New Roman" w:cs="Times New Roman" w:eastAsia="Times New Roman" w:hAnsi="Times New Roman"/>
          <w:sz w:val="18"/>
          <w:szCs w:val="18"/>
          <w:i w:val="1"/>
          <w:iCs w:val="1"/>
          <w:color w:val="auto"/>
        </w:rPr>
        <w:t>Financial Services—Investment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Companies (Topic 946): Amendments to the Scope, Measurement, and Disclosure Requirements </w:t>
      </w:r>
      <w:r>
        <w:rPr>
          <w:rFonts w:ascii="Times New Roman" w:cs="Times New Roman" w:eastAsia="Times New Roman" w:hAnsi="Times New Roman"/>
          <w:sz w:val="18"/>
          <w:szCs w:val="18"/>
          <w:color w:val="auto"/>
        </w:rPr>
        <w:t>(“ASU 2013- 08”). ASU 2013-08 amends the criteria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2011, the Financial Accounting Standards Board (“FASB”) issued Accounting Standards Update No. 2011-11 (“ASU 2011-11”),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Disclosures about Offsetting Assets and Liabilities</w:t>
      </w:r>
      <w:r>
        <w:rPr>
          <w:rFonts w:ascii="Times New Roman" w:cs="Times New Roman" w:eastAsia="Times New Roman" w:hAnsi="Times New Roman"/>
          <w:sz w:val="18"/>
          <w:szCs w:val="18"/>
          <w:color w:val="auto"/>
        </w:rPr>
        <w:t>,” which requires entities to disclose information about offsetting and related arrangements to enable users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financial statements to understand the effect of those arrangements on the statement of assets and liabilities. In January 2013, the FASB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Standards Update No. 2013-01 (“ASU 2013-01”),“</w:t>
      </w:r>
      <w:r>
        <w:rPr>
          <w:rFonts w:ascii="Times New Roman" w:cs="Times New Roman" w:eastAsia="Times New Roman" w:hAnsi="Times New Roman"/>
          <w:sz w:val="18"/>
          <w:szCs w:val="18"/>
          <w:i w:val="1"/>
          <w:iCs w:val="1"/>
          <w:color w:val="auto"/>
        </w:rPr>
        <w:t>Clarifying the Scope of Disclosures about Offsetting Assets and Liabilities,</w:t>
      </w:r>
      <w:r>
        <w:rPr>
          <w:rFonts w:ascii="Times New Roman" w:cs="Times New Roman" w:eastAsia="Times New Roman" w:hAnsi="Times New Roman"/>
          <w:sz w:val="18"/>
          <w:szCs w:val="18"/>
          <w:color w:val="auto"/>
        </w:rPr>
        <w:t>” which clarified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types of instruments and transactions that are subject to the disclosure requirements established by ASU 2011-11. The Company’s adoption of ASU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and ASU 2013-01 did not have a significant impact on the Company’s financial statements. See Note 5 for additional disclosure resulting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adoption of ASU 2011-11 and ASU 2013-01.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6" w:right="2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2013, 2012 and 2011, the Company incurred expenses of $1.4 million, $1.0 million and $0.3 million, respectively, for administrative services payable to the Adviser under the terms of the Administration Agreement.</w:t>
      </w:r>
    </w:p>
    <w:p>
      <w:pPr>
        <w:spacing w:after="0" w:line="162"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7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4"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For the quarterly periods ended September 30, 2011, and June 30, 2011, the Management Fee was calculated at an annual rate of 1.5% based on the value of the Company’s gross assets, which equals total assets before deduction of any liabilities, at the end of such calendar quarter, adjusted for share issuances and repurchases during that period. Beginning October 1, 2011, the Management Fee has been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2013, 2012 and 2011, Management Fees were $13.4 million, $8.9 million, and $1.6 million, respectively.</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Until such time that the Company completes an initial public offering of its Common Stock, or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2013, 2012, and 2011, Management Fees of $7.1 million, $3.7 million, and $7 thousand, respectively, were waived.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waived Management Fees are not subject to recoupment by the Adviser.</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w:t>
      </w:r>
    </w:p>
    <w:p>
      <w:pPr>
        <w:spacing w:after="0" w:line="27" w:lineRule="exact"/>
        <w:rPr>
          <w:rFonts w:ascii="Times New Roman" w:cs="Times New Roman" w:eastAsia="Times New Roman" w:hAnsi="Times New Roman"/>
          <w:sz w:val="18"/>
          <w:szCs w:val="18"/>
          <w:color w:val="auto"/>
        </w:rPr>
      </w:pPr>
    </w:p>
    <w:p>
      <w:pPr>
        <w:ind w:left="9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quarterly “hurdle rate” the calculation of which is further explained below, until the Adviser has received 15% of the total pre-Incentive Fee net investment income for that quarter (17.5% subsequent to an IPO) and, for pre-Incentive Fee net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00"/>
          </w:cols>
          <w:pgMar w:left="240" w:top="455" w:right="2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18"/>
          <w:szCs w:val="18"/>
          <w:color w:val="auto"/>
        </w:rPr>
        <w:t>investment income in excess of 1.82% quarterly, 15% of all remaining pre-Incentive Fee net investment income for that quarter (17.5% subsequent to an IPO). The 100% “catch-up” provision for pre-Incentive Fee net investment income in excess of the 1.5% “hurdle rate” is intended to provide the Adviser with an incentive fee of 15% on all pre-Incentive Fee net investment income when that amount equals 1.82% in a quarter (7.28% annualized), which is the rate at which catch-up is achieved. Once the “hurdle rate” is reached and catch-up is achieved, 15% of any pre-Incentive Fee net investment income in excess of 1.82% in any quarter is payable to the Adviser.</w:t>
      </w:r>
    </w:p>
    <w:p>
      <w:pPr>
        <w:spacing w:after="0" w:line="76" w:lineRule="exact"/>
        <w:rPr>
          <w:sz w:val="20"/>
          <w:szCs w:val="20"/>
          <w:color w:val="auto"/>
        </w:rPr>
      </w:pPr>
    </w:p>
    <w:p>
      <w:pPr>
        <w:ind w:left="920" w:right="160"/>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54" w:lineRule="auto"/>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prior to the end of the quarter in which an IPO is completed, equals 15%, and following the completion of an IPO,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IPO is completed,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an IPO, the portion of the Company’s realized capital gains that accrued prior to an IPO will be subject to an incentive fee rate of 15% and the portion of the Company’s realized capital gains that accrued following the end of the quarter in which an IPO is completed will be subject to an incentive fee rate of 17.5%.</w:t>
      </w:r>
    </w:p>
    <w:p>
      <w:pPr>
        <w:spacing w:after="0" w:line="18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Prior to the completion of an IPO, if cumulative net realized losses from the Company’s inception exceeded the aggregate dollar amount of dividends paid by the Company through that date, the Adviser would forgo the right to receive its quarterly Incentive Fee payments with respect to pre-Incentive Fee net investment income until the time that cumulative net realized losses were less than or equal to the aggregate amount of dividend payments.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year ended December 31, 2013, Incentive Fees were $11.8 million of which $10.5 million were realized and payable to the Adviser. For the year ended December 31, 2012, Incentive Fees were $7.0 million of which $5.7 million were realized and payable to the Adviser. For the year ended December 31, 2011, Incentive Fees were $0.3 million none of which were realized and payable to the Adviser.</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20"/>
          </w:cols>
          <w:pgMar w:left="240" w:top="456" w:right="2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years ended December 31, 2013, 2012 and 2011, were $5.0 million, $3.8 million and $2.3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December 31, 2013 and 2012:</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540" w:type="dxa"/>
            <w:vAlign w:val="bottom"/>
          </w:tcPr>
          <w:p>
            <w:pPr>
              <w:spacing w:after="0"/>
              <w:rPr>
                <w:sz w:val="10"/>
                <w:szCs w:val="10"/>
                <w:color w:val="auto"/>
              </w:rPr>
            </w:pPr>
          </w:p>
        </w:tc>
        <w:tc>
          <w:tcPr>
            <w:tcW w:w="12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4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863,436</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877,164</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131,082</w:t>
            </w:r>
          </w:p>
        </w:tc>
        <w:tc>
          <w:tcPr>
            <w:tcW w:w="280" w:type="dxa"/>
            <w:vAlign w:val="bottom"/>
          </w:tcPr>
          <w:p>
            <w:pPr>
              <w:spacing w:after="0"/>
              <w:rPr>
                <w:sz w:val="18"/>
                <w:szCs w:val="18"/>
                <w:color w:val="auto"/>
              </w:rPr>
            </w:pPr>
          </w:p>
        </w:tc>
        <w:tc>
          <w:tcPr>
            <w:tcW w:w="18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137,482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27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1,805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997,298</w:t>
            </w:r>
          </w:p>
        </w:tc>
        <w:tc>
          <w:tcPr>
            <w:tcW w:w="28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1,016,451</w:t>
            </w: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0" w:type="dxa"/>
            <w:vAlign w:val="bottom"/>
          </w:tcPr>
          <w:p>
            <w:pPr>
              <w:spacing w:after="0"/>
              <w:rPr>
                <w:sz w:val="10"/>
                <w:szCs w:val="10"/>
                <w:color w:val="auto"/>
              </w:rPr>
            </w:pPr>
          </w:p>
        </w:tc>
        <w:tc>
          <w:tcPr>
            <w:tcW w:w="9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40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575,089</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64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$582,287</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67,332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69,657</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253"/>
              <w:spacing w:after="0"/>
              <w:rPr>
                <w:sz w:val="20"/>
                <w:szCs w:val="20"/>
                <w:color w:val="auto"/>
              </w:rPr>
            </w:pPr>
            <w:r>
              <w:rPr>
                <w:rFonts w:ascii="Times New Roman" w:cs="Times New Roman" w:eastAsia="Times New Roman" w:hAnsi="Times New Roman"/>
                <w:sz w:val="18"/>
                <w:szCs w:val="18"/>
                <w:color w:val="auto"/>
                <w:w w:val="98"/>
              </w:rPr>
              <w:t>2,325</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left="313"/>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644,421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653,944</w:t>
            </w:r>
          </w:p>
        </w:tc>
        <w:tc>
          <w:tcPr>
            <w:tcW w:w="50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center"/>
              <w:ind w:left="253"/>
              <w:spacing w:after="0"/>
              <w:rPr>
                <w:sz w:val="20"/>
                <w:szCs w:val="20"/>
                <w:color w:val="auto"/>
              </w:rPr>
            </w:pPr>
            <w:r>
              <w:rPr>
                <w:rFonts w:ascii="Times New Roman" w:cs="Times New Roman" w:eastAsia="Times New Roman" w:hAnsi="Times New Roman"/>
                <w:sz w:val="18"/>
                <w:szCs w:val="18"/>
                <w:color w:val="auto"/>
                <w:w w:val="98"/>
              </w:rPr>
              <w:t>9,523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80" w:hanging="567"/>
        <w:spacing w:after="0" w:line="282" w:lineRule="auto"/>
        <w:tabs>
          <w:tab w:leader="none" w:pos="14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00"/>
          </w:cols>
          <w:pgMar w:left="240" w:top="456" w:right="2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December 31, 2013 and 2012 is as follows: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57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3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6.1%</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4.5%</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16.5%</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50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Containers and packaging</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4.6%</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Education</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industries</w:t>
            </w:r>
          </w:p>
        </w:tc>
        <w:tc>
          <w:tcPr>
            <w:tcW w:w="250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11.6%</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10.8%</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7.2%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5.2%</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3.2%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2.7%</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3.9%</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50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136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250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18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8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color w:val="auto"/>
                <w:w w:val="99"/>
              </w:rPr>
              <w:t>The geographic composition of Investments at fair value at December 31, 2013 and 2012 is as follows: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500" w:type="dxa"/>
            <w:vAlign w:val="bottom"/>
            <w:gridSpan w:val="2"/>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w w:val="98"/>
              </w:rPr>
              <w:t>December 31, 2013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CCEEFF"/>
              <w:left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Midwest</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14.2%</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Northeast</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21.7%</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South</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19.7%</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35.5%</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50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720" w:type="dxa"/>
            <w:vAlign w:val="bottom"/>
            <w:tcBorders>
              <w:righ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0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year ended December 31, 2013 had terms of approximately one to two months.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00"/>
          </w:cols>
          <w:pgMar w:left="240" w:top="455" w:right="25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2013, we entered into foreign currency forward contracts related to our investments in Jeeves Information Systems AB (SEK) and Soho House Bond Ltd. (GBP).</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details of open foreign currency forward contracts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 (in ‘000s)</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USD Value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USD Value at</w:t>
            </w:r>
          </w:p>
        </w:tc>
        <w:tc>
          <w:tcPr>
            <w:tcW w:w="2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Currency Forward Contracts</w:t>
            </w:r>
          </w:p>
        </w:tc>
        <w:tc>
          <w:tcPr>
            <w:tcW w:w="1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156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0" w:type="dxa"/>
            <w:vAlign w:val="bottom"/>
          </w:tcPr>
          <w:p>
            <w:pPr>
              <w:spacing w:after="0"/>
              <w:rPr>
                <w:sz w:val="1"/>
                <w:szCs w:val="1"/>
                <w:color w:val="auto"/>
              </w:rPr>
            </w:pPr>
          </w:p>
        </w:tc>
      </w:tr>
      <w:tr>
        <w:trPr>
          <w:trHeight w:val="173"/>
        </w:trPr>
        <w:tc>
          <w:tcPr>
            <w:tcW w:w="418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and Transaction</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20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 w:type="dxa"/>
            <w:vAlign w:val="bottom"/>
          </w:tcPr>
          <w:p>
            <w:pPr>
              <w:spacing w:after="0"/>
              <w:rPr>
                <w:sz w:val="15"/>
                <w:szCs w:val="15"/>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Statements</w:t>
            </w: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Swedish Kronor (SEK)</w:t>
            </w:r>
          </w:p>
        </w:tc>
        <w:tc>
          <w:tcPr>
            <w:tcW w:w="19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January 24, 2014</w:t>
            </w:r>
          </w:p>
        </w:tc>
        <w:tc>
          <w:tcPr>
            <w:tcW w:w="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188,672 sold</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4"/>
              </w:rPr>
              <w:t>(28,440)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7"/>
              </w:rPr>
              <w:t>(29,366)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British Pound (GBP)</w:t>
            </w: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January 24, 2014</w:t>
            </w: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7,000 sold</w:t>
            </w:r>
          </w:p>
        </w:tc>
        <w:tc>
          <w:tcPr>
            <w:tcW w:w="2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(39,714)</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(40,958)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open foreign currency forward contracts as of December 31, 2012.</w:t>
      </w:r>
    </w:p>
    <w:p>
      <w:pPr>
        <w:spacing w:after="0" w:line="225"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All realized and unrealized gains and losses on forward foreign currency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76"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December 31, 2013 and 2012:</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2013</w:t>
            </w:r>
          </w:p>
        </w:tc>
      </w:tr>
      <w:tr>
        <w:trPr>
          <w:trHeight w:val="142"/>
        </w:trPr>
        <w:tc>
          <w:tcPr>
            <w:tcW w:w="3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30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$22,192</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$854,972</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877,164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3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33,952</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103,530</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137,482</w:t>
            </w: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3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4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80" w:type="dxa"/>
            <w:vAlign w:val="bottom"/>
          </w:tcPr>
          <w:p>
            <w:pPr>
              <w:spacing w:after="0"/>
              <w:rPr>
                <w:sz w:val="19"/>
                <w:szCs w:val="19"/>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56,144</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960,307</w:t>
            </w:r>
          </w:p>
        </w:tc>
        <w:tc>
          <w:tcPr>
            <w:tcW w:w="4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1,016,451</w:t>
            </w:r>
          </w:p>
        </w:tc>
        <w:tc>
          <w:tcPr>
            <w:tcW w:w="8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30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20"/>
                <w:szCs w:val="20"/>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54,900</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960,307</w:t>
            </w:r>
          </w:p>
        </w:tc>
        <w:tc>
          <w:tcPr>
            <w:tcW w:w="4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1,015,207</w:t>
            </w:r>
          </w:p>
        </w:tc>
        <w:tc>
          <w:tcPr>
            <w:tcW w:w="8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39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11"/>
          </w:tcPr>
          <w:p>
            <w:pPr>
              <w:ind w:left="30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2012</w:t>
            </w:r>
          </w:p>
        </w:tc>
      </w:tr>
      <w:tr>
        <w:trPr>
          <w:trHeight w:val="142"/>
        </w:trPr>
        <w:tc>
          <w:tcPr>
            <w:tcW w:w="39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30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5"/>
              </w:rPr>
              <w:t>$ —</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$68,183</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$514,104</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$582,287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3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16,467</w:t>
            </w:r>
          </w:p>
        </w:tc>
        <w:tc>
          <w:tcPr>
            <w:tcW w:w="300" w:type="dxa"/>
            <w:vAlign w:val="bottom"/>
          </w:tcPr>
          <w:p>
            <w:pPr>
              <w:spacing w:after="0"/>
              <w:rPr>
                <w:sz w:val="18"/>
                <w:szCs w:val="18"/>
                <w:color w:val="auto"/>
              </w:rPr>
            </w:pPr>
          </w:p>
        </w:tc>
        <w:tc>
          <w:tcPr>
            <w:tcW w:w="140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53,190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69,657</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23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30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2,000</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3940" w:type="dxa"/>
            <w:vAlign w:val="bottom"/>
          </w:tcPr>
          <w:p>
            <w:pPr>
              <w:spacing w:after="0"/>
              <w:rPr>
                <w:sz w:val="2"/>
                <w:szCs w:val="2"/>
                <w:color w:val="auto"/>
              </w:rPr>
            </w:pPr>
          </w:p>
        </w:tc>
        <w:tc>
          <w:tcPr>
            <w:tcW w:w="230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3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5"/>
              </w:rPr>
              <w:t>$ —</w:t>
            </w: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84,650</w:t>
            </w:r>
          </w:p>
        </w:tc>
        <w:tc>
          <w:tcPr>
            <w:tcW w:w="30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569,294</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653,944</w:t>
            </w:r>
          </w:p>
        </w:tc>
      </w:tr>
      <w:tr>
        <w:trPr>
          <w:trHeight w:val="20"/>
        </w:trPr>
        <w:tc>
          <w:tcPr>
            <w:tcW w:w="3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7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F-24</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year ended December 31, 2013 and 2012: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32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360" w:type="dxa"/>
            <w:vAlign w:val="bottom"/>
          </w:tcPr>
          <w:p>
            <w:pPr>
              <w:spacing w:after="0"/>
              <w:rPr>
                <w:sz w:val="10"/>
                <w:szCs w:val="10"/>
                <w:color w:val="auto"/>
              </w:rPr>
            </w:pPr>
          </w:p>
        </w:tc>
        <w:tc>
          <w:tcPr>
            <w:tcW w:w="132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3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60" w:type="dxa"/>
            <w:vAlign w:val="bottom"/>
          </w:tcPr>
          <w:p>
            <w:pPr>
              <w:spacing w:after="0"/>
              <w:rPr>
                <w:sz w:val="15"/>
                <w:szCs w:val="15"/>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$ 514,104</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507,056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51,270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780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559,106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(30,615)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(30,615)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(178,831)</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(182,917)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(975)</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5,679</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into Level 3</w:t>
            </w: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29,925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29,925</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$ 854,972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$ 103,530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$ 960,307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32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360" w:type="dxa"/>
            <w:vAlign w:val="bottom"/>
          </w:tcPr>
          <w:p>
            <w:pPr>
              <w:spacing w:after="0"/>
              <w:rPr>
                <w:sz w:val="10"/>
                <w:szCs w:val="10"/>
                <w:color w:val="auto"/>
              </w:rPr>
            </w:pPr>
          </w:p>
        </w:tc>
        <w:tc>
          <w:tcPr>
            <w:tcW w:w="132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3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4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3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60" w:type="dxa"/>
            <w:vAlign w:val="bottom"/>
          </w:tcPr>
          <w:p>
            <w:pPr>
              <w:spacing w:after="0"/>
              <w:rPr>
                <w:sz w:val="15"/>
                <w:szCs w:val="15"/>
                <w:color w:val="auto"/>
              </w:rPr>
            </w:pPr>
          </w:p>
        </w:tc>
        <w:tc>
          <w:tcPr>
            <w:tcW w:w="132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$ 160,178</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575,936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94,608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672,544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3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(51,185)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(45,905)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(97,090)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(179,800)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(190,343)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3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out of Level 3</w:t>
            </w:r>
          </w:p>
        </w:tc>
        <w:tc>
          <w:tcPr>
            <w:tcW w:w="13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23"/>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$ 514,104</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$ 569,294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Aptean Holdings, Inc., formerly known as Consona Holdings, Inc., transferred into Level 3 during the year ended December 31, 2013, as a result of changes in the observability of inputs into its valuation.</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Rare Restaurant Group, LLC transferred out of Level 3 during the year ended December 31, 2012, as a result of changes in the observability of inputs into its valuation.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20"/>
          </w:cols>
          <w:pgMar w:left="240" w:top="455" w:right="2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2013 and 2012:</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20" w:type="dxa"/>
            <w:vAlign w:val="bottom"/>
            <w:gridSpan w:val="2"/>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00" w:type="dxa"/>
            <w:vAlign w:val="bottom"/>
          </w:tcPr>
          <w:p>
            <w:pPr>
              <w:spacing w:after="0"/>
              <w:rPr>
                <w:sz w:val="13"/>
                <w:szCs w:val="13"/>
                <w:color w:val="auto"/>
              </w:rPr>
            </w:pP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49"/>
        </w:trPr>
        <w:tc>
          <w:tcPr>
            <w:tcW w:w="4260" w:type="dxa"/>
            <w:vAlign w:val="bottom"/>
          </w:tcPr>
          <w:p>
            <w:pPr>
              <w:spacing w:after="0"/>
              <w:rPr>
                <w:sz w:val="12"/>
                <w:szCs w:val="12"/>
                <w:color w:val="auto"/>
              </w:rPr>
            </w:pPr>
          </w:p>
        </w:tc>
        <w:tc>
          <w:tcPr>
            <w:tcW w:w="3420" w:type="dxa"/>
            <w:vAlign w:val="bottom"/>
            <w:gridSpan w:val="3"/>
          </w:tcPr>
          <w:p>
            <w:pPr>
              <w:jc w:val="center"/>
              <w:ind w:right="16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or Depreciation</w:t>
            </w:r>
          </w:p>
        </w:tc>
        <w:tc>
          <w:tcPr>
            <w:tcW w:w="19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or Depreciation</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0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2013 on</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2012 on</w:t>
            </w:r>
          </w:p>
        </w:tc>
      </w:tr>
      <w:tr>
        <w:trPr>
          <w:trHeight w:val="149"/>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jc w:val="center"/>
              <w:ind w:right="17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c>
          <w:tcPr>
            <w:tcW w:w="1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2"/>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w w:val="93"/>
              </w:rPr>
              <w:t>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00" w:type="dxa"/>
            <w:vAlign w:val="bottom"/>
          </w:tcPr>
          <w:p>
            <w:pPr>
              <w:spacing w:after="0"/>
              <w:rPr>
                <w:sz w:val="18"/>
                <w:szCs w:val="18"/>
                <w:color w:val="auto"/>
              </w:rPr>
            </w:pPr>
          </w:p>
        </w:tc>
        <w:tc>
          <w:tcPr>
            <w:tcW w:w="3320" w:type="dxa"/>
            <w:vAlign w:val="bottom"/>
            <w:gridSpan w:val="2"/>
          </w:tcPr>
          <w:p>
            <w:pPr>
              <w:jc w:val="right"/>
              <w:ind w:right="1600"/>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8"/>
                <w:szCs w:val="18"/>
                <w:color w:val="auto"/>
              </w:rPr>
            </w:pPr>
          </w:p>
        </w:tc>
        <w:tc>
          <w:tcPr>
            <w:tcW w:w="18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3,638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0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ind w:right="1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0" w:type="dxa"/>
            <w:vAlign w:val="bottom"/>
          </w:tcPr>
          <w:p>
            <w:pPr>
              <w:spacing w:after="0"/>
              <w:rPr>
                <w:sz w:val="18"/>
                <w:szCs w:val="18"/>
                <w:color w:val="auto"/>
              </w:rPr>
            </w:pPr>
          </w:p>
        </w:tc>
        <w:tc>
          <w:tcPr>
            <w:tcW w:w="3320" w:type="dxa"/>
            <w:vAlign w:val="bottom"/>
            <w:gridSpan w:val="2"/>
          </w:tcPr>
          <w:p>
            <w:pPr>
              <w:jc w:val="right"/>
              <w:ind w:right="1540"/>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8"/>
                <w:szCs w:val="18"/>
                <w:color w:val="auto"/>
              </w:rPr>
            </w:pPr>
          </w:p>
        </w:tc>
        <w:tc>
          <w:tcPr>
            <w:tcW w:w="18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7,918</w:t>
            </w:r>
          </w:p>
        </w:tc>
      </w:tr>
      <w:tr>
        <w:trPr>
          <w:trHeight w:val="20"/>
        </w:trPr>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fair value of Level 3 Investments at fair value and the significant unobservable inputs used in the valuations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120" w:type="dxa"/>
            <w:vAlign w:val="bottom"/>
            <w:gridSpan w:val="2"/>
            <w:vMerge w:val="restart"/>
          </w:tcPr>
          <w:p>
            <w:pPr>
              <w:jc w:val="center"/>
              <w:ind w:right="383"/>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3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30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9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4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from an Increase to</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9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120" w:type="dxa"/>
            <w:vAlign w:val="bottom"/>
            <w:gridSpan w:val="2"/>
          </w:tcPr>
          <w:p>
            <w:pPr>
              <w:jc w:val="center"/>
              <w:ind w:right="36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First-lien debt investments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854,972</w:t>
            </w:r>
          </w:p>
        </w:tc>
        <w:tc>
          <w:tcPr>
            <w:tcW w:w="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rPr>
              <w:t>Income Approach</w:t>
            </w:r>
          </w:p>
        </w:tc>
        <w:tc>
          <w:tcPr>
            <w:tcW w:w="5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Market Yield</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5.50% — 13.12% (9.81%</w:t>
            </w:r>
          </w:p>
        </w:tc>
        <w:tc>
          <w:tcPr>
            <w:tcW w:w="440" w:type="dxa"/>
            <w:vAlign w:val="bottom"/>
            <w:tcBorders>
              <w:top w:val="single" w:sz="8" w:color="CCEEFF"/>
            </w:tcBorders>
            <w:shd w:val="clear" w:color="auto" w:fill="CCEEFF"/>
          </w:tcPr>
          <w:p>
            <w:pPr>
              <w:jc w:val="right"/>
              <w:ind w:right="303"/>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Decrease</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Second-lien debt investments</w:t>
            </w:r>
          </w:p>
        </w:tc>
        <w:tc>
          <w:tcPr>
            <w:tcW w:w="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103,530</w:t>
            </w:r>
          </w:p>
        </w:tc>
        <w:tc>
          <w:tcPr>
            <w:tcW w:w="190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5"/>
                <w:szCs w:val="15"/>
                <w:color w:val="auto"/>
              </w:rPr>
              <w:t>Income Approach</w:t>
            </w:r>
          </w:p>
        </w:tc>
        <w:tc>
          <w:tcPr>
            <w:tcW w:w="1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Market Yield</w:t>
            </w:r>
          </w:p>
        </w:tc>
        <w:tc>
          <w:tcPr>
            <w:tcW w:w="2120" w:type="dxa"/>
            <w:vAlign w:val="bottom"/>
            <w:gridSpan w:val="2"/>
          </w:tcPr>
          <w:p>
            <w:pPr>
              <w:jc w:val="right"/>
              <w:ind w:right="303"/>
              <w:spacing w:after="0" w:line="162" w:lineRule="exact"/>
              <w:rPr>
                <w:sz w:val="20"/>
                <w:szCs w:val="20"/>
                <w:color w:val="auto"/>
              </w:rPr>
            </w:pPr>
            <w:r>
              <w:rPr>
                <w:rFonts w:ascii="Times New Roman" w:cs="Times New Roman" w:eastAsia="Times New Roman" w:hAnsi="Times New Roman"/>
                <w:sz w:val="15"/>
                <w:szCs w:val="15"/>
                <w:color w:val="auto"/>
              </w:rPr>
              <w:t>9.32% —9.87% (9.59%)</w:t>
            </w:r>
          </w:p>
        </w:tc>
        <w:tc>
          <w:tcPr>
            <w:tcW w:w="14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Mezzanine debt investments</w:t>
            </w:r>
          </w:p>
        </w:tc>
        <w:tc>
          <w:tcPr>
            <w:tcW w:w="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30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Equity investments</w:t>
            </w:r>
          </w:p>
        </w:tc>
        <w:tc>
          <w:tcPr>
            <w:tcW w:w="14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5"/>
                <w:szCs w:val="15"/>
                <w:color w:val="auto"/>
              </w:rPr>
              <w:t>1,805</w:t>
            </w:r>
          </w:p>
        </w:tc>
        <w:tc>
          <w:tcPr>
            <w:tcW w:w="190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5"/>
                <w:szCs w:val="15"/>
                <w:color w:val="auto"/>
              </w:rPr>
              <w:t>Income Approach</w:t>
            </w:r>
          </w:p>
        </w:tc>
        <w:tc>
          <w:tcPr>
            <w:tcW w:w="1820" w:type="dxa"/>
            <w:vAlign w:val="bottom"/>
            <w:gridSpan w:val="2"/>
          </w:tcPr>
          <w:p>
            <w:pPr>
              <w:spacing w:after="0" w:line="145" w:lineRule="exact"/>
              <w:rPr>
                <w:sz w:val="20"/>
                <w:szCs w:val="20"/>
                <w:color w:val="auto"/>
              </w:rPr>
            </w:pPr>
            <w:r>
              <w:rPr>
                <w:rFonts w:ascii="Times New Roman" w:cs="Times New Roman" w:eastAsia="Times New Roman" w:hAnsi="Times New Roman"/>
                <w:sz w:val="15"/>
                <w:szCs w:val="15"/>
                <w:color w:val="auto"/>
              </w:rPr>
              <w:t>Weighted</w:t>
            </w:r>
          </w:p>
        </w:tc>
        <w:tc>
          <w:tcPr>
            <w:tcW w:w="2120" w:type="dxa"/>
            <w:vAlign w:val="bottom"/>
            <w:gridSpan w:val="2"/>
          </w:tcPr>
          <w:p>
            <w:pPr>
              <w:jc w:val="right"/>
              <w:ind w:right="363"/>
              <w:spacing w:after="0" w:line="145" w:lineRule="exact"/>
              <w:rPr>
                <w:sz w:val="20"/>
                <w:szCs w:val="20"/>
                <w:color w:val="auto"/>
              </w:rPr>
            </w:pPr>
            <w:r>
              <w:rPr>
                <w:rFonts w:ascii="Times New Roman" w:cs="Times New Roman" w:eastAsia="Times New Roman" w:hAnsi="Times New Roman"/>
                <w:sz w:val="15"/>
                <w:szCs w:val="15"/>
                <w:color w:val="auto"/>
              </w:rPr>
              <w:t>12.1% — 15.3% (14.0%)</w:t>
            </w:r>
          </w:p>
        </w:tc>
        <w:tc>
          <w:tcPr>
            <w:tcW w:w="140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Average Cost of</w:t>
            </w: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Capital (WACC)</w:t>
            </w: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3940" w:type="dxa"/>
            <w:vAlign w:val="bottom"/>
            <w:tcBorders>
              <w:bottom w:val="single" w:sz="8" w:color="auto"/>
            </w:tcBorders>
            <w:gridSpan w:val="4"/>
            <w:shd w:val="clear" w:color="auto" w:fill="CCEEFF"/>
          </w:tcPr>
          <w:p>
            <w:pPr>
              <w:ind w:left="660"/>
              <w:spacing w:after="0" w:line="162" w:lineRule="exact"/>
              <w:rPr>
                <w:sz w:val="20"/>
                <w:szCs w:val="20"/>
                <w:color w:val="auto"/>
              </w:rPr>
            </w:pPr>
            <w:r>
              <w:rPr>
                <w:rFonts w:ascii="Times New Roman" w:cs="Times New Roman" w:eastAsia="Times New Roman" w:hAnsi="Times New Roman"/>
                <w:sz w:val="15"/>
                <w:szCs w:val="15"/>
                <w:b w:val="1"/>
                <w:bCs w:val="1"/>
                <w:color w:val="auto"/>
              </w:rPr>
              <w:t>December 31, 2012</w:t>
            </w:r>
          </w:p>
        </w:tc>
        <w:tc>
          <w:tcPr>
            <w:tcW w:w="13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1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tcPr>
          <w:p>
            <w:pPr>
              <w:jc w:val="right"/>
              <w:spacing w:after="0" w:line="134" w:lineRule="exact"/>
              <w:rPr>
                <w:sz w:val="20"/>
                <w:szCs w:val="20"/>
                <w:color w:val="auto"/>
              </w:rPr>
            </w:pPr>
            <w:r>
              <w:rPr>
                <w:rFonts w:ascii="Times New Roman" w:cs="Times New Roman" w:eastAsia="Times New Roman" w:hAnsi="Times New Roman"/>
                <w:sz w:val="15"/>
                <w:szCs w:val="15"/>
                <w:b w:val="1"/>
                <w:bCs w:val="1"/>
                <w:color w:val="auto"/>
                <w:w w:val="99"/>
              </w:rPr>
              <w:t>Impact to Valuation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center"/>
              <w:ind w:right="540"/>
              <w:spacing w:after="0" w:line="156" w:lineRule="exact"/>
              <w:rPr>
                <w:sz w:val="20"/>
                <w:szCs w:val="20"/>
                <w:color w:val="auto"/>
              </w:rPr>
            </w:pPr>
            <w:r>
              <w:rPr>
                <w:rFonts w:ascii="Times New Roman" w:cs="Times New Roman" w:eastAsia="Times New Roman" w:hAnsi="Times New Roman"/>
                <w:sz w:val="15"/>
                <w:szCs w:val="15"/>
                <w:b w:val="1"/>
                <w:bCs w:val="1"/>
                <w:color w:val="auto"/>
              </w:rPr>
              <w:t>Valuation</w:t>
            </w:r>
          </w:p>
        </w:tc>
        <w:tc>
          <w:tcPr>
            <w:tcW w:w="1820" w:type="dxa"/>
            <w:vAlign w:val="bottom"/>
            <w:gridSpan w:val="2"/>
            <w:vMerge w:val="continue"/>
          </w:tcPr>
          <w:p>
            <w:pPr>
              <w:spacing w:after="0"/>
              <w:rPr>
                <w:sz w:val="13"/>
                <w:szCs w:val="13"/>
                <w:color w:val="auto"/>
              </w:rPr>
            </w:pPr>
          </w:p>
        </w:tc>
        <w:tc>
          <w:tcPr>
            <w:tcW w:w="2120" w:type="dxa"/>
            <w:vAlign w:val="bottom"/>
            <w:gridSpan w:val="2"/>
          </w:tcPr>
          <w:p>
            <w:pPr>
              <w:jc w:val="center"/>
              <w:ind w:right="363"/>
              <w:spacing w:after="0" w:line="156" w:lineRule="exact"/>
              <w:rPr>
                <w:sz w:val="20"/>
                <w:szCs w:val="20"/>
                <w:color w:val="auto"/>
              </w:rPr>
            </w:pPr>
            <w:r>
              <w:rPr>
                <w:rFonts w:ascii="Times New Roman" w:cs="Times New Roman" w:eastAsia="Times New Roman" w:hAnsi="Times New Roman"/>
                <w:sz w:val="15"/>
                <w:szCs w:val="15"/>
                <w:b w:val="1"/>
                <w:bCs w:val="1"/>
                <w:color w:val="auto"/>
              </w:rPr>
              <w:t>Range (Weighted</w:t>
            </w:r>
          </w:p>
        </w:tc>
        <w:tc>
          <w:tcPr>
            <w:tcW w:w="140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from an Increase to</w:t>
            </w: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90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b w:val="1"/>
                <w:bCs w:val="1"/>
                <w:color w:val="auto"/>
              </w:rPr>
              <w:t>Technique</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Input</w:t>
            </w:r>
          </w:p>
        </w:tc>
        <w:tc>
          <w:tcPr>
            <w:tcW w:w="2120" w:type="dxa"/>
            <w:vAlign w:val="bottom"/>
            <w:gridSpan w:val="2"/>
          </w:tcPr>
          <w:p>
            <w:pPr>
              <w:jc w:val="center"/>
              <w:ind w:right="363"/>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Input</w:t>
            </w:r>
          </w:p>
        </w:tc>
        <w:tc>
          <w:tcPr>
            <w:tcW w:w="0" w:type="dxa"/>
            <w:vAlign w:val="bottom"/>
          </w:tcPr>
          <w:p>
            <w:pPr>
              <w:spacing w:after="0"/>
              <w:rPr>
                <w:sz w:val="1"/>
                <w:szCs w:val="1"/>
                <w:color w:val="auto"/>
              </w:rPr>
            </w:pPr>
          </w:p>
        </w:tc>
      </w:tr>
      <w:tr>
        <w:trPr>
          <w:trHeight w:val="156"/>
        </w:trPr>
        <w:tc>
          <w:tcPr>
            <w:tcW w:w="33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First-lien debt investments</w:t>
            </w: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514,104</w:t>
            </w:r>
          </w:p>
        </w:tc>
        <w:tc>
          <w:tcPr>
            <w:tcW w:w="1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ind w:left="40"/>
              <w:spacing w:after="0" w:line="156" w:lineRule="exact"/>
              <w:rPr>
                <w:sz w:val="20"/>
                <w:szCs w:val="20"/>
                <w:color w:val="auto"/>
              </w:rPr>
            </w:pPr>
            <w:r>
              <w:rPr>
                <w:rFonts w:ascii="Times New Roman" w:cs="Times New Roman" w:eastAsia="Times New Roman" w:hAnsi="Times New Roman"/>
                <w:sz w:val="15"/>
                <w:szCs w:val="15"/>
                <w:color w:val="auto"/>
              </w:rPr>
              <w:t>Income Approach (1)</w:t>
            </w:r>
          </w:p>
        </w:tc>
        <w:tc>
          <w:tcPr>
            <w:tcW w:w="54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ind w:left="680"/>
              <w:spacing w:after="0" w:line="156" w:lineRule="exact"/>
              <w:rPr>
                <w:sz w:val="20"/>
                <w:szCs w:val="20"/>
                <w:color w:val="auto"/>
              </w:rPr>
            </w:pPr>
            <w:r>
              <w:rPr>
                <w:rFonts w:ascii="Times New Roman" w:cs="Times New Roman" w:eastAsia="Times New Roman" w:hAnsi="Times New Roman"/>
                <w:sz w:val="15"/>
                <w:szCs w:val="15"/>
                <w:color w:val="auto"/>
                <w:w w:val="96"/>
              </w:rPr>
              <w:t>Market Yield</w:t>
            </w:r>
          </w:p>
        </w:tc>
        <w:tc>
          <w:tcPr>
            <w:tcW w:w="34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7.00% - 11.29% (9.71%)</w:t>
            </w:r>
          </w:p>
        </w:tc>
        <w:tc>
          <w:tcPr>
            <w:tcW w:w="44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Decrease</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Second-lien debt investments</w:t>
            </w:r>
          </w:p>
        </w:tc>
        <w:tc>
          <w:tcPr>
            <w:tcW w:w="1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53,190</w:t>
            </w:r>
          </w:p>
        </w:tc>
        <w:tc>
          <w:tcPr>
            <w:tcW w:w="190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5"/>
                <w:szCs w:val="15"/>
                <w:color w:val="auto"/>
              </w:rPr>
              <w:t>Income Approach</w:t>
            </w:r>
          </w:p>
        </w:tc>
        <w:tc>
          <w:tcPr>
            <w:tcW w:w="1820" w:type="dxa"/>
            <w:vAlign w:val="bottom"/>
            <w:gridSpan w:val="2"/>
          </w:tcPr>
          <w:p>
            <w:pPr>
              <w:ind w:left="680"/>
              <w:spacing w:after="0" w:line="162" w:lineRule="exact"/>
              <w:rPr>
                <w:sz w:val="20"/>
                <w:szCs w:val="20"/>
                <w:color w:val="auto"/>
              </w:rPr>
            </w:pPr>
            <w:r>
              <w:rPr>
                <w:rFonts w:ascii="Times New Roman" w:cs="Times New Roman" w:eastAsia="Times New Roman" w:hAnsi="Times New Roman"/>
                <w:sz w:val="15"/>
                <w:szCs w:val="15"/>
                <w:color w:val="auto"/>
              </w:rPr>
              <w:t>Market Yield</w:t>
            </w:r>
          </w:p>
        </w:tc>
        <w:tc>
          <w:tcPr>
            <w:tcW w:w="2120" w:type="dxa"/>
            <w:vAlign w:val="bottom"/>
            <w:gridSpan w:val="2"/>
          </w:tcPr>
          <w:p>
            <w:pPr>
              <w:jc w:val="right"/>
              <w:ind w:right="363"/>
              <w:spacing w:after="0" w:line="162" w:lineRule="exact"/>
              <w:rPr>
                <w:sz w:val="20"/>
                <w:szCs w:val="20"/>
                <w:color w:val="auto"/>
              </w:rPr>
            </w:pPr>
            <w:r>
              <w:rPr>
                <w:rFonts w:ascii="Times New Roman" w:cs="Times New Roman" w:eastAsia="Times New Roman" w:hAnsi="Times New Roman"/>
                <w:sz w:val="15"/>
                <w:szCs w:val="15"/>
                <w:color w:val="auto"/>
              </w:rPr>
              <w:t>10.78% -10.78% (10.78%)</w:t>
            </w:r>
          </w:p>
        </w:tc>
        <w:tc>
          <w:tcPr>
            <w:tcW w:w="14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Decrease</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Mezzanine debt investments</w:t>
            </w:r>
          </w:p>
        </w:tc>
        <w:tc>
          <w:tcPr>
            <w:tcW w:w="1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30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Equity investments</w:t>
            </w:r>
          </w:p>
        </w:tc>
        <w:tc>
          <w:tcPr>
            <w:tcW w:w="1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80"/>
              <w:spacing w:after="0" w:line="164" w:lineRule="exact"/>
              <w:rPr>
                <w:sz w:val="20"/>
                <w:szCs w:val="20"/>
                <w:color w:val="auto"/>
              </w:rPr>
            </w:pPr>
            <w:r>
              <w:rPr>
                <w:rFonts w:ascii="Times New Roman" w:cs="Times New Roman" w:eastAsia="Times New Roman" w:hAnsi="Times New Roman"/>
                <w:sz w:val="15"/>
                <w:szCs w:val="15"/>
                <w:color w:val="auto"/>
              </w:rPr>
              <w:t>2,000</w:t>
            </w:r>
          </w:p>
        </w:tc>
        <w:tc>
          <w:tcPr>
            <w:tcW w:w="1900" w:type="dxa"/>
            <w:vAlign w:val="bottom"/>
            <w:gridSpan w:val="2"/>
          </w:tcPr>
          <w:p>
            <w:pPr>
              <w:ind w:left="120"/>
              <w:spacing w:after="0" w:line="164" w:lineRule="exact"/>
              <w:rPr>
                <w:sz w:val="20"/>
                <w:szCs w:val="20"/>
                <w:color w:val="auto"/>
              </w:rPr>
            </w:pPr>
            <w:r>
              <w:rPr>
                <w:rFonts w:ascii="Times New Roman" w:cs="Times New Roman" w:eastAsia="Times New Roman" w:hAnsi="Times New Roman"/>
                <w:sz w:val="15"/>
                <w:szCs w:val="15"/>
                <w:color w:val="auto"/>
              </w:rPr>
              <w:t>Market Approach (2)</w:t>
            </w:r>
          </w:p>
        </w:tc>
        <w:tc>
          <w:tcPr>
            <w:tcW w:w="1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60" w:right="380" w:hanging="452"/>
        <w:spacing w:after="0" w:line="249" w:lineRule="auto"/>
        <w:tabs>
          <w:tab w:leader="none" w:pos="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$114.5 million of first-lien debt investments which, due to the proximity of the transactions relative to the measurement date, were valued using the cost of the investment.</w:t>
      </w:r>
    </w:p>
    <w:p>
      <w:pPr>
        <w:ind w:left="460" w:hanging="452"/>
        <w:spacing w:after="0"/>
        <w:tabs>
          <w:tab w:leader="none" w:pos="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Valued at cost due to the proximity of the transaction relative to the measurement date.</w:t>
      </w:r>
    </w:p>
    <w:p>
      <w:pPr>
        <w:spacing w:after="0" w:line="20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420"/>
          </w:cols>
          <w:pgMar w:left="240" w:top="456" w:right="2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fair value of the Company’s debt, which is categorized as Level 3 within the fair value hierarchy, as of December 31, 2013 and 2012, approximates its carrying value as the outstanding balances are callable at carrying value.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and Liabilities</w:t>
      </w:r>
    </w:p>
    <w:p>
      <w:pPr>
        <w:spacing w:after="0" w:line="117"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right="200" w:firstLine="456"/>
        <w:spacing w:after="0" w:line="313" w:lineRule="auto"/>
        <w:rPr>
          <w:sz w:val="20"/>
          <w:szCs w:val="20"/>
          <w:color w:val="auto"/>
        </w:rPr>
      </w:pPr>
      <w:r>
        <w:rPr>
          <w:rFonts w:ascii="Times New Roman" w:cs="Times New Roman" w:eastAsia="Times New Roman" w:hAnsi="Times New Roman"/>
          <w:sz w:val="17"/>
          <w:szCs w:val="17"/>
          <w:color w:val="auto"/>
        </w:rPr>
        <w:t>In accordance with the 1940 Act, with certain limitations, the Company is allowed to borrow amounts such that its asset coverage, as defined in the 1940 Act, is at least 200% after such borrowing. As of December 31, 2013 and 2012, the Company’s asset coverage was 232.9% and 244.6%, respectively.</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obligations consisted of the following as of December 31, 2013 and 2012:</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(DBTCA)</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(Natixis)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77,767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(SunTrust)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322,500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(DBTCA)</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(Natixis)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66,836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(SunTrust)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331,836</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540" w:right="2380" w:hanging="4627"/>
        <w:spacing w:after="0" w:line="454" w:lineRule="auto"/>
        <w:tabs>
          <w:tab w:leader="none" w:pos="147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considers any limitations related to the respective debt facilities’ borrowing bases. F-27</w:t>
      </w:r>
    </w:p>
    <w:p>
      <w:pPr>
        <w:sectPr>
          <w:pgSz w:w="11900" w:h="16838" w:orient="portrait"/>
          <w:cols w:equalWidth="0" w:num="1">
            <w:col w:w="11380"/>
          </w:cols>
          <w:pgMar w:left="240" w:top="456" w:right="27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years ended December 31, 2013, 2012 and 2011, the components of interest expense were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gridSpan w:val="2"/>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382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440" w:type="dxa"/>
            <w:vAlign w:val="bottom"/>
          </w:tcPr>
          <w:p>
            <w:pPr>
              <w:spacing w:after="0"/>
              <w:rPr>
                <w:sz w:val="15"/>
                <w:szCs w:val="15"/>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2011</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1,252</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1,496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10,469</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shd w:val="clear" w:color="auto" w:fill="CCEEFF"/>
          </w:tcPr>
          <w:p>
            <w:pPr>
              <w:spacing w:after="0"/>
              <w:rPr>
                <w:sz w:val="18"/>
                <w:szCs w:val="18"/>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60" w:type="dxa"/>
            <w:vAlign w:val="bottom"/>
          </w:tcPr>
          <w:p>
            <w:pPr>
              <w:spacing w:after="0"/>
              <w:rPr>
                <w:sz w:val="20"/>
                <w:szCs w:val="20"/>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(SunTrust)</w:t>
      </w:r>
    </w:p>
    <w:p>
      <w:pPr>
        <w:spacing w:after="0" w:line="11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SunTrust Bank, as administrative agent, and certain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88"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On February 27, 2014, the Company further amended and restated the Revolving Credit Facility (SunTrust). The second amended and restated agreement (the Revolving Credit Facility (SunTrust)), among other things:</w:t>
      </w:r>
    </w:p>
    <w:p>
      <w:pPr>
        <w:spacing w:after="0" w:line="67" w:lineRule="exact"/>
        <w:rPr>
          <w:sz w:val="20"/>
          <w:szCs w:val="20"/>
          <w:color w:val="auto"/>
        </w:rPr>
      </w:pPr>
    </w:p>
    <w:p>
      <w:pPr>
        <w:ind w:left="900" w:hanging="325"/>
        <w:spacing w:after="0"/>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to $581.3 million;</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uncommitted accordion feature to allow the Company, under certain circumstances to increase the size of the facility up to $956.3 million;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limit for swingline loans to $100 million;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$545 million in commitments,</w:t>
      </w:r>
    </w:p>
    <w:p>
      <w:pPr>
        <w:spacing w:after="0" w:line="130" w:lineRule="exact"/>
        <w:rPr>
          <w:rFonts w:ascii="Times New Roman" w:cs="Times New Roman" w:eastAsia="Times New Roman" w:hAnsi="Times New Roman"/>
          <w:sz w:val="18"/>
          <w:szCs w:val="18"/>
          <w:color w:val="auto"/>
        </w:rPr>
      </w:pPr>
    </w:p>
    <w:p>
      <w:pPr>
        <w:ind w:left="1480" w:right="200" w:hanging="446"/>
        <w:spacing w:after="0" w:line="282" w:lineRule="auto"/>
        <w:tabs>
          <w:tab w:leader="none" w:pos="14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revolving period from June 30, 2017 to February 27, 2018, during which period the Company, subject to certain conditions, may make borrowings under the facility,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July 2, 2018 to February 27, 2019;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Amounts drawn under the Revolving Credit Facility (SunTrust),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4" w:lineRule="exact"/>
        <w:rPr>
          <w:sz w:val="20"/>
          <w:szCs w:val="20"/>
          <w:color w:val="auto"/>
        </w:rPr>
      </w:pPr>
    </w:p>
    <w:p>
      <w:pPr>
        <w:jc w:val="both"/>
        <w:ind w:right="440" w:firstLine="456"/>
        <w:spacing w:after="0" w:line="261" w:lineRule="auto"/>
        <w:rPr>
          <w:sz w:val="20"/>
          <w:szCs w:val="20"/>
          <w:color w:val="auto"/>
        </w:rPr>
      </w:pPr>
      <w:r>
        <w:rPr>
          <w:rFonts w:ascii="Times New Roman" w:cs="Times New Roman" w:eastAsia="Times New Roman" w:hAnsi="Times New Roman"/>
          <w:sz w:val="18"/>
          <w:szCs w:val="18"/>
          <w:color w:val="auto"/>
        </w:rPr>
        <w:t>The Revolving Credit Facility (SunTrust) is guaranteed by TC Lending, LLC and certain domestic subsidiaries that are formed or acquired by the Company in the future. The Revolving Credit Facility (SunTrust)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00"/>
          </w:cols>
          <w:pgMar w:left="240" w:top="456" w:right="2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The Revolving Credit Facility (SunTrust) includes customary events of default, as well as customary covenants, including restrictions on certain distributions and financial covenants requiring:</w:t>
      </w:r>
    </w:p>
    <w:p>
      <w:pPr>
        <w:spacing w:after="0" w:line="67" w:lineRule="exact"/>
        <w:rPr>
          <w:sz w:val="20"/>
          <w:szCs w:val="20"/>
          <w:color w:val="auto"/>
        </w:rPr>
      </w:pPr>
    </w:p>
    <w:p>
      <w:pPr>
        <w:ind w:left="900" w:hanging="325"/>
        <w:spacing w:after="0"/>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30" w:lineRule="exact"/>
        <w:rPr>
          <w:rFonts w:ascii="Times New Roman" w:cs="Times New Roman" w:eastAsia="Times New Roman" w:hAnsi="Times New Roman"/>
          <w:sz w:val="18"/>
          <w:szCs w:val="18"/>
          <w:color w:val="auto"/>
        </w:rPr>
      </w:pPr>
    </w:p>
    <w:p>
      <w:pPr>
        <w:ind w:left="900" w:right="380" w:hanging="325"/>
        <w:spacing w:after="0" w:line="266" w:lineRule="auto"/>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$205,000,000 plus 25% of the net proceeds of the sale of equity interests after August 23, 2012.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(Natixis)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May 8, 2012, the “Natixis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Revolving Credit Facility (Natixis)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credit and security agreement provided for a contribution and reinvestment period for up to 18 months after the Natixis Closing Date, or the Natixis Commitment Termination Date. The Natixis Commitment Termination Date was November 8, 2013, at which point the reinvestment period of the Revolving Credit Facility (Natixis)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Natixis Commitment Termination Date, proceeds received from principal on assets could be used to pay down borrowings or make additional investments. Following the Natixis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8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On January 21, 2014, TPG SL SPV entered into an agreement to amend and restate the credit and security agreement (as amended, Revolving Credit Facility (Natixis)). The amended and restated facility, among other things:</w:t>
      </w:r>
    </w:p>
    <w:p>
      <w:pPr>
        <w:spacing w:after="0" w:line="67" w:lineRule="exact"/>
        <w:rPr>
          <w:sz w:val="20"/>
          <w:szCs w:val="20"/>
          <w:color w:val="auto"/>
        </w:rPr>
      </w:pPr>
    </w:p>
    <w:p>
      <w:pPr>
        <w:ind w:left="900" w:hanging="325"/>
        <w:spacing w:after="0"/>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from $100 million to $175 million;</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May 8, 2020 to January 21, 2021;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pricing;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certain changes to the eligibility criteria and concentration limits.</w:t>
      </w:r>
    </w:p>
    <w:p>
      <w:pPr>
        <w:spacing w:after="0" w:line="225"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Amounts drawn under the amended and restated Revolving Credit Facility (Natixis) and the original credit and security agreement bear interest at LIBOR plus a margin or base rate plus a margin or, in the case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amended and restated Revolving Credit Facility (Natixis), the lenders’ cost of funds plus a margin, in each case at TPG SL SPV’s option. TPG SL SPV’s ability to borrow at lenders’ cost of funds plus a margin lowers our interest rate currently applicable on the Company’s borrowings under the Revolving Credit Facility (Natixis). The undrawn portion of the commitment bears an unutilized commitment fee of 0.75%. The Revolving Credit Facility (Natixis) contains customary covenants, including covenants relating to separateness from the Adviser and its affiliates and long-term credit ratings with respect to the underlying collateral obligations, and events of default. The Revolving Credit Facility (Natixis) is secured by a perfected first priority security interest in the assets of TPG SL SPV and on any payments received by TPG SL SPV in respect of such assets, which accordingly are not available to pay the Company’s other debt obligations.</w:t>
      </w:r>
    </w:p>
    <w:p>
      <w:pPr>
        <w:spacing w:after="0" w:line="4"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As of December 31, 2013 and 2012, TPG SL SPV had $184.3 million and $154.4 million, respectively, in investments at fair value, and $78.3 million and $67.3 million, respectively, in liabilities, including the outstanding borrowings, on its balance sheet. As of December 31, 2013 and 2012, TPG SL SPV had $6.3 million and $4.3 million, respectively, in restricted cash, a component of prepaid expenses and other assets, in the accompanying consolidated financial statements.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Borrowings of TPG SL SPV are considered the Company’s borrowings for purposes of complying with the asset coverage requirements of the 1940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 (DBTCA)</w:t>
      </w:r>
    </w:p>
    <w:p>
      <w:pPr>
        <w:spacing w:after="0" w:line="11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September 28, 2011, the Company entered into a revolving credit facility with Deutsche Bank Trust Company Americas, or DBTCA. At closing, the maximum principal amount of the revolving credit facility was $150 million, subject to availability under the borrowing base. On December 22, 2011, the revolving credit facility was amended and restated (as amended the Revolving Credit Facility (DBTCA)). Under the Revolving Credit Facility (DBTCA), the maximum principal amount was increased from $150 million to $250 million subject to availability under a borrowing base. Proceeds from the Revolving Credit Facility (DBTCA) could have been used for investment activities, expenses, working capital requirements and general corporate purposes.</w:t>
      </w:r>
    </w:p>
    <w:p>
      <w:pPr>
        <w:spacing w:after="0" w:line="184"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During July 2013, the Company reduced the capacity of the Revolving Credit Facility (DBTCA) from $250 million to $100 million. The elective reduction did not have a significant effect on the Company’s liquidity as (i) the Company’s borrowings are limited by the 1940 Act’s asset coverage requirement; and (ii) there was adequate availability under the Company’s other credit facilities.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November 5, 2013, the Company entered into an agreement to amend the Revolving Credit Facility (DBTCA) by extending the stated maturity date from December 22, 2013 to June 30, 2014. The Revolving Credit Facility (DBTCA) would have matured upon the earlier of June 30, 2014 and 25 days prior to a qualifying initial public offering of the Company. On February 27, 2014, The Company terminated the Revolving Credit Facility (DBTCA), effective March 4, 2014. The outstanding balance under the Revolving Credit Facility (DBTCA) was paid down prior to terminating the facility. The Company did not incur any fees or penalties in conjunction with the termination.</w:t>
      </w:r>
    </w:p>
    <w:p>
      <w:pPr>
        <w:spacing w:after="0" w:line="184"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The Revolving Credit Facility (DBTCA) was secured by a perfected first priority security interest in the unfunded capital commitments of the Company’s existing investors.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Interest rates on obligations under the Revolving Credit Facility (DBTCA) were based on prevailing LIBOR or prime lending rate plus an applicable margin. The Company could have elected either the LIBOR or prime rate at the time of draw-down, and loans could have been converted from one rate to another at any time, subject to certain conditions. The Company also paid a fee of 0.375% on undrawn amounts of the Revolving Credit Facility (DBTCA). In respect of each letter of credit, the Company paid a fee and a fixed rate while the letter of credit was outstanding.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00"/>
          </w:cols>
          <w:pgMar w:left="240" w:top="455" w:right="2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The Revolving Credit Facility (DBTCA) contained customary covenants on the Company and its subsidiaries, including requirements to deposit all capital call proceeds into a collateral account, restrictions on certain distributions, and restrictions on certain types and amounts of indebtedness. The Revolving Credit Facility (DBTCA) also included customary events of default.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and December 31, 2012,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As of December 31, 2013 and 2012, the Company had the following commitments to fund investments: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7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58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38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14,500</w:t>
            </w:r>
          </w:p>
        </w:tc>
      </w:tr>
      <w:tr>
        <w:trPr>
          <w:trHeight w:val="27"/>
        </w:trPr>
        <w:tc>
          <w:tcPr>
            <w:tcW w:w="5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54,974</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32,000</w:t>
            </w:r>
          </w:p>
        </w:tc>
      </w:tr>
      <w:tr>
        <w:trPr>
          <w:trHeight w:val="20"/>
        </w:trPr>
        <w:tc>
          <w:tcPr>
            <w:tcW w:w="5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and 2012, the Company had $1.5 billion and $1.4 billion, respectively, in total capital commitments from investors ($1.0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and $0.9 billion unfunded, respectively). Of these amounts, $117.1 million and $114.1 million, respectively, is from the Adviser and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($76.7 million and $76.6 million unfunded, respectively). These unfunded commitments will no longer remain in effect following the completion of an initial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offering of the Company’s common stock. See Note 1.</w:t>
      </w:r>
    </w:p>
    <w:p>
      <w:pPr>
        <w:spacing w:after="0" w:line="207"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December 31, 2013, management is not aware of any pending or threatened litigation.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2013 and 2012, the Company entered into subscription agreements (collectively, the “Subscription Agreements”) with several investors, including the Adviser and its affiliates, providing for the private placement of the Company’s Common Stock. Under the terms of the Subscription Agreements, investors are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w:t>
      </w:r>
    </w:p>
    <w:p>
      <w:pPr>
        <w:spacing w:after="0" w:line="184"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total shares issued and proceeds received related to capital drawdowns delivered pursuant to the Subscription Agreements during the years ended December 31, 2013 and 2012:</w:t>
      </w:r>
    </w:p>
    <w:p>
      <w:pPr>
        <w:spacing w:after="0" w:line="182"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300"/>
        <w:spacing w:after="0"/>
        <w:rPr>
          <w:sz w:val="20"/>
          <w:szCs w:val="20"/>
          <w:color w:val="auto"/>
        </w:rPr>
      </w:pPr>
      <w:r>
        <w:rPr>
          <w:rFonts w:ascii="Times New Roman" w:cs="Times New Roman" w:eastAsia="Times New Roman" w:hAnsi="Times New Roman"/>
          <w:sz w:val="14"/>
          <w:szCs w:val="14"/>
          <w:b w:val="1"/>
          <w:bCs w:val="1"/>
          <w:color w:val="auto"/>
        </w:rPr>
        <w:t>December 31, 2013</w:t>
      </w:r>
    </w:p>
    <w:tbl>
      <w:tblPr>
        <w:tblLayout w:type="fixed"/>
        <w:tblInd w:w="1380" w:type="dxa"/>
        <w:tblCellMar>
          <w:top w:w="0" w:type="dxa"/>
          <w:left w:w="0" w:type="dxa"/>
          <w:bottom w:w="0" w:type="dxa"/>
          <w:right w:w="0" w:type="dxa"/>
        </w:tblCellMar>
      </w:tblPr>
      <w:tr>
        <w:trPr>
          <w:trHeight w:val="142"/>
        </w:trPr>
        <w:tc>
          <w:tcPr>
            <w:tcW w:w="3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Shares Issued </w:t>
            </w:r>
            <w:r>
              <w:rPr>
                <w:rFonts w:ascii="Times New Roman" w:cs="Times New Roman" w:eastAsia="Times New Roman" w:hAnsi="Times New Roman"/>
                <w:sz w:val="12"/>
                <w:szCs w:val="12"/>
                <w:b w:val="1"/>
                <w:bCs w:val="1"/>
                <w:color w:val="auto"/>
              </w:rPr>
              <w:t>(1)</w:t>
            </w:r>
          </w:p>
        </w:tc>
        <w:tc>
          <w:tcPr>
            <w:tcW w:w="21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 2013</w:t>
            </w:r>
          </w:p>
        </w:tc>
        <w:tc>
          <w:tcPr>
            <w:tcW w:w="2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2,079,224</w:t>
            </w:r>
          </w:p>
        </w:tc>
        <w:tc>
          <w:tcPr>
            <w:tcW w:w="10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September 26, 2013</w:t>
            </w:r>
          </w:p>
        </w:tc>
        <w:tc>
          <w:tcPr>
            <w:tcW w:w="2180" w:type="dxa"/>
            <w:vAlign w:val="bottom"/>
            <w:gridSpan w:val="2"/>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1,633,829</w:t>
            </w:r>
          </w:p>
        </w:tc>
        <w:tc>
          <w:tcPr>
            <w:tcW w:w="1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Capital Drawdowns</w:t>
            </w:r>
          </w:p>
        </w:tc>
        <w:tc>
          <w:tcPr>
            <w:tcW w:w="218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3,713,053</w:t>
            </w:r>
          </w:p>
        </w:tc>
        <w:tc>
          <w:tcPr>
            <w:tcW w:w="136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56,857</w:t>
            </w:r>
          </w:p>
        </w:tc>
        <w:tc>
          <w:tcPr>
            <w:tcW w:w="100" w:type="dxa"/>
            <w:vAlign w:val="bottom"/>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200" w:type="dxa"/>
            <w:vAlign w:val="bottom"/>
            <w:gridSpan w:val="3"/>
          </w:tcPr>
          <w:p>
            <w:pPr>
              <w:jc w:val="right"/>
              <w:ind w:right="1850"/>
              <w:spacing w:after="0"/>
              <w:rPr>
                <w:sz w:val="20"/>
                <w:szCs w:val="20"/>
                <w:color w:val="auto"/>
              </w:rPr>
            </w:pPr>
            <w:r>
              <w:rPr>
                <w:rFonts w:ascii="Times New Roman" w:cs="Times New Roman" w:eastAsia="Times New Roman" w:hAnsi="Times New Roman"/>
                <w:sz w:val="18"/>
                <w:szCs w:val="18"/>
                <w:color w:val="auto"/>
              </w:rPr>
              <w:t>F-31</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6" w:right="31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December 31, 2012</w:t>
      </w:r>
    </w:p>
    <w:tbl>
      <w:tblPr>
        <w:tblLayout w:type="fixed"/>
        <w:tblInd w:w="1380" w:type="dxa"/>
        <w:tblCellMar>
          <w:top w:w="0" w:type="dxa"/>
          <w:left w:w="0" w:type="dxa"/>
          <w:bottom w:w="0" w:type="dxa"/>
          <w:right w:w="0" w:type="dxa"/>
        </w:tblCellMar>
      </w:tblPr>
      <w:tr>
        <w:trPr>
          <w:trHeight w:val="142"/>
        </w:trPr>
        <w:tc>
          <w:tcPr>
            <w:tcW w:w="5500" w:type="dxa"/>
            <w:vAlign w:val="bottom"/>
          </w:tcPr>
          <w:p>
            <w:pPr>
              <w:spacing w:after="0"/>
              <w:rPr>
                <w:sz w:val="12"/>
                <w:szCs w:val="12"/>
                <w:color w:val="auto"/>
              </w:rPr>
            </w:pPr>
          </w:p>
        </w:tc>
        <w:tc>
          <w:tcPr>
            <w:tcW w:w="10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Shares Issued </w:t>
            </w:r>
            <w:r>
              <w:rPr>
                <w:rFonts w:ascii="Times New Roman" w:cs="Times New Roman" w:eastAsia="Times New Roman" w:hAnsi="Times New Roman"/>
                <w:sz w:val="12"/>
                <w:szCs w:val="12"/>
                <w:b w:val="1"/>
                <w:bCs w:val="1"/>
                <w:color w:val="auto"/>
              </w:rPr>
              <w:t>(1)</w:t>
            </w:r>
          </w:p>
        </w:tc>
        <w:tc>
          <w:tcPr>
            <w:tcW w:w="2060" w:type="dxa"/>
            <w:vAlign w:val="bottom"/>
            <w:tcBorders>
              <w:top w:val="single" w:sz="8" w:color="auto"/>
            </w:tcBorders>
            <w:gridSpan w:val="3"/>
          </w:tcPr>
          <w:p>
            <w:pPr>
              <w:ind w:left="920"/>
              <w:spacing w:after="0" w:line="142" w:lineRule="exact"/>
              <w:rPr>
                <w:sz w:val="20"/>
                <w:szCs w:val="20"/>
                <w:color w:val="auto"/>
              </w:rPr>
            </w:pPr>
            <w:r>
              <w:rPr>
                <w:rFonts w:ascii="Times New Roman" w:cs="Times New Roman" w:eastAsia="Times New Roman" w:hAnsi="Times New Roman"/>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2012</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435,061</w:t>
            </w: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February 22, 2012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2,368,398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29, 2012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5,076,511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May 31, 2012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892,058</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29, 2012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2,319,591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September 26, 2012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1,496,143</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22,698</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December 21, 2012 </w:t>
            </w:r>
            <w:r>
              <w:rPr>
                <w:rFonts w:ascii="Times New Roman" w:cs="Times New Roman" w:eastAsia="Times New Roman" w:hAnsi="Times New Roman"/>
                <w:sz w:val="15"/>
                <w:szCs w:val="15"/>
                <w:color w:val="auto"/>
              </w:rPr>
              <w:t>(2)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6,611,659</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Capital Drawdowns</w:t>
            </w:r>
          </w:p>
        </w:tc>
        <w:tc>
          <w:tcPr>
            <w:tcW w:w="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19,199,421</w:t>
            </w:r>
          </w:p>
        </w:tc>
        <w:tc>
          <w:tcPr>
            <w:tcW w:w="9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287,586</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1920" w:hanging="440"/>
        <w:spacing w:after="0" w:line="261" w:lineRule="auto"/>
        <w:tabs>
          <w:tab w:leader="none" w:pos="19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have been retroactively adjusted for the stock split which was effected in the form of a stock dividend.</w:t>
      </w:r>
    </w:p>
    <w:p>
      <w:pPr>
        <w:ind w:left="1920" w:right="440" w:hanging="440"/>
        <w:spacing w:after="0" w:line="261" w:lineRule="auto"/>
        <w:tabs>
          <w:tab w:leader="none" w:pos="19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2012, there were $1.9 million in capital drawdowns outstanding from investors. On January 4, 2013, all outstanding amounts had been received by the Company.</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On December 31, 2013, the Company delivered a capital drawdown notice to its investors relating to the sale of 4,234,501 shares of the Company’s common stock, par value $0.01 per share for an aggregate offering price of $65.0 million. The sale closed on January 15, 2014.</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investors who have not opted out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dividend reinvestment plan:</w:t>
      </w:r>
    </w:p>
    <w:p>
      <w:pPr>
        <w:spacing w:after="0" w:line="227" w:lineRule="exact"/>
        <w:rPr>
          <w:sz w:val="20"/>
          <w:szCs w:val="20"/>
          <w:color w:val="auto"/>
        </w:rPr>
      </w:pPr>
    </w:p>
    <w:p>
      <w:pPr>
        <w:jc w:val="center"/>
        <w:ind w:left="37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3720"/>
        <w:spacing w:after="0"/>
        <w:rPr>
          <w:sz w:val="20"/>
          <w:szCs w:val="20"/>
          <w:color w:val="auto"/>
        </w:rPr>
      </w:pPr>
      <w:r>
        <w:rPr>
          <w:rFonts w:ascii="Times New Roman" w:cs="Times New Roman" w:eastAsia="Times New Roman" w:hAnsi="Times New Roman"/>
          <w:sz w:val="14"/>
          <w:szCs w:val="14"/>
          <w:b w:val="1"/>
          <w:bCs w:val="1"/>
          <w:color w:val="auto"/>
        </w:rPr>
        <w:t>December 31, 2013</w:t>
      </w:r>
    </w:p>
    <w:tbl>
      <w:tblPr>
        <w:tblLayout w:type="fixed"/>
        <w:tblInd w:w="920" w:type="dxa"/>
        <w:tblCellMar>
          <w:top w:w="0" w:type="dxa"/>
          <w:left w:w="0" w:type="dxa"/>
          <w:bottom w:w="0" w:type="dxa"/>
          <w:right w:w="0" w:type="dxa"/>
        </w:tblCellMar>
      </w:tblP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940" w:type="dxa"/>
            <w:vAlign w:val="bottom"/>
            <w:vMerge w:val="restart"/>
          </w:tcPr>
          <w:p>
            <w:pPr>
              <w:spacing w:after="0"/>
              <w:rPr>
                <w:sz w:val="10"/>
                <w:szCs w:val="10"/>
                <w:color w:val="auto"/>
              </w:rPr>
            </w:pPr>
          </w:p>
        </w:tc>
        <w:tc>
          <w:tcPr>
            <w:tcW w:w="154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580" w:type="dxa"/>
            <w:vAlign w:val="bottom"/>
            <w:tcBorders>
              <w:top w:val="single" w:sz="8" w:color="auto"/>
            </w:tcBorders>
            <w:vMerge w:val="restart"/>
          </w:tcPr>
          <w:p>
            <w:pPr>
              <w:spacing w:after="0"/>
              <w:rPr>
                <w:sz w:val="10"/>
                <w:szCs w:val="10"/>
                <w:color w:val="auto"/>
              </w:rPr>
            </w:pPr>
          </w:p>
        </w:tc>
        <w:tc>
          <w:tcPr>
            <w:tcW w:w="2460" w:type="dxa"/>
            <w:vAlign w:val="bottom"/>
            <w:tcBorders>
              <w:top w:val="single" w:sz="8" w:color="auto"/>
            </w:tcBorders>
            <w:gridSpan w:val="2"/>
          </w:tcPr>
          <w:p>
            <w:pPr>
              <w:jc w:val="right"/>
              <w:ind w:right="1600"/>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Issued </w:t>
            </w:r>
            <w:r>
              <w:rPr>
                <w:rFonts w:ascii="Times New Roman" w:cs="Times New Roman" w:eastAsia="Times New Roman" w:hAnsi="Times New Roman"/>
                <w:sz w:val="12"/>
                <w:szCs w:val="12"/>
                <w:b w:val="1"/>
                <w:bCs w:val="1"/>
                <w:color w:val="auto"/>
              </w:rPr>
              <w:t>(1)</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vMerge w:val="continue"/>
          </w:tcPr>
          <w:p>
            <w:pPr>
              <w:spacing w:after="0"/>
              <w:rPr>
                <w:sz w:val="15"/>
                <w:szCs w:val="15"/>
                <w:color w:val="auto"/>
              </w:rPr>
            </w:pPr>
          </w:p>
        </w:tc>
        <w:tc>
          <w:tcPr>
            <w:tcW w:w="2940" w:type="dxa"/>
            <w:vAlign w:val="bottom"/>
            <w:tcBorders>
              <w:bottom w:val="single" w:sz="8" w:color="CCEEFF"/>
            </w:tcBorders>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December 31, 2012</w:t>
            </w: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12, 2013</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12, 2013</w:t>
            </w:r>
          </w:p>
        </w:tc>
        <w:tc>
          <w:tcPr>
            <w:tcW w:w="2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March 31, 2013</w:t>
            </w:r>
          </w:p>
        </w:tc>
        <w:tc>
          <w:tcPr>
            <w:tcW w:w="24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May 7, 2013</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436,728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2013</w:t>
            </w:r>
          </w:p>
        </w:tc>
        <w:tc>
          <w:tcPr>
            <w:tcW w:w="2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June 30, 2013</w:t>
            </w:r>
          </w:p>
        </w:tc>
        <w:tc>
          <w:tcPr>
            <w:tcW w:w="24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August 6, 2013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469,799</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2013</w:t>
            </w:r>
          </w:p>
        </w:tc>
        <w:tc>
          <w:tcPr>
            <w:tcW w:w="2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September 30, 2013</w:t>
            </w:r>
          </w:p>
        </w:tc>
        <w:tc>
          <w:tcPr>
            <w:tcW w:w="24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November 5, 2013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1,730,042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80" w:right="60" w:hanging="567"/>
        <w:spacing w:after="0" w:line="282" w:lineRule="auto"/>
        <w:tabs>
          <w:tab w:leader="none" w:pos="14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dates prior to December 3, 2013 have been retroactively adjusted for the stock split which was effected in the form of a stock dividend.</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4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940" w:type="dxa"/>
            <w:vAlign w:val="bottom"/>
            <w:vMerge w:val="restart"/>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94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56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Date Shares Issued</w:t>
            </w:r>
          </w:p>
        </w:tc>
        <w:tc>
          <w:tcPr>
            <w:tcW w:w="10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Shares Issued </w:t>
            </w:r>
            <w:r>
              <w:rPr>
                <w:rFonts w:ascii="Times New Roman" w:cs="Times New Roman" w:eastAsia="Times New Roman" w:hAnsi="Times New Roman"/>
                <w:sz w:val="12"/>
                <w:szCs w:val="12"/>
                <w:b w:val="1"/>
                <w:bCs w:val="1"/>
                <w:color w:val="auto"/>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December 31, 2011 </w:t>
            </w:r>
            <w:r>
              <w:rPr>
                <w:rFonts w:ascii="Times New Roman" w:cs="Times New Roman" w:eastAsia="Times New Roman" w:hAnsi="Times New Roman"/>
                <w:sz w:val="15"/>
                <w:szCs w:val="15"/>
                <w:color w:val="auto"/>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31, 2011</w:t>
            </w: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20, 2012</w:t>
            </w: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 2012</w:t>
            </w:r>
          </w:p>
        </w:tc>
        <w:tc>
          <w:tcPr>
            <w:tcW w:w="2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March 31, 2012</w:t>
            </w:r>
          </w:p>
        </w:tc>
        <w:tc>
          <w:tcPr>
            <w:tcW w:w="25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May 16, 2012</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97,214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9, 2012</w:t>
            </w:r>
          </w:p>
        </w:tc>
        <w:tc>
          <w:tcPr>
            <w:tcW w:w="2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June 30, 2012</w:t>
            </w:r>
          </w:p>
        </w:tc>
        <w:tc>
          <w:tcPr>
            <w:tcW w:w="25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August 7, 2012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221,098</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2012</w:t>
            </w:r>
          </w:p>
        </w:tc>
        <w:tc>
          <w:tcPr>
            <w:tcW w:w="2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September 30, 2012</w:t>
            </w:r>
          </w:p>
        </w:tc>
        <w:tc>
          <w:tcPr>
            <w:tcW w:w="25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November 13, 2012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80" w:hanging="567"/>
        <w:spacing w:after="0"/>
        <w:tabs>
          <w:tab w:leader="none" w:pos="14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20, 2012, 1,934 shares were issued to the Adviser in connection with its then participation in the dividend reinvestment plan.</w:t>
      </w:r>
    </w:p>
    <w:p>
      <w:pPr>
        <w:spacing w:after="0" w:line="27" w:lineRule="exact"/>
        <w:rPr>
          <w:rFonts w:ascii="Times New Roman" w:cs="Times New Roman" w:eastAsia="Times New Roman" w:hAnsi="Times New Roman"/>
          <w:sz w:val="18"/>
          <w:szCs w:val="18"/>
          <w:color w:val="auto"/>
        </w:rPr>
      </w:pPr>
    </w:p>
    <w:p>
      <w:pPr>
        <w:ind w:left="1480" w:right="40" w:hanging="567"/>
        <w:spacing w:after="0" w:line="261" w:lineRule="auto"/>
        <w:tabs>
          <w:tab w:leader="none" w:pos="14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have been retroactively adjusted for the stock split which was effected in the form of a stock dividend.</w:t>
      </w:r>
    </w:p>
    <w:p>
      <w:pPr>
        <w:spacing w:after="0" w:line="18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number of shares issued through the dividend reinvestment plan was determined by dividing the total dollar amount of the dividend payable to such investor by the net asset value per share of the Common Stock 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20"/>
          </w:cols>
          <w:pgMar w:left="240" w:top="456" w:right="3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record date of the dividend. The Common Stock issued through the dividend reinvestment plan was rounded down to the nearest whole share to avoid the issuance of fractional shares, and fractional shares were paid in cash.</w:t>
      </w:r>
    </w:p>
    <w:p>
      <w:pPr>
        <w:spacing w:after="0" w:line="16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 As of December 31, 2013, the Company’s issued and outstanding shares totaled 37,026,023, as adjusted for the stock split.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2013</w:t>
            </w:r>
          </w:p>
        </w:tc>
        <w:tc>
          <w:tcPr>
            <w:tcW w:w="2380" w:type="dxa"/>
            <w:vAlign w:val="bottom"/>
            <w:gridSpan w:val="3"/>
          </w:tcPr>
          <w:p>
            <w:pPr>
              <w:ind w:left="12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2012</w:t>
            </w:r>
          </w:p>
        </w:tc>
        <w:tc>
          <w:tcPr>
            <w:tcW w:w="100" w:type="dxa"/>
            <w:vAlign w:val="bottom"/>
          </w:tcPr>
          <w:p>
            <w:pPr>
              <w:spacing w:after="0"/>
              <w:rPr>
                <w:sz w:val="12"/>
                <w:szCs w:val="12"/>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66,983</w:t>
            </w:r>
          </w:p>
        </w:tc>
        <w:tc>
          <w:tcPr>
            <w:tcW w:w="1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39,595</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outstanding—basic and diluted </w:t>
            </w:r>
            <w:r>
              <w:rPr>
                <w:rFonts w:ascii="Times New Roman" w:cs="Times New Roman" w:eastAsia="Times New Roman" w:hAnsi="Times New Roman"/>
                <w:sz w:val="15"/>
                <w:szCs w:val="15"/>
                <w:color w:val="auto"/>
              </w:rPr>
              <w:t>(1)</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34,635,208</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20,541,475</w:t>
            </w:r>
          </w:p>
        </w:tc>
        <w:tc>
          <w:tcPr>
            <w:tcW w:w="100" w:type="dxa"/>
            <w:vAlign w:val="bottom"/>
          </w:tcPr>
          <w:p>
            <w:pPr>
              <w:spacing w:after="0"/>
              <w:rPr>
                <w:sz w:val="20"/>
                <w:szCs w:val="20"/>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Earnings per common share—basic and diluted </w:t>
            </w:r>
            <w:r>
              <w:rPr>
                <w:rFonts w:ascii="Times New Roman" w:cs="Times New Roman" w:eastAsia="Times New Roman" w:hAnsi="Times New Roman"/>
                <w:sz w:val="15"/>
                <w:szCs w:val="15"/>
                <w:color w:val="auto"/>
              </w:rPr>
              <w:t>(1)</w:t>
            </w:r>
          </w:p>
        </w:tc>
        <w:tc>
          <w:tcPr>
            <w:tcW w:w="9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4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r>
    </w:tbl>
    <w:p>
      <w:pPr>
        <w:spacing w:after="0" w:line="103" w:lineRule="exact"/>
        <w:rPr>
          <w:sz w:val="20"/>
          <w:szCs w:val="20"/>
          <w:color w:val="auto"/>
        </w:rPr>
      </w:pPr>
    </w:p>
    <w:p>
      <w:pPr>
        <w:ind w:left="1920" w:right="160" w:hanging="440"/>
        <w:spacing w:after="0" w:line="282" w:lineRule="auto"/>
        <w:tabs>
          <w:tab w:leader="none" w:pos="19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years ended December 31, 2013 and 2012:</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8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520" w:type="dxa"/>
            <w:vAlign w:val="bottom"/>
            <w:vMerge w:val="restart"/>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52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7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1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xml:space="preserve">Dividend per Share </w:t>
            </w:r>
            <w:r>
              <w:rPr>
                <w:rFonts w:ascii="Times New Roman" w:cs="Times New Roman" w:eastAsia="Times New Roman" w:hAnsi="Times New Roman"/>
                <w:sz w:val="12"/>
                <w:szCs w:val="12"/>
                <w:b w:val="1"/>
                <w:bCs w:val="1"/>
                <w:color w:val="auto"/>
                <w:w w:val="99"/>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12, 2013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2013</w:t>
            </w: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6, 2013</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2013</w:t>
            </w:r>
          </w:p>
        </w:tc>
        <w:tc>
          <w:tcPr>
            <w:tcW w:w="2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June 30, 2013</w:t>
            </w:r>
          </w:p>
        </w:tc>
        <w:tc>
          <w:tcPr>
            <w:tcW w:w="24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July 31, 2013</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2013</w:t>
            </w:r>
          </w:p>
        </w:tc>
        <w:tc>
          <w:tcPr>
            <w:tcW w:w="2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September 30, 2013</w:t>
            </w:r>
          </w:p>
        </w:tc>
        <w:tc>
          <w:tcPr>
            <w:tcW w:w="24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October 31, 2013</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December 31, 2013 </w:t>
            </w:r>
            <w:r>
              <w:rPr>
                <w:rFonts w:ascii="Times New Roman" w:cs="Times New Roman" w:eastAsia="Times New Roman" w:hAnsi="Times New Roman"/>
                <w:sz w:val="15"/>
                <w:szCs w:val="15"/>
                <w:color w:val="auto"/>
              </w:rPr>
              <w:t>(1)</w:t>
            </w:r>
          </w:p>
        </w:tc>
        <w:tc>
          <w:tcPr>
            <w:tcW w:w="2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December 31, 2013</w:t>
            </w:r>
          </w:p>
        </w:tc>
        <w:tc>
          <w:tcPr>
            <w:tcW w:w="24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January 30, 2014</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80" w:hanging="567"/>
        <w:spacing w:after="0"/>
        <w:tabs>
          <w:tab w:leader="none" w:pos="14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2013 declared dividend includes a special dividend of $0.03 per share.</w:t>
      </w:r>
    </w:p>
    <w:p>
      <w:pPr>
        <w:spacing w:after="0" w:line="27" w:lineRule="exact"/>
        <w:rPr>
          <w:rFonts w:ascii="Times New Roman" w:cs="Times New Roman" w:eastAsia="Times New Roman" w:hAnsi="Times New Roman"/>
          <w:sz w:val="18"/>
          <w:szCs w:val="18"/>
          <w:color w:val="auto"/>
        </w:rPr>
      </w:pPr>
    </w:p>
    <w:p>
      <w:pPr>
        <w:ind w:left="1480" w:right="80" w:hanging="567"/>
        <w:spacing w:after="0" w:line="261" w:lineRule="auto"/>
        <w:tabs>
          <w:tab w:leader="none" w:pos="14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240" w:top="456" w:right="31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60" w:type="dxa"/>
            <w:vAlign w:val="bottom"/>
            <w:gridSpan w:val="2"/>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540" w:type="dxa"/>
            <w:vAlign w:val="bottom"/>
            <w:vMerge w:val="restart"/>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254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7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16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xml:space="preserve">Dividend per Share </w:t>
            </w:r>
            <w:r>
              <w:rPr>
                <w:rFonts w:ascii="Times New Roman" w:cs="Times New Roman" w:eastAsia="Times New Roman" w:hAnsi="Times New Roman"/>
                <w:sz w:val="12"/>
                <w:szCs w:val="12"/>
                <w:b w:val="1"/>
                <w:bCs w:val="1"/>
                <w:color w:val="auto"/>
                <w:w w:val="99"/>
              </w:rPr>
              <w:t>(2)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 2012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2012</w:t>
            </w: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May 7, 2012</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9, 2012</w:t>
            </w:r>
          </w:p>
        </w:tc>
        <w:tc>
          <w:tcPr>
            <w:tcW w:w="2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June 30, 2012</w:t>
            </w:r>
          </w:p>
        </w:tc>
        <w:tc>
          <w:tcPr>
            <w:tcW w:w="2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August 3, 2012</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2012</w:t>
            </w:r>
          </w:p>
        </w:tc>
        <w:tc>
          <w:tcPr>
            <w:tcW w:w="22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September 30, 2012</w:t>
            </w:r>
          </w:p>
        </w:tc>
        <w:tc>
          <w:tcPr>
            <w:tcW w:w="246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October 30, 2012</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December 31, 2012 </w:t>
            </w:r>
            <w:r>
              <w:rPr>
                <w:rFonts w:ascii="Times New Roman" w:cs="Times New Roman" w:eastAsia="Times New Roman" w:hAnsi="Times New Roman"/>
                <w:sz w:val="15"/>
                <w:szCs w:val="15"/>
                <w:color w:val="auto"/>
              </w:rPr>
              <w:t>(1)</w:t>
            </w:r>
          </w:p>
        </w:tc>
        <w:tc>
          <w:tcPr>
            <w:tcW w:w="22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December 31, 2012</w:t>
            </w:r>
          </w:p>
        </w:tc>
        <w:tc>
          <w:tcPr>
            <w:tcW w:w="246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January 31, 2013</w:t>
            </w:r>
          </w:p>
        </w:tc>
        <w:tc>
          <w:tcPr>
            <w:tcW w:w="58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1480" w:hanging="567"/>
        <w:spacing w:after="0"/>
        <w:tabs>
          <w:tab w:leader="none" w:pos="14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2012 declared dividend includes a special dividend of $0.01 per share.</w:t>
      </w:r>
    </w:p>
    <w:p>
      <w:pPr>
        <w:spacing w:after="0" w:line="27" w:lineRule="exact"/>
        <w:rPr>
          <w:rFonts w:ascii="Times New Roman" w:cs="Times New Roman" w:eastAsia="Times New Roman" w:hAnsi="Times New Roman"/>
          <w:sz w:val="18"/>
          <w:szCs w:val="18"/>
          <w:color w:val="auto"/>
        </w:rPr>
      </w:pPr>
    </w:p>
    <w:p>
      <w:pPr>
        <w:ind w:left="1480" w:right="140" w:hanging="567"/>
        <w:spacing w:after="0" w:line="261" w:lineRule="auto"/>
        <w:tabs>
          <w:tab w:leader="none" w:pos="14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have been retroactively adjusted for the stock split which was effected in the form of a stock dividend.</w:t>
      </w:r>
    </w:p>
    <w:p>
      <w:pPr>
        <w:spacing w:after="0" w:line="18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years ended December 31, 2013 and December 31, 2012, were derived from net investment income and long-term capital gains, determined on a tax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following reconciles Increase in net assets resulting from operations for the fiscal years ended December 31, 2013, 2012 and 2011, to undistributed taxable income at December 31, 2013, 2012 and 2011:</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12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1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180" w:type="dxa"/>
            <w:vAlign w:val="bottom"/>
          </w:tcPr>
          <w:p>
            <w:pPr>
              <w:spacing w:after="0"/>
              <w:rPr>
                <w:sz w:val="15"/>
                <w:szCs w:val="15"/>
                <w:color w:val="auto"/>
              </w:rPr>
            </w:pPr>
          </w:p>
        </w:tc>
        <w:tc>
          <w:tcPr>
            <w:tcW w:w="2120" w:type="dxa"/>
            <w:vAlign w:val="bottom"/>
            <w:gridSpan w:val="6"/>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12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2011</w:t>
            </w:r>
          </w:p>
        </w:tc>
      </w:tr>
      <w:tr>
        <w:trPr>
          <w:trHeight w:val="178"/>
        </w:trPr>
        <w:tc>
          <w:tcPr>
            <w:tcW w:w="41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Increase in net assets resulting from</w:t>
            </w: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$66,983</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$39,595</w:t>
            </w:r>
          </w:p>
        </w:tc>
        <w:tc>
          <w:tcPr>
            <w:tcW w:w="9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gain on investments</w:t>
            </w: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(8,386)</w:t>
            </w:r>
          </w:p>
        </w:tc>
        <w:tc>
          <w:tcPr>
            <w:tcW w:w="9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(7,211)</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(2,312)</w:t>
            </w: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Other income (expense) for tax</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purposes, not book</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organization costs</w:t>
            </w: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1,425</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not currently deductible</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book-tax differences</w:t>
            </w:r>
          </w:p>
        </w:tc>
        <w:tc>
          <w:tcPr>
            <w:tcW w:w="11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9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r>
      <w:tr>
        <w:trPr>
          <w:trHeight w:val="223"/>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Undistributed Taxable Income</w:t>
            </w: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58,401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31,755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7"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Note:</w:t>
      </w:r>
      <w:r>
        <w:rPr>
          <w:sz w:val="20"/>
          <w:szCs w:val="20"/>
          <w:color w:val="auto"/>
        </w:rPr>
        <w:tab/>
      </w:r>
      <w:r>
        <w:rPr>
          <w:rFonts w:ascii="Times New Roman" w:cs="Times New Roman" w:eastAsia="Times New Roman" w:hAnsi="Times New Roman"/>
          <w:sz w:val="17"/>
          <w:szCs w:val="17"/>
          <w:color w:val="auto"/>
        </w:rPr>
        <w:t>Taxable income is an estimate and is not fully determined until the Company’s tax return is filed.</w:t>
      </w:r>
    </w:p>
    <w:p>
      <w:pPr>
        <w:spacing w:after="0" w:line="225"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455" w:right="2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 During the year ended December 31, 2012, permanent differences of $46 thousand were principally attributable to accrued U.S. federal excise taxes. During the year ended December 31, 2011, permanent differences were primarily attributable to $54 thousand of nondeductible net operating losses incurred by the Company in respect of the Company’s taxable year ended March 31, 2011, and were recorded as a decrease to the Company’s additional paid-in capital and accumulated net investment income (loss) as of December 31, 2011.</w:t>
      </w:r>
    </w:p>
    <w:p>
      <w:pPr>
        <w:spacing w:after="0" w:line="187" w:lineRule="exact"/>
        <w:rPr>
          <w:sz w:val="20"/>
          <w:szCs w:val="20"/>
          <w:color w:val="auto"/>
        </w:rPr>
      </w:pPr>
    </w:p>
    <w:p>
      <w:pPr>
        <w:ind w:right="300" w:firstLine="456"/>
        <w:spacing w:after="0" w:line="267" w:lineRule="auto"/>
        <w:rPr>
          <w:sz w:val="20"/>
          <w:szCs w:val="20"/>
          <w:color w:val="auto"/>
        </w:rPr>
      </w:pPr>
      <w:r>
        <w:rPr>
          <w:rFonts w:ascii="Times New Roman" w:cs="Times New Roman" w:eastAsia="Times New Roman" w:hAnsi="Times New Roman"/>
          <w:sz w:val="18"/>
          <w:szCs w:val="18"/>
          <w:color w:val="auto"/>
        </w:rPr>
        <w:t xml:space="preserve">We neither have any uncertain tax positions that met the recognition or measurement criteria of ASC 740-10-25,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tax cost of the Company’s investments as of December 31, 2013, 2012 and 2011, approximates their amortized cost.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20"/>
          </w:cols>
          <w:pgMar w:left="240" w:top="456" w:right="2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Highlights</w:t>
      </w:r>
    </w:p>
    <w:p>
      <w:pPr>
        <w:spacing w:after="0" w:line="121"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years ended December 31, 2013, 2012, and 2011. There was no activity for the period from July 21, 2010 (inception) to December 31, 2010 other than the initial issuance of Common Stock.</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84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2"/>
                <w:szCs w:val="12"/>
                <w:color w:val="auto"/>
              </w:rPr>
            </w:pPr>
          </w:p>
        </w:tc>
        <w:tc>
          <w:tcPr>
            <w:tcW w:w="190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July 21, 2010</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2011</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2010</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15"/>
                <w:szCs w:val="15"/>
                <w:b w:val="1"/>
                <w:bCs w:val="1"/>
                <w:color w:val="auto"/>
              </w:rPr>
              <w:t>(3)(4)</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15.19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at prices above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 value</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Pr>
          <w:p>
            <w:pPr>
              <w:spacing w:after="0"/>
              <w:rPr>
                <w:sz w:val="18"/>
                <w:szCs w:val="18"/>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0.23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0.29</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from investment operations</w:t>
            </w: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from net investment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from realized gains</w:t>
            </w:r>
          </w:p>
        </w:tc>
        <w:tc>
          <w:tcPr>
            <w:tcW w:w="16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18"/>
                <w:szCs w:val="18"/>
                <w:color w:val="auto"/>
              </w:rPr>
            </w:pPr>
          </w:p>
        </w:tc>
        <w:tc>
          <w:tcPr>
            <w:tcW w:w="19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End of Period </w:t>
            </w:r>
            <w:r>
              <w:rPr>
                <w:rFonts w:ascii="Times New Roman" w:cs="Times New Roman" w:eastAsia="Times New Roman" w:hAnsi="Times New Roman"/>
                <w:sz w:val="15"/>
                <w:szCs w:val="15"/>
                <w:b w:val="1"/>
                <w:bCs w:val="1"/>
                <w:color w:val="auto"/>
              </w:rPr>
              <w:t>(4)</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37,026,023</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31,582,954</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11,770,514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66,676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Return </w:t>
            </w:r>
            <w:r>
              <w:rPr>
                <w:rFonts w:ascii="Times New Roman" w:cs="Times New Roman" w:eastAsia="Times New Roman" w:hAnsi="Times New Roman"/>
                <w:sz w:val="15"/>
                <w:szCs w:val="15"/>
                <w:b w:val="1"/>
                <w:bCs w:val="1"/>
                <w:color w:val="auto"/>
              </w:rPr>
              <w:t>(1)</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12.44%</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 / Supplemental Data</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expenses to average net assets</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19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(loss) to</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net assets</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574,696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479,803</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173,092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34,635,208</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20,541,475</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3,347,602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4,467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committed capital, end of period </w:t>
            </w:r>
            <w:r>
              <w:rPr>
                <w:rFonts w:ascii="Times New Roman" w:cs="Times New Roman" w:eastAsia="Times New Roman" w:hAnsi="Times New Roman"/>
                <w:sz w:val="15"/>
                <w:szCs w:val="15"/>
                <w:color w:val="auto"/>
              </w:rPr>
              <w:t>(2)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1,402,970</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1,211,246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total contributed capital to total</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committed capital, end of period</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Year of formation</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60" w:right="80" w:hanging="452"/>
        <w:spacing w:after="0" w:line="255" w:lineRule="auto"/>
        <w:tabs>
          <w:tab w:leader="none" w:pos="4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the Company’s formation (at $1 per share) and accordingly the information is not meaningful. Excluding the effect of the initial seed funding, total return for the period July 1, 2011 through December 31, 2011 would be (1.58%).</w:t>
      </w:r>
    </w:p>
    <w:p>
      <w:pPr>
        <w:spacing w:after="0" w:line="2" w:lineRule="exact"/>
        <w:rPr>
          <w:rFonts w:ascii="Times New Roman" w:cs="Times New Roman" w:eastAsia="Times New Roman" w:hAnsi="Times New Roman"/>
          <w:sz w:val="18"/>
          <w:szCs w:val="18"/>
          <w:color w:val="auto"/>
        </w:rPr>
      </w:pPr>
    </w:p>
    <w:p>
      <w:pPr>
        <w:ind w:left="460" w:right="260" w:hanging="452"/>
        <w:spacing w:after="0" w:line="250" w:lineRule="auto"/>
        <w:tabs>
          <w:tab w:leader="none" w:pos="4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2013, 2012 and 2011, the amount includes commitments from the Adviser and its affiliates of $117.1, $114.1 and $70.4 million, respectively.</w:t>
      </w:r>
    </w:p>
    <w:p>
      <w:pPr>
        <w:ind w:left="460" w:right="160" w:hanging="452"/>
        <w:spacing w:after="0" w:line="250" w:lineRule="auto"/>
        <w:tabs>
          <w:tab w:leader="none" w:pos="4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actual number of shares outstanding at the end of the corresponding period or the weighted average shares outstanding for the period, unless otherwise noted.</w:t>
      </w:r>
    </w:p>
    <w:p>
      <w:pPr>
        <w:ind w:left="460" w:right="160" w:hanging="452"/>
        <w:spacing w:after="0" w:line="261" w:lineRule="auto"/>
        <w:tabs>
          <w:tab w:leader="none" w:pos="4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activity prior to December 3, 2013 have been retroactively adjusted for the stock split which was effected in the form of a stock dividend.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6" w:right="2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Selected Quarterly Financial Data (Unaudited)</w:t>
      </w:r>
    </w:p>
    <w:p>
      <w:pPr>
        <w:spacing w:after="0" w:line="25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27,569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23,298</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20,940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20,802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10,576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7,696</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16,993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14,585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6"/>
              </w:rPr>
              <w:t>12,817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13,106</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Investments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4,063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2,355</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21,056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16,259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6"/>
              </w:rPr>
              <w:t>14,208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15,461</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15.35</w:t>
            </w:r>
            <w:r>
              <w:rPr>
                <w:rFonts w:ascii="Times New Roman" w:cs="Times New Roman" w:eastAsia="Times New Roman" w:hAnsi="Times New Roman"/>
                <w:sz w:val="15"/>
                <w:szCs w:val="15"/>
                <w:color w:val="auto"/>
              </w:rPr>
              <w:t>(1)</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15.29</w:t>
            </w:r>
            <w:r>
              <w:rPr>
                <w:rFonts w:ascii="Times New Roman" w:cs="Times New Roman" w:eastAsia="Times New Roman" w:hAnsi="Times New Roman"/>
                <w:sz w:val="15"/>
                <w:szCs w:val="15"/>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15.27</w:t>
            </w:r>
            <w:r>
              <w:rPr>
                <w:rFonts w:ascii="Times New Roman" w:cs="Times New Roman" w:eastAsia="Times New Roman" w:hAnsi="Times New Roman"/>
                <w:sz w:val="15"/>
                <w:szCs w:val="15"/>
                <w:color w:val="auto"/>
              </w:rPr>
              <w:t>(1)</w:t>
            </w:r>
          </w:p>
        </w:tc>
      </w:tr>
      <w:tr>
        <w:trPr>
          <w:trHeight w:val="346"/>
        </w:trPr>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18,169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14,554</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11,314</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7,277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6,637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4,357</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10,892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7,917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Gains on Investments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3,169</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12,460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13,581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5,786</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r>
      <w:tr>
        <w:trPr>
          <w:trHeight w:val="346"/>
        </w:trPr>
        <w:tc>
          <w:tcPr>
            <w:tcW w:w="5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8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22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2,835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1,789</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Net Assets Resulting from Operations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1,137</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(1,554)</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Net Asset (Liability) Value per Share as of the End of the Quarter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(23.31)</w:t>
            </w:r>
          </w:p>
        </w:tc>
      </w:tr>
    </w:tbl>
    <w:p>
      <w:pPr>
        <w:spacing w:after="0" w:line="85" w:lineRule="exact"/>
        <w:rPr>
          <w:sz w:val="20"/>
          <w:szCs w:val="20"/>
          <w:color w:val="auto"/>
        </w:rPr>
      </w:pPr>
    </w:p>
    <w:p>
      <w:pPr>
        <w:ind w:left="900" w:hanging="446"/>
        <w:spacing w:after="0" w:line="282" w:lineRule="auto"/>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00"/>
          </w:cols>
          <w:pgMar w:left="240" w:top="455" w:right="4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360" w:type="dxa"/>
            <w:vAlign w:val="bottom"/>
          </w:tcPr>
          <w:p>
            <w:pPr>
              <w:spacing w:after="0"/>
              <w:rPr>
                <w:sz w:val="15"/>
                <w:szCs w:val="15"/>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$1,172,442 and $997,298, respectively)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1,195,539</w:t>
            </w:r>
          </w:p>
        </w:tc>
        <w:tc>
          <w:tcPr>
            <w:tcW w:w="6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28,804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8,936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1,251,464</w:t>
            </w:r>
          </w:p>
        </w:tc>
        <w:tc>
          <w:tcPr>
            <w:tcW w:w="6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1,039,150</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402,077</w:t>
            </w:r>
          </w:p>
        </w:tc>
        <w:tc>
          <w:tcPr>
            <w:tcW w:w="6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1,772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7,526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19,717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4,864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Payable on foreign currency forward contracts</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to affiliate</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2,051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446,709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464,454</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51,888,707 and 37,027,022 shares issued,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 and 51,887,708 and 37,026,023 shares outstanding, respectively</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519</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776,706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999 shares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2,620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on investments and foreign currency translation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23,624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realized gains on investments, including foreign currency forward contracts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804,755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1,251,464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15.51</w:t>
            </w:r>
          </w:p>
        </w:tc>
        <w:tc>
          <w:tcPr>
            <w:tcW w:w="6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456" w:right="2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1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4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2013</w:t>
            </w:r>
          </w:p>
        </w:tc>
      </w:tr>
      <w:tr>
        <w:trPr>
          <w:trHeight w:val="196"/>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31,118</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20,624</w:t>
            </w: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from cash and cash equivalents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33,481</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4,237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3,016</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fees waived (Note 3)</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(2,464)</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(1,484)</w:t>
            </w:r>
          </w:p>
        </w:tc>
      </w:tr>
      <w:tr>
        <w:trPr>
          <w:trHeight w:val="230"/>
        </w:trPr>
        <w:tc>
          <w:tcPr>
            <w:tcW w:w="20" w:type="dxa"/>
            <w:vAlign w:val="bottom"/>
          </w:tcPr>
          <w:p>
            <w:pPr>
              <w:spacing w:after="0"/>
              <w:rPr>
                <w:sz w:val="20"/>
                <w:szCs w:val="20"/>
                <w:color w:val="auto"/>
              </w:rPr>
            </w:pPr>
          </w:p>
        </w:tc>
        <w:tc>
          <w:tcPr>
            <w:tcW w:w="80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Income Before Income Taxes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21,251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13,110</w:t>
            </w: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including excise taxes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21,242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13,106</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Unrealized and Realized Gains (Losses)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3,944</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Translation of assets and liabilities in foreign currencies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net change in unrealized gains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 (losses):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8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(1,609)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8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realized gains (losses)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Total Unrealized and Realized Gains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2,355</w:t>
            </w:r>
          </w:p>
        </w:tc>
      </w:tr>
      <w:tr>
        <w:trPr>
          <w:trHeight w:val="223"/>
        </w:trPr>
        <w:tc>
          <w:tcPr>
            <w:tcW w:w="20" w:type="dxa"/>
            <w:vAlign w:val="bottom"/>
          </w:tcPr>
          <w:p>
            <w:pPr>
              <w:spacing w:after="0"/>
              <w:rPr>
                <w:sz w:val="19"/>
                <w:szCs w:val="19"/>
                <w:color w:val="auto"/>
              </w:rPr>
            </w:pPr>
          </w:p>
        </w:tc>
        <w:tc>
          <w:tcPr>
            <w:tcW w:w="804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 (1)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0.61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r>
      <w:tr>
        <w:trPr>
          <w:trHeight w:val="223"/>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outstanding—basic and diluted (1)</w:t>
            </w: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41,539,083</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32,560,424</w:t>
            </w:r>
          </w:p>
        </w:tc>
        <w:tc>
          <w:tcPr>
            <w:tcW w:w="100" w:type="dxa"/>
            <w:vAlign w:val="bottom"/>
          </w:tcPr>
          <w:p>
            <w:pPr>
              <w:spacing w:after="0"/>
              <w:rPr>
                <w:sz w:val="19"/>
                <w:szCs w:val="19"/>
                <w:color w:val="auto"/>
              </w:rPr>
            </w:pPr>
          </w:p>
        </w:tc>
      </w:tr>
    </w:tbl>
    <w:p>
      <w:pPr>
        <w:spacing w:after="0" w:line="238" w:lineRule="exact"/>
        <w:rPr>
          <w:sz w:val="20"/>
          <w:szCs w:val="20"/>
          <w:color w:val="auto"/>
        </w:rPr>
      </w:pPr>
    </w:p>
    <w:p>
      <w:pPr>
        <w:ind w:left="460" w:right="280" w:hanging="452"/>
        <w:spacing w:after="0" w:line="282" w:lineRule="auto"/>
        <w:tabs>
          <w:tab w:leader="none" w:pos="4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the three months ended March 31, 2013 have been retroactively adjusted for the stock split which was effected in the form of a stock dividend.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455" w:right="2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March 31, 2014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440" w:type="dxa"/>
            <w:vAlign w:val="bottom"/>
          </w:tcPr>
          <w:p>
            <w:pPr>
              <w:spacing w:after="0"/>
              <w:rPr>
                <w:sz w:val="13"/>
                <w:szCs w:val="13"/>
                <w:color w:val="auto"/>
              </w:rPr>
            </w:pPr>
          </w:p>
        </w:tc>
        <w:tc>
          <w:tcPr>
            <w:tcW w:w="1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1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Debt Investments</w:t>
            </w:r>
          </w:p>
        </w:tc>
        <w:tc>
          <w:tcPr>
            <w:tcW w:w="4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Aerospace and defense</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MSC Software Corporation (3)(4)(6)</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($53,452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11/2017)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12/23/2011</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$ 52,875</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$ 53,720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Heartland Automotive Holdings, LLC (3)(4)</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($33,910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6/2017)</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8/28/2012</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33,281</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32,977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280" w:type="dxa"/>
            <w:vAlign w:val="bottom"/>
            <w:gridSpan w:val="3"/>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revolving</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loan ($4,611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6/2017)</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8/28/2012</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4,508</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4,458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Sage Automotive Interiors, Inc. (3)(4)(6)</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($21,330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12/2016)</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12/31/2012</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21,437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58,919</w:t>
            </w:r>
          </w:p>
        </w:tc>
        <w:tc>
          <w:tcPr>
            <w:tcW w:w="14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58,872</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AFS Technologies, Inc. (3)(4)(6)</w:t>
            </w:r>
          </w:p>
        </w:tc>
        <w:tc>
          <w:tcPr>
            <w:tcW w:w="2280" w:type="dxa"/>
            <w:vAlign w:val="bottom"/>
            <w:gridSpan w:val="3"/>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($65,000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3/2020)</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3/3/2014</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63,551</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63,538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Actian Corporation (3)(4)(6)</w:t>
            </w:r>
          </w:p>
        </w:tc>
        <w:tc>
          <w:tcPr>
            <w:tcW w:w="2280" w:type="dxa"/>
            <w:vAlign w:val="bottom"/>
            <w:gridSpan w:val="3"/>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($66,933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4/2018)</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4/11/2013</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64,891</w:t>
            </w:r>
          </w:p>
        </w:tc>
        <w:tc>
          <w:tcPr>
            <w:tcW w:w="11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66,933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Beyond Trust Software Holding Group, Inc. (3)(6)</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($42,234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12/2019)</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12/18/2013</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41,268</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41,390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Network Merchants, Inc (3)(4)</w:t>
            </w:r>
          </w:p>
        </w:tc>
        <w:tc>
          <w:tcPr>
            <w:tcW w:w="2280" w:type="dxa"/>
            <w:vAlign w:val="bottom"/>
            <w:gridSpan w:val="3"/>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($29,659 par, due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9/2018)</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9/12/2013</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29,354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137,677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Construction and building</w:t>
            </w: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Mannington Mills, Inc. (3)(4)</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900" w:type="dxa"/>
            <w:vAlign w:val="bottom"/>
            <w:gridSpan w:val="2"/>
            <w:shd w:val="clear" w:color="auto" w:fill="CCEEFF"/>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14.00%</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($47,366 par, due</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(incl.</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3/2017)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PIK)</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3/2/2012</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46,540</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51,156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Containers and packaging</w:t>
            </w: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Newark Group, Inc. (3)(4)</w:t>
            </w:r>
          </w:p>
        </w:tc>
        <w:tc>
          <w:tcPr>
            <w:tcW w:w="22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($46,080 par, due</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2/2018)</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2/8/2013</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45,708</w:t>
            </w: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46,771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F-40</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1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660" w:type="dxa"/>
            <w:vAlign w:val="bottom"/>
            <w:gridSpan w:val="3"/>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94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Education</w:t>
            </w:r>
          </w:p>
        </w:tc>
        <w:tc>
          <w:tcPr>
            <w:tcW w:w="38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Campus Management, Inc. (3)(4)(6)</w:t>
            </w: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($29,250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9/2018)</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9/30/2013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28,594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28,811</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Electronics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My Alarm Center, LLC (3)(4)</w:t>
            </w: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($52,550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1/2018)</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1/9/2014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51,514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51,743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Mezzanine loan</w:t>
            </w:r>
          </w:p>
        </w:tc>
        <w:tc>
          <w:tcPr>
            <w:tcW w:w="860" w:type="dxa"/>
            <w:vAlign w:val="bottom"/>
            <w:gridSpan w:val="2"/>
            <w:shd w:val="clear" w:color="auto" w:fill="CCEEFF"/>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16.25%</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($4,688 par, due</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(incl.</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7/2018)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4.25%</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8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PIK)</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1/9/2014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4,664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56,157</w:t>
            </w:r>
          </w:p>
        </w:tc>
        <w:tc>
          <w:tcPr>
            <w:tcW w:w="2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56,407</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Embarcadero Technologies, Inc. (3)(4)(6)</w:t>
            </w: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($42,479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12/2017)</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41,641</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42,478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Rogue Wave Holdings, Inc. (3)(4)(6)</w:t>
            </w:r>
          </w:p>
        </w:tc>
        <w:tc>
          <w:tcPr>
            <w:tcW w:w="1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($68,174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12/2018)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7.23%</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11/21/2012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66,820</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67,663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108,461</w:t>
            </w:r>
          </w:p>
        </w:tc>
        <w:tc>
          <w:tcPr>
            <w:tcW w:w="28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110,141</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Healthcare and pharmaceuticals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Global Healthcare Exchange, LLC (3)(4)</w:t>
            </w: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term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($25,000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3/2020)</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3/11/2014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24,442</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24,438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Mediware Information Systems, Inc. (3)(4)(6)</w:t>
            </w:r>
          </w:p>
        </w:tc>
        <w:tc>
          <w:tcPr>
            <w:tcW w:w="1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($70,975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5/2018)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11/9/2012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69,543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70,975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SRS Software, LLC (3)(4)</w:t>
            </w: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($35,156 par,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12/2017)</w:t>
            </w:r>
          </w:p>
        </w:tc>
        <w:tc>
          <w:tcPr>
            <w:tcW w:w="2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34,452</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35,244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revolving</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($2,000 par, due</w:t>
            </w: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12/2017)</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130,353</w:t>
            </w:r>
          </w:p>
        </w:tc>
        <w:tc>
          <w:tcPr>
            <w:tcW w:w="28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132,662</w:t>
            </w:r>
          </w:p>
        </w:tc>
        <w:tc>
          <w:tcPr>
            <w:tcW w:w="30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F-41</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1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580" w:type="dxa"/>
            <w:vAlign w:val="bottom"/>
            <w:gridSpan w:val="3"/>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94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AMF Bowling Worldwide, Inc. (3)(4)</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($14,719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6/2018)</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7/2/2013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13,651</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14,676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Centaur, LLC (3)</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2/2020)</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9,923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10,188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Mandalay Baseball Properties, LLC (3)(4)</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8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12.00%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($35,279 par, due</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(incl.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3/2017)</w:t>
            </w: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PIK)</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4/12/2012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34,734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36,601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Soho House (5)</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Second-lien bond</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(GBP 7,000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9.13%</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9/20/2013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12,356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69,509</w:t>
            </w:r>
          </w:p>
        </w:tc>
        <w:tc>
          <w:tcPr>
            <w:tcW w:w="300" w:type="dxa"/>
            <w:vAlign w:val="bottom"/>
            <w:vMerge w:val="continue"/>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73,821</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Human resource support services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Pai Group, Inc. (3)(4)</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($34,413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5/2018)</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5/8/2013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33,696</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34,118</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SumTotal Systems, LLC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 ($7,463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due 11/2018)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11/16/2012</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7,380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7,416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($12,000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5/2019)</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11/16/2012</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53,429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Internet Services</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Highwinds Capital, Inc.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($29,000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3/7/2014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28,698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28,768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Infogix, Inc.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($36,900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6/2017)</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36,372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36,900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($650 par, due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6/2017)</w:t>
            </w:r>
          </w:p>
        </w:tc>
        <w:tc>
          <w:tcPr>
            <w:tcW w:w="2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37,550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Jeeves Information Systems AB (3)(5)(6)</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 (SEK</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211,066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6/2018)</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31,440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32,229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Metalico, Inc. (3)(4)(6)</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($35,435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11/2019)</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11/21/2013</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33,391</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34,049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F-42</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19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4240" w:type="dxa"/>
            <w:vAlign w:val="bottom"/>
            <w:gridSpan w:val="3"/>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Cost (2)</w:t>
            </w:r>
          </w:p>
        </w:tc>
        <w:tc>
          <w:tcPr>
            <w:tcW w:w="110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Office products</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Ecommerce Industries, Inc. (3)(4)</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 ($35,657</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due 3/2019)</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3/11/2014</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35,309</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35,059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Oil, gas and consumable fuels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Global Geophysical (3)(4)</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 ($40,883</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 due 9/2016)</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9/30/2013</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39,916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40,269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Trident Exploration Corp. (3)(4)(5)</w:t>
            </w: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($64,838 par, due</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10/2017)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2/5/2014</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62,960</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66,296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102,876</w:t>
            </w:r>
          </w:p>
        </w:tc>
        <w:tc>
          <w:tcPr>
            <w:tcW w:w="30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106,565</w:t>
            </w:r>
          </w:p>
        </w:tc>
        <w:tc>
          <w:tcPr>
            <w:tcW w:w="28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Kewill, Ltd. (3)(5)</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($52,500 par, due</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10/2019)</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10/2/2013</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51,516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51,974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Debt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1,169,162</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1,193,199</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23"/>
        </w:trPr>
        <w:tc>
          <w:tcPr>
            <w:tcW w:w="4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Network Merchants, Inc</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Non-Voting Preferred</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(774,099 units)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9/12/2013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Healthcare and pharmaceuticals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Global Healthcare Exchange, LLC (3)(4)</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Shares Class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(495 shares)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3/11/2014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Class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(187.5 shares)</w:t>
            </w: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3/11/2014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Borders>
              <w:left w:val="single" w:sz="8" w:color="CCEEFF"/>
            </w:tcBorders>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SRS Parent Corp.</w:t>
            </w:r>
          </w:p>
        </w:tc>
        <w:tc>
          <w:tcPr>
            <w:tcW w:w="1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Shares Class</w:t>
            </w: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(1,980 shares)</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0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Class</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(2,953,020 shares)</w:t>
            </w:r>
          </w:p>
        </w:tc>
        <w:tc>
          <w:tcPr>
            <w:tcW w:w="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left w:val="single" w:sz="8" w:color="CCEEFF"/>
            </w:tcBorders>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Equity Investments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3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gridSpan w:val="3"/>
            <w:vMerge w:val="continue"/>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1,172,442</w:t>
            </w:r>
          </w:p>
        </w:tc>
        <w:tc>
          <w:tcPr>
            <w:tcW w:w="3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1,195,539</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80" w:right="180" w:hanging="572"/>
        <w:spacing w:after="0" w:line="257" w:lineRule="auto"/>
        <w:tabs>
          <w:tab w:leader="none" w:pos="5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As of March 31, 2014, the Company does not “control” any of the portfolio companies nor are any of its portfolio companies considered to be “affiliates”—see Note 4. Certain portfolio company investments are subject to contractual restrictions on sales.</w:t>
      </w:r>
    </w:p>
    <w:p>
      <w:pPr>
        <w:spacing w:after="0" w:line="1" w:lineRule="exact"/>
        <w:rPr>
          <w:rFonts w:ascii="Times New Roman" w:cs="Times New Roman" w:eastAsia="Times New Roman" w:hAnsi="Times New Roman"/>
          <w:sz w:val="18"/>
          <w:szCs w:val="18"/>
          <w:color w:val="auto"/>
        </w:rPr>
      </w:pPr>
    </w:p>
    <w:p>
      <w:pPr>
        <w:ind w:left="580" w:right="120" w:hanging="572"/>
        <w:spacing w:after="0" w:line="261" w:lineRule="auto"/>
        <w:tabs>
          <w:tab w:leader="none" w:pos="5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20"/>
          </w:cols>
          <w:pgMar w:left="240" w:top="456" w:right="2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line="255" w:lineRule="auto"/>
        <w:tabs>
          <w:tab w:leader="none" w:pos="5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2" w:lineRule="exact"/>
        <w:rPr>
          <w:rFonts w:ascii="Times New Roman" w:cs="Times New Roman" w:eastAsia="Times New Roman" w:hAnsi="Times New Roman"/>
          <w:sz w:val="18"/>
          <w:szCs w:val="18"/>
          <w:color w:val="auto"/>
        </w:rPr>
      </w:pPr>
    </w:p>
    <w:p>
      <w:pPr>
        <w:ind w:left="580" w:right="340" w:hanging="572"/>
        <w:spacing w:after="0" w:line="250" w:lineRule="auto"/>
        <w:tabs>
          <w:tab w:leader="none" w:pos="5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580" w:right="40" w:hanging="572"/>
        <w:spacing w:after="0" w:line="250" w:lineRule="auto"/>
        <w:tabs>
          <w:tab w:leader="none" w:pos="5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1" w:lineRule="exact"/>
        <w:rPr>
          <w:rFonts w:ascii="Times New Roman" w:cs="Times New Roman" w:eastAsia="Times New Roman" w:hAnsi="Times New Roman"/>
          <w:sz w:val="18"/>
          <w:szCs w:val="18"/>
          <w:color w:val="auto"/>
        </w:rPr>
      </w:pPr>
    </w:p>
    <w:p>
      <w:pPr>
        <w:ind w:left="580" w:right="200" w:hanging="572"/>
        <w:spacing w:after="0" w:line="261" w:lineRule="auto"/>
        <w:tabs>
          <w:tab w:leader="none" w:pos="5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interest as a result of its arrangement with other lenders in a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80"/>
          </w:cols>
          <w:pgMar w:left="240" w:top="455" w:right="37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18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80" w:type="dxa"/>
            <w:vAlign w:val="bottom"/>
            <w:gridSpan w:val="3"/>
            <w:vMerge w:val="continue"/>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4"/>
                <w:szCs w:val="14"/>
                <w:color w:val="auto"/>
              </w:rPr>
              <w:t>(2)</w:t>
            </w: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Debt Investments</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Aerospace and defense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MSC Software Corporation (3)(4)(6)</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($53,452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11/2017)</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12/23/2011</w:t>
            </w:r>
          </w:p>
        </w:tc>
        <w:tc>
          <w:tcPr>
            <w:tcW w:w="3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$ 52,828</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$ 53,720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Heartland Automotive Holdings, LLC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($36,733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6/2017)</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8/28/2012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36,002</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36,182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($4,611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6/2017)</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8/28/2012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4,500</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4,528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Sage Automotive Interiors, Inc. (3)(4)(6)</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($21,553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12/2016)</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12/31/2012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21,445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61,838</w:t>
            </w: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62,155</w:t>
            </w:r>
          </w:p>
        </w:tc>
        <w:tc>
          <w:tcPr>
            <w:tcW w:w="300" w:type="dxa"/>
            <w:vAlign w:val="bottom"/>
            <w:vMerge w:val="continue"/>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AFS Technologies, Inc. (3)(4)(6)</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($44,394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8/2015)</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8/31/2011</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43,837</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45,837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Actian Corporation (3)(4)(6)</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($67,933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4/2018)</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4/11/2013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65,762</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66,405</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Aptean Holdings, Inc. f/k/a Consona Holdings, Inc.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($29,625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8/2018)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8/13/2012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29,279</w:t>
            </w:r>
          </w:p>
        </w:tc>
        <w:tc>
          <w:tcPr>
            <w:tcW w:w="11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29,477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Beyond Trust Software Holding Group, Inc. (3)(6)</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($42,500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12/2019)</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12/18/2013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41,462</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41,437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Network Merchants, Inc (3)(4)</w:t>
            </w:r>
          </w:p>
        </w:tc>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($29,659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9/2018)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9/12/2013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29,202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165,608</w:t>
            </w:r>
          </w:p>
        </w:tc>
        <w:tc>
          <w:tcPr>
            <w:tcW w:w="14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166,521</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Construction and building</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Mannington Mills, Inc. (3)(4)</w:t>
            </w:r>
          </w:p>
        </w:tc>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8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14.00%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($47,430 par,</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(incl.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3/2017)</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PIK)</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3/2/2012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46,545</w:t>
            </w: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51,817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F-45</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16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2"/>
                <w:szCs w:val="12"/>
                <w:color w:val="auto"/>
              </w:rPr>
            </w:pPr>
          </w:p>
        </w:tc>
        <w:tc>
          <w:tcPr>
            <w:tcW w:w="172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20" w:type="dxa"/>
            <w:vAlign w:val="bottom"/>
            <w:gridSpan w:val="3"/>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4"/>
                <w:szCs w:val="14"/>
                <w:color w:val="auto"/>
              </w:rPr>
              <w:t>(2)</w:t>
            </w:r>
          </w:p>
        </w:tc>
        <w:tc>
          <w:tcPr>
            <w:tcW w:w="94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1"/>
              </w:rPr>
              <w:t>Containers</w:t>
            </w:r>
          </w:p>
        </w:tc>
        <w:tc>
          <w:tcPr>
            <w:tcW w:w="3000" w:type="dxa"/>
            <w:vAlign w:val="bottom"/>
            <w:tcBorders>
              <w:top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and packaging</w:t>
            </w:r>
          </w:p>
        </w:tc>
        <w:tc>
          <w:tcPr>
            <w:tcW w:w="1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The Newark Group, Inc. (3)(4)</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($46,560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2/2018)</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8.50%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2/8/2013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46,164</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47,142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Campus Management, Inc. (3)(4)(6)</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($29,625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9/2018)</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9/30/2013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28,931</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29,032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Embarcadero Technologies, Inc. (3)(4)(6)</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($42,479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12/2017)</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41,597</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42,372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Rogue Wave Holdings, Inc. (3)(4)(6)</w:t>
            </w:r>
          </w:p>
        </w:tc>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($76,337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12/2018)</w:t>
            </w:r>
          </w:p>
        </w:tc>
        <w:tc>
          <w:tcPr>
            <w:tcW w:w="1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11/21/2012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74,752</w:t>
            </w: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75,764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116,349</w:t>
            </w:r>
          </w:p>
        </w:tc>
        <w:tc>
          <w:tcPr>
            <w:tcW w:w="28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118,136</w:t>
            </w:r>
          </w:p>
        </w:tc>
        <w:tc>
          <w:tcPr>
            <w:tcW w:w="300" w:type="dxa"/>
            <w:vAlign w:val="bottom"/>
            <w:vMerge w:val="continue"/>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Healthcare and pharmaceuticals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Mediware Information Systems, Inc. (3)(4)(6)</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($71,634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5/2018)</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11/9/2012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70,120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71,097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SRS Software, LLC (3)(4)</w:t>
            </w:r>
          </w:p>
        </w:tc>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($35,625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12/2017)</w:t>
            </w:r>
          </w:p>
        </w:tc>
        <w:tc>
          <w:tcPr>
            <w:tcW w:w="1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12/28/2012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34,782</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35,625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First-lien revolving loan</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($2,000 par,</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due 12/2017)</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8.75%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12/28/2012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106,902</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108,722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23"/>
        </w:trPr>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AMF Bowling Worldwide, Inc. (3)(4)</w:t>
            </w:r>
          </w:p>
        </w:tc>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($14,813 par,</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6/2018)</w:t>
            </w:r>
          </w:p>
        </w:tc>
        <w:tc>
          <w:tcPr>
            <w:tcW w:w="19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7/2/2013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13,687</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14,821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Centaur, LLC (3)</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($10,000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2/2020)</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8.75%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2/15/2013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9,923</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10,250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Mandalay Baseball Properties, LLC (3)(4)</w:t>
            </w:r>
          </w:p>
        </w:tc>
        <w:tc>
          <w:tcPr>
            <w:tcW w:w="1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1900" w:type="dxa"/>
            <w:vAlign w:val="bottom"/>
            <w:gridSpan w:val="3"/>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12.00%</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($34,886 par,</w:t>
            </w:r>
          </w:p>
        </w:tc>
        <w:tc>
          <w:tcPr>
            <w:tcW w:w="1900" w:type="dxa"/>
            <w:vAlign w:val="bottom"/>
            <w:gridSpan w:val="3"/>
            <w:vMerge w:val="continue"/>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3/2017)</w:t>
            </w:r>
          </w:p>
        </w:tc>
        <w:tc>
          <w:tcPr>
            <w:tcW w:w="1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(incl. 4.50% PIK)</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4/12/2012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34,303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35,758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Soho House (5)</w:t>
            </w:r>
          </w:p>
        </w:tc>
        <w:tc>
          <w:tcPr>
            <w:tcW w:w="1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Second-lien bond</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(GBP 7,000 par,</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due 10/2018)</w:t>
            </w:r>
          </w:p>
        </w:tc>
        <w:tc>
          <w:tcPr>
            <w:tcW w:w="1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9.13%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9/20/2013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11,913</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69,113</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0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F-46</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860" w:type="dxa"/>
            <w:vAlign w:val="bottom"/>
          </w:tcPr>
          <w:p>
            <w:pPr>
              <w:spacing w:after="0"/>
              <w:rPr>
                <w:sz w:val="12"/>
                <w:szCs w:val="12"/>
                <w:color w:val="auto"/>
              </w:rPr>
            </w:pPr>
          </w:p>
        </w:tc>
        <w:tc>
          <w:tcPr>
            <w:tcW w:w="1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4"/>
                <w:szCs w:val="14"/>
                <w:color w:val="auto"/>
              </w:rPr>
              <w:t>(2)</w:t>
            </w:r>
          </w:p>
        </w:tc>
        <w:tc>
          <w:tcPr>
            <w:tcW w:w="108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Human resource support services</w:t>
            </w: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Pai Group, Inc. (3)(4)</w:t>
            </w:r>
          </w:p>
        </w:tc>
        <w:tc>
          <w:tcPr>
            <w:tcW w:w="2700" w:type="dxa"/>
            <w:vAlign w:val="bottom"/>
            <w:gridSpan w:val="3"/>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($34,737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due 5/2018)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10.50%</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5/8/2013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33,979</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34,141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SumTotal Systems, LLC (3)(4)</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 ($7,483</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par, due 11/2018)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11/16/2012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7,405</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7,371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Second-lien loan</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($12,000 par,</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11/16/2012</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due 5/2019)</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10.25%</w:t>
            </w:r>
          </w:p>
        </w:tc>
        <w:tc>
          <w:tcPr>
            <w:tcW w:w="1180" w:type="dxa"/>
            <w:vAlign w:val="bottom"/>
            <w:gridSpan w:val="2"/>
            <w:vMerge w:val="continue"/>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11,932</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11,790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53,316</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53,302</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Infogix, Inc. (3)(4)</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($31,888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6/2017)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31,433</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31,808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First-lien revolving loan</w:t>
            </w: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6/1/2012</w:t>
            </w: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70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($850 par, due 6/2017)</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w:t>
            </w:r>
          </w:p>
        </w:tc>
        <w:tc>
          <w:tcPr>
            <w:tcW w:w="118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32,215</w:t>
            </w: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23"/>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8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Jeeves Information Systems AB (3)(5)</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 (SEK</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177,161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6/2018)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26,486</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27,170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Metalico, Inc. (3)(6)</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($35,650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11/2019)</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11/21/2013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33,523</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33,841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Office products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Ecommerce Industries, Inc. (3)(4)(6)</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($19,936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10/2016)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10/17/2011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19,764</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20,086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Oil, gas and consumable fuels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Global Geophysical (3)(4)</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($40,883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par, due 9/2016)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10.75%</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9/30/2013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39,617</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40,065</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Kewill, Ltd. (3)(5)</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Second-lien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($52,500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due 10/2019)</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9.50%</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51,482</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51,713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Total Debt Investments</w:t>
            </w:r>
          </w:p>
        </w:tc>
        <w:tc>
          <w:tcPr>
            <w:tcW w:w="8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994,518</w:t>
            </w:r>
          </w:p>
        </w:tc>
        <w:tc>
          <w:tcPr>
            <w:tcW w:w="30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1,014,647</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tc>
        <w:tc>
          <w:tcPr>
            <w:tcW w:w="8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Network Merchants, Inc</w:t>
            </w:r>
          </w:p>
        </w:tc>
        <w:tc>
          <w:tcPr>
            <w:tcW w:w="2700" w:type="dxa"/>
            <w:vAlign w:val="bottom"/>
            <w:gridSpan w:val="3"/>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Non-Voting Preferred</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7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Units (774,099 units)</w:t>
            </w: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9/12/2013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780</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F-47</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Amortized</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(1)</w:t>
            </w:r>
          </w:p>
        </w:tc>
        <w:tc>
          <w:tcPr>
            <w:tcW w:w="640" w:type="dxa"/>
            <w:vAlign w:val="bottom"/>
          </w:tcPr>
          <w:p>
            <w:pPr>
              <w:spacing w:after="0"/>
              <w:rPr>
                <w:sz w:val="12"/>
                <w:szCs w:val="12"/>
                <w:color w:val="auto"/>
              </w:rPr>
            </w:pPr>
          </w:p>
        </w:tc>
        <w:tc>
          <w:tcPr>
            <w:tcW w:w="20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5"/>
                <w:szCs w:val="15"/>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4"/>
                <w:szCs w:val="14"/>
                <w:color w:val="auto"/>
              </w:rPr>
              <w:t>(2)</w:t>
            </w:r>
          </w:p>
        </w:tc>
        <w:tc>
          <w:tcPr>
            <w:tcW w:w="4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4"/>
              </w:rPr>
              <w:t>Healthcare</w:t>
            </w:r>
          </w:p>
        </w:tc>
        <w:tc>
          <w:tcPr>
            <w:tcW w:w="2500" w:type="dxa"/>
            <w:vAlign w:val="bottom"/>
            <w:tcBorders>
              <w:top w:val="single" w:sz="8" w:color="CCEEFF"/>
            </w:tcBorders>
            <w:shd w:val="clear" w:color="auto" w:fill="CCEEFF"/>
          </w:tcPr>
          <w:p>
            <w:pPr>
              <w:jc w:val="center"/>
              <w:ind w:right="6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and pharmaceuticals</w:t>
            </w:r>
          </w:p>
        </w:tc>
        <w:tc>
          <w:tcPr>
            <w:tcW w:w="6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SRS Parent Corp.</w:t>
            </w:r>
          </w:p>
        </w:tc>
        <w:tc>
          <w:tcPr>
            <w:tcW w:w="2640" w:type="dxa"/>
            <w:vAlign w:val="bottom"/>
            <w:gridSpan w:val="3"/>
          </w:tcPr>
          <w:p>
            <w:pPr>
              <w:ind w:left="640"/>
              <w:spacing w:after="0" w:line="198" w:lineRule="exact"/>
              <w:rPr>
                <w:sz w:val="20"/>
                <w:szCs w:val="20"/>
                <w:color w:val="auto"/>
              </w:rPr>
            </w:pPr>
            <w:r>
              <w:rPr>
                <w:rFonts w:ascii="Times New Roman" w:cs="Times New Roman" w:eastAsia="Times New Roman" w:hAnsi="Times New Roman"/>
                <w:sz w:val="18"/>
                <w:szCs w:val="18"/>
                <w:color w:val="auto"/>
              </w:rPr>
              <w:t>Common Shares</w:t>
            </w: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Class A (1,980 shares)</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12/28/2012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6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1,024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26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Common Shares Class B</w:t>
            </w:r>
          </w:p>
        </w:tc>
        <w:tc>
          <w:tcPr>
            <w:tcW w:w="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(2,953,020 shares)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12/28/2012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42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420" w:type="dxa"/>
            <w:vAlign w:val="bottom"/>
            <w:vMerge w:val="continue"/>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0"/>
        </w:trPr>
        <w:tc>
          <w:tcPr>
            <w:tcW w:w="8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Equity Investments</w:t>
            </w: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1,804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2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997,298</w:t>
            </w:r>
          </w:p>
        </w:tc>
        <w:tc>
          <w:tcPr>
            <w:tcW w:w="42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1,016,451</w:t>
            </w:r>
          </w:p>
        </w:tc>
        <w:tc>
          <w:tcPr>
            <w:tcW w:w="42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20" w:hanging="452"/>
        <w:spacing w:after="0" w:line="257" w:lineRule="auto"/>
        <w:tabs>
          <w:tab w:leader="none" w:pos="4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Company’s portfolio companies are domiciled in the United States. As of December 31, 2013, the Company does not “control” any of the portfolio companies nor are any of its portfolio companies considered to be “affiliates” (see Note 4). Certain portfolio company investments are subject to contractual restrictions on sales.</w:t>
      </w:r>
    </w:p>
    <w:p>
      <w:pPr>
        <w:spacing w:after="0" w:line="1"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460" w:right="60" w:hanging="452"/>
        <w:spacing w:after="0" w:line="250" w:lineRule="auto"/>
        <w:tabs>
          <w:tab w:leader="none" w:pos="4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460" w:right="600" w:hanging="452"/>
        <w:spacing w:after="0" w:line="250" w:lineRule="auto"/>
        <w:tabs>
          <w:tab w:leader="none" w:pos="4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Structuring Credit Facility (see Note 7).</w:t>
      </w:r>
    </w:p>
    <w:p>
      <w:pPr>
        <w:jc w:val="both"/>
        <w:ind w:left="460" w:right="40" w:hanging="452"/>
        <w:spacing w:after="0" w:line="265" w:lineRule="auto"/>
        <w:tabs>
          <w:tab w:leader="none" w:pos="46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60" w:hanging="452"/>
        <w:spacing w:after="0" w:line="261" w:lineRule="auto"/>
        <w:tabs>
          <w:tab w:leader="none" w:pos="4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455" w:right="2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00" w:type="dxa"/>
            <w:vAlign w:val="bottom"/>
          </w:tcPr>
          <w:p>
            <w:pPr>
              <w:spacing w:after="0"/>
              <w:rPr>
                <w:sz w:val="13"/>
                <w:szCs w:val="13"/>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854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4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8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21,242</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change in unrealized gains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Total realized gains (losses)</w:t>
            </w:r>
          </w:p>
        </w:tc>
        <w:tc>
          <w:tcPr>
            <w:tcW w:w="1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25,348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15,461</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Capital Share Transactions</w:t>
            </w: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shares, net of offering and underwriting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216,634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31,857</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Reinvestment of dividends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from net investment income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(19,717)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Capital Share Transactions</w:t>
            </w: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204,711</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Increase in Net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39,542</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Net assets, beginning of period</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574,696</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End of Period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804,755</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519,345</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Undistributed Net Investment Income Included in Net Assets at the End of the Period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54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20"/>
          </w:cols>
          <w:pgMar w:left="240" w:top="456" w:right="2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00" w:type="dxa"/>
            <w:vAlign w:val="bottom"/>
          </w:tcPr>
          <w:p>
            <w:pPr>
              <w:spacing w:after="0"/>
              <w:rPr>
                <w:sz w:val="13"/>
                <w:szCs w:val="13"/>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40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25,348</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increase in net assets resulting from operations to net cash provided by (used in)</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change in unrealized gains on investments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realized losses on foreign currency forward contracts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(325,289)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Proceeds from investments, net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50,035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Repayments on 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103,567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Paid-in-kind interest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Interest receivable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Payables to affiliate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7,817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(151,519)</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debt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487,378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(517,042)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(3,101)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216,634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(7,017)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176,852</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25,333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28,804</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164,666</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2,781</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 paid during the period</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185</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during the period</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19,717</w:t>
            </w:r>
          </w:p>
        </w:tc>
        <w:tc>
          <w:tcPr>
            <w:tcW w:w="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Reinvestment of dividends during the period</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7,794</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20"/>
          </w:cols>
          <w:pgMar w:left="240" w:top="455" w:right="2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11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 (“TPG SL SPV”).</w:t>
      </w:r>
    </w:p>
    <w:p>
      <w:pPr>
        <w:spacing w:after="0" w:line="18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On March 21, 2014, the Company completed its initial public offering (“IPO”), issuing 7,000,000 shares at $16.00 per share, and its concurrent private placement, issuing 3,124,984 shares at $16.00 per share. Net of underwriting fees and offering costs, the Company received total cash proceeds of $151.6 million.</w:t>
      </w:r>
    </w:p>
    <w:p>
      <w:pPr>
        <w:spacing w:after="0" w:line="176"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21, 2014, the Company’s shares began trading on the New York Stock Exchange (“NYSE”) under the symbol “TSLX”.</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2013, which was filed with the Securities and Exchange Commission (“SEC”), on March 4, 2014, and Form 10-K/A for the year ended December 31, 2013, which was filed with the SEC, on March 14, 2014.</w:t>
      </w:r>
    </w:p>
    <w:p>
      <w:pPr>
        <w:spacing w:after="0" w:line="184"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380"/>
          </w:cols>
          <w:pgMar w:left="240" w:top="456" w:right="27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right="60" w:hanging="325"/>
        <w:spacing w:after="0" w:line="282" w:lineRule="auto"/>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420"/>
          </w:cols>
          <w:pgMar w:left="240" w:top="456" w:right="2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60" w:hanging="325"/>
        <w:spacing w:after="0" w:line="282"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jc w:val="both"/>
        <w:ind w:left="900" w:right="540" w:hanging="325"/>
        <w:spacing w:after="0" w:line="266"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currently conducts this valuation process on a quarterly basis.</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March 31, 2014,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7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91" w:lineRule="exact"/>
        <w:rPr>
          <w:sz w:val="20"/>
          <w:szCs w:val="20"/>
          <w:color w:val="auto"/>
        </w:rPr>
      </w:pPr>
    </w:p>
    <w:p>
      <w:pPr>
        <w:ind w:left="900" w:hanging="325"/>
        <w:spacing w:after="0"/>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85"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380"/>
          </w:cols>
          <w:pgMar w:left="240" w:top="455" w:right="27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0"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Company presents the fair value of foreign currency forward contracts executed with the same counterparty on a net basis given the Company has the legal right to offset the recognized amounts, and it intends to settle on a net basis.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Foreign currency forward contract receivables or payables pending settlement are offset, and the net amount is included with receivable or payable for foreign currency forward contracts in the consolidated balance sheets when, and only when, the Company has the legal right to offset the recognized amounts, and it intends to either settle on a net basis or realize the asset and settle the liability simultaneously.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31" w:lineRule="exact"/>
        <w:rPr>
          <w:sz w:val="20"/>
          <w:szCs w:val="20"/>
          <w:color w:val="auto"/>
        </w:rPr>
      </w:pPr>
    </w:p>
    <w:p>
      <w:pPr>
        <w:ind w:left="900" w:right="520" w:hanging="325"/>
        <w:spacing w:after="0" w:line="282" w:lineRule="auto"/>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investments, outstanding debt on revolving credit facilities, other assets and liabilities: at the spot exchange rate on the last business day of the period; and</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420"/>
          </w:cols>
          <w:pgMar w:left="240" w:top="456" w:right="2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issuance costs for revolving credit facilities are amortized over the life of the related debt instrument using the straight line method.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7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88"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80"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400"/>
          </w:cols>
          <w:pgMar w:left="240" w:top="455" w:right="2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Dividends to common stockholders are recorded on the record date. The amount to be paid out as a dividend is determined by the Board and is generally based upon earnings estimated by the Adviser. Net realized long-term capital gains, if any, would be generally distributed at least annually, although the Company may decide to retain such capital gains for investment.</w:t>
      </w:r>
    </w:p>
    <w:p>
      <w:pPr>
        <w:spacing w:after="0" w:line="176" w:lineRule="exact"/>
        <w:rPr>
          <w:sz w:val="20"/>
          <w:szCs w:val="20"/>
          <w:color w:val="auto"/>
        </w:rPr>
      </w:pPr>
    </w:p>
    <w:p>
      <w:pPr>
        <w:jc w:val="both"/>
        <w:ind w:right="260" w:firstLine="456"/>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June 2013, the Financial Accounting Standards Board issued Accounting Standards Update (“ASU”) 2013-08, </w:t>
      </w:r>
      <w:r>
        <w:rPr>
          <w:rFonts w:ascii="Times New Roman" w:cs="Times New Roman" w:eastAsia="Times New Roman" w:hAnsi="Times New Roman"/>
          <w:sz w:val="18"/>
          <w:szCs w:val="18"/>
          <w:i w:val="1"/>
          <w:iCs w:val="1"/>
          <w:color w:val="auto"/>
        </w:rPr>
        <w:t>Financial Services—Investment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Companies (Topic 946): Amendments to the Scope, Measurement, and Disclosure Requirements </w:t>
      </w:r>
      <w:r>
        <w:rPr>
          <w:rFonts w:ascii="Times New Roman" w:cs="Times New Roman" w:eastAsia="Times New Roman" w:hAnsi="Times New Roman"/>
          <w:sz w:val="18"/>
          <w:szCs w:val="18"/>
          <w:color w:val="auto"/>
        </w:rPr>
        <w:t>(“ASU 2013- 08”). ASU 2013-08 amends the criteria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 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did not have a material effect on the Company’s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420"/>
          </w:cols>
          <w:pgMar w:left="240" w:top="456" w:right="2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84" w:lineRule="exact"/>
        <w:rPr>
          <w:sz w:val="20"/>
          <w:szCs w:val="20"/>
          <w:color w:val="auto"/>
        </w:rPr>
      </w:pPr>
    </w:p>
    <w:p>
      <w:pPr>
        <w:jc w:val="both"/>
        <w:ind w:right="2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and 2013, the Company incurred expenses of $0.6 million and $0.3 million, respectively, for administrative services payable to the Adviser under the terms of the Administration Agreement.</w:t>
      </w:r>
    </w:p>
    <w:p>
      <w:pPr>
        <w:spacing w:after="0" w:line="162"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4"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7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and 2013, Management Fees were $4.2 million and $3.0 million, of which $1.8 million and $1.6 million were payable at March 31, 2014 and 2013, respectively.</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62"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2014 and 2013, Management Fees of $2.5 million and $1.5 million, respectively, were waived. Any waived Management Fees are not subject to recoupment by the Adviser. Following the IPO, the Adviser does not intend to waive its right to receive the full Management Fee and accordingly, the Company will be required to pay the full amount of the Management Fee.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420"/>
          </w:cols>
          <w:pgMar w:left="240" w:top="456" w:right="2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31" w:lineRule="exact"/>
        <w:rPr>
          <w:sz w:val="20"/>
          <w:szCs w:val="20"/>
          <w:color w:val="auto"/>
        </w:rPr>
      </w:pPr>
    </w:p>
    <w:p>
      <w:pPr>
        <w:ind w:left="900" w:right="40" w:hanging="446"/>
        <w:spacing w:after="0" w:line="255" w:lineRule="auto"/>
        <w:tabs>
          <w:tab w:leader="none" w:pos="9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through March 31, 2014, equals 100% of the pre-Incentive Fee net investment income in excess of a 1.5% quarterly “hurdle rate,” the calculation of which is further explained below, until the Adviser has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(7.06% annualized), which is the rate at which catch-up is achieved. Once the “hurdle rate” is reached and catch-up is achieved, 15% of any pre-Incentive Fee net investment income in excess of 1.76% in any quarter is payable to the Adviser.</w:t>
      </w:r>
    </w:p>
    <w:p>
      <w:pPr>
        <w:spacing w:after="0" w:line="77" w:lineRule="exact"/>
        <w:rPr>
          <w:sz w:val="20"/>
          <w:szCs w:val="20"/>
          <w:color w:val="auto"/>
        </w:rPr>
      </w:pPr>
    </w:p>
    <w:p>
      <w:pPr>
        <w:ind w:left="920" w:right="20"/>
        <w:spacing w:after="0" w:line="255" w:lineRule="auto"/>
        <w:rPr>
          <w:sz w:val="20"/>
          <w:szCs w:val="20"/>
          <w:color w:val="auto"/>
        </w:rPr>
      </w:pPr>
      <w:r>
        <w:rPr>
          <w:rFonts w:ascii="Times New Roman" w:cs="Times New Roman" w:eastAsia="Times New Roman" w:hAnsi="Times New Roman"/>
          <w:sz w:val="18"/>
          <w:szCs w:val="18"/>
          <w:color w:val="auto"/>
        </w:rPr>
        <w:t>The first component, payable at the end of each quarter in arrears beginning April 1, 2014,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7" w:lineRule="exact"/>
        <w:rPr>
          <w:sz w:val="20"/>
          <w:szCs w:val="20"/>
          <w:color w:val="auto"/>
        </w:rPr>
      </w:pPr>
    </w:p>
    <w:p>
      <w:pPr>
        <w:ind w:left="920" w:right="160"/>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54" w:lineRule="auto"/>
        <w:tabs>
          <w:tab w:leader="none" w:pos="9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through March 31, 2014, equals 15%, and beginning April 1, 2014,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will be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will be subject to an incentive fee rate of 15% and the portion of the Company’s realized capital gains that accrued beginning April 1, 2014 will be subject to an incentive fee rate of 17.5%.</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420"/>
          </w:cols>
          <w:pgMar w:left="240" w:top="455" w:right="2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13" w:lineRule="auto"/>
        <w:rPr>
          <w:sz w:val="20"/>
          <w:szCs w:val="20"/>
          <w:color w:val="auto"/>
        </w:rPr>
      </w:pPr>
      <w:r>
        <w:rPr>
          <w:rFonts w:ascii="Times New Roman" w:cs="Times New Roman" w:eastAsia="Times New Roman" w:hAnsi="Times New Roman"/>
          <w:sz w:val="17"/>
          <w:szCs w:val="17"/>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4" w:lineRule="exact"/>
        <w:rPr>
          <w:sz w:val="20"/>
          <w:szCs w:val="20"/>
          <w:color w:val="auto"/>
        </w:rPr>
      </w:pPr>
    </w:p>
    <w:p>
      <w:pPr>
        <w:ind w:left="900" w:hanging="325"/>
        <w:spacing w:after="0"/>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as of the end of the calendar quarter immediately preceding the day; plus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capital drawn from investors (or reinvested pursuant to the dividend reinvestment plan) from the beginning of the current quarter to the day; minus</w:t>
      </w:r>
    </w:p>
    <w:p>
      <w:pPr>
        <w:spacing w:after="0" w:line="67"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62"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 For the three months ended March 31, 2014, Incentive Fees were $4.5 million, of which $3.7 million were realized and payable to the Adviser. For the three months ended March 31, 2013, Incentive Fees were $2.7 million, of which $2.4 million were realized and payable to the Adviser.</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November 5, 2013, the Board renewed the Investment Advisory Agreement. Unless earlier terminated as described above,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80"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months ended March 31, 2014 and 2013 were $1.5 million and $0.9 million, respectively.</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Adviser has entered into an agreement (the “10b5-1 Plan”) with Goldman, Sachs &amp; Co.,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420"/>
          </w:cols>
          <w:pgMar w:left="240" w:top="456" w:right="2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March 31, 2014 and December 31, 2013:</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 (1)</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970,436</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984,670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194,083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203,865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4,643</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80" w:type="dxa"/>
            <w:vAlign w:val="bottom"/>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1,172,442</w:t>
            </w:r>
          </w:p>
        </w:tc>
        <w:tc>
          <w:tcPr>
            <w:tcW w:w="2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1,195,539</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2880" w:type="dxa"/>
            <w:vAlign w:val="bottom"/>
            <w:gridSpan w:val="6"/>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Amortized Cost (1)</w:t>
            </w:r>
          </w:p>
        </w:tc>
        <w:tc>
          <w:tcPr>
            <w:tcW w:w="540" w:type="dxa"/>
            <w:vAlign w:val="bottom"/>
          </w:tcPr>
          <w:p>
            <w:pPr>
              <w:spacing w:after="0"/>
              <w:rPr>
                <w:sz w:val="10"/>
                <w:szCs w:val="10"/>
                <w:color w:val="auto"/>
              </w:rPr>
            </w:pPr>
          </w:p>
        </w:tc>
        <w:tc>
          <w:tcPr>
            <w:tcW w:w="122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2880" w:type="dxa"/>
            <w:vAlign w:val="bottom"/>
            <w:gridSpan w:val="6"/>
            <w:vMerge w:val="continue"/>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863,436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877,164</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131,082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137,483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6,401</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997,298</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1,016,451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19,153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line="282" w:lineRule="auto"/>
        <w:tabs>
          <w:tab w:leader="none" w:pos="4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composition of Investments at fair value as of March 31, 2014 and December 31, 2013 is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50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18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4.9%</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5.3%</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11.6%</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Containers and packaging</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3.9%</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Education</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9.2%</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11.2%</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4.5%</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3.1%</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2.9%</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35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35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8.9%</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4.4%</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500" w:type="dxa"/>
            <w:vAlign w:val="bottom"/>
            <w:gridSpan w:val="3"/>
          </w:tcPr>
          <w:p>
            <w:pPr>
              <w:jc w:val="right"/>
              <w:ind w:right="2280"/>
              <w:spacing w:after="0"/>
              <w:rPr>
                <w:sz w:val="20"/>
                <w:szCs w:val="20"/>
                <w:color w:val="auto"/>
              </w:rPr>
            </w:pPr>
            <w:r>
              <w:rPr>
                <w:rFonts w:ascii="Times New Roman" w:cs="Times New Roman" w:eastAsia="Times New Roman" w:hAnsi="Times New Roman"/>
                <w:sz w:val="18"/>
                <w:szCs w:val="18"/>
                <w:color w:val="auto"/>
              </w:rPr>
              <w:t>F-60</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455" w:right="67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as of March 31, 2014 and December 31, 2013 is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36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United States</w:t>
            </w:r>
          </w:p>
        </w:tc>
        <w:tc>
          <w:tcPr>
            <w:tcW w:w="20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Midwest</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12.5%</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Northeast</w:t>
            </w:r>
          </w:p>
        </w:tc>
        <w:tc>
          <w:tcPr>
            <w:tcW w:w="3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23.0%</w:t>
            </w:r>
          </w:p>
        </w:tc>
        <w:tc>
          <w:tcPr>
            <w:tcW w:w="1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South</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17.7%</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West</w:t>
            </w:r>
          </w:p>
        </w:tc>
        <w:tc>
          <w:tcPr>
            <w:tcW w:w="36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33.2%</w:t>
            </w:r>
          </w:p>
        </w:tc>
        <w:tc>
          <w:tcPr>
            <w:tcW w:w="1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6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8.1%</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20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5.5%</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during the three months ended March 31, 2014 and year ended December 31, 2013 had terms of approximately one to two months. Risks may arise as a result of the potential inability of the counterparties to meet the terms of their contracts. The Company attempts to limit this risk by dealing with only creditworthy counterparties.</w:t>
      </w:r>
    </w:p>
    <w:p>
      <w:pPr>
        <w:spacing w:after="0" w:line="185"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2014, the Company settled its foreign currency forward contracts related to its investments in Jeeves Information Systems AB and Soho House Bond Ltd., which in total generated a realized loss of $1.6 million. The Company did not enter into new foreign currency forward contracts related to these investments.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details of open foreign currency forward contracts were as follows:</w:t>
      </w:r>
    </w:p>
    <w:p>
      <w:pPr>
        <w:spacing w:after="0" w:line="2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21"/>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9"/>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Amount (in 000’s)</w:t>
            </w:r>
          </w:p>
        </w:tc>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USD Value at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USD Value at</w:t>
            </w: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w:t>
            </w:r>
          </w:p>
        </w:tc>
        <w:tc>
          <w:tcPr>
            <w:tcW w:w="0" w:type="dxa"/>
            <w:vAlign w:val="bottom"/>
          </w:tcPr>
          <w:p>
            <w:pPr>
              <w:spacing w:after="0"/>
              <w:rPr>
                <w:sz w:val="1"/>
                <w:szCs w:val="1"/>
                <w:color w:val="auto"/>
              </w:rPr>
            </w:pPr>
          </w:p>
        </w:tc>
      </w:tr>
      <w:tr>
        <w:trPr>
          <w:trHeight w:val="146"/>
        </w:trPr>
        <w:tc>
          <w:tcPr>
            <w:tcW w:w="2640" w:type="dxa"/>
            <w:vAlign w:val="bottom"/>
            <w:gridSpan w:val="2"/>
            <w:vMerge w:val="continue"/>
          </w:tcPr>
          <w:p>
            <w:pPr>
              <w:spacing w:after="0"/>
              <w:rPr>
                <w:sz w:val="12"/>
                <w:szCs w:val="12"/>
                <w:color w:val="auto"/>
              </w:rPr>
            </w:pPr>
          </w:p>
        </w:tc>
        <w:tc>
          <w:tcPr>
            <w:tcW w:w="1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178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4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Consolidated Financial</w:t>
            </w:r>
          </w:p>
        </w:tc>
        <w:tc>
          <w:tcPr>
            <w:tcW w:w="0" w:type="dxa"/>
            <w:vAlign w:val="bottom"/>
          </w:tcPr>
          <w:p>
            <w:pPr>
              <w:spacing w:after="0"/>
              <w:rPr>
                <w:sz w:val="1"/>
                <w:szCs w:val="1"/>
                <w:color w:val="auto"/>
              </w:rPr>
            </w:pPr>
          </w:p>
        </w:tc>
      </w:tr>
      <w:tr>
        <w:trPr>
          <w:trHeight w:val="176"/>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Forward Contracts</w:t>
            </w:r>
          </w:p>
        </w:tc>
        <w:tc>
          <w:tcPr>
            <w:tcW w:w="1960" w:type="dxa"/>
            <w:vAlign w:val="bottom"/>
            <w:gridSpan w:val="2"/>
            <w:vMerge w:val="continue"/>
          </w:tcPr>
          <w:p>
            <w:pPr>
              <w:spacing w:after="0"/>
              <w:rPr>
                <w:sz w:val="15"/>
                <w:szCs w:val="15"/>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and Transaction</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30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Statements</w:t>
            </w:r>
          </w:p>
        </w:tc>
        <w:tc>
          <w:tcPr>
            <w:tcW w:w="0" w:type="dxa"/>
            <w:vAlign w:val="bottom"/>
          </w:tcPr>
          <w:p>
            <w:pPr>
              <w:spacing w:after="0"/>
              <w:rPr>
                <w:sz w:val="1"/>
                <w:szCs w:val="1"/>
                <w:color w:val="auto"/>
              </w:rPr>
            </w:pPr>
          </w:p>
        </w:tc>
      </w:tr>
      <w:tr>
        <w:trPr>
          <w:trHeight w:val="210"/>
        </w:trPr>
        <w:tc>
          <w:tcPr>
            <w:tcW w:w="1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Swedish Krona</w:t>
            </w:r>
          </w:p>
        </w:tc>
        <w:tc>
          <w:tcPr>
            <w:tcW w:w="1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(SEK)</w:t>
            </w:r>
          </w:p>
        </w:tc>
        <w:tc>
          <w:tcPr>
            <w:tcW w:w="1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January 24, 2014</w:t>
            </w:r>
          </w:p>
        </w:tc>
        <w:tc>
          <w:tcPr>
            <w:tcW w:w="6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188,672 sold</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4"/>
              </w:rPr>
              <w:t>(28,440)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4"/>
              </w:rPr>
              <w:t>(29,366)</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British Pound (GBP)</w:t>
            </w: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January 24, 2014</w:t>
            </w: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7,000 sold</w:t>
            </w:r>
          </w:p>
        </w:tc>
        <w:tc>
          <w:tcPr>
            <w:tcW w:w="26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(11,274)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(11,592)</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(39,714)</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(40,958)</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All realized and unrealized gains and losses on foreign currency forward contracts are included in earnings (changes in net assets) and are reported as separate line items within the Company’s consolidated statements of operations. Unrealized gains and losses on forward foreign currency contracts are also reported as a separate line item within the Company’s consolidated balance sheets.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420"/>
          </w:cols>
          <w:pgMar w:left="240" w:top="456" w:right="2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other counterparties in the future. The Company is not required to post cash collateral related to its foreign currency forward contracts, but may be required to do so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March 31, 2014 and December 31, 2013.</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9"/>
          </w:tcPr>
          <w:p>
            <w:pPr>
              <w:ind w:left="440"/>
              <w:spacing w:after="0"/>
              <w:rPr>
                <w:sz w:val="20"/>
                <w:szCs w:val="20"/>
                <w:color w:val="auto"/>
              </w:rPr>
            </w:pPr>
            <w:r>
              <w:rPr>
                <w:rFonts w:ascii="Times New Roman" w:cs="Times New Roman" w:eastAsia="Times New Roman" w:hAnsi="Times New Roman"/>
                <w:sz w:val="14"/>
                <w:szCs w:val="14"/>
                <w:b w:val="1"/>
                <w:bCs w:val="1"/>
                <w:color w:val="auto"/>
              </w:rPr>
              <w:t>Fair Value Hierarchy at March 31, 2014</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2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7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62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44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$22,093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962,577</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984,670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34,438</w:t>
            </w:r>
          </w:p>
        </w:tc>
        <w:tc>
          <w:tcPr>
            <w:tcW w:w="2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169,427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203,865</w:t>
            </w: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4,664</w:t>
            </w: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4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Pr>
          <w:p>
            <w:pPr>
              <w:spacing w:after="0"/>
              <w:rPr>
                <w:sz w:val="19"/>
                <w:szCs w:val="19"/>
                <w:color w:val="auto"/>
              </w:rPr>
            </w:pPr>
          </w:p>
        </w:tc>
      </w:tr>
      <w:tr>
        <w:trPr>
          <w:trHeight w:val="216"/>
        </w:trPr>
        <w:tc>
          <w:tcPr>
            <w:tcW w:w="62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56,531</w:t>
            </w:r>
          </w:p>
        </w:tc>
        <w:tc>
          <w:tcPr>
            <w:tcW w:w="2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1,139,008</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1,195,539</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62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2013</w:t>
            </w: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620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72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62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$22,192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$854,972</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33,952</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103,531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137,483</w:t>
            </w:r>
          </w:p>
        </w:tc>
        <w:tc>
          <w:tcPr>
            <w:tcW w:w="8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1,804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Pr>
          <w:p>
            <w:pPr>
              <w:spacing w:after="0"/>
              <w:rPr>
                <w:sz w:val="18"/>
                <w:szCs w:val="18"/>
                <w:color w:val="auto"/>
              </w:rPr>
            </w:pPr>
          </w:p>
        </w:tc>
      </w:tr>
      <w:tr>
        <w:trPr>
          <w:trHeight w:val="216"/>
        </w:trPr>
        <w:tc>
          <w:tcPr>
            <w:tcW w:w="6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 —</w:t>
            </w:r>
          </w:p>
        </w:tc>
        <w:tc>
          <w:tcPr>
            <w:tcW w:w="14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$56,144</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1,016,451</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(1,244)</w:t>
            </w:r>
          </w:p>
        </w:tc>
      </w:tr>
      <w:tr>
        <w:trPr>
          <w:trHeight w:val="27"/>
        </w:trPr>
        <w:tc>
          <w:tcPr>
            <w:tcW w:w="620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62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54,900</w:t>
            </w: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960,307</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1,016,207</w:t>
            </w:r>
          </w:p>
        </w:tc>
        <w:tc>
          <w:tcPr>
            <w:tcW w:w="8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fair value of investments for which Level 3 inputs were used to determine the fair value as of and for the three months ended March 31, 2014 and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 2014</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280" w:type="dxa"/>
            <w:vAlign w:val="bottom"/>
          </w:tcPr>
          <w:p>
            <w:pPr>
              <w:spacing w:after="0"/>
              <w:rPr>
                <w:sz w:val="10"/>
                <w:szCs w:val="10"/>
                <w:color w:val="auto"/>
              </w:rPr>
            </w:pPr>
          </w:p>
        </w:tc>
        <w:tc>
          <w:tcPr>
            <w:tcW w:w="12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32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$ 854,972</w:t>
            </w:r>
          </w:p>
        </w:tc>
        <w:tc>
          <w:tcPr>
            <w:tcW w:w="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$ 103,531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25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257,098</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4,641</w:t>
            </w:r>
          </w:p>
        </w:tc>
        <w:tc>
          <w:tcPr>
            <w:tcW w:w="1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325,289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254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(51,642)</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(51,642)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25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(102,989)</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(103,453)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254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392</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25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542</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254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4,204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$ 962,577</w:t>
            </w:r>
          </w:p>
        </w:tc>
        <w:tc>
          <w:tcPr>
            <w:tcW w:w="5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$ 169,427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1,139,008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254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F-62</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8"/>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Three Months Ended March 31, 2013</w:t>
            </w: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32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First-lien</w:t>
            </w:r>
          </w:p>
        </w:tc>
        <w:tc>
          <w:tcPr>
            <w:tcW w:w="9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Second-lien</w:t>
            </w:r>
          </w:p>
        </w:tc>
        <w:tc>
          <w:tcPr>
            <w:tcW w:w="340" w:type="dxa"/>
            <w:vAlign w:val="bottom"/>
          </w:tcPr>
          <w:p>
            <w:pPr>
              <w:spacing w:after="0"/>
              <w:rPr>
                <w:sz w:val="10"/>
                <w:szCs w:val="10"/>
                <w:color w:val="auto"/>
              </w:rPr>
            </w:pPr>
          </w:p>
        </w:tc>
        <w:tc>
          <w:tcPr>
            <w:tcW w:w="1320" w:type="dxa"/>
            <w:vAlign w:val="bottom"/>
            <w:gridSpan w:val="3"/>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60" w:type="dxa"/>
            <w:vAlign w:val="bottom"/>
          </w:tcPr>
          <w:p>
            <w:pPr>
              <w:spacing w:after="0"/>
              <w:rPr>
                <w:sz w:val="12"/>
                <w:szCs w:val="12"/>
                <w:color w:val="auto"/>
              </w:rPr>
            </w:pPr>
          </w:p>
        </w:tc>
        <w:tc>
          <w:tcPr>
            <w:tcW w:w="80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debt</w:t>
            </w: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40" w:type="dxa"/>
            <w:vAlign w:val="bottom"/>
          </w:tcPr>
          <w:p>
            <w:pPr>
              <w:spacing w:after="0"/>
              <w:rPr>
                <w:sz w:val="15"/>
                <w:szCs w:val="15"/>
                <w:color w:val="auto"/>
              </w:rPr>
            </w:pPr>
          </w:p>
        </w:tc>
        <w:tc>
          <w:tcPr>
            <w:tcW w:w="13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investments</w:t>
            </w:r>
          </w:p>
        </w:tc>
        <w:tc>
          <w:tcPr>
            <w:tcW w:w="5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$ 514,104</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53,190</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3"/>
              </w:rPr>
              <w:t>2,000</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64,720</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64,540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3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(30,615)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(30,615)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(48,993)</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(52,174)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$ 502,510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50,458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3"/>
              </w:rPr>
              <w:t>2,000</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554,968</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net change in unrealized appreciation or depreciation on investments for which Level 3 inputs were used in determining fair value that are still held by the Company at March 31, 2014 and 2013:</w:t>
      </w:r>
    </w:p>
    <w:p>
      <w:pPr>
        <w:spacing w:after="0" w:line="17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49"/>
        </w:trPr>
        <w:tc>
          <w:tcPr>
            <w:tcW w:w="2820" w:type="dxa"/>
            <w:vAlign w:val="bottom"/>
          </w:tcPr>
          <w:p>
            <w:pPr>
              <w:spacing w:after="0"/>
              <w:rPr>
                <w:sz w:val="12"/>
                <w:szCs w:val="12"/>
                <w:color w:val="auto"/>
              </w:rPr>
            </w:pPr>
          </w:p>
        </w:tc>
        <w:tc>
          <w:tcPr>
            <w:tcW w:w="2500" w:type="dxa"/>
            <w:vAlign w:val="bottom"/>
            <w:gridSpan w:val="3"/>
          </w:tcPr>
          <w:p>
            <w:pPr>
              <w:jc w:val="center"/>
              <w:ind w:left="619"/>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or Depreciation</w:t>
            </w:r>
          </w:p>
        </w:tc>
        <w:tc>
          <w:tcPr>
            <w:tcW w:w="2440" w:type="dxa"/>
            <w:vAlign w:val="bottom"/>
            <w:gridSpan w:val="4"/>
          </w:tcPr>
          <w:p>
            <w:pPr>
              <w:jc w:val="center"/>
              <w:ind w:left="359"/>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or Depreciation</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2"/>
                <w:szCs w:val="12"/>
                <w:color w:val="auto"/>
              </w:rPr>
            </w:pPr>
          </w:p>
        </w:tc>
        <w:tc>
          <w:tcPr>
            <w:tcW w:w="19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March 31, 2014 on</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 2013 on</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2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2013</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shd w:val="clear" w:color="auto" w:fill="CCEEFF"/>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Level 3 Investments at fair value and the significant unobservable inputs used in the valuations as of March 31, 2014 and December 31,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00" w:type="dxa"/>
            <w:vAlign w:val="bottom"/>
          </w:tcPr>
          <w:p>
            <w:pPr>
              <w:spacing w:after="0"/>
              <w:rPr>
                <w:sz w:val="12"/>
                <w:szCs w:val="12"/>
                <w:color w:val="auto"/>
              </w:rPr>
            </w:pPr>
          </w:p>
        </w:tc>
        <w:tc>
          <w:tcPr>
            <w:tcW w:w="1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13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from an Increase to</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962,577</w:t>
            </w:r>
          </w:p>
        </w:tc>
        <w:tc>
          <w:tcPr>
            <w:tcW w:w="2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Yield</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 — 13.27%</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2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5"/>
              </w:rPr>
              <w:t>Decrease</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169,427</w:t>
            </w:r>
          </w:p>
        </w:tc>
        <w:tc>
          <w:tcPr>
            <w:tcW w:w="28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Market Yield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 — 10.51%</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(9.90%)</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2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0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Market Yield</w:t>
            </w: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17.38%</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2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Income Approach (1)</w:t>
            </w: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Weighted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 15.3%</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(13.4%)</w:t>
            </w:r>
          </w:p>
        </w:tc>
        <w:tc>
          <w:tcPr>
            <w:tcW w:w="13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Average Cost of</w:t>
            </w: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Capital (WACC)</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40" w:hanging="332"/>
        <w:spacing w:after="0"/>
        <w:tabs>
          <w:tab w:leader="none" w:pos="340"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$0.5 million equity investment which, due to the proximity of the transaction relative to the measurement date, was valued using the cost of the investment.</w:t>
      </w:r>
    </w:p>
    <w:p>
      <w:pPr>
        <w:spacing w:after="0" w:line="16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F-63</w:t>
      </w:r>
    </w:p>
    <w:p>
      <w:pPr>
        <w:sectPr>
          <w:pgSz w:w="11900" w:h="16838" w:orient="portrait"/>
          <w:cols w:equalWidth="0" w:num="1">
            <w:col w:w="11420"/>
          </w:cols>
          <w:pgMar w:left="240" w:top="456" w:right="2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2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Impact to Valuation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20" w:type="dxa"/>
            <w:vAlign w:val="bottom"/>
          </w:tcPr>
          <w:p>
            <w:pPr>
              <w:spacing w:after="0"/>
              <w:rPr>
                <w:sz w:val="12"/>
                <w:szCs w:val="12"/>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020" w:type="dxa"/>
            <w:vAlign w:val="bottom"/>
            <w:gridSpan w:val="2"/>
            <w:vMerge w:val="continue"/>
          </w:tcPr>
          <w:p>
            <w:pPr>
              <w:spacing w:after="0"/>
              <w:rPr>
                <w:sz w:val="12"/>
                <w:szCs w:val="12"/>
                <w:color w:val="auto"/>
              </w:rPr>
            </w:pPr>
          </w:p>
        </w:tc>
        <w:tc>
          <w:tcPr>
            <w:tcW w:w="1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from an Increase to</w:t>
            </w:r>
          </w:p>
        </w:tc>
        <w:tc>
          <w:tcPr>
            <w:tcW w:w="0" w:type="dxa"/>
            <w:vAlign w:val="bottom"/>
          </w:tcPr>
          <w:p>
            <w:pPr>
              <w:spacing w:after="0"/>
              <w:rPr>
                <w:sz w:val="1"/>
                <w:szCs w:val="1"/>
                <w:color w:val="auto"/>
              </w:rPr>
            </w:pPr>
          </w:p>
        </w:tc>
      </w:tr>
      <w:tr>
        <w:trPr>
          <w:trHeight w:val="173"/>
        </w:trPr>
        <w:tc>
          <w:tcPr>
            <w:tcW w:w="34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Average)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0" w:type="dxa"/>
            <w:vAlign w:val="bottom"/>
          </w:tcPr>
          <w:p>
            <w:pPr>
              <w:spacing w:after="0"/>
              <w:rPr>
                <w:sz w:val="1"/>
                <w:szCs w:val="1"/>
                <w:color w:val="auto"/>
              </w:rPr>
            </w:pPr>
          </w:p>
        </w:tc>
      </w:tr>
      <w:tr>
        <w:trPr>
          <w:trHeight w:val="196"/>
        </w:trPr>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First-lien debt investments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854,972</w:t>
            </w:r>
          </w:p>
        </w:tc>
        <w:tc>
          <w:tcPr>
            <w:tcW w:w="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Yield</w:t>
            </w:r>
          </w:p>
        </w:tc>
        <w:tc>
          <w:tcPr>
            <w:tcW w:w="22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 —13.12% (9.81%)</w:t>
            </w: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Decrease</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Second-lien debt investments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103,531</w:t>
            </w:r>
          </w:p>
        </w:tc>
        <w:tc>
          <w:tcPr>
            <w:tcW w:w="3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Market Yield</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9.32% —9.87% (9.59%)</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Mezzanine debt investments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300" w:type="dxa"/>
            <w:vAlign w:val="bottom"/>
          </w:tcPr>
          <w:p>
            <w:pPr>
              <w:spacing w:after="0"/>
              <w:rPr>
                <w:sz w:val="16"/>
                <w:szCs w:val="16"/>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Income Approach</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Weighted</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12.1% —15.3% (14.0%)</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Decrease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Average Cost of Capital</w:t>
            </w: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(WACC)</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For the Company’s Level 3 equity investments, multiples of similar companies’ revenues, earnings before income taxes, depreciation and amortization (“EBITDA”) or some combination thereof and comparable market transactions are typically used.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fair value of the Company’s debt, which is categorized as Level 3 within the fair value hierarchy, as of March 31, 2014 and December 31, 2013, approximates its carrying value as the outstanding balances are callable at carrying value.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200% after such borrowing. As of March 31, 2014 and December 31, 2013, the Company’s asset coverage was 300.1% and 232.9%, respectively.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420"/>
          </w:cols>
          <w:pgMar w:left="240" w:top="455" w:right="2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Debt consisted of the following as of March 31, 2014 and December 31, 2013:</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SPV Asset Facility (2)</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153,225</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 (3)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581,250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248,852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332,398</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756,250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402,077</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335,862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Total Facility</w:t>
            </w:r>
          </w:p>
        </w:tc>
        <w:tc>
          <w:tcPr>
            <w:tcW w:w="720" w:type="dxa"/>
            <w:vAlign w:val="bottom"/>
          </w:tcPr>
          <w:p>
            <w:pPr>
              <w:spacing w:after="0"/>
              <w:rPr>
                <w:sz w:val="10"/>
                <w:szCs w:val="10"/>
                <w:color w:val="auto"/>
              </w:rPr>
            </w:pPr>
          </w:p>
        </w:tc>
        <w:tc>
          <w:tcPr>
            <w:tcW w:w="1500" w:type="dxa"/>
            <w:vAlign w:val="bottom"/>
            <w:gridSpan w:val="3"/>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Borrowings</w:t>
            </w:r>
          </w:p>
        </w:tc>
        <w:tc>
          <w:tcPr>
            <w:tcW w:w="120" w:type="dxa"/>
            <w:vAlign w:val="bottom"/>
          </w:tcPr>
          <w:p>
            <w:pPr>
              <w:spacing w:after="0"/>
              <w:rPr>
                <w:sz w:val="10"/>
                <w:szCs w:val="10"/>
                <w:color w:val="auto"/>
              </w:rPr>
            </w:pPr>
          </w:p>
        </w:tc>
        <w:tc>
          <w:tcPr>
            <w:tcW w:w="660" w:type="dxa"/>
            <w:vAlign w:val="bottom"/>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Credit Facility (4)</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SPV Asset Facility (2)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77,767</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 (3)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322,500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77,500</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432,267</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2014, the Company amended the SPV Asset Facility to increase the size of the facility to $175.0 million.</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2014, the Company amended the Revolving Credit Facility to increase the size of the facility to $581.3 million.</w:t>
      </w:r>
    </w:p>
    <w:p>
      <w:pPr>
        <w:spacing w:after="0" w:line="9" w:lineRule="exact"/>
        <w:rPr>
          <w:rFonts w:ascii="Times New Roman" w:cs="Times New Roman" w:eastAsia="Times New Roman" w:hAnsi="Times New Roman"/>
          <w:sz w:val="18"/>
          <w:szCs w:val="18"/>
          <w:color w:val="auto"/>
        </w:rPr>
      </w:pPr>
    </w:p>
    <w:p>
      <w:pPr>
        <w:ind w:left="460" w:right="20" w:hanging="452"/>
        <w:spacing w:after="0" w:line="261" w:lineRule="auto"/>
        <w:tabs>
          <w:tab w:leader="none" w:pos="4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27, 2014, the Company terminated the Subscription Credit Facility, effective March 4, 2014. The outstanding balance was paid down prior to terminating the facility.</w:t>
      </w:r>
    </w:p>
    <w:p>
      <w:pPr>
        <w:spacing w:after="0" w:line="17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2014 and 2013, the components of interest expense were as follows: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17"/>
        </w:trPr>
        <w:tc>
          <w:tcPr>
            <w:tcW w:w="44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08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00" w:type="dxa"/>
            <w:vAlign w:val="bottom"/>
          </w:tcPr>
          <w:p>
            <w:pPr>
              <w:spacing w:after="0"/>
              <w:rPr>
                <w:sz w:val="10"/>
                <w:szCs w:val="10"/>
                <w:color w:val="auto"/>
              </w:rPr>
            </w:pPr>
          </w:p>
        </w:tc>
      </w:tr>
      <w:tr>
        <w:trPr>
          <w:trHeight w:val="173"/>
        </w:trPr>
        <w:tc>
          <w:tcPr>
            <w:tcW w:w="448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CCEEFF"/>
            </w:tcBorders>
          </w:tcPr>
          <w:p>
            <w:pPr>
              <w:spacing w:after="0"/>
              <w:rPr>
                <w:sz w:val="15"/>
                <w:szCs w:val="15"/>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shd w:val="clear" w:color="auto" w:fill="CCEEFF"/>
          </w:tcPr>
          <w:p>
            <w:pPr>
              <w:spacing w:after="0"/>
              <w:rPr>
                <w:sz w:val="18"/>
                <w:szCs w:val="18"/>
                <w:color w:val="auto"/>
              </w:rPr>
            </w:pP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7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184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00" w:type="dxa"/>
            <w:vAlign w:val="bottom"/>
            <w:shd w:val="clear" w:color="auto" w:fill="CCEEFF"/>
          </w:tcPr>
          <w:p>
            <w:pPr>
              <w:spacing w:after="0"/>
              <w:rPr>
                <w:sz w:val="18"/>
                <w:szCs w:val="18"/>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420"/>
          </w:cols>
          <w:pgMar w:left="240" w:top="455" w:right="2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On February 27, 2014, the Company further amended and restated the agreement. The second amended and restated agreement (the Revolving Credit Facility), among other things:</w:t>
      </w:r>
    </w:p>
    <w:p>
      <w:pPr>
        <w:spacing w:after="0" w:line="67" w:lineRule="exact"/>
        <w:rPr>
          <w:sz w:val="20"/>
          <w:szCs w:val="20"/>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to $581.3 million;</w:t>
      </w:r>
    </w:p>
    <w:p>
      <w:pPr>
        <w:spacing w:after="0" w:line="130"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uncommitted accordion feature to allow the Company, under certain circumstances to increase the size of the facility up to $956.3 million;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limit for swingline loans to $100 million;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$545 million in commitments,</w:t>
      </w:r>
    </w:p>
    <w:p>
      <w:pPr>
        <w:spacing w:after="0" w:line="130" w:lineRule="exact"/>
        <w:rPr>
          <w:rFonts w:ascii="Times New Roman" w:cs="Times New Roman" w:eastAsia="Times New Roman" w:hAnsi="Times New Roman"/>
          <w:sz w:val="18"/>
          <w:szCs w:val="18"/>
          <w:color w:val="auto"/>
        </w:rPr>
      </w:pPr>
    </w:p>
    <w:p>
      <w:pPr>
        <w:ind w:left="1480" w:right="200" w:hanging="446"/>
        <w:spacing w:after="0" w:line="282" w:lineRule="auto"/>
        <w:tabs>
          <w:tab w:leader="none" w:pos="14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revolving period from June 30, 2017 to February 27, 2018, during which period the Company, subject to certain conditions, may make borrowings under the facility,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July 2, 2018 to February 27, 2019;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Net proceeds received from the closing of the IPO and concurrent private placement were used to pay down borrowings on the Revolving Credit Facility.</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In connection with the Company settling its foreign currency forward contracts related to its investments in Jeeves Information Systems AB and Soho House Bond Ltd., during the three months ended March 31, 2014 the Company borrowed in foreign currencies from its Revolving Credit Facility. As of March 31, 2014, the Company has outstanding debt denominated in Swedish Krona (“SEK”) of 218,379,000 and outstanding debt denominated in Pound Sterling (“GBP”) of 7,000,000 on its Revolving Credit Facility, included in the Borrowings Outstanding amount in the table above.</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TC Lending, LLC and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67" w:lineRule="exact"/>
        <w:rPr>
          <w:sz w:val="20"/>
          <w:szCs w:val="20"/>
          <w:color w:val="auto"/>
        </w:rPr>
      </w:pPr>
    </w:p>
    <w:p>
      <w:pPr>
        <w:ind w:left="900" w:hanging="325"/>
        <w:spacing w:after="0"/>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30" w:lineRule="exact"/>
        <w:rPr>
          <w:rFonts w:ascii="Times New Roman" w:cs="Times New Roman" w:eastAsia="Times New Roman" w:hAnsi="Times New Roman"/>
          <w:sz w:val="18"/>
          <w:szCs w:val="18"/>
          <w:color w:val="auto"/>
        </w:rPr>
      </w:pPr>
    </w:p>
    <w:p>
      <w:pPr>
        <w:ind w:left="900" w:right="360" w:hanging="325"/>
        <w:spacing w:after="0" w:line="266" w:lineRule="auto"/>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$205 million plus 25% of the net proceeds of the sale of equity interests after August 23, 2012.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400"/>
          </w:cols>
          <w:pgMar w:left="240" w:top="456" w:right="25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SPV Asset Facility</w:t>
      </w:r>
    </w:p>
    <w:p>
      <w:pPr>
        <w:spacing w:after="0" w:line="11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May 8, 2012, the “Closing Date,” the Company’s wholly owned subsidiary TPG SL SPV, LLC, a Delaware limited liability company,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may be used to finance the acquisition of eligible assets by TPG SL SPV, including the purchase of such assets from the Company. The Company retains a residual interest in assets contributed to or acquired by TPG SL SPV through its ownership of TPG SL SPV. The facility size is subject to availability under the borrowing base, which is based on the amount of TPG SL SPV’s assets from time to time, and satisfaction of certain conditions, including an asset coverage test, an asset quality test and certain concentration limits.</w:t>
      </w:r>
    </w:p>
    <w:p>
      <w:pPr>
        <w:spacing w:after="0" w:line="18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January 21, 2014, TPG SL SPV entered into an agreement to amend and restate the credit and security agreement (as amended, SPV Asset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and restated facility, among other things:</w:t>
      </w:r>
    </w:p>
    <w:p>
      <w:pPr>
        <w:spacing w:after="0" w:line="112" w:lineRule="exact"/>
        <w:rPr>
          <w:sz w:val="20"/>
          <w:szCs w:val="20"/>
          <w:color w:val="auto"/>
        </w:rPr>
      </w:pPr>
    </w:p>
    <w:p>
      <w:pPr>
        <w:ind w:left="900" w:hanging="325"/>
        <w:spacing w:after="0"/>
        <w:tabs>
          <w:tab w:leader="none" w:pos="9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from $100 million to $175 million;</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reopened the reinvestment period thereunder for an additional period of six months following the closing date of January 21, 2014, which may be extended in the borrower’s sole discretion for an additional six-month period thereafter;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May 8, 2020 to January 21, 2021;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pricing;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certain changes to the eligibility criteria and concentration limits.</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Amounts drawn under the amended and restated SPV Asset Facility and the original credit and security agreement bear interest at LIBOR plus a margin or base rate plus a margin or, in the case of the amended and restated SPV Asset Facility, the lenders’ cost of funds plus a margin, in each case at TPG SL SPV’s option. TPG SL SPV’s ability to borrow at lenders’ cost of funds plus a margin lowers the interest rate currently applicable on the Company’s borrowings under the SPV Asset Facility. The undrawn portion of the commitment bears an unutilized commitment fee of 0.75%.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85"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As of March 31, 2014 and December 31, 2013, TPG SL SPV had $350.4 million and $184.3 million, respectively, in investments at fair value, and $155.1 million and $78.3 million, respectively, in liabilities, including the outstanding borrowings, on its balance sheet. As of March 31, 2014 and December 31, 2013,</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420"/>
          </w:cols>
          <w:pgMar w:left="240" w:top="456" w:right="2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TPG SL SPV had $8.5 million and $6.3 million, respectively, in restricted cash, a component of prepaid expenses and other assets, in the accompanying consolidated financial statements.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Borrowings of TPG SL SPV are considered the Company’s borrowings for purposes of complying with the asset coverage requirements of the 1940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Credit Facility</w:t>
      </w:r>
    </w:p>
    <w:p>
      <w:pPr>
        <w:spacing w:after="0" w:line="119"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On February 27, 2014, the Company terminated its Subscription Credit Facility with Deutsche Bank Trust Company Americas, effective March 4, 2014. At the time of the termination, the maximum principal amount of the facility was $100 million, and the outstanding balance was paid down prior to terminating the facility.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2014 and December 31, 2013,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As of March 31, 2014 and December 31, 2013, the Company had the following commitments to fund investments: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3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2013</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31,985</w:t>
            </w:r>
          </w:p>
        </w:tc>
        <w:tc>
          <w:tcPr>
            <w:tcW w:w="1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100" w:type="dxa"/>
            <w:vAlign w:val="bottom"/>
          </w:tcPr>
          <w:p>
            <w:pPr>
              <w:spacing w:after="0"/>
              <w:rPr>
                <w:sz w:val="19"/>
                <w:szCs w:val="19"/>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55,685</w:t>
            </w:r>
          </w:p>
        </w:tc>
        <w:tc>
          <w:tcPr>
            <w:tcW w:w="148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54,974</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2013 the Company had $1.5 billion in total capital commitments from investors (over $0.9 billion unfunded). Of this amount, $117.1 million was from the Adviser and its affiliates ($76.7 million unfunded). The remaining unfunded capital commitments terminated upon the completion of the Company’s IPO.</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March 31, 2014, management is not aware of any pending or threatened litigation.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62"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 April 2014, a total of 1,050,000 shares of stock were issued pursuant to the exercise of the underwriters’ over-allotment option. Net of underwriting fees and offering costs, the Company received additional total cash proceeds of $15.4 million.</w:t>
      </w:r>
    </w:p>
    <w:p>
      <w:pPr>
        <w:spacing w:after="0" w:line="162"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420"/>
          </w:cols>
          <w:pgMar w:left="240" w:top="456" w:right="2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76"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total shares issued and proceeds received related to capital drawdowns delivered pursuant to the Subscription Agreements during the three months ended March 31, 2014 and 2013:</w:t>
      </w:r>
    </w:p>
    <w:p>
      <w:pPr>
        <w:spacing w:after="0" w:line="18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March 31, 2014</w:t>
      </w:r>
    </w:p>
    <w:tbl>
      <w:tblPr>
        <w:tblLayout w:type="fixed"/>
        <w:tblInd w:w="1380" w:type="dxa"/>
        <w:tblCellMar>
          <w:top w:w="0" w:type="dxa"/>
          <w:left w:w="0" w:type="dxa"/>
          <w:bottom w:w="0" w:type="dxa"/>
          <w:right w:w="0" w:type="dxa"/>
        </w:tblCellMar>
      </w:tblP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Borders>
              <w:top w:val="single" w:sz="8" w:color="auto"/>
            </w:tcBorders>
            <w:gridSpan w:val="4"/>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Shares Issued</w:t>
            </w:r>
          </w:p>
        </w:tc>
        <w:tc>
          <w:tcPr>
            <w:tcW w:w="11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15, 2014</w:t>
            </w:r>
          </w:p>
        </w:tc>
        <w:tc>
          <w:tcPr>
            <w:tcW w:w="1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4,234,501</w:t>
            </w: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Capital Drawdowns</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4,234,501</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3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5"/>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3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100" w:type="dxa"/>
            <w:vAlign w:val="bottom"/>
            <w:gridSpan w:val="5"/>
          </w:tcPr>
          <w:p>
            <w:pPr>
              <w:jc w:val="right"/>
              <w:ind w:right="1060"/>
              <w:spacing w:after="0" w:line="142" w:lineRule="exact"/>
              <w:rPr>
                <w:sz w:val="20"/>
                <w:szCs w:val="20"/>
                <w:color w:val="auto"/>
              </w:rPr>
            </w:pPr>
            <w:r>
              <w:rPr>
                <w:rFonts w:ascii="Times New Roman" w:cs="Times New Roman" w:eastAsia="Times New Roman" w:hAnsi="Times New Roman"/>
                <w:sz w:val="14"/>
                <w:szCs w:val="14"/>
                <w:b w:val="1"/>
                <w:bCs w:val="1"/>
                <w:color w:val="auto"/>
              </w:rPr>
              <w:t>Shares Issued (1)</w:t>
            </w:r>
          </w:p>
        </w:tc>
        <w:tc>
          <w:tcPr>
            <w:tcW w:w="11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 2013</w:t>
            </w:r>
          </w:p>
        </w:tc>
        <w:tc>
          <w:tcPr>
            <w:tcW w:w="1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2,079,224</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Capital Drawdowns</w:t>
            </w:r>
          </w:p>
        </w:tc>
        <w:tc>
          <w:tcPr>
            <w:tcW w:w="1500" w:type="dxa"/>
            <w:vAlign w:val="bottom"/>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2,079,224</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0" w:hanging="452"/>
        <w:spacing w:after="0" w:line="282" w:lineRule="auto"/>
        <w:tabs>
          <w:tab w:leader="none" w:pos="4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this Note 9, the indicated amounts have been retroactively adjusted for the stock split, which was effected in the form of a stock dividend.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Pursuant to the Company’s dividend reinvestment plan, the following tables summarize the shares issued to shareholders who have not opted out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dividend reinvestment plan during the three months ended March 31, 2014 and 2013:</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vMerge w:val="continue"/>
          </w:tcPr>
          <w:p>
            <w:pPr>
              <w:spacing w:after="0"/>
              <w:rPr>
                <w:sz w:val="15"/>
                <w:szCs w:val="15"/>
                <w:color w:val="auto"/>
              </w:rPr>
            </w:pPr>
          </w:p>
        </w:tc>
        <w:tc>
          <w:tcPr>
            <w:tcW w:w="32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4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December 31, 2013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February 13, 2014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0" w:type="dxa"/>
            <w:vAlign w:val="bottom"/>
            <w:gridSpan w:val="5"/>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8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00" w:type="dxa"/>
            <w:vAlign w:val="bottom"/>
            <w:gridSpan w:val="2"/>
            <w:vMerge w:val="restart"/>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3"/>
          </w:tcPr>
          <w:p>
            <w:pPr>
              <w:jc w:val="center"/>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Date</w:t>
            </w:r>
          </w:p>
        </w:tc>
        <w:tc>
          <w:tcPr>
            <w:tcW w:w="11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Shares Issued (1)</w:t>
            </w:r>
          </w:p>
        </w:tc>
        <w:tc>
          <w:tcPr>
            <w:tcW w:w="10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vMerge w:val="continue"/>
          </w:tcPr>
          <w:p>
            <w:pPr>
              <w:spacing w:after="0"/>
              <w:rPr>
                <w:sz w:val="15"/>
                <w:szCs w:val="15"/>
                <w:color w:val="auto"/>
              </w:rPr>
            </w:pPr>
          </w:p>
        </w:tc>
        <w:tc>
          <w:tcPr>
            <w:tcW w:w="324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gridSpan w:val="2"/>
            <w:vMerge w:val="continue"/>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660" w:type="dxa"/>
            <w:vAlign w:val="bottom"/>
            <w:tcBorders>
              <w:bottom w:val="single" w:sz="8" w:color="CCEEFF"/>
            </w:tcBorders>
            <w:gridSpan w:val="2"/>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December 31, 2012</w:t>
            </w:r>
          </w:p>
        </w:tc>
        <w:tc>
          <w:tcPr>
            <w:tcW w:w="20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18"/>
                <w:szCs w:val="18"/>
                <w:color w:val="auto"/>
              </w:rPr>
              <w:t>March 12, 2013</w:t>
            </w:r>
          </w:p>
        </w:tc>
        <w:tc>
          <w:tcPr>
            <w:tcW w:w="660" w:type="dxa"/>
            <w:vAlign w:val="bottom"/>
            <w:gridSpan w:val="2"/>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343,981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60" w:hanging="452"/>
        <w:spacing w:after="0" w:line="282" w:lineRule="auto"/>
        <w:tabs>
          <w:tab w:leader="none" w:pos="4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this Note 9, the indicated amounts have been retroactively adjusted for the stock split which was effected in the form of a stock dividend.</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number of shares issued through the dividend reinvestment plan was determined by dividing the total dollar amount of the dividend payable to such shareholder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On December 3, 2013, the Board approved a stock split in the form of a stock dividend pursuant to which the Company’s stockholders of record as of December 4, 2013 received 65.676 additional shares of common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360"/>
          </w:cols>
          <w:pgMar w:left="240" w:top="455" w:right="29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176"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On May 1, 2014, pursuant to its dividend reinvestment plan, the Company issued 410,183 shares in connection with the dividend that was paid on April 30, 2014. This dividend was declared on March 26, 2014 for shareholders of record on March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2014</w:t>
            </w:r>
          </w:p>
        </w:tc>
        <w:tc>
          <w:tcPr>
            <w:tcW w:w="1760" w:type="dxa"/>
            <w:vAlign w:val="bottom"/>
            <w:tcBorders>
              <w:top w:val="single" w:sz="8" w:color="auto"/>
            </w:tcBorders>
            <w:gridSpan w:val="3"/>
          </w:tcPr>
          <w:p>
            <w:pPr>
              <w:ind w:left="8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2013</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 basic and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41,539,083</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32,560,424</w:t>
            </w:r>
          </w:p>
        </w:tc>
        <w:tc>
          <w:tcPr>
            <w:tcW w:w="10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 basic and diluted (1)</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9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460" w:right="160" w:hanging="452"/>
        <w:spacing w:after="0" w:line="282" w:lineRule="auto"/>
        <w:tabs>
          <w:tab w:leader="none" w:pos="4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three months ended March 31, 2014 and 2013:</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180" w:type="dxa"/>
            <w:vAlign w:val="bottom"/>
            <w:vMerge w:val="restart"/>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8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26, 2014</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March 31, 2014</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April 30, 2014</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8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180" w:type="dxa"/>
            <w:vAlign w:val="bottom"/>
            <w:vMerge w:val="restart"/>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180" w:type="dxa"/>
            <w:vAlign w:val="bottom"/>
            <w:tcBorders>
              <w:bottom w:val="single" w:sz="8" w:color="CCEEFF"/>
            </w:tcBorders>
            <w:vMerge w:val="continue"/>
          </w:tcPr>
          <w:p>
            <w:pPr>
              <w:spacing w:after="0"/>
              <w:rPr>
                <w:sz w:val="12"/>
                <w:szCs w:val="12"/>
                <w:color w:val="auto"/>
              </w:rPr>
            </w:pPr>
          </w:p>
        </w:tc>
        <w:tc>
          <w:tcPr>
            <w:tcW w:w="120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8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8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Dividend per Share (1)</w:t>
            </w:r>
          </w:p>
        </w:tc>
        <w:tc>
          <w:tcPr>
            <w:tcW w:w="10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12, 2013</w:t>
            </w:r>
          </w:p>
        </w:tc>
        <w:tc>
          <w:tcPr>
            <w:tcW w:w="1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March 31, 2013</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124"/>
              <w:spacing w:after="0"/>
              <w:rPr>
                <w:sz w:val="20"/>
                <w:szCs w:val="20"/>
                <w:color w:val="auto"/>
              </w:rPr>
            </w:pPr>
            <w:r>
              <w:rPr>
                <w:rFonts w:ascii="Times New Roman" w:cs="Times New Roman" w:eastAsia="Times New Roman" w:hAnsi="Times New Roman"/>
                <w:sz w:val="18"/>
                <w:szCs w:val="18"/>
                <w:color w:val="auto"/>
              </w:rPr>
              <w:t>May 6, 2013</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line="282" w:lineRule="auto"/>
        <w:tabs>
          <w:tab w:leader="none" w:pos="4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dates prior to December 3, 2013 have been retroactively adjusted for the stock split which was effected in the form of a stock dividend.</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declared during the three months ended March 31, 2014 and 2013, were derived from net investment income determined on a tax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the Company has accrued $9 thousand for U.S federal excise tax. For the three months ended March 31, 2013, we accrued $4 thousand for U.S federal excise tax.</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2014, the Company declared an ordinary dividend of $19.7 million, $17.2 million of the dividend constitutes interest-related dividends for U.S. federal nonresident withholding tax</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400"/>
          </w:cols>
          <w:pgMar w:left="240" w:top="456" w:right="25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purposes. For the three months ended March 31, 2013, the Company declared an ordinary dividend of $13.0 million, $12.5 million of the dividend constitutes interest-related dividends for U.S. federal nonresident withholding tax purposes.</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makes certain adjustments to the classification of total net assets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4" w:lineRule="exact"/>
        <w:rPr>
          <w:sz w:val="20"/>
          <w:szCs w:val="20"/>
          <w:color w:val="auto"/>
        </w:rPr>
      </w:pPr>
    </w:p>
    <w:p>
      <w:pPr>
        <w:ind w:right="620" w:firstLine="45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2014, permanent differences of $1.6 million were principally attributable to foreign currency reclassifications, $1.0 million of recharacterization of prepayment penalties for tax purposes between ordinary income and capital gains, as well as $9 thousand attributed to accrued U.S. federal excise taxes. During the three months ended March 31, 2013, permanent differences of $46 thousand were attributable to accrued U.S. federal excise taxes.</w:t>
      </w:r>
    </w:p>
    <w:p>
      <w:pPr>
        <w:spacing w:after="0" w:line="178" w:lineRule="exact"/>
        <w:rPr>
          <w:sz w:val="20"/>
          <w:szCs w:val="20"/>
          <w:color w:val="auto"/>
        </w:rPr>
      </w:pPr>
    </w:p>
    <w:p>
      <w:pPr>
        <w:ind w:right="300" w:firstLine="456"/>
        <w:spacing w:after="0" w:line="267" w:lineRule="auto"/>
        <w:rPr>
          <w:sz w:val="20"/>
          <w:szCs w:val="20"/>
          <w:color w:val="auto"/>
        </w:rPr>
      </w:pPr>
      <w:r>
        <w:rPr>
          <w:rFonts w:ascii="Times New Roman" w:cs="Times New Roman" w:eastAsia="Times New Roman" w:hAnsi="Times New Roman"/>
          <w:sz w:val="18"/>
          <w:szCs w:val="18"/>
          <w:color w:val="auto"/>
        </w:rPr>
        <w:t xml:space="preserve">We neither have any uncertain tax positions that met the recognition or measurement criteria of ASC 740-10-25,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nor did we have any unrecognized tax benefits as of the periods presented herein. Although we file federal and state tax returns, our major tax jurisdiction is federal. Our inception-to-date federal tax year remains subject to examination by the Internal Revenue Service.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tax basis of the Company’s investments as of March 31, 2014 and December 31, 2013, approximates their amortized cost.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420"/>
          </w:cols>
          <w:pgMar w:left="240" w:top="456" w:right="2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Highlights</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a share of Common Stock outstanding during the three months ended March 31, 2014 and 2013.</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580" w:type="dxa"/>
            <w:vAlign w:val="bottom"/>
          </w:tcPr>
          <w:p>
            <w:pPr>
              <w:spacing w:after="0"/>
              <w:rPr>
                <w:sz w:val="15"/>
                <w:szCs w:val="15"/>
                <w:color w:val="auto"/>
              </w:rPr>
            </w:pP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2013 (6)</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72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0.51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 (1)</w:t>
            </w:r>
          </w:p>
        </w:tc>
        <w:tc>
          <w:tcPr>
            <w:tcW w:w="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from investment operations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0.61</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Issuances of common stock, net of offering costs (1)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(0.24)</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(2)</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(0.38)</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(decrease) increase in net assets</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 based on market value (3)</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return based on net asset value (4)</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51,887,708</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34,006,160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Ratios/Supplemental Data</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net expenses to average net assets (5)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7.9%</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investment income to average net assets (5)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 (5)</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37.5%</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8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804,755</w:t>
            </w:r>
          </w:p>
        </w:tc>
        <w:tc>
          <w:tcPr>
            <w:tcW w:w="72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519,345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80" w:hanging="572"/>
        <w:spacing w:after="0"/>
        <w:tabs>
          <w:tab w:leader="none" w:pos="5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is calculated as the change in market value per share during the period plus declared dividends per share, divided by the beginning market value per share.</w:t>
      </w:r>
    </w:p>
    <w:p>
      <w:pPr>
        <w:ind w:left="580" w:right="180" w:hanging="572"/>
        <w:spacing w:after="0" w:line="250" w:lineRule="auto"/>
        <w:tabs>
          <w:tab w:leader="none" w:pos="5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reflect an annualized amount.</w:t>
      </w:r>
    </w:p>
    <w:p>
      <w:pPr>
        <w:spacing w:after="0" w:line="9" w:lineRule="exact"/>
        <w:rPr>
          <w:rFonts w:ascii="Times New Roman" w:cs="Times New Roman" w:eastAsia="Times New Roman" w:hAnsi="Times New Roman"/>
          <w:sz w:val="18"/>
          <w:szCs w:val="18"/>
          <w:color w:val="auto"/>
        </w:rPr>
      </w:pPr>
    </w:p>
    <w:p>
      <w:pPr>
        <w:ind w:left="580" w:right="200" w:hanging="572"/>
        <w:spacing w:after="0" w:line="261" w:lineRule="auto"/>
        <w:tabs>
          <w:tab w:leader="none" w:pos="5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further described in Note 9, the indicated amounts for dates prior to December 3, 2013 have been retroactively adjusted for the stock split which was effected in the form of a stock dividend.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400"/>
          </w:cols>
          <w:pgMar w:left="240" w:top="455" w:right="25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07"/>
        </w:trPr>
        <w:tc>
          <w:tcPr>
            <w:tcW w:w="1012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12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TPG SPECIALTY LENDING, INC.</w:t>
            </w:r>
          </w:p>
        </w:tc>
        <w:tc>
          <w:tcPr>
            <w:tcW w:w="12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C</w:t>
            </w:r>
          </w:p>
        </w:tc>
        <w:tc>
          <w:tcPr>
            <w:tcW w:w="1200" w:type="dxa"/>
            <w:vAlign w:val="bottom"/>
          </w:tcPr>
          <w:p>
            <w:pPr>
              <w:spacing w:after="0"/>
              <w:rPr>
                <w:sz w:val="24"/>
                <w:szCs w:val="24"/>
                <w:color w:val="auto"/>
              </w:rPr>
            </w:pPr>
          </w:p>
        </w:tc>
      </w:tr>
      <w:tr>
        <w:trPr>
          <w:trHeight w:val="324"/>
        </w:trPr>
        <w:tc>
          <w:tcPr>
            <w:tcW w:w="136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1200" w:type="dxa"/>
            <w:vAlign w:val="bottom"/>
          </w:tcPr>
          <w:p>
            <w:pPr>
              <w:spacing w:after="0"/>
              <w:rPr>
                <w:sz w:val="24"/>
                <w:szCs w:val="24"/>
                <w:color w:val="auto"/>
              </w:rPr>
            </w:pPr>
          </w:p>
        </w:tc>
      </w:tr>
      <w:tr>
        <w:trPr>
          <w:trHeight w:val="338"/>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25.   Financial Statements and Exhibits</w:t>
            </w:r>
          </w:p>
        </w:tc>
        <w:tc>
          <w:tcPr>
            <w:tcW w:w="1200" w:type="dxa"/>
            <w:vAlign w:val="bottom"/>
          </w:tcPr>
          <w:p>
            <w:pPr>
              <w:spacing w:after="0"/>
              <w:rPr>
                <w:sz w:val="24"/>
                <w:szCs w:val="24"/>
                <w:color w:val="auto"/>
              </w:rPr>
            </w:pPr>
          </w:p>
        </w:tc>
      </w:tr>
      <w:tr>
        <w:trPr>
          <w:trHeight w:val="324"/>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tc>
        <w:tc>
          <w:tcPr>
            <w:tcW w:w="1200" w:type="dxa"/>
            <w:vAlign w:val="bottom"/>
          </w:tcPr>
          <w:p>
            <w:pPr>
              <w:spacing w:after="0"/>
              <w:rPr>
                <w:sz w:val="24"/>
                <w:szCs w:val="24"/>
                <w:color w:val="auto"/>
              </w:rPr>
            </w:pPr>
          </w:p>
        </w:tc>
      </w:tr>
      <w:tr>
        <w:trPr>
          <w:trHeight w:val="324"/>
        </w:trPr>
        <w:tc>
          <w:tcPr>
            <w:tcW w:w="10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following financial statements of TPG Specialty Lending, Inc. are provided in Part A of this Registration Statement:</w:t>
            </w:r>
          </w:p>
        </w:tc>
        <w:tc>
          <w:tcPr>
            <w:tcW w:w="1200" w:type="dxa"/>
            <w:vAlign w:val="bottom"/>
          </w:tcPr>
          <w:p>
            <w:pPr>
              <w:spacing w:after="0"/>
              <w:rPr>
                <w:sz w:val="24"/>
                <w:szCs w:val="24"/>
                <w:color w:val="auto"/>
              </w:rPr>
            </w:pPr>
          </w:p>
        </w:tc>
      </w:tr>
      <w:tr>
        <w:trPr>
          <w:trHeight w:val="441"/>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1200" w:type="dxa"/>
            <w:vAlign w:val="bottom"/>
          </w:tcPr>
          <w:p>
            <w:pPr>
              <w:spacing w:after="0"/>
              <w:rPr>
                <w:sz w:val="24"/>
                <w:szCs w:val="24"/>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2013 and 2012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2013, 2012 and 2011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Schedules of Investments as of December 31, 2013 and 2012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Changes in Net Assets for the Years Ended December 31, 2013, 2012 and 2011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2013, 2012 and 2011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136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Interim Unaudited Consolidated Financial Statements</w:t>
            </w:r>
          </w:p>
        </w:tc>
        <w:tc>
          <w:tcPr>
            <w:tcW w:w="1200" w:type="dxa"/>
            <w:vAlign w:val="bottom"/>
          </w:tcPr>
          <w:p>
            <w:pPr>
              <w:spacing w:after="0"/>
              <w:rPr>
                <w:sz w:val="24"/>
                <w:szCs w:val="24"/>
                <w:color w:val="auto"/>
              </w:rPr>
            </w:pP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 as of March 31, 2014 and December 31, 2013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2014 and 2013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Schedules of Investments as of March 31, 2014 and December 31, 2013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Changes in Net Assets for the Three Months Ended March 31, 2014 and 2013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2014 and 2013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16"/>
        </w:trPr>
        <w:tc>
          <w:tcPr>
            <w:tcW w:w="136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r>
      <w:tr>
        <w:trPr>
          <w:trHeight w:val="234"/>
        </w:trPr>
        <w:tc>
          <w:tcPr>
            <w:tcW w:w="136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(2) Exhibits</w:t>
      </w:r>
    </w:p>
    <w:p>
      <w:pPr>
        <w:spacing w:after="0" w:line="135" w:lineRule="exact"/>
        <w:rPr>
          <w:sz w:val="20"/>
          <w:szCs w:val="20"/>
          <w:color w:val="auto"/>
        </w:rPr>
      </w:pPr>
    </w:p>
    <w:p>
      <w:pPr>
        <w:ind w:left="760" w:right="10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Amended and Restated Certificate of Incorporation (incorporated by reference to Exhibit 3.1 to Amendment No. 1 to the Company’s Registration Statement on Form 10 filed on March 14, 2011)</w:t>
      </w:r>
    </w:p>
    <w:p>
      <w:pPr>
        <w:spacing w:after="0" w:line="54" w:lineRule="exact"/>
        <w:rPr>
          <w:sz w:val="20"/>
          <w:szCs w:val="20"/>
          <w:color w:val="auto"/>
        </w:rPr>
      </w:pPr>
    </w:p>
    <w:p>
      <w:pPr>
        <w:ind w:left="760" w:right="46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Certificate of Amendment to Amended and Restated Certificate of Incorporation (incorporated by reference to Exhibit 3.1 to the Company’s Current Report on Form 8-K filed on March 12, 2014)</w:t>
      </w:r>
    </w:p>
    <w:p>
      <w:pPr>
        <w:spacing w:after="0" w:line="54" w:lineRule="exact"/>
        <w:rPr>
          <w:sz w:val="20"/>
          <w:szCs w:val="20"/>
          <w:color w:val="auto"/>
        </w:rPr>
      </w:pPr>
    </w:p>
    <w:p>
      <w:pPr>
        <w:ind w:left="760" w:right="220" w:hanging="752"/>
        <w:spacing w:after="0" w:line="282" w:lineRule="auto"/>
        <w:tabs>
          <w:tab w:leader="none" w:pos="7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(incorporated by reference to Exhibit 3.2 to Amendment No. 1 to the Company’s Registration Statement on Form 10 filed on March 14, 2011)</w:t>
      </w:r>
    </w:p>
    <w:p>
      <w:pPr>
        <w:spacing w:after="0" w:line="5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760" w:right="4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(d)(1)</w:t>
      </w:r>
      <w:r>
        <w:rPr>
          <w:sz w:val="20"/>
          <w:szCs w:val="20"/>
          <w:color w:val="auto"/>
        </w:rPr>
        <w:tab/>
      </w:r>
      <w:r>
        <w:rPr>
          <w:rFonts w:ascii="Times New Roman" w:cs="Times New Roman" w:eastAsia="Times New Roman" w:hAnsi="Times New Roman"/>
          <w:sz w:val="18"/>
          <w:szCs w:val="18"/>
          <w:color w:val="auto"/>
        </w:rPr>
        <w:t>Form of Subscription Agreement in connection with the Private Offerings (incorporated by reference to Exhibit 4.1 to the Company’s Registration Statement on Form 10 filed on January 14, 2011)</w:t>
      </w:r>
    </w:p>
    <w:p>
      <w:pPr>
        <w:spacing w:after="0" w:line="54" w:lineRule="exact"/>
        <w:rPr>
          <w:sz w:val="20"/>
          <w:szCs w:val="20"/>
          <w:color w:val="auto"/>
        </w:rPr>
      </w:pPr>
    </w:p>
    <w:p>
      <w:pPr>
        <w:ind w:left="760" w:right="14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(d)(2)</w:t>
      </w:r>
      <w:r>
        <w:rPr>
          <w:sz w:val="20"/>
          <w:szCs w:val="20"/>
          <w:color w:val="auto"/>
        </w:rPr>
        <w:tab/>
      </w:r>
      <w:r>
        <w:rPr>
          <w:rFonts w:ascii="Times New Roman" w:cs="Times New Roman" w:eastAsia="Times New Roman" w:hAnsi="Times New Roman"/>
          <w:sz w:val="18"/>
          <w:szCs w:val="18"/>
          <w:color w:val="auto"/>
        </w:rPr>
        <w:t>Form of Common Stock Certificate (incorporated by reference to Exhibit 4.2 to the Company’s Annual Report on Form 10-K filed on March 22, 2012)</w:t>
      </w:r>
    </w:p>
    <w:p>
      <w:pPr>
        <w:spacing w:after="0" w:line="54" w:lineRule="exact"/>
        <w:rPr>
          <w:sz w:val="20"/>
          <w:szCs w:val="20"/>
          <w:color w:val="auto"/>
        </w:rPr>
      </w:pPr>
    </w:p>
    <w:p>
      <w:pPr>
        <w:ind w:left="760" w:right="18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(d)(3)</w:t>
      </w:r>
      <w:r>
        <w:rPr>
          <w:sz w:val="20"/>
          <w:szCs w:val="20"/>
          <w:color w:val="auto"/>
        </w:rPr>
        <w:tab/>
      </w:r>
      <w:r>
        <w:rPr>
          <w:rFonts w:ascii="Times New Roman" w:cs="Times New Roman" w:eastAsia="Times New Roman" w:hAnsi="Times New Roman"/>
          <w:sz w:val="18"/>
          <w:szCs w:val="18"/>
          <w:color w:val="auto"/>
        </w:rPr>
        <w:t>Indenture, dated June 10, 2014, between TPG Specialty Lending, Inc. and Wells Fargo Bank, National Association (incorporated by reference to Exhibit 4.1 to the Company’s Current Report on Form 8-K filed on June 10, 2014)</w:t>
      </w:r>
    </w:p>
    <w:p>
      <w:pPr>
        <w:spacing w:after="0" w:line="54" w:lineRule="exact"/>
        <w:rPr>
          <w:sz w:val="20"/>
          <w:szCs w:val="20"/>
          <w:color w:val="auto"/>
        </w:rPr>
      </w:pPr>
    </w:p>
    <w:p>
      <w:pPr>
        <w:ind w:left="760" w:hanging="759"/>
        <w:spacing w:after="0" w:line="313" w:lineRule="auto"/>
        <w:tabs>
          <w:tab w:leader="none" w:pos="740" w:val="left"/>
        </w:tabs>
        <w:rPr>
          <w:sz w:val="20"/>
          <w:szCs w:val="20"/>
          <w:color w:val="auto"/>
        </w:rPr>
      </w:pPr>
      <w:r>
        <w:rPr>
          <w:rFonts w:ascii="Times New Roman" w:cs="Times New Roman" w:eastAsia="Times New Roman" w:hAnsi="Times New Roman"/>
          <w:sz w:val="17"/>
          <w:szCs w:val="17"/>
          <w:color w:val="auto"/>
        </w:rPr>
        <w:t>(d)(4)</w:t>
      </w:r>
      <w:r>
        <w:rPr>
          <w:sz w:val="20"/>
          <w:szCs w:val="20"/>
          <w:color w:val="auto"/>
        </w:rPr>
        <w:tab/>
      </w:r>
      <w:r>
        <w:rPr>
          <w:rFonts w:ascii="Times New Roman" w:cs="Times New Roman" w:eastAsia="Times New Roman" w:hAnsi="Times New Roman"/>
          <w:sz w:val="17"/>
          <w:szCs w:val="17"/>
          <w:color w:val="auto"/>
        </w:rPr>
        <w:t>Form of 4.50% Convertible Senior Notes due 2019 under the Indenture, dated June 10, 2014, between TPG Specialty Lending, Inc. and Wells Fargo Bank, National Association (incorporated by reference to Exhibit 4.2 to the Company’s Current Report on Form 8-K filed on June 10, 2014)</w:t>
      </w:r>
    </w:p>
    <w:p>
      <w:pPr>
        <w:spacing w:after="0" w:line="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340"/>
          </w:cols>
          <w:pgMar w:left="240" w:top="446" w:right="31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(d)(5)</w:t>
      </w:r>
      <w:r>
        <w:rPr>
          <w:sz w:val="20"/>
          <w:szCs w:val="20"/>
          <w:color w:val="auto"/>
        </w:rPr>
        <w:tab/>
      </w:r>
      <w:r>
        <w:rPr>
          <w:rFonts w:ascii="Times New Roman" w:cs="Times New Roman" w:eastAsia="Times New Roman" w:hAnsi="Times New Roman"/>
          <w:sz w:val="18"/>
          <w:szCs w:val="18"/>
          <w:color w:val="auto"/>
        </w:rPr>
        <w:t>Form of Indenture (1)</w:t>
      </w:r>
    </w:p>
    <w:p>
      <w:pPr>
        <w:spacing w:after="0" w:line="1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(d)(6)</w:t>
      </w:r>
      <w:r>
        <w:rPr>
          <w:sz w:val="20"/>
          <w:szCs w:val="20"/>
          <w:color w:val="auto"/>
        </w:rPr>
        <w:tab/>
      </w:r>
      <w:r>
        <w:rPr>
          <w:rFonts w:ascii="Times New Roman" w:cs="Times New Roman" w:eastAsia="Times New Roman" w:hAnsi="Times New Roman"/>
          <w:sz w:val="18"/>
          <w:szCs w:val="18"/>
          <w:color w:val="auto"/>
        </w:rPr>
        <w:t>Statement of Eligibility of Trustee on Form T-1 (1)</w:t>
      </w:r>
    </w:p>
    <w:p>
      <w:pPr>
        <w:spacing w:after="0" w:line="1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(d)(7)</w:t>
      </w:r>
      <w:r>
        <w:rPr>
          <w:sz w:val="20"/>
          <w:szCs w:val="20"/>
          <w:color w:val="auto"/>
        </w:rPr>
        <w:tab/>
      </w:r>
      <w:r>
        <w:rPr>
          <w:rFonts w:ascii="Times New Roman" w:cs="Times New Roman" w:eastAsia="Times New Roman" w:hAnsi="Times New Roman"/>
          <w:sz w:val="18"/>
          <w:szCs w:val="18"/>
          <w:color w:val="auto"/>
        </w:rPr>
        <w:t>Form of Subscription Certificate (1)</w:t>
      </w:r>
    </w:p>
    <w:p>
      <w:pPr>
        <w:spacing w:after="0" w:line="117" w:lineRule="exact"/>
        <w:rPr>
          <w:sz w:val="20"/>
          <w:szCs w:val="20"/>
          <w:color w:val="auto"/>
        </w:rPr>
      </w:pPr>
    </w:p>
    <w:p>
      <w:pPr>
        <w:ind w:left="760" w:right="280" w:hanging="752"/>
        <w:spacing w:after="0" w:line="282" w:lineRule="auto"/>
        <w:tabs>
          <w:tab w:leader="none" w:pos="7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53"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760" w:right="460" w:hanging="752"/>
        <w:spacing w:after="0" w:line="282" w:lineRule="auto"/>
        <w:tabs>
          <w:tab w:leader="none" w:pos="7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5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(h)(1)</w:t>
      </w:r>
      <w:r>
        <w:rPr>
          <w:sz w:val="20"/>
          <w:szCs w:val="20"/>
          <w:color w:val="auto"/>
        </w:rPr>
        <w:tab/>
      </w:r>
      <w:r>
        <w:rPr>
          <w:rFonts w:ascii="Times New Roman" w:cs="Times New Roman" w:eastAsia="Times New Roman" w:hAnsi="Times New Roman"/>
          <w:sz w:val="18"/>
          <w:szCs w:val="18"/>
          <w:color w:val="auto"/>
        </w:rPr>
        <w:t>Form of Underwriting Agreement for Equity Securities (1)</w:t>
      </w:r>
    </w:p>
    <w:p>
      <w:pPr>
        <w:spacing w:after="0" w:line="11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(h)(2)</w:t>
      </w:r>
      <w:r>
        <w:rPr>
          <w:sz w:val="20"/>
          <w:szCs w:val="20"/>
          <w:color w:val="auto"/>
        </w:rPr>
        <w:tab/>
      </w:r>
      <w:r>
        <w:rPr>
          <w:rFonts w:ascii="Times New Roman" w:cs="Times New Roman" w:eastAsia="Times New Roman" w:hAnsi="Times New Roman"/>
          <w:sz w:val="18"/>
          <w:szCs w:val="18"/>
          <w:color w:val="auto"/>
        </w:rPr>
        <w:t>Form of Underwriting Agreement for Debt Securities (1)</w:t>
      </w:r>
    </w:p>
    <w:p>
      <w:pPr>
        <w:spacing w:after="0" w:line="117" w:lineRule="exact"/>
        <w:rPr>
          <w:sz w:val="20"/>
          <w:szCs w:val="20"/>
          <w:color w:val="auto"/>
        </w:rPr>
      </w:pPr>
    </w:p>
    <w:p>
      <w:pPr>
        <w:ind w:left="760" w:hanging="752"/>
        <w:spacing w:after="0"/>
        <w:tabs>
          <w:tab w:leader="none" w:pos="7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760" w:right="80" w:hanging="752"/>
        <w:spacing w:after="0" w:line="282" w:lineRule="auto"/>
        <w:tabs>
          <w:tab w:leader="none" w:pos="7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54" w:lineRule="exact"/>
        <w:rPr>
          <w:sz w:val="20"/>
          <w:szCs w:val="20"/>
          <w:color w:val="auto"/>
        </w:rPr>
      </w:pPr>
    </w:p>
    <w:p>
      <w:pPr>
        <w:ind w:left="760" w:right="68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(k)(1)</w:t>
      </w:r>
      <w:r>
        <w:rPr>
          <w:sz w:val="20"/>
          <w:szCs w:val="20"/>
          <w:color w:val="auto"/>
        </w:rPr>
        <w:tab/>
      </w:r>
      <w:r>
        <w:rPr>
          <w:rFonts w:ascii="Times New Roman" w:cs="Times New Roman" w:eastAsia="Times New Roman" w:hAnsi="Times New Roman"/>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54" w:lineRule="exact"/>
        <w:rPr>
          <w:sz w:val="20"/>
          <w:szCs w:val="20"/>
          <w:color w:val="auto"/>
        </w:rPr>
      </w:pPr>
    </w:p>
    <w:p>
      <w:pPr>
        <w:ind w:left="760" w:right="240" w:hanging="759"/>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(k)(2)</w:t>
      </w:r>
      <w:r>
        <w:rPr>
          <w:sz w:val="20"/>
          <w:szCs w:val="20"/>
          <w:color w:val="auto"/>
        </w:rPr>
        <w:tab/>
      </w:r>
      <w:r>
        <w:rPr>
          <w:rFonts w:ascii="Times New Roman" w:cs="Times New Roman" w:eastAsia="Times New Roman" w:hAnsi="Times New Roman"/>
          <w:sz w:val="18"/>
          <w:szCs w:val="18"/>
          <w:color w:val="auto"/>
        </w:rPr>
        <w:t>Administration Agreement, dated as of March 15, 2011, between the Company and the Adviser (incorporated by reference to Exhibit 10.1 to the Company’s Current Report on Form 8-K filed on March 15, 2011)</w:t>
      </w:r>
    </w:p>
    <w:p>
      <w:pPr>
        <w:spacing w:after="0" w:line="54" w:lineRule="exact"/>
        <w:rPr>
          <w:sz w:val="20"/>
          <w:szCs w:val="20"/>
          <w:color w:val="auto"/>
        </w:rPr>
      </w:pPr>
    </w:p>
    <w:p>
      <w:pPr>
        <w:ind w:left="760" w:right="140" w:hanging="75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(k)(3)</w:t>
      </w:r>
      <w:r>
        <w:rPr>
          <w:sz w:val="20"/>
          <w:szCs w:val="20"/>
          <w:color w:val="auto"/>
        </w:rPr>
        <w:tab/>
      </w:r>
      <w:r>
        <w:rPr>
          <w:rFonts w:ascii="Times New Roman" w:cs="Times New Roman" w:eastAsia="Times New Roman" w:hAnsi="Times New Roman"/>
          <w:sz w:val="18"/>
          <w:szCs w:val="18"/>
          <w:color w:val="auto"/>
        </w:rPr>
        <w:t>Revolving Credit and Security Agreement, dated May 8, 2012, among TPG SL SPV, LLC, as Borrower, the Lenders from Time to Time Parties Hereto, Natixis, New York Branch, as Facility Agent and The Bank of New York Mellon Trust Company, N.A., as Collateral Agent (incorporated by reference to Exhibit 10.1 to the Company’s Quarterly Report on Form 10-Q filed on August 13, 2012)</w:t>
      </w:r>
    </w:p>
    <w:p>
      <w:pPr>
        <w:spacing w:after="0" w:line="68" w:lineRule="exact"/>
        <w:rPr>
          <w:sz w:val="20"/>
          <w:szCs w:val="20"/>
          <w:color w:val="auto"/>
        </w:rPr>
      </w:pPr>
    </w:p>
    <w:p>
      <w:pPr>
        <w:ind w:left="760" w:right="260" w:hanging="759"/>
        <w:spacing w:after="0" w:line="313" w:lineRule="auto"/>
        <w:tabs>
          <w:tab w:leader="none" w:pos="740" w:val="left"/>
        </w:tabs>
        <w:rPr>
          <w:sz w:val="20"/>
          <w:szCs w:val="20"/>
          <w:color w:val="auto"/>
        </w:rPr>
      </w:pPr>
      <w:r>
        <w:rPr>
          <w:rFonts w:ascii="Times New Roman" w:cs="Times New Roman" w:eastAsia="Times New Roman" w:hAnsi="Times New Roman"/>
          <w:sz w:val="17"/>
          <w:szCs w:val="17"/>
          <w:color w:val="auto"/>
        </w:rPr>
        <w:t>(k)(4)</w:t>
      </w:r>
      <w:r>
        <w:rPr>
          <w:sz w:val="20"/>
          <w:szCs w:val="20"/>
          <w:color w:val="auto"/>
        </w:rPr>
        <w:tab/>
      </w:r>
      <w:r>
        <w:rPr>
          <w:rFonts w:ascii="Times New Roman" w:cs="Times New Roman" w:eastAsia="Times New Roman" w:hAnsi="Times New Roman"/>
          <w:sz w:val="17"/>
          <w:szCs w:val="17"/>
          <w:color w:val="auto"/>
        </w:rPr>
        <w:t>Master Sale and Contribution Agreement by and between TPG Specialty Lending, Inc., as the Originator and TPG SL SPV, LLC, as the Buyer, dated as of May 8, 2012 (incorporated by reference to Exhibit 10.2 to the Company’s Quarterly Report on Form 10-Q filed on August 13, 2012)</w:t>
      </w:r>
    </w:p>
    <w:p>
      <w:pPr>
        <w:spacing w:after="0" w:line="30" w:lineRule="exact"/>
        <w:rPr>
          <w:sz w:val="20"/>
          <w:szCs w:val="20"/>
          <w:color w:val="auto"/>
        </w:rPr>
      </w:pPr>
    </w:p>
    <w:p>
      <w:pPr>
        <w:ind w:left="760" w:hanging="75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(k)(5)</w:t>
      </w:r>
      <w:r>
        <w:rPr>
          <w:sz w:val="20"/>
          <w:szCs w:val="20"/>
          <w:color w:val="auto"/>
        </w:rPr>
        <w:tab/>
      </w:r>
      <w:r>
        <w:rPr>
          <w:rFonts w:ascii="Times New Roman" w:cs="Times New Roman" w:eastAsia="Times New Roman" w:hAnsi="Times New Roman"/>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68" w:lineRule="exact"/>
        <w:rPr>
          <w:sz w:val="20"/>
          <w:szCs w:val="20"/>
          <w:color w:val="auto"/>
        </w:rPr>
      </w:pPr>
    </w:p>
    <w:p>
      <w:pPr>
        <w:ind w:left="760" w:right="100" w:hanging="75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(k)(6)</w:t>
      </w:r>
      <w:r>
        <w:rPr>
          <w:sz w:val="20"/>
          <w:szCs w:val="20"/>
          <w:color w:val="auto"/>
        </w:rPr>
        <w:tab/>
      </w:r>
      <w:r>
        <w:rPr>
          <w:rFonts w:ascii="Times New Roman" w:cs="Times New Roman" w:eastAsia="Times New Roman" w:hAnsi="Times New Roman"/>
          <w:sz w:val="18"/>
          <w:szCs w:val="18"/>
          <w:color w:val="auto"/>
        </w:rPr>
        <w:t>Instrument of Removal, Appointment and Acceptance, dated November 29, 2012, among State Street Bank and Trust Company and TPG SL SPV, LLC, TPG Specialty Lending, Inc. and the Bank of New York Mellon Trust Company, N.A. (incorporated by reference to Exhibit 10.1 to the Company’s Current Report on Form 8-K filed on January 2, 2013)</w:t>
      </w:r>
    </w:p>
    <w:p>
      <w:pPr>
        <w:spacing w:after="0" w:line="68" w:lineRule="exact"/>
        <w:rPr>
          <w:sz w:val="20"/>
          <w:szCs w:val="20"/>
          <w:color w:val="auto"/>
        </w:rPr>
      </w:pPr>
    </w:p>
    <w:p>
      <w:pPr>
        <w:ind w:left="760" w:right="320" w:hanging="759"/>
        <w:spacing w:after="0" w:line="266" w:lineRule="auto"/>
        <w:tabs>
          <w:tab w:leader="none" w:pos="740" w:val="left"/>
        </w:tabs>
        <w:rPr>
          <w:sz w:val="20"/>
          <w:szCs w:val="20"/>
          <w:color w:val="auto"/>
        </w:rPr>
      </w:pPr>
      <w:r>
        <w:rPr>
          <w:rFonts w:ascii="Times New Roman" w:cs="Times New Roman" w:eastAsia="Times New Roman" w:hAnsi="Times New Roman"/>
          <w:sz w:val="18"/>
          <w:szCs w:val="18"/>
          <w:color w:val="auto"/>
        </w:rPr>
        <w:t>(k)(7)</w:t>
      </w:r>
      <w:r>
        <w:rPr>
          <w:sz w:val="20"/>
          <w:szCs w:val="20"/>
          <w:color w:val="auto"/>
        </w:rPr>
        <w:tab/>
      </w:r>
      <w:r>
        <w:rPr>
          <w:rFonts w:ascii="Times New Roman" w:cs="Times New Roman" w:eastAsia="Times New Roman" w:hAnsi="Times New Roman"/>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400"/>
          </w:cols>
          <w:pgMar w:left="240" w:top="455" w:right="25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(k)(8)</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1 dated July 17, 2013 to Revolving Credit and Security Agreement, dated May 8, 2012, among TPG SL SPV, LLC, as</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Borrower, the Lenders from Time to Time Parties Hereto, Natixis, New York Branch, as Facility Agent and The Bank of New York Mellon</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Trust Company, N.A., as Collateral Agent (incorporated by reference to Exhibit 10.1 to the Company’s Quarterly Report on Form 10-Q filed</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August 9, 2013)</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(k)(9)</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Revolving Credit and Security Agreement, dated as of January 21, 2014, among TPG SL SPV, LLC, as Borrower, the</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Lenders from Time to Time Parties Hereto, Natixis, New York Branch, as Facility Agent and State Street Bank and Trust Company, as</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Collateral Agent (incorporated by reference to Exhibit 10.18 to the Company’s Annual Report on Form 10-K filed on March 4, 2014)</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(k)(10)</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Master Sale and Contribution Agreement by and between TPG Specialty Lending, Inc., as the Originator and TPG SL</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SPV, LLC, as the Buyer, dated as of January 21, 2014 (incorporated by reference to Exhibit 10.19 to the Company’s Annual Report on Form</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10-K filed on March 4, 2014)</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(k)(11)</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Second Amended and Restated Senior Secured Credit Agreement, dated February 27, 2014, among TPG Specialty Lending, Inc., as Borrower,</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Lenders Party Hereto and SunTrust Bank, as Administrative Agent, and JPMorgan Chase Bank, N.A., as Syndication Agent (incorporated</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 reference to Exhibit 10.20 to the Company’s Annual Report on Form 10-K filed on March 4, 2014)</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(k)(12)</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Form of Increase Letter pursuant to the Second Amended and Restated Senior Secured Credit Agreement, dated February 27, 2014, among</w:t>
            </w:r>
          </w:p>
        </w:tc>
      </w:tr>
      <w:tr>
        <w:trPr>
          <w:trHeight w:val="216"/>
        </w:trPr>
        <w:tc>
          <w:tcPr>
            <w:tcW w:w="780" w:type="dxa"/>
            <w:vAlign w:val="bottom"/>
          </w:tcPr>
          <w:p>
            <w:pPr>
              <w:spacing w:after="0"/>
              <w:rPr>
                <w:sz w:val="18"/>
                <w:szCs w:val="18"/>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TPG Specialty Lending, Inc., as Borrower, the Lenders Party Hereto and SunTrust Bank, as Administrative Agent, and JPMorgan Chase Bank,</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 as Syndication Agent (1)</w:t>
            </w:r>
          </w:p>
        </w:tc>
      </w:tr>
      <w:tr>
        <w:trPr>
          <w:trHeight w:val="30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(k)(13)</w:t>
            </w: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First Amendment to the Second Amended and Restated Senior Secured Revolving Credit Agreement, dated June 3, 2014, among TPG</w:t>
            </w:r>
          </w:p>
        </w:tc>
      </w:tr>
      <w:tr>
        <w:trPr>
          <w:trHeight w:val="234"/>
        </w:trPr>
        <w:tc>
          <w:tcPr>
            <w:tcW w:w="78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Specialty Lending, Inc., as Borrower, the Lenders party thereto and SunTrust Bank, as Administrative Agent and Collateral Agent (1)</w:t>
            </w:r>
          </w:p>
        </w:tc>
      </w:tr>
    </w:tbl>
    <w:p>
      <w:pPr>
        <w:spacing w:after="0" w:line="90" w:lineRule="exact"/>
        <w:rPr>
          <w:sz w:val="20"/>
          <w:szCs w:val="20"/>
          <w:color w:val="auto"/>
        </w:rPr>
      </w:pPr>
    </w:p>
    <w:p>
      <w:pPr>
        <w:ind w:left="1060" w:hanging="1052"/>
        <w:spacing w:after="0"/>
        <w:tabs>
          <w:tab w:leader="none" w:pos="10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Opinion and Consent of Cleary Gottlieb Steen &amp; Hamilton LLP (1)</w:t>
      </w:r>
    </w:p>
    <w:p>
      <w:pPr>
        <w:spacing w:after="0" w:line="117" w:lineRule="exact"/>
        <w:rPr>
          <w:rFonts w:ascii="Times New Roman" w:cs="Times New Roman" w:eastAsia="Times New Roman" w:hAnsi="Times New Roman"/>
          <w:sz w:val="18"/>
          <w:szCs w:val="18"/>
          <w:color w:val="auto"/>
        </w:rPr>
      </w:pPr>
    </w:p>
    <w:p>
      <w:pPr>
        <w:ind w:left="1060" w:hanging="1052"/>
        <w:spacing w:after="0"/>
        <w:tabs>
          <w:tab w:leader="none" w:pos="10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(n)(1)</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Consent of Cleary Gottlieb Steen &amp; Hamilton LLP (1)</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(n)(2)</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(n)(3)</w:t>
            </w: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 of KPMG LLP</w:t>
            </w:r>
          </w:p>
        </w:tc>
      </w:tr>
    </w:tbl>
    <w:p>
      <w:pPr>
        <w:spacing w:after="0" w:line="90" w:lineRule="exact"/>
        <w:rPr>
          <w:sz w:val="20"/>
          <w:szCs w:val="20"/>
          <w:color w:val="auto"/>
        </w:rPr>
      </w:pPr>
    </w:p>
    <w:p>
      <w:pPr>
        <w:ind w:left="1060" w:hanging="1052"/>
        <w:spacing w:after="0"/>
        <w:tabs>
          <w:tab w:leader="none" w:pos="10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060" w:hanging="1052"/>
        <w:spacing w:after="0"/>
        <w:tabs>
          <w:tab w:leader="none" w:pos="10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060" w:hanging="1052"/>
        <w:spacing w:after="0"/>
        <w:tabs>
          <w:tab w:leader="none" w:pos="10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(r)(1)</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Code of Ethics of TPG Specialty Lending, Inc. (incorporated by reference to Exhibit (r)(1) to Pre-Effective Amendment No. 4 to the</w:t>
            </w:r>
          </w:p>
        </w:tc>
      </w:tr>
      <w:tr>
        <w:trPr>
          <w:trHeight w:val="234"/>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Company’s Registration Statement on Form N-2 filed on March 17, 2014)</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(r)(2)</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Code of Ethics of TSL Advisers, LLC (incorporated by reference to Exhibit (r)(2) to Pre-Effective Amendment No. 4 to the Company’s</w:t>
            </w:r>
          </w:p>
        </w:tc>
      </w:tr>
      <w:tr>
        <w:trPr>
          <w:trHeight w:val="234"/>
        </w:trPr>
        <w:tc>
          <w:tcPr>
            <w:tcW w:w="720" w:type="dxa"/>
            <w:vAlign w:val="bottom"/>
          </w:tcPr>
          <w:p>
            <w:pPr>
              <w:spacing w:after="0"/>
              <w:rPr>
                <w:sz w:val="20"/>
                <w:szCs w:val="20"/>
                <w:color w:val="auto"/>
              </w:rPr>
            </w:pP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Registration Statement on Form N-2 filed on March 17, 2014)</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Preliminary Prospectus Supplement For Common Stock Offerings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Preliminary Prospectus Supplement For Preferred Stock Offerings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Preliminary Prospectus Supplement For Debt Securities Offerings</w:t>
            </w: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10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Form of Preliminary Prospectus Supplement For Rights Offerings</w:t>
            </w:r>
          </w:p>
        </w:tc>
      </w:tr>
      <w:tr>
        <w:trPr>
          <w:trHeight w:val="365"/>
        </w:trPr>
        <w:tc>
          <w:tcPr>
            <w:tcW w:w="720" w:type="dxa"/>
            <w:vAlign w:val="bottom"/>
          </w:tcPr>
          <w:p>
            <w:pPr>
              <w:spacing w:after="0"/>
              <w:rPr>
                <w:sz w:val="24"/>
                <w:szCs w:val="24"/>
                <w:color w:val="auto"/>
              </w:rPr>
            </w:pPr>
          </w:p>
        </w:tc>
        <w:tc>
          <w:tcPr>
            <w:tcW w:w="1012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C-3</w:t>
            </w:r>
          </w:p>
        </w:tc>
      </w:tr>
    </w:tbl>
    <w:p>
      <w:pPr>
        <w:sectPr>
          <w:pgSz w:w="11900" w:h="16838" w:orient="portrait"/>
          <w:cols w:equalWidth="0" w:num="1">
            <w:col w:w="11340"/>
          </w:cols>
          <w:pgMar w:left="240" w:top="456" w:right="31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99.5</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Form of Preliminary Prospectus Supplement For Warrant Offerings</w:t>
            </w:r>
          </w:p>
        </w:tc>
      </w:tr>
      <w:tr>
        <w:trPr>
          <w:trHeight w:val="324"/>
        </w:trPr>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5"/>
              </w:rPr>
              <w:t>99.6</w:t>
            </w:r>
          </w:p>
        </w:tc>
        <w:tc>
          <w:tcPr>
            <w:tcW w:w="5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Form of Preliminary Prospectus Supplement For Unit Offerings</w:t>
            </w:r>
          </w:p>
        </w:tc>
      </w:tr>
    </w:tbl>
    <w:p>
      <w:pPr>
        <w:spacing w:after="0" w:line="225" w:lineRule="exact"/>
        <w:rPr>
          <w:sz w:val="20"/>
          <w:szCs w:val="20"/>
          <w:color w:val="auto"/>
        </w:rPr>
      </w:pPr>
    </w:p>
    <w:p>
      <w:pPr>
        <w:ind w:left="460" w:hanging="452"/>
        <w:spacing w:after="0"/>
        <w:tabs>
          <w:tab w:leader="none" w:pos="4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26.</w:t>
      </w:r>
      <w:r>
        <w:rPr>
          <w:sz w:val="20"/>
          <w:szCs w:val="20"/>
          <w:color w:val="auto"/>
        </w:rPr>
        <w:tab/>
      </w:r>
      <w:r>
        <w:rPr>
          <w:rFonts w:ascii="Times New Roman" w:cs="Times New Roman" w:eastAsia="Times New Roman" w:hAnsi="Times New Roman"/>
          <w:sz w:val="17"/>
          <w:szCs w:val="17"/>
          <w:b w:val="1"/>
          <w:bCs w:val="1"/>
          <w:color w:val="auto"/>
        </w:rPr>
        <w:t>Marketing Arrangements</w:t>
      </w:r>
    </w:p>
    <w:p>
      <w:pPr>
        <w:spacing w:after="0" w:line="121"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27.</w:t>
            </w:r>
          </w:p>
        </w:tc>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6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$164,736.61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192,351.64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 listing fee</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357,088.25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estimates.</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28.</w:t>
      </w:r>
      <w:r>
        <w:rPr>
          <w:sz w:val="20"/>
          <w:szCs w:val="20"/>
          <w:color w:val="auto"/>
        </w:rPr>
        <w:tab/>
      </w:r>
      <w:r>
        <w:rPr>
          <w:rFonts w:ascii="Times New Roman" w:cs="Times New Roman" w:eastAsia="Times New Roman" w:hAnsi="Times New Roman"/>
          <w:sz w:val="17"/>
          <w:szCs w:val="17"/>
          <w:b w:val="1"/>
          <w:bCs w:val="1"/>
          <w:color w:val="auto"/>
        </w:rPr>
        <w:t>Persons Controlled by or Under Common Control</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29.</w:t>
      </w:r>
      <w:r>
        <w:rPr>
          <w:sz w:val="20"/>
          <w:szCs w:val="20"/>
          <w:color w:val="auto"/>
        </w:rPr>
        <w:tab/>
      </w:r>
      <w:r>
        <w:rPr>
          <w:rFonts w:ascii="Times New Roman" w:cs="Times New Roman" w:eastAsia="Times New Roman" w:hAnsi="Times New Roman"/>
          <w:sz w:val="17"/>
          <w:szCs w:val="17"/>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approximate number of record holders of our common stock as of May 7, 2014.</w:t>
      </w:r>
    </w:p>
    <w:p>
      <w:pPr>
        <w:spacing w:after="0" w:line="246"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Record Holders</w:t>
            </w: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$0.01 par value</w:t>
            </w:r>
          </w:p>
        </w:tc>
        <w:tc>
          <w:tcPr>
            <w:tcW w:w="18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 Indemnification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360"/>
          </w:cols>
          <w:pgMar w:left="240" w:top="456" w:right="29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us the expenses incurred in defending or otherwise participating in any proceeding in advance of its final disposition.</w:t>
      </w:r>
    </w:p>
    <w:p>
      <w:pPr>
        <w:spacing w:after="0" w:line="225"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88"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Delaware General Corporation Law. A form of indemnification agreement has been filed as an exhibit to this Registration Statement.</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420"/>
          </w:cols>
          <w:pgMar w:left="240" w:top="456" w:right="2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31.</w:t>
      </w:r>
      <w:r>
        <w:rPr>
          <w:sz w:val="20"/>
          <w:szCs w:val="20"/>
          <w:color w:val="auto"/>
        </w:rPr>
        <w:tab/>
      </w:r>
      <w:r>
        <w:rPr>
          <w:rFonts w:ascii="Times New Roman" w:cs="Times New Roman" w:eastAsia="Times New Roman" w:hAnsi="Times New Roman"/>
          <w:sz w:val="17"/>
          <w:szCs w:val="17"/>
          <w:b w:val="1"/>
          <w:bCs w:val="1"/>
          <w:color w:val="auto"/>
        </w:rPr>
        <w:t>Business and Other Connections of Investment Advisor</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3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32.</w:t>
      </w:r>
      <w:r>
        <w:rPr>
          <w:sz w:val="20"/>
          <w:szCs w:val="20"/>
          <w:color w:val="auto"/>
        </w:rPr>
        <w:tab/>
      </w:r>
      <w:r>
        <w:rPr>
          <w:rFonts w:ascii="Times New Roman" w:cs="Times New Roman" w:eastAsia="Times New Roman" w:hAnsi="Times New Roman"/>
          <w:sz w:val="17"/>
          <w:szCs w:val="17"/>
          <w:b w:val="1"/>
          <w:bCs w:val="1"/>
          <w:color w:val="auto"/>
        </w:rPr>
        <w:t>Location of Accounts and Records</w:t>
      </w:r>
    </w:p>
    <w:p>
      <w:pPr>
        <w:spacing w:after="0" w:line="121"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All accounts, books and other documents required to be maintained by Section 31(a) of the 1940 Act, and the rules thereunder are maintained at the offices of:</w:t>
      </w:r>
    </w:p>
    <w:p>
      <w:pPr>
        <w:spacing w:after="0" w:line="67" w:lineRule="exact"/>
        <w:rPr>
          <w:sz w:val="20"/>
          <w:szCs w:val="20"/>
          <w:color w:val="auto"/>
        </w:rPr>
      </w:pPr>
    </w:p>
    <w:p>
      <w:pPr>
        <w:ind w:left="900" w:hanging="446"/>
        <w:spacing w:after="0"/>
        <w:tabs>
          <w:tab w:leader="none" w:pos="9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301 Commerce Street, Suite 3300, Fort Worth, TX 76102;</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State Street Bank and Trust Company, 200 Clarendon Street, Boston, MA 02116;</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State Street Bank and Trust Company, 1 Lincoln Street Boston, MA 02111;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301 Commerce Street, Suite 3300, Fort Worth, TX 76102.</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33.</w:t>
      </w:r>
      <w:r>
        <w:rPr>
          <w:sz w:val="20"/>
          <w:szCs w:val="20"/>
          <w:color w:val="auto"/>
        </w:rPr>
        <w:tab/>
      </w:r>
      <w:r>
        <w:rPr>
          <w:rFonts w:ascii="Times New Roman" w:cs="Times New Roman" w:eastAsia="Times New Roman" w:hAnsi="Times New Roman"/>
          <w:sz w:val="17"/>
          <w:szCs w:val="17"/>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34. Undertakings</w:t>
      </w:r>
    </w:p>
    <w:p>
      <w:pPr>
        <w:spacing w:after="0" w:line="135" w:lineRule="exact"/>
        <w:rPr>
          <w:sz w:val="20"/>
          <w:szCs w:val="20"/>
          <w:color w:val="auto"/>
        </w:rPr>
      </w:pPr>
    </w:p>
    <w:p>
      <w:pPr>
        <w:ind w:left="900" w:right="40" w:hanging="446"/>
        <w:spacing w:after="0" w:line="266" w:lineRule="auto"/>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30" w:lineRule="exact"/>
        <w:rPr>
          <w:rFonts w:ascii="Times New Roman" w:cs="Times New Roman" w:eastAsia="Times New Roman" w:hAnsi="Times New Roman"/>
          <w:sz w:val="18"/>
          <w:szCs w:val="18"/>
          <w:color w:val="auto"/>
        </w:rPr>
      </w:pPr>
    </w:p>
    <w:p>
      <w:pPr>
        <w:ind w:left="900" w:right="20" w:hanging="446"/>
        <w:spacing w:after="0" w:line="256" w:lineRule="auto"/>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93"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undertake:</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13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2"/>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920" w:right="20" w:hanging="440"/>
        <w:spacing w:after="0" w:line="266" w:lineRule="auto"/>
        <w:tabs>
          <w:tab w:leader="none" w:pos="1920" w:val="left"/>
        </w:tabs>
        <w:numPr>
          <w:ilvl w:val="2"/>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1" w:lineRule="exact"/>
        <w:rPr>
          <w:rFonts w:ascii="Times New Roman" w:cs="Times New Roman" w:eastAsia="Times New Roman" w:hAnsi="Times New Roman"/>
          <w:sz w:val="18"/>
          <w:szCs w:val="18"/>
          <w:color w:val="auto"/>
        </w:rPr>
      </w:pPr>
    </w:p>
    <w:p>
      <w:pPr>
        <w:ind w:left="1920" w:right="100" w:hanging="440"/>
        <w:spacing w:after="0" w:line="282" w:lineRule="auto"/>
        <w:tabs>
          <w:tab w:leader="none" w:pos="1920" w:val="left"/>
        </w:tabs>
        <w:numPr>
          <w:ilvl w:val="2"/>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400"/>
          </w:cols>
          <w:pgMar w:left="240" w:top="456" w:right="2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160" w:hanging="567"/>
        <w:spacing w:after="0" w:line="266" w:lineRule="auto"/>
        <w:tabs>
          <w:tab w:leader="none" w:pos="14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480" w:right="280" w:hanging="567"/>
        <w:spacing w:after="0" w:line="282" w:lineRule="auto"/>
        <w:tabs>
          <w:tab w:leader="none" w:pos="14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 and</w:t>
      </w:r>
    </w:p>
    <w:p>
      <w:pPr>
        <w:spacing w:after="0" w:line="67" w:lineRule="exact"/>
        <w:rPr>
          <w:rFonts w:ascii="Times New Roman" w:cs="Times New Roman" w:eastAsia="Times New Roman" w:hAnsi="Times New Roman"/>
          <w:sz w:val="18"/>
          <w:szCs w:val="18"/>
          <w:color w:val="auto"/>
        </w:rPr>
      </w:pPr>
    </w:p>
    <w:p>
      <w:pPr>
        <w:ind w:left="1480" w:right="100" w:hanging="567"/>
        <w:spacing w:after="0" w:line="255" w:lineRule="auto"/>
        <w:tabs>
          <w:tab w:leader="none" w:pos="14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supercede or modify any statement that was made in the registration statement or prospectus that was part of the registration statement or made in any such document immediately prior to such date of first use.</w:t>
      </w:r>
    </w:p>
    <w:p>
      <w:pPr>
        <w:spacing w:after="0" w:line="90" w:lineRule="exact"/>
        <w:rPr>
          <w:rFonts w:ascii="Times New Roman" w:cs="Times New Roman" w:eastAsia="Times New Roman" w:hAnsi="Times New Roman"/>
          <w:sz w:val="18"/>
          <w:szCs w:val="18"/>
          <w:color w:val="auto"/>
        </w:rPr>
      </w:pPr>
    </w:p>
    <w:p>
      <w:pPr>
        <w:ind w:left="1480" w:hanging="567"/>
        <w:spacing w:after="0" w:line="261" w:lineRule="auto"/>
        <w:tabs>
          <w:tab w:leader="none" w:pos="14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85" w:lineRule="exact"/>
        <w:rPr>
          <w:rFonts w:ascii="Times New Roman" w:cs="Times New Roman" w:eastAsia="Times New Roman" w:hAnsi="Times New Roman"/>
          <w:sz w:val="18"/>
          <w:szCs w:val="18"/>
          <w:color w:val="auto"/>
        </w:rPr>
      </w:pPr>
    </w:p>
    <w:p>
      <w:pPr>
        <w:ind w:left="1920" w:right="600" w:hanging="440"/>
        <w:spacing w:after="0" w:line="282" w:lineRule="auto"/>
        <w:tabs>
          <w:tab w:leader="none" w:pos="1920"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ours relating to the offering required to be filed pursuant to Rule 497 under the Securities Act;</w:t>
      </w:r>
    </w:p>
    <w:p>
      <w:pPr>
        <w:spacing w:after="0" w:line="67" w:lineRule="exact"/>
        <w:rPr>
          <w:rFonts w:ascii="Times New Roman" w:cs="Times New Roman" w:eastAsia="Times New Roman" w:hAnsi="Times New Roman"/>
          <w:sz w:val="18"/>
          <w:szCs w:val="18"/>
          <w:color w:val="auto"/>
        </w:rPr>
      </w:pPr>
    </w:p>
    <w:p>
      <w:pPr>
        <w:ind w:left="1920" w:right="700" w:hanging="440"/>
        <w:spacing w:after="0" w:line="282" w:lineRule="auto"/>
        <w:tabs>
          <w:tab w:leader="none" w:pos="1920"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67"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us to the purchaser.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that:</w:t>
      </w:r>
    </w:p>
    <w:p>
      <w:pPr>
        <w:spacing w:after="0" w:line="130" w:lineRule="exact"/>
        <w:rPr>
          <w:rFonts w:ascii="Times New Roman" w:cs="Times New Roman" w:eastAsia="Times New Roman" w:hAnsi="Times New Roman"/>
          <w:sz w:val="18"/>
          <w:szCs w:val="18"/>
          <w:color w:val="auto"/>
        </w:rPr>
      </w:pPr>
    </w:p>
    <w:p>
      <w:pPr>
        <w:ind w:left="1480" w:right="80" w:hanging="567"/>
        <w:spacing w:after="0" w:line="266" w:lineRule="auto"/>
        <w:tabs>
          <w:tab w:leader="none" w:pos="148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81" w:lineRule="exact"/>
        <w:rPr>
          <w:rFonts w:ascii="Times New Roman" w:cs="Times New Roman" w:eastAsia="Times New Roman" w:hAnsi="Times New Roman"/>
          <w:sz w:val="18"/>
          <w:szCs w:val="18"/>
          <w:color w:val="auto"/>
        </w:rPr>
      </w:pPr>
    </w:p>
    <w:p>
      <w:pPr>
        <w:ind w:left="1480" w:right="20" w:hanging="567"/>
        <w:spacing w:after="0" w:line="266" w:lineRule="auto"/>
        <w:tabs>
          <w:tab w:leader="none" w:pos="148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400"/>
          </w:cols>
          <w:pgMar w:left="240" w:top="455" w:right="2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23rd day of June, 2014.</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Michael Fishman</w:t>
      </w:r>
    </w:p>
    <w:p>
      <w:pPr>
        <w:spacing w:after="0" w:line="3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Co-Chief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Each officer and director of TPG Specialty Lending, Inc. whose signature appears below constitutes and appoints Joshua Easterly, Michael Fishman, Alan Kirshenbaum, David Stiepleman and Jennifer Mello, and each of them to act without the other, as his or her true and lawful attorney-in-fact and agent, with full power of substitution and revocation, for him or her and in his or her name, place and stead, in any and all capacities, to execute and file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Fishman</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 and Director (Principal</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2014</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Fishman</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Joshua Easterly</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Co-Chief Executive Officer, Director and Chairman</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2014</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Joshua Easterly</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Board of Directors</w:t>
            </w: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Kirshenbaum</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2014</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Alan Kirshenbaum</w:t>
            </w:r>
          </w:p>
        </w:tc>
        <w:tc>
          <w:tcPr>
            <w:tcW w:w="10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A. Ross</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Chairman of the Audit Committee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2014</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A. Ross</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A. Higginbotham</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2014</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A. Higginbotham</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Ronald K. Tanemura</w:t>
            </w:r>
          </w:p>
        </w:tc>
        <w:tc>
          <w:tcPr>
            <w:tcW w:w="1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2014</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Ronald K. Tanemura</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ectPr>
          <w:pgSz w:w="11900" w:h="16838" w:orient="portrait"/>
          <w:cols w:equalWidth="0" w:num="1">
            <w:col w:w="11420"/>
          </w:cols>
          <w:pgMar w:left="240" w:top="455" w:right="2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consent to the use of our report dated March 4, 2014, with respect to the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and our report dated March 4, 2014 on the consolidated senior securities schedule of the Company included herein, and to the references to our firm under the headings “Senior Securities”, and “Experts” in the prospectus.</w:t>
      </w:r>
    </w:p>
    <w:p>
      <w:pPr>
        <w:spacing w:after="0" w:line="18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2014</w:t>
      </w:r>
    </w:p>
    <w:p>
      <w:pPr>
        <w:sectPr>
          <w:pgSz w:w="11900" w:h="16838" w:orient="portrait"/>
          <w:cols w:equalWidth="0" w:num="1">
            <w:col w:w="11420"/>
          </w:cols>
          <w:pgMar w:left="240" w:top="117" w:right="2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8"/>
          <w:szCs w:val="18"/>
          <w:b w:val="1"/>
          <w:bCs w:val="1"/>
          <w:color w:val="auto"/>
        </w:rPr>
        <w:t>Exhibit (n)(3)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15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Under date of March 4, 2014, we reported on the consolidated balance sheets of TPG Specialty Lending, Inc. (and subsidiaries) (the Company), including the consolidated schedules of investments as of December 31, 2013 and 2012, and the related consolidated statements of operations, changes in net assets and cash flows for each of the years in the three-year period ended December 31, 2013, which are included in the prospectus. In connection with our audits of the aforementioned consolidated financial statements, we also audited the related consolidated financial statement schedule in the registration statement, under the caption “Senior Securities”. This financial statement schedule is the responsibility of the Company’s management. Our responsibility is to express an opinion on this financial statement schedule based on our audit.</w:t>
      </w:r>
    </w:p>
    <w:p>
      <w:pPr>
        <w:spacing w:after="0" w:line="13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In our opinion, such financial statement schedule, when considered in relation to the basic consolidated financial statements taken as a whole, presents fairly, in all material respects, the information set forth therein.</w:t>
      </w:r>
    </w:p>
    <w:p>
      <w:pPr>
        <w:spacing w:after="0" w:line="1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KPMG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2014</w:t>
      </w:r>
    </w:p>
    <w:p>
      <w:pPr>
        <w:sectPr>
          <w:pgSz w:w="11900" w:h="16838" w:orient="portrait"/>
          <w:cols w:equalWidth="0" w:num="1">
            <w:col w:w="11420"/>
          </w:cols>
          <w:pgMar w:left="240" w:top="123" w:right="239" w:bottom="1440" w:gutter="0" w:footer="0" w:header="0"/>
        </w:sectPr>
      </w:pPr>
    </w:p>
    <w:bookmarkStart w:id="264" w:name="page265"/>
    <w:bookmarkEnd w:id="264"/>
    <w:p>
      <w:pPr>
        <w:ind w:left="104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w:t>
      </w:r>
    </w:p>
    <w:p>
      <w:pPr>
        <w:spacing w:after="0" w:line="117" w:lineRule="exact"/>
        <w:rPr>
          <w:sz w:val="20"/>
          <w:szCs w:val="20"/>
          <w:color w:val="auto"/>
        </w:rPr>
      </w:pPr>
    </w:p>
    <w:tbl>
      <w:tblPr>
        <w:tblLayout w:type="fixed"/>
        <w:tblInd w:w="348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DE1A1E"/>
              </w:rPr>
              <w:t>Preliminary Prospectus Supplement dated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DE1A1E"/>
              </w:rPr>
              <w:t>20</w:t>
            </w:r>
          </w:p>
        </w:tc>
      </w:tr>
    </w:tbl>
    <w:p>
      <w:pPr>
        <w:spacing w:after="0" w:line="90" w:lineRule="exact"/>
        <w:rPr>
          <w:sz w:val="20"/>
          <w:szCs w:val="20"/>
          <w:color w:val="auto"/>
        </w:rPr>
      </w:pPr>
    </w:p>
    <w:p>
      <w:pPr>
        <w:ind w:right="120" w:firstLine="129"/>
        <w:spacing w:after="0" w:line="373" w:lineRule="auto"/>
        <w:rPr>
          <w:sz w:val="20"/>
          <w:szCs w:val="20"/>
          <w:color w:val="auto"/>
        </w:rPr>
      </w:pPr>
      <w:r>
        <w:rPr>
          <w:rFonts w:ascii="Times New Roman" w:cs="Times New Roman" w:eastAsia="Times New Roman" w:hAnsi="Times New Roman"/>
          <w:sz w:val="18"/>
          <w:szCs w:val="18"/>
          <w:color w:val="auto"/>
        </w:rPr>
        <w:t xml:space="preserve">[FORM OF PRELIMINARY PROSPECTUS SUPPLEMENT TO BE USED IN CONJUNCTION WITH FUTURE COMMON STOCK OFFERINGS](1) </w:t>
      </w:r>
      <w:r>
        <w:rPr>
          <w:rFonts w:ascii="Times New Roman" w:cs="Times New Roman" w:eastAsia="Times New Roman" w:hAnsi="Times New Roman"/>
          <w:sz w:val="18"/>
          <w:szCs w:val="18"/>
          <w:b w:val="1"/>
          <w:bCs w:val="1"/>
          <w:u w:val="single" w:color="auto"/>
          <w:color w:val="auto"/>
        </w:rPr>
        <w:t>PROSPECTUS SUPPLEMENT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   )</w:t>
            </w:r>
          </w:p>
        </w:tc>
      </w:tr>
    </w:tbl>
    <w:p>
      <w:pPr>
        <w:spacing w:after="0" w:line="8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97155</wp:posOffset>
            </wp:positionV>
            <wp:extent cx="1346200" cy="660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Specialty Lending, Inc.</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left="360"/>
        <w:spacing w:after="0"/>
        <w:tabs>
          <w:tab w:leader="none" w:pos="2440" w:val="left"/>
        </w:tabs>
        <w:rPr>
          <w:sz w:val="20"/>
          <w:szCs w:val="20"/>
          <w:color w:val="auto"/>
        </w:rPr>
      </w:pPr>
      <w:r>
        <w:rPr>
          <w:rFonts w:ascii="Times New Roman" w:cs="Times New Roman" w:eastAsia="Times New Roman" w:hAnsi="Times New Roman"/>
          <w:sz w:val="14"/>
          <w:szCs w:val="14"/>
          <w:color w:val="auto"/>
        </w:rPr>
        <w:t>We are offering for sale</w:t>
      </w:r>
      <w:r>
        <w:rPr>
          <w:sz w:val="20"/>
          <w:szCs w:val="20"/>
          <w:color w:val="auto"/>
        </w:rPr>
        <w:tab/>
      </w:r>
      <w:r>
        <w:rPr>
          <w:rFonts w:ascii="Times New Roman" w:cs="Times New Roman" w:eastAsia="Times New Roman" w:hAnsi="Times New Roman"/>
          <w:sz w:val="14"/>
          <w:szCs w:val="14"/>
          <w:color w:val="auto"/>
        </w:rPr>
        <w:t>shares of our common stock.</w:t>
      </w:r>
    </w:p>
    <w:p>
      <w:pPr>
        <w:spacing w:after="0" w:line="69" w:lineRule="exact"/>
        <w:rPr>
          <w:sz w:val="20"/>
          <w:szCs w:val="20"/>
          <w:color w:val="auto"/>
        </w:rPr>
      </w:pPr>
    </w:p>
    <w:p>
      <w:pPr>
        <w:ind w:right="360" w:firstLine="342"/>
        <w:spacing w:after="0" w:line="262" w:lineRule="auto"/>
        <w:rPr>
          <w:sz w:val="20"/>
          <w:szCs w:val="20"/>
          <w:color w:val="auto"/>
        </w:rPr>
      </w:pPr>
      <w:r>
        <w:rPr>
          <w:rFonts w:ascii="Times New Roman" w:cs="Times New Roman" w:eastAsia="Times New Roman" w:hAnsi="Times New Roman"/>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3" w:lineRule="exact"/>
        <w:rPr>
          <w:sz w:val="20"/>
          <w:szCs w:val="20"/>
          <w:color w:val="auto"/>
        </w:rPr>
      </w:pPr>
    </w:p>
    <w:p>
      <w:pPr>
        <w:ind w:right="80" w:firstLine="342"/>
        <w:spacing w:after="0" w:line="262" w:lineRule="auto"/>
        <w:rPr>
          <w:sz w:val="20"/>
          <w:szCs w:val="20"/>
          <w:color w:val="auto"/>
        </w:rPr>
      </w:pPr>
      <w:r>
        <w:rPr>
          <w:rFonts w:ascii="Times New Roman" w:cs="Times New Roman" w:eastAsia="Times New Roman" w:hAnsi="Times New Roman"/>
          <w:sz w:val="14"/>
          <w:szCs w:val="14"/>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TSL Advisers, LLC, or the Adviser, acts as our investment adviser and administrator. We and the</w:t>
      </w:r>
    </w:p>
    <w:p>
      <w:pPr>
        <w:spacing w:after="0" w:line="4"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4"/>
          <w:szCs w:val="14"/>
          <w:color w:val="auto"/>
        </w:rPr>
        <w:t>Adviser are part of the TPG Special Situations Partners platform, which had over $ billion of assets under management as of , 20 . TPG Special Situations Partners is the special situations and credit platform of TPG, a leading global private investment firm founded in 1992 with over $ billion of assets under management as of , 20 .</w:t>
      </w:r>
    </w:p>
    <w:p>
      <w:pPr>
        <w:spacing w:after="0" w:line="42" w:lineRule="exact"/>
        <w:rPr>
          <w:sz w:val="20"/>
          <w:szCs w:val="20"/>
          <w:color w:val="auto"/>
        </w:rPr>
      </w:pPr>
    </w:p>
    <w:p>
      <w:pPr>
        <w:ind w:right="60" w:firstLine="342"/>
        <w:spacing w:after="0" w:line="236" w:lineRule="auto"/>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29" w:lineRule="exact"/>
        <w:rPr>
          <w:sz w:val="20"/>
          <w:szCs w:val="20"/>
          <w:color w:val="auto"/>
        </w:rPr>
      </w:pPr>
    </w:p>
    <w:p>
      <w:pPr>
        <w:ind w:right="200" w:firstLine="342"/>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9"/>
              </w:rPr>
              <w:t>was $</w:t>
            </w: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Our common stock is traded on the New York Stock Exchange, or NYSE, under the symbol “TSLX.” On</w:t>
            </w:r>
          </w:p>
        </w:tc>
        <w:tc>
          <w:tcPr>
            <w:tcW w:w="46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20   , the last reported sales price of our common stock on the NYSE</w:t>
            </w:r>
          </w:p>
        </w:tc>
        <w:tc>
          <w:tcPr>
            <w:tcW w:w="0" w:type="dxa"/>
            <w:vAlign w:val="bottom"/>
          </w:tcPr>
          <w:p>
            <w:pPr>
              <w:spacing w:after="0"/>
              <w:rPr>
                <w:sz w:val="1"/>
                <w:szCs w:val="1"/>
                <w:color w:val="auto"/>
              </w:rPr>
            </w:pPr>
          </w:p>
        </w:tc>
      </w:tr>
      <w:tr>
        <w:trPr>
          <w:trHeight w:val="165"/>
        </w:trPr>
        <w:tc>
          <w:tcPr>
            <w:tcW w:w="340" w:type="dxa"/>
            <w:vAlign w:val="bottom"/>
            <w:vMerge w:val="continue"/>
          </w:tcPr>
          <w:p>
            <w:pPr>
              <w:spacing w:after="0"/>
              <w:rPr>
                <w:sz w:val="14"/>
                <w:szCs w:val="14"/>
                <w:color w:val="auto"/>
              </w:rPr>
            </w:pPr>
          </w:p>
        </w:tc>
        <w:tc>
          <w:tcPr>
            <w:tcW w:w="4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 share. The net asset value per share of our common stock at</w:t>
            </w:r>
          </w:p>
        </w:tc>
        <w:tc>
          <w:tcPr>
            <w:tcW w:w="67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 20 (the last date prior to the date of this prospectus supplement on which we determined net asset value) was</w:t>
            </w: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53"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that are described in the “Risk Factors” section beginning on page [ ] of the accompanying prospectus, including the risk of leverage.</w:t>
      </w:r>
    </w:p>
    <w:p>
      <w:pPr>
        <w:spacing w:after="0" w:line="6" w:lineRule="exact"/>
        <w:rPr>
          <w:sz w:val="20"/>
          <w:szCs w:val="20"/>
          <w:color w:val="auto"/>
        </w:rPr>
      </w:pPr>
    </w:p>
    <w:p>
      <w:pPr>
        <w:ind w:right="20" w:firstLine="342"/>
        <w:spacing w:after="0" w:line="229"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w:t>
      </w:r>
    </w:p>
    <w:p>
      <w:pPr>
        <w:spacing w:after="0" w:line="1"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4"/>
          <w:szCs w:val="14"/>
          <w:color w:val="auto"/>
        </w:rPr>
        <w:t>Exchange Commission. This information is available free of charge by contacting us at , calling us at (817) 871-4000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8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Public offering price</w:t>
            </w:r>
          </w:p>
        </w:tc>
        <w:tc>
          <w:tcPr>
            <w:tcW w:w="24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3060" w:type="dxa"/>
            <w:vAlign w:val="bottom"/>
            <w:gridSpan w:val="2"/>
          </w:tcPr>
          <w:p>
            <w:pPr>
              <w:jc w:val="right"/>
              <w:ind w:right="4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396"/>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r>
      <w:tr>
        <w:trPr>
          <w:trHeight w:val="149"/>
        </w:trPr>
        <w:tc>
          <w:tcPr>
            <w:tcW w:w="4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to us, before expenses</w:t>
            </w:r>
            <w:r>
              <w:rPr>
                <w:rFonts w:ascii="Times New Roman" w:cs="Times New Roman" w:eastAsia="Times New Roman" w:hAnsi="Times New Roman"/>
                <w:sz w:val="12"/>
                <w:szCs w:val="12"/>
                <w:color w:val="auto"/>
              </w:rPr>
              <w:t>(1)</w:t>
            </w:r>
          </w:p>
        </w:tc>
        <w:tc>
          <w:tcPr>
            <w:tcW w:w="3060" w:type="dxa"/>
            <w:vAlign w:val="bottom"/>
            <w:gridSpan w:val="2"/>
            <w:shd w:val="clear" w:color="auto" w:fill="CCEEFF"/>
          </w:tcPr>
          <w:p>
            <w:pPr>
              <w:jc w:val="right"/>
              <w:ind w:right="4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396"/>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Before deducting expenses payable by us related to this offering, estimated at $</w:t>
            </w:r>
          </w:p>
        </w:tc>
        <w:tc>
          <w:tcPr>
            <w:tcW w:w="1880" w:type="dxa"/>
            <w:vAlign w:val="bottom"/>
          </w:tcPr>
          <w:p>
            <w:pPr>
              <w:jc w:val="right"/>
              <w:ind w:right="1548"/>
              <w:spacing w:after="0"/>
              <w:rPr>
                <w:sz w:val="20"/>
                <w:szCs w:val="20"/>
                <w:color w:val="auto"/>
              </w:rPr>
            </w:pPr>
            <w:r>
              <w:rPr>
                <w:rFonts w:ascii="Times New Roman" w:cs="Times New Roman" w:eastAsia="Times New Roman" w:hAnsi="Times New Roman"/>
                <w:sz w:val="14"/>
                <w:szCs w:val="14"/>
                <w:color w:val="auto"/>
              </w:rPr>
              <w:t>.</w:t>
            </w: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underwriters may also purchase up to an additional</w:t>
            </w:r>
          </w:p>
        </w:tc>
        <w:tc>
          <w:tcPr>
            <w:tcW w:w="78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shares from us at the public offering price, less the underwriting discount, within   days of the date of this prospectus supplement</w:t>
            </w: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color w:val="auto"/>
                <w:w w:val="4294967276"/>
              </w:rPr>
              <w:t>,</w:t>
            </w:r>
          </w:p>
        </w:tc>
        <w:tc>
          <w:tcPr>
            <w:tcW w:w="0" w:type="dxa"/>
            <w:vAlign w:val="bottom"/>
          </w:tcPr>
          <w:p>
            <w:pPr>
              <w:spacing w:after="0"/>
              <w:rPr>
                <w:sz w:val="1"/>
                <w:szCs w:val="1"/>
                <w:color w:val="auto"/>
              </w:rPr>
            </w:pPr>
          </w:p>
        </w:tc>
      </w:tr>
      <w:tr>
        <w:trPr>
          <w:trHeight w:val="149"/>
        </w:trPr>
        <w:tc>
          <w:tcPr>
            <w:tcW w:w="70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to cover over-allotments, if any. If the underwriters exercise this option in full, the total public offering price will be $</w:t>
            </w:r>
          </w:p>
        </w:tc>
        <w:tc>
          <w:tcPr>
            <w:tcW w:w="43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 the total underwriting discount (sales load) paid by us will be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and total proceeds, before expenses, will be $</w:t>
            </w:r>
          </w:p>
        </w:tc>
        <w:tc>
          <w:tcPr>
            <w:tcW w:w="7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340" w:firstLine="342"/>
        <w:spacing w:after="0" w:line="265"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or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1" w:lineRule="exact"/>
        <w:rPr>
          <w:sz w:val="20"/>
          <w:szCs w:val="20"/>
          <w:color w:val="auto"/>
        </w:rPr>
      </w:pPr>
    </w:p>
    <w:tbl>
      <w:tblPr>
        <w:tblLayout w:type="fixed"/>
        <w:tblInd w:w="360" w:type="dxa"/>
        <w:tblCellMar>
          <w:top w:w="0" w:type="dxa"/>
          <w:left w:w="0" w:type="dxa"/>
          <w:bottom w:w="0" w:type="dxa"/>
          <w:right w:w="0" w:type="dxa"/>
        </w:tblCellMar>
      </w:tblPr>
      <w:tr>
        <w:trPr>
          <w:trHeight w:val="188"/>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The shares will be ready for delivery on or about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0"/>
          <w:szCs w:val="20"/>
          <w:color w:val="auto"/>
        </w:rPr>
      </w:pPr>
    </w:p>
    <w:tbl>
      <w:tblPr>
        <w:tblLayout w:type="fixed"/>
        <w:tblInd w:w="3860" w:type="dxa"/>
        <w:tblCellMar>
          <w:top w:w="0" w:type="dxa"/>
          <w:left w:w="0" w:type="dxa"/>
          <w:bottom w:w="0" w:type="dxa"/>
          <w:right w:w="0" w:type="dxa"/>
        </w:tblCellMar>
      </w:tblPr>
      <w:tr>
        <w:trPr>
          <w:trHeight w:val="190"/>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89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17" w:right="239" w:bottom="1440" w:gutter="0" w:footer="0" w:header="0"/>
        </w:sectPr>
      </w:pPr>
    </w:p>
    <w:bookmarkStart w:id="265" w:name="page266"/>
    <w:bookmarkEnd w:id="265"/>
    <w:p>
      <w:pPr>
        <w:ind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40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920" w:type="dxa"/>
            <w:vAlign w:val="bottom"/>
            <w:gridSpan w:val="11"/>
            <w:vMerge w:val="restart"/>
          </w:tcPr>
          <w:p>
            <w:pPr>
              <w:spacing w:after="0"/>
              <w:rPr>
                <w:rFonts w:ascii="Times New Roman" w:cs="Times New Roman" w:eastAsia="Times New Roman" w:hAnsi="Times New Roman"/>
                <w:sz w:val="18"/>
                <w:szCs w:val="18"/>
                <w:color w:val="0000EE"/>
              </w:rPr>
            </w:pPr>
            <w:hyperlink w:anchor="page267">
              <w:r>
                <w:rPr>
                  <w:rFonts w:ascii="Times New Roman" w:cs="Times New Roman" w:eastAsia="Times New Roman" w:hAnsi="Times New Roman"/>
                  <w:sz w:val="18"/>
                  <w:szCs w:val="18"/>
                  <w:color w:val="0000EE"/>
                </w:rPr>
                <w:t>SPECIAL NOTE REGARDING FORWARD-LOOKING STATEMENTS</w:t>
              </w:r>
            </w:hyperlink>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20" w:type="dxa"/>
            <w:vAlign w:val="bottom"/>
            <w:gridSpan w:val="11"/>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268">
              <w:r>
                <w:rPr>
                  <w:rFonts w:ascii="Times New Roman" w:cs="Times New Roman" w:eastAsia="Times New Roman" w:hAnsi="Times New Roman"/>
                  <w:sz w:val="18"/>
                  <w:szCs w:val="18"/>
                  <w:color w:val="0000EE"/>
                </w:rPr>
                <w:t>THE COMPANY</w:t>
              </w:r>
            </w:hyperlink>
          </w:p>
        </w:tc>
        <w:tc>
          <w:tcPr>
            <w:tcW w:w="5580" w:type="dxa"/>
            <w:vAlign w:val="bottom"/>
            <w:gridSpan w:val="2"/>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271">
              <w:r>
                <w:rPr>
                  <w:rFonts w:ascii="Times New Roman" w:cs="Times New Roman" w:eastAsia="Times New Roman" w:hAnsi="Times New Roman"/>
                  <w:sz w:val="18"/>
                  <w:szCs w:val="18"/>
                  <w:color w:val="0000EE"/>
                  <w:w w:val="99"/>
                </w:rPr>
                <w:t>FEES AND EXPENSES</w:t>
              </w:r>
            </w:hyperlink>
          </w:p>
        </w:tc>
        <w:tc>
          <w:tcPr>
            <w:tcW w:w="912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274">
              <w:r>
                <w:rPr>
                  <w:rFonts w:ascii="Times New Roman" w:cs="Times New Roman" w:eastAsia="Times New Roman" w:hAnsi="Times New Roman"/>
                  <w:sz w:val="18"/>
                  <w:szCs w:val="18"/>
                  <w:color w:val="0000EE"/>
                  <w:w w:val="98"/>
                </w:rPr>
                <w:t>SELECTED FINANCIAL DATA AND OTHER INFORMATION</w:t>
              </w:r>
            </w:hyperlink>
          </w:p>
        </w:tc>
        <w:tc>
          <w:tcPr>
            <w:tcW w:w="612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Times New Roman" w:cs="Times New Roman" w:eastAsia="Times New Roman" w:hAnsi="Times New Roman"/>
                <w:sz w:val="18"/>
                <w:szCs w:val="18"/>
                <w:color w:val="0000EE"/>
              </w:rPr>
            </w:pPr>
            <w:hyperlink w:anchor="page275">
              <w:r>
                <w:rPr>
                  <w:rFonts w:ascii="Times New Roman" w:cs="Times New Roman" w:eastAsia="Times New Roman" w:hAnsi="Times New Roman"/>
                  <w:sz w:val="18"/>
                  <w:szCs w:val="18"/>
                  <w:color w:val="0000EE"/>
                </w:rPr>
                <w:t>USE OF PROCEEDS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1"/>
          </w:tcPr>
          <w:p>
            <w:pPr>
              <w:spacing w:after="0" w:line="196" w:lineRule="exact"/>
              <w:rPr>
                <w:rFonts w:ascii="Times New Roman" w:cs="Times New Roman" w:eastAsia="Times New Roman" w:hAnsi="Times New Roman"/>
                <w:sz w:val="18"/>
                <w:szCs w:val="18"/>
                <w:color w:val="0000EE"/>
              </w:rPr>
            </w:pPr>
            <w:hyperlink w:anchor="page276">
              <w:r>
                <w:rPr>
                  <w:rFonts w:ascii="Times New Roman" w:cs="Times New Roman" w:eastAsia="Times New Roman" w:hAnsi="Times New Roman"/>
                  <w:sz w:val="18"/>
                  <w:szCs w:val="18"/>
                  <w:color w:val="0000EE"/>
                </w:rPr>
                <w:t>PRICE RANGE OF COMMON STOCK AND DISTRIBUTIONS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1"/>
          </w:tcPr>
          <w:p>
            <w:pPr>
              <w:spacing w:after="0" w:line="196" w:lineRule="exact"/>
              <w:rPr>
                <w:rFonts w:ascii="Times New Roman" w:cs="Times New Roman" w:eastAsia="Times New Roman" w:hAnsi="Times New Roman"/>
                <w:sz w:val="18"/>
                <w:szCs w:val="18"/>
                <w:color w:val="0000EE"/>
              </w:rPr>
            </w:pPr>
            <w:hyperlink w:anchor="page27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280">
              <w:r>
                <w:rPr>
                  <w:rFonts w:ascii="Times New Roman" w:cs="Times New Roman" w:eastAsia="Times New Roman" w:hAnsi="Times New Roman"/>
                  <w:sz w:val="18"/>
                  <w:szCs w:val="18"/>
                  <w:color w:val="0000EE"/>
                  <w:w w:val="97"/>
                </w:rPr>
                <w:t>CAPITALIZATION</w:t>
              </w:r>
            </w:hyperlink>
          </w:p>
        </w:tc>
        <w:tc>
          <w:tcPr>
            <w:tcW w:w="7440" w:type="dxa"/>
            <w:vAlign w:val="bottom"/>
            <w:tcBorders>
              <w:top w:val="single" w:sz="8" w:color="0000EE"/>
            </w:tcBorders>
            <w:gridSpan w:val="6"/>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81">
              <w:r>
                <w:rPr>
                  <w:rFonts w:ascii="Times New Roman" w:cs="Times New Roman" w:eastAsia="Times New Roman" w:hAnsi="Times New Roman"/>
                  <w:sz w:val="18"/>
                  <w:szCs w:val="18"/>
                  <w:color w:val="0000EE"/>
                  <w:w w:val="98"/>
                </w:rPr>
                <w:t>UNDERWRITING</w:t>
              </w:r>
            </w:hyperlink>
          </w:p>
        </w:tc>
        <w:tc>
          <w:tcPr>
            <w:tcW w:w="952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Times New Roman" w:cs="Times New Roman" w:eastAsia="Times New Roman" w:hAnsi="Times New Roman"/>
                <w:sz w:val="18"/>
                <w:szCs w:val="18"/>
                <w:color w:val="0000EE"/>
              </w:rPr>
            </w:pPr>
            <w:hyperlink w:anchor="page284">
              <w:r>
                <w:rPr>
                  <w:rFonts w:ascii="Times New Roman" w:cs="Times New Roman" w:eastAsia="Times New Roman" w:hAnsi="Times New Roman"/>
                  <w:sz w:val="18"/>
                  <w:szCs w:val="18"/>
                  <w:color w:val="0000EE"/>
                </w:rPr>
                <w:t>LEGAL MATTERS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7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285">
              <w:r>
                <w:rPr>
                  <w:rFonts w:ascii="Times New Roman" w:cs="Times New Roman" w:eastAsia="Times New Roman" w:hAnsi="Times New Roman"/>
                  <w:sz w:val="18"/>
                  <w:szCs w:val="18"/>
                  <w:color w:val="0000EE"/>
                  <w:w w:val="97"/>
                </w:rPr>
                <w:t>FINANCIAL STATEMENTS</w:t>
              </w:r>
            </w:hyperlink>
          </w:p>
        </w:tc>
        <w:tc>
          <w:tcPr>
            <w:tcW w:w="876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6951345</wp:posOffset>
            </wp:positionH>
            <wp:positionV relativeFrom="paragraph">
              <wp:posOffset>7620</wp:posOffset>
            </wp:positionV>
            <wp:extent cx="3003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[Insert table of contents from base prospectus.]</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00"/>
          </w:cols>
          <w:pgMar w:left="240" w:top="270" w:right="259" w:bottom="1440" w:gutter="0" w:footer="0" w:header="0"/>
        </w:sectPr>
      </w:pPr>
    </w:p>
    <w:bookmarkStart w:id="266" w:name="page267"/>
    <w:bookmarkEnd w:id="2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67" w:lineRule="exact"/>
        <w:rPr>
          <w:sz w:val="20"/>
          <w:szCs w:val="20"/>
          <w:color w:val="auto"/>
        </w:rPr>
      </w:pPr>
    </w:p>
    <w:p>
      <w:pPr>
        <w:ind w:left="900" w:right="240" w:hanging="325"/>
        <w:spacing w:after="0" w:line="282" w:lineRule="auto"/>
        <w:tabs>
          <w:tab w:leader="none" w:pos="9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ind w:left="900" w:right="40" w:hanging="325"/>
        <w:spacing w:after="0" w:line="313" w:lineRule="auto"/>
        <w:tabs>
          <w:tab w:leader="none" w:pos="90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the accompanying prospectus.</w:t>
      </w:r>
    </w:p>
    <w:p>
      <w:pPr>
        <w:spacing w:after="0" w:line="225"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266" w:right="239" w:bottom="1440" w:gutter="0" w:footer="0" w:header="0"/>
        </w:sectPr>
      </w:pPr>
    </w:p>
    <w:bookmarkStart w:id="267" w:name="page268"/>
    <w:bookmarkEnd w:id="2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w:t>
      </w:r>
    </w:p>
    <w:p>
      <w:pPr>
        <w:spacing w:after="0" w:line="227"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7"/>
          <w:szCs w:val="17"/>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the accompanying prospectus and the consolidated financial statements and the related notes included elsewhere in this prospectus supplement and the accompanying prospectus.</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prospectus supplement and the accompanying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180"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74" w:lineRule="exact"/>
        <w:rPr>
          <w:sz w:val="20"/>
          <w:szCs w:val="20"/>
          <w:color w:val="auto"/>
        </w:rPr>
      </w:pPr>
    </w:p>
    <w:p>
      <w:pPr>
        <w:ind w:right="3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w:t>
      </w:r>
    </w:p>
    <w:p>
      <w:pPr>
        <w:spacing w:after="0" w:line="2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18"/>
          <w:szCs w:val="18"/>
          <w:color w:val="auto"/>
        </w:rPr>
        <w:t>,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00"/>
          </w:cols>
          <w:pgMar w:left="240" w:top="266" w:right="25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16"/>
        </w:trPr>
        <w:tc>
          <w:tcPr>
            <w:tcW w:w="113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include secured loans, and, to a lesser extent, secured corporate bonds, with a secondary priority behind first-lien debt. Based on fair value as of</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w:t>
            </w:r>
          </w:p>
        </w:tc>
      </w:tr>
      <w:tr>
        <w:trPr>
          <w:trHeight w:val="216"/>
        </w:trPr>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  , our portfolio consisted of</w:t>
            </w:r>
          </w:p>
        </w:tc>
        <w:tc>
          <w:tcPr>
            <w:tcW w:w="23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w w:val="99"/>
              </w:rPr>
              <w:t>% first-lien debt investments,</w:t>
            </w:r>
          </w:p>
        </w:tc>
        <w:tc>
          <w:tcPr>
            <w:tcW w:w="2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second-lien debt investments,</w:t>
            </w:r>
          </w:p>
        </w:tc>
        <w:tc>
          <w:tcPr>
            <w:tcW w:w="2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mezzanine debt investments and</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equity</w:t>
            </w:r>
          </w:p>
        </w:tc>
        <w:tc>
          <w:tcPr>
            <w:tcW w:w="100" w:type="dxa"/>
            <w:vAlign w:val="bottom"/>
          </w:tcPr>
          <w:p>
            <w:pPr>
              <w:spacing w:after="0"/>
              <w:rPr>
                <w:sz w:val="18"/>
                <w:szCs w:val="18"/>
                <w:color w:val="auto"/>
              </w:rPr>
            </w:pPr>
          </w:p>
        </w:tc>
      </w:tr>
      <w:tr>
        <w:trPr>
          <w:trHeight w:val="216"/>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 Approximately</w:t>
            </w:r>
          </w:p>
        </w:tc>
        <w:tc>
          <w:tcPr>
            <w:tcW w:w="2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of our investments as of</w:t>
            </w:r>
          </w:p>
        </w:tc>
        <w:tc>
          <w:tcPr>
            <w:tcW w:w="440" w:type="dxa"/>
            <w:vAlign w:val="bottom"/>
          </w:tcPr>
          <w:p>
            <w:pPr>
              <w:spacing w:after="0"/>
              <w:rPr>
                <w:sz w:val="18"/>
                <w:szCs w:val="18"/>
                <w:color w:val="auto"/>
              </w:rPr>
            </w:pPr>
          </w:p>
        </w:tc>
        <w:tc>
          <w:tcPr>
            <w:tcW w:w="65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20   are floating rate in nature, subject to interest rate floors, which we believe helps</w:t>
            </w:r>
          </w:p>
        </w:tc>
      </w:tr>
      <w:tr>
        <w:trPr>
          <w:trHeight w:val="234"/>
        </w:trPr>
        <w:tc>
          <w:tcPr>
            <w:tcW w:w="3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act as a portfolio-wide hedge against inflation.</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of</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20</w:t>
            </w:r>
          </w:p>
        </w:tc>
        <w:tc>
          <w:tcPr>
            <w:tcW w:w="2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our portfolio was invested across</w:t>
            </w:r>
          </w:p>
        </w:tc>
        <w:tc>
          <w:tcPr>
            <w:tcW w:w="64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different industries. The largest industries in our portfolio, based on fair value as of</w:t>
            </w:r>
          </w:p>
        </w:tc>
        <w:tc>
          <w:tcPr>
            <w:tcW w:w="10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20</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were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 and</w:t>
            </w:r>
          </w:p>
        </w:tc>
        <w:tc>
          <w:tcPr>
            <w:tcW w:w="48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 which represented, as a percentage of our portfolio,   %,</w:t>
            </w:r>
          </w:p>
        </w:tc>
        <w:tc>
          <w:tcPr>
            <w:tcW w:w="3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and   %, respectively. We expect that</w:t>
            </w:r>
          </w:p>
        </w:tc>
      </w:tr>
      <w:tr>
        <w:trPr>
          <w:trHeight w:val="234"/>
        </w:trPr>
        <w:tc>
          <w:tcPr>
            <w:tcW w:w="3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 single investment will represent more than</w:t>
            </w:r>
          </w:p>
        </w:tc>
        <w:tc>
          <w:tcPr>
            <w:tcW w:w="4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of our total investment portfolio, based on fair value.</w:t>
            </w:r>
          </w:p>
        </w:tc>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of</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20</w:t>
            </w:r>
          </w:p>
        </w:tc>
        <w:tc>
          <w:tcPr>
            <w:tcW w:w="2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we had investments in</w:t>
            </w:r>
          </w:p>
        </w:tc>
        <w:tc>
          <w:tcPr>
            <w:tcW w:w="4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portfolio companies with an aggregate fair value of $</w:t>
            </w:r>
          </w:p>
        </w:tc>
        <w:tc>
          <w:tcPr>
            <w:tcW w:w="2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million. For the months ended</w:t>
            </w:r>
          </w:p>
        </w:tc>
        <w:tc>
          <w:tcPr>
            <w:tcW w:w="10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446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 20  , we made new investment commitments of $</w:t>
            </w:r>
          </w:p>
        </w:tc>
        <w:tc>
          <w:tcPr>
            <w:tcW w:w="1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million, $</w:t>
            </w: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million in</w:t>
            </w: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new portfolio companies and $</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million in</w:t>
            </w:r>
          </w:p>
        </w:tc>
        <w:tc>
          <w:tcPr>
            <w:tcW w:w="100" w:type="dxa"/>
            <w:vAlign w:val="bottom"/>
          </w:tcPr>
          <w:p>
            <w:pPr>
              <w:spacing w:after="0"/>
              <w:rPr>
                <w:sz w:val="18"/>
                <w:szCs w:val="18"/>
                <w:color w:val="auto"/>
              </w:rPr>
            </w:pPr>
          </w:p>
        </w:tc>
      </w:tr>
      <w:tr>
        <w:trPr>
          <w:trHeight w:val="216"/>
        </w:trPr>
        <w:tc>
          <w:tcPr>
            <w:tcW w:w="43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existing portfolio companies. For this period, we had $</w:t>
            </w:r>
          </w:p>
        </w:tc>
        <w:tc>
          <w:tcPr>
            <w:tcW w:w="6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 resulting in net portfolio growth</w:t>
            </w:r>
          </w:p>
        </w:tc>
        <w:tc>
          <w:tcPr>
            <w:tcW w:w="10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of $</w:t>
            </w:r>
          </w:p>
        </w:tc>
        <w:tc>
          <w:tcPr>
            <w:tcW w:w="31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million aggregate principal amount.</w:t>
            </w: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of December 31, 20</w:t>
            </w:r>
          </w:p>
        </w:tc>
        <w:tc>
          <w:tcPr>
            <w:tcW w:w="218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color w:val="auto"/>
              </w:rPr>
              <w:t>, we had investments in</w:t>
            </w:r>
          </w:p>
        </w:tc>
        <w:tc>
          <w:tcPr>
            <w:tcW w:w="40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portfolio companies with an aggregate fair value of $</w:t>
            </w:r>
          </w:p>
        </w:tc>
        <w:tc>
          <w:tcPr>
            <w:tcW w:w="2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million. For the year ended</w:t>
            </w:r>
          </w:p>
        </w:tc>
        <w:tc>
          <w:tcPr>
            <w:tcW w:w="100" w:type="dxa"/>
            <w:vAlign w:val="bottom"/>
          </w:tcPr>
          <w:p>
            <w:pPr>
              <w:spacing w:after="0"/>
              <w:rPr>
                <w:sz w:val="24"/>
                <w:szCs w:val="24"/>
                <w:color w:val="auto"/>
              </w:rPr>
            </w:pPr>
          </w:p>
        </w:tc>
      </w:tr>
      <w:tr>
        <w:trPr>
          <w:trHeight w:val="216"/>
        </w:trPr>
        <w:tc>
          <w:tcPr>
            <w:tcW w:w="4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December 31, 20   , we made new investment commitments of $</w:t>
            </w:r>
          </w:p>
        </w:tc>
        <w:tc>
          <w:tcPr>
            <w:tcW w:w="1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million, $</w:t>
            </w:r>
          </w:p>
        </w:tc>
        <w:tc>
          <w:tcPr>
            <w:tcW w:w="1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million in</w:t>
            </w:r>
          </w:p>
        </w:tc>
        <w:tc>
          <w:tcPr>
            <w:tcW w:w="27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new portfolio companies and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w:t>
            </w: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0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existing portfolio companies. For this period, we had $</w:t>
            </w:r>
          </w:p>
        </w:tc>
        <w:tc>
          <w:tcPr>
            <w:tcW w:w="440" w:type="dxa"/>
            <w:vAlign w:val="bottom"/>
          </w:tcPr>
          <w:p>
            <w:pPr>
              <w:spacing w:after="0"/>
              <w:rPr>
                <w:sz w:val="18"/>
                <w:szCs w:val="18"/>
                <w:color w:val="auto"/>
              </w:rPr>
            </w:pPr>
          </w:p>
        </w:tc>
        <w:tc>
          <w:tcPr>
            <w:tcW w:w="648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 resulting in net portfolio</w:t>
            </w:r>
          </w:p>
        </w:tc>
        <w:tc>
          <w:tcPr>
            <w:tcW w:w="100" w:type="dxa"/>
            <w:vAlign w:val="bottom"/>
          </w:tcPr>
          <w:p>
            <w:pPr>
              <w:spacing w:after="0"/>
              <w:rPr>
                <w:sz w:val="18"/>
                <w:szCs w:val="18"/>
                <w:color w:val="auto"/>
              </w:rPr>
            </w:pPr>
          </w:p>
        </w:tc>
      </w:t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growth of $</w:t>
            </w:r>
          </w:p>
        </w:tc>
        <w:tc>
          <w:tcPr>
            <w:tcW w:w="30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million aggregate principal amount.</w:t>
            </w:r>
          </w:p>
        </w:tc>
        <w:tc>
          <w:tcPr>
            <w:tcW w:w="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60" w:type="dxa"/>
            <w:vAlign w:val="bottom"/>
          </w:tcPr>
          <w:p>
            <w:pPr>
              <w:spacing w:after="0"/>
              <w:rPr>
                <w:sz w:val="24"/>
                <w:szCs w:val="24"/>
                <w:color w:val="auto"/>
              </w:rPr>
            </w:pPr>
          </w:p>
        </w:tc>
        <w:tc>
          <w:tcPr>
            <w:tcW w:w="31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w w:val="99"/>
              </w:rPr>
              <w:t>Since we began investing in 2011 through</w:t>
            </w:r>
          </w:p>
        </w:tc>
        <w:tc>
          <w:tcPr>
            <w:tcW w:w="88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20</w:t>
            </w:r>
          </w:p>
        </w:tc>
        <w:tc>
          <w:tcPr>
            <w:tcW w:w="64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 our exited investments have resulted in an aggregate cash flow realized gross internal</w:t>
            </w:r>
          </w:p>
        </w:tc>
        <w:tc>
          <w:tcPr>
            <w:tcW w:w="100" w:type="dxa"/>
            <w:vAlign w:val="bottom"/>
          </w:tcPr>
          <w:p>
            <w:pPr>
              <w:spacing w:after="0"/>
              <w:rPr>
                <w:sz w:val="24"/>
                <w:szCs w:val="24"/>
                <w:color w:val="auto"/>
              </w:rPr>
            </w:pPr>
          </w:p>
        </w:tc>
      </w:tr>
      <w:tr>
        <w:trPr>
          <w:trHeight w:val="216"/>
        </w:trPr>
        <w:tc>
          <w:tcPr>
            <w:tcW w:w="62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rate of return to us of approximately   % (based on cash invested of approximately $</w:t>
            </w:r>
          </w:p>
        </w:tc>
        <w:tc>
          <w:tcPr>
            <w:tcW w:w="50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rPr>
              <w:t>million and total proceeds from these exited investments of</w:t>
            </w:r>
          </w:p>
        </w:tc>
        <w:tc>
          <w:tcPr>
            <w:tcW w:w="100" w:type="dxa"/>
            <w:vAlign w:val="bottom"/>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w:t>
            </w:r>
          </w:p>
        </w:tc>
        <w:tc>
          <w:tcPr>
            <w:tcW w:w="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million).</w:t>
            </w:r>
          </w:p>
        </w:tc>
        <w:tc>
          <w:tcPr>
            <w:tcW w:w="280" w:type="dxa"/>
            <w:vAlign w:val="bottom"/>
          </w:tcPr>
          <w:p>
            <w:pPr>
              <w:spacing w:after="0"/>
              <w:rPr>
                <w:sz w:val="18"/>
                <w:szCs w:val="18"/>
                <w:color w:val="auto"/>
              </w:rPr>
            </w:pPr>
          </w:p>
        </w:tc>
        <w:tc>
          <w:tcPr>
            <w:tcW w:w="88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w w:val="99"/>
              </w:rPr>
              <w:t>percent of these exited investments resulted in an aggregate cash flow realized gross internal rate of return to us of 10% or</w:t>
            </w:r>
          </w:p>
        </w:tc>
        <w:tc>
          <w:tcPr>
            <w:tcW w:w="100" w:type="dxa"/>
            <w:vAlign w:val="bottom"/>
          </w:tcPr>
          <w:p>
            <w:pPr>
              <w:spacing w:after="0"/>
              <w:rPr>
                <w:sz w:val="18"/>
                <w:szCs w:val="18"/>
                <w:color w:val="auto"/>
              </w:rPr>
            </w:pPr>
          </w:p>
        </w:tc>
      </w:tr>
      <w:tr>
        <w:trPr>
          <w:trHeight w:val="216"/>
        </w:trPr>
        <w:tc>
          <w:tcPr>
            <w:tcW w:w="113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greater. For a description of how we calculate gross internal rates of return, see “Management’s Discussion and Analysis of Financial Condition and Results</w:t>
            </w:r>
          </w:p>
        </w:tc>
        <w:tc>
          <w:tcPr>
            <w:tcW w:w="100" w:type="dxa"/>
            <w:vAlign w:val="bottom"/>
          </w:tcPr>
          <w:p>
            <w:pPr>
              <w:spacing w:after="0"/>
              <w:rPr>
                <w:sz w:val="18"/>
                <w:szCs w:val="18"/>
                <w:color w:val="auto"/>
              </w:rPr>
            </w:pPr>
          </w:p>
        </w:tc>
      </w:tr>
      <w:tr>
        <w:trPr>
          <w:trHeight w:val="234"/>
        </w:trPr>
        <w:tc>
          <w:tcPr>
            <w:tcW w:w="83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of Operations—Results of Operations—Aggregate Cash Flow Realized Gross Internal Rate of Return.”</w:t>
            </w:r>
          </w:p>
        </w:tc>
        <w:tc>
          <w:tcPr>
            <w:tcW w:w="1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00"/>
          </w:cols>
          <w:pgMar w:left="240" w:top="270" w:right="2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by our investment review committee, or the Investment Review Committee, which includes senior personnel of TSSP and TPG.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TSSP, which encompasses TPG Specialty Lending, TPG Opportunities Partners and TPG Institutional Credit Partners, is TPG’s special situations and</w:t>
      </w:r>
    </w:p>
    <w:p>
      <w:pPr>
        <w:spacing w:after="0" w:line="27" w:lineRule="exact"/>
        <w:rPr>
          <w:sz w:val="20"/>
          <w:szCs w:val="20"/>
          <w:color w:val="auto"/>
        </w:rPr>
      </w:pPr>
    </w:p>
    <w:p>
      <w:pPr>
        <w:spacing w:after="0"/>
        <w:tabs>
          <w:tab w:leader="none" w:pos="2960" w:val="left"/>
          <w:tab w:leader="none" w:pos="6840" w:val="left"/>
          <w:tab w:leader="none" w:pos="7340" w:val="left"/>
        </w:tabs>
        <w:rPr>
          <w:sz w:val="20"/>
          <w:szCs w:val="20"/>
          <w:color w:val="auto"/>
        </w:rPr>
      </w:pPr>
      <w:r>
        <w:rPr>
          <w:rFonts w:ascii="Times New Roman" w:cs="Times New Roman" w:eastAsia="Times New Roman" w:hAnsi="Times New Roman"/>
          <w:sz w:val="18"/>
          <w:szCs w:val="18"/>
          <w:color w:val="auto"/>
        </w:rPr>
        <w:t>credit platform. TSSP had over $</w:t>
      </w:r>
      <w:r>
        <w:rPr>
          <w:sz w:val="20"/>
          <w:szCs w:val="20"/>
          <w:color w:val="auto"/>
        </w:rPr>
        <w:tab/>
      </w:r>
      <w:r>
        <w:rPr>
          <w:rFonts w:ascii="Times New Roman" w:cs="Times New Roman" w:eastAsia="Times New Roman" w:hAnsi="Times New Roman"/>
          <w:sz w:val="18"/>
          <w:szCs w:val="18"/>
          <w:color w:val="auto"/>
        </w:rPr>
        <w:t>billion of assets under management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TSSP has extensive experience with highly complex,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public and private investments executed through primary originations, secondary market purchases and restructurings, and has a team of</w:t>
      </w:r>
    </w:p>
    <w:p>
      <w:pPr>
        <w:spacing w:after="0" w:line="9" w:lineRule="exact"/>
        <w:rPr>
          <w:sz w:val="20"/>
          <w:szCs w:val="20"/>
          <w:color w:val="auto"/>
        </w:rPr>
      </w:pPr>
    </w:p>
    <w:p>
      <w:pPr>
        <w:ind w:left="540"/>
        <w:spacing w:after="0"/>
        <w:tabs>
          <w:tab w:leader="none" w:pos="3980" w:val="left"/>
          <w:tab w:leader="none" w:pos="8760" w:val="left"/>
        </w:tabs>
        <w:rPr>
          <w:sz w:val="20"/>
          <w:szCs w:val="20"/>
          <w:color w:val="auto"/>
        </w:rPr>
      </w:pPr>
      <w:r>
        <w:rPr>
          <w:rFonts w:ascii="Times New Roman" w:cs="Times New Roman" w:eastAsia="Times New Roman" w:hAnsi="Times New Roman"/>
          <w:sz w:val="18"/>
          <w:szCs w:val="18"/>
          <w:color w:val="auto"/>
        </w:rPr>
        <w:t>investment and operating professionals.</w:t>
      </w:r>
      <w:r>
        <w:rPr>
          <w:sz w:val="20"/>
          <w:szCs w:val="20"/>
          <w:color w:val="auto"/>
        </w:rPr>
        <w:tab/>
      </w:r>
      <w:r>
        <w:rPr>
          <w:rFonts w:ascii="Times New Roman" w:cs="Times New Roman" w:eastAsia="Times New Roman" w:hAnsi="Times New Roman"/>
          <w:sz w:val="18"/>
          <w:szCs w:val="18"/>
          <w:color w:val="auto"/>
        </w:rPr>
        <w:t>of these personnel are dedicated to our business, including</w:t>
      </w:r>
      <w:r>
        <w:rPr>
          <w:sz w:val="20"/>
          <w:szCs w:val="20"/>
          <w:color w:val="auto"/>
        </w:rPr>
        <w:tab/>
      </w:r>
      <w:r>
        <w:rPr>
          <w:rFonts w:ascii="Times New Roman" w:cs="Times New Roman" w:eastAsia="Times New Roman" w:hAnsi="Times New Roman"/>
          <w:sz w:val="18"/>
          <w:szCs w:val="18"/>
          <w:color w:val="auto"/>
        </w:rPr>
        <w:t>investment professionals. The TSSP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Investment Review Committee are Joshua Easterly, Michael Fishman, Alan Waxman and David Stiepleman.</w:t>
      </w:r>
    </w:p>
    <w:p>
      <w:pPr>
        <w:spacing w:after="0" w:line="207" w:lineRule="exact"/>
        <w:rPr>
          <w:sz w:val="20"/>
          <w:szCs w:val="20"/>
          <w:color w:val="auto"/>
        </w:rPr>
      </w:pPr>
    </w:p>
    <w:p>
      <w:pPr>
        <w:ind w:left="460"/>
        <w:spacing w:after="0"/>
        <w:tabs>
          <w:tab w:leader="none" w:pos="6060" w:val="left"/>
          <w:tab w:leader="none" w:pos="9980" w:val="left"/>
          <w:tab w:leader="none" w:pos="10480" w:val="left"/>
        </w:tabs>
        <w:rPr>
          <w:sz w:val="20"/>
          <w:szCs w:val="20"/>
          <w:color w:val="auto"/>
        </w:rPr>
      </w:pPr>
      <w:r>
        <w:rPr>
          <w:rFonts w:ascii="Times New Roman" w:cs="Times New Roman" w:eastAsia="Times New Roman" w:hAnsi="Times New Roman"/>
          <w:sz w:val="18"/>
          <w:szCs w:val="18"/>
          <w:color w:val="auto"/>
        </w:rPr>
        <w:t>TPG is a leading global private investment firm founded in 1992 with</w:t>
      </w:r>
      <w:r>
        <w:rPr>
          <w:sz w:val="20"/>
          <w:szCs w:val="20"/>
          <w:color w:val="auto"/>
        </w:rPr>
        <w:tab/>
      </w:r>
      <w:r>
        <w:rPr>
          <w:rFonts w:ascii="Times New Roman" w:cs="Times New Roman" w:eastAsia="Times New Roman" w:hAnsi="Times New Roman"/>
          <w:sz w:val="18"/>
          <w:szCs w:val="18"/>
          <w:color w:val="auto"/>
        </w:rPr>
        <w:t>billion of assets under management,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and offices</w:t>
      </w:r>
    </w:p>
    <w:p>
      <w:pPr>
        <w:spacing w:after="0" w:line="2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w:t>
      </w:r>
    </w:p>
    <w:p>
      <w:pPr>
        <w:spacing w:after="0" w:line="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growth investments, joint ventures and restructurings, and has a team of professionals. The TPG members of the Investment Review Committee are TPG co-founders, David Bonderman and James Coulter, and TPG Senior Partners, Jonathan Coslet and James Gates.</w:t>
      </w:r>
    </w:p>
    <w:p>
      <w:pPr>
        <w:spacing w:after="0" w:line="18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of the Adviser consists primarily of senior executives of TSSP and TPG. TSSP and TPG executives, including members of our</w:t>
      </w:r>
    </w:p>
    <w:p>
      <w:pPr>
        <w:spacing w:after="0" w:line="27" w:lineRule="exact"/>
        <w:rPr>
          <w:sz w:val="20"/>
          <w:szCs w:val="20"/>
          <w:color w:val="auto"/>
        </w:rPr>
      </w:pPr>
    </w:p>
    <w:p>
      <w:pPr>
        <w:spacing w:after="0"/>
        <w:tabs>
          <w:tab w:leader="none" w:pos="9420" w:val="left"/>
          <w:tab w:leader="none" w:pos="9920" w:val="left"/>
        </w:tabs>
        <w:rPr>
          <w:sz w:val="20"/>
          <w:szCs w:val="20"/>
          <w:color w:val="auto"/>
        </w:rPr>
      </w:pPr>
      <w:r>
        <w:rPr>
          <w:rFonts w:ascii="Times New Roman" w:cs="Times New Roman" w:eastAsia="Times New Roman" w:hAnsi="Times New Roman"/>
          <w:sz w:val="18"/>
          <w:szCs w:val="18"/>
          <w:color w:val="auto"/>
        </w:rPr>
        <w:t>Investment Review Committee and certain of our other senior personnel, own a significant stake in the Adviser.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our Adviser owned</w:t>
      </w:r>
    </w:p>
    <w:p>
      <w:pPr>
        <w:spacing w:after="0" w:line="9" w:lineRule="exact"/>
        <w:rPr>
          <w:sz w:val="20"/>
          <w:szCs w:val="20"/>
          <w:color w:val="auto"/>
        </w:rPr>
      </w:pPr>
    </w:p>
    <w:p>
      <w:pPr>
        <w:ind w:right="60" w:firstLine="188"/>
        <w:spacing w:after="0" w:line="261" w:lineRule="auto"/>
        <w:tabs>
          <w:tab w:leader="none" w:pos="37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common stock. See “Management,” “Related-Party Transactions and Certain Relationships” and “Control Persons and Principal Stockholders” in the accompanying prospectus.</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400"/>
          </w:cols>
          <w:pgMar w:left="240" w:top="270" w:right="259" w:bottom="1440" w:gutter="0" w:footer="0" w:header="0"/>
        </w:sectPr>
      </w:pPr>
    </w:p>
    <w:bookmarkStart w:id="270" w:name="page271"/>
    <w:bookmarkEnd w:id="27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FEES AND EXPENSES</w:t>
      </w:r>
    </w:p>
    <w:p>
      <w:pPr>
        <w:spacing w:after="0" w:line="229" w:lineRule="exact"/>
        <w:rPr>
          <w:sz w:val="20"/>
          <w:szCs w:val="20"/>
          <w:color w:val="auto"/>
        </w:rPr>
      </w:pPr>
    </w:p>
    <w:p>
      <w:pPr>
        <w:ind w:right="280" w:firstLine="456"/>
        <w:spacing w:after="0" w:line="270" w:lineRule="auto"/>
        <w:rPr>
          <w:sz w:val="20"/>
          <w:szCs w:val="20"/>
          <w:color w:val="auto"/>
        </w:rPr>
      </w:pPr>
      <w:r>
        <w:rPr>
          <w:rFonts w:ascii="Times New Roman" w:cs="Times New Roman" w:eastAsia="Times New Roman" w:hAnsi="Times New Roman"/>
          <w:sz w:val="17"/>
          <w:szCs w:val="17"/>
          <w:color w:val="auto"/>
        </w:rPr>
        <w:t>The following table is intended to assist you in understanding the costs and expenses that an investor in our common stock will bear directly or indirectly,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based on the assumption that we borrow amounts under our credit facilities and debt securities in an amount so that our total borrowings are 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supplement or the accompanying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-116840</wp:posOffset>
            </wp:positionV>
            <wp:extent cx="666369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44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4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44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5"/>
                <w:szCs w:val="15"/>
                <w:color w:val="auto"/>
              </w:rPr>
              <w:t>(3)</w:t>
            </w:r>
          </w:p>
        </w:tc>
      </w:tr>
      <w:tr>
        <w:trPr>
          <w:trHeight w:val="216"/>
        </w:trPr>
        <w:tc>
          <w:tcPr>
            <w:tcW w:w="9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44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(4)</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 (</w:t>
            </w:r>
          </w:p>
        </w:tc>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of net investment income and capital gains)</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4420" w:type="dxa"/>
            <w:vAlign w:val="bottom"/>
          </w:tcPr>
          <w:p>
            <w:pPr>
              <w:spacing w:after="0"/>
              <w:rPr>
                <w:sz w:val="18"/>
                <w:szCs w:val="18"/>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4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(7)(8)</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4420" w:type="dxa"/>
            <w:vAlign w:val="bottom"/>
          </w:tcPr>
          <w:p>
            <w:pPr>
              <w:spacing w:after="0"/>
              <w:rPr>
                <w:sz w:val="19"/>
                <w:szCs w:val="19"/>
                <w:color w:val="auto"/>
              </w:rPr>
            </w:pPr>
          </w:p>
        </w:tc>
        <w:tc>
          <w:tcPr>
            <w:tcW w:w="6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1"/>
              </w:rPr>
              <w:t>(8)</w:t>
            </w:r>
          </w:p>
        </w:tc>
      </w:tr>
      <w:tr>
        <w:trPr>
          <w:trHeight w:val="20"/>
        </w:trPr>
        <w:tc>
          <w:tcPr>
            <w:tcW w:w="50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60" w:hanging="452"/>
        <w:spacing w:after="0" w:line="261" w:lineRule="auto"/>
        <w:tabs>
          <w:tab w:leader="none" w:pos="4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load (underwriting discount) with respect to the shares sold in this offering, which is a one-time fee paid to the underwriters, is the only sales load paid in connection with this offering.</w:t>
      </w:r>
    </w:p>
    <w:p>
      <w:pPr>
        <w:spacing w:after="0"/>
        <w:tabs>
          <w:tab w:leader="none" w:pos="440" w:val="left"/>
          <w:tab w:leader="none" w:pos="5600" w:val="left"/>
        </w:tabs>
        <w:rPr>
          <w:sz w:val="20"/>
          <w:szCs w:val="20"/>
          <w:color w:val="auto"/>
        </w:rPr>
      </w:pPr>
      <w:r>
        <w:rPr>
          <w:rFonts w:ascii="Times New Roman" w:cs="Times New Roman" w:eastAsia="Times New Roman" w:hAnsi="Times New Roman"/>
          <w:sz w:val="18"/>
          <w:szCs w:val="18"/>
          <w:color w:val="auto"/>
        </w:rPr>
        <w:t>(2)</w:t>
        <w:tab/>
        <w:t>Amount reflects estimated offering expenses of approximately $</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ind w:left="460" w:right="620" w:hanging="452"/>
        <w:spacing w:after="0" w:line="250" w:lineRule="auto"/>
        <w:tabs>
          <w:tab w:leader="none" w:pos="4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For additional information, see “Dividend Reinvestment Plan” in the accompanying prospectus.</w:t>
      </w:r>
    </w:p>
    <w:p>
      <w:pPr>
        <w:spacing w:after="0" w:line="1" w:lineRule="exact"/>
        <w:rPr>
          <w:sz w:val="20"/>
          <w:szCs w:val="20"/>
          <w:color w:val="auto"/>
        </w:rPr>
      </w:pPr>
    </w:p>
    <w:p>
      <w:pPr>
        <w:ind w:left="460" w:right="140" w:hanging="459"/>
        <w:spacing w:after="0" w:line="250" w:lineRule="auto"/>
        <w:tabs>
          <w:tab w:leader="none" w:pos="440" w:val="left"/>
        </w:tabs>
        <w:rPr>
          <w:sz w:val="20"/>
          <w:szCs w:val="20"/>
          <w:color w:val="auto"/>
        </w:rPr>
      </w:pPr>
      <w:r>
        <w:rPr>
          <w:rFonts w:ascii="Times New Roman" w:cs="Times New Roman" w:eastAsia="Times New Roman" w:hAnsi="Times New Roman"/>
          <w:sz w:val="18"/>
          <w:szCs w:val="18"/>
          <w:color w:val="auto"/>
        </w:rPr>
        <w:t>(4)</w:t>
        <w:tab/>
        <w:t>The Management Fee is % of our gross assets (including cash and cash equivalents and assets purchased with borrowed amounts). We may from time to time decide it is appropriate to change the terms of our Investment Advisory Agreement. Under the 1940 Act, any material change to our Investment Advisory Agreement (as defined in the accompanying prospectus) must be submitted to stockholders for approval. See “Management and Other Agreements—Investment Advisory Agreement; Administration Agreement; License Agreement” in the accompanying prospectus.</w:t>
      </w:r>
    </w:p>
    <w:p>
      <w:pPr>
        <w:spacing w:after="0" w:line="2" w:lineRule="exact"/>
        <w:rPr>
          <w:sz w:val="20"/>
          <w:szCs w:val="20"/>
          <w:color w:val="auto"/>
        </w:rPr>
      </w:pPr>
    </w:p>
    <w:p>
      <w:pPr>
        <w:ind w:left="460" w:right="140"/>
        <w:spacing w:after="0" w:line="250" w:lineRule="auto"/>
        <w:rPr>
          <w:sz w:val="20"/>
          <w:szCs w:val="20"/>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and cash equivalents and assets purchased with borrowed money) and our net assets attributable to common stock as of</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r>
    </w:tbl>
    <w:p>
      <w:pPr>
        <w:ind w:left="460" w:hanging="452"/>
        <w:spacing w:after="0"/>
        <w:tabs>
          <w:tab w:leader="none" w:pos="4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capital gains and interest income that could result in the payment of an Incentive Fee to the Adviser in the twelve months after the date of</w:t>
      </w:r>
    </w:p>
    <w:p>
      <w:pPr>
        <w:sectPr>
          <w:pgSz w:w="11900" w:h="16838" w:orient="portrait"/>
          <w:cols w:equalWidth="0" w:num="1">
            <w:col w:w="11380"/>
          </w:cols>
          <w:pgMar w:left="240" w:top="266" w:right="279" w:bottom="1440" w:gutter="0" w:footer="0" w:header="0"/>
        </w:sectPr>
      </w:pPr>
    </w:p>
    <w:p>
      <w:pPr>
        <w:spacing w:after="0" w:line="19" w:lineRule="exact"/>
        <w:rPr>
          <w:sz w:val="20"/>
          <w:szCs w:val="20"/>
          <w:color w:val="auto"/>
        </w:rPr>
      </w:pPr>
    </w:p>
    <w:p>
      <w:pPr>
        <w:ind w:left="460" w:right="60"/>
        <w:spacing w:after="0" w:line="255" w:lineRule="auto"/>
        <w:rPr>
          <w:sz w:val="20"/>
          <w:szCs w:val="20"/>
          <w:color w:val="auto"/>
        </w:rPr>
      </w:pPr>
      <w:r>
        <w:rPr>
          <w:rFonts w:ascii="Times New Roman" w:cs="Times New Roman" w:eastAsia="Times New Roman" w:hAnsi="Times New Roman"/>
          <w:sz w:val="18"/>
          <w:szCs w:val="18"/>
          <w:color w:val="auto"/>
        </w:rPr>
        <w:t>this prospectus supplement. The Incentive Fee payable in the example below is based upon our actual results for the quarter ended , 20 , and assumes that the Incentive Fee is % for all relevant periods. However, the Incentive Fee payable to the Adviser is based on our performance and will not be paid unless we achieve certain goals.</w:t>
      </w:r>
    </w:p>
    <w:p>
      <w:pPr>
        <w:sectPr>
          <w:pgSz w:w="11900" w:h="16838" w:orient="portrait"/>
          <w:cols w:equalWidth="0" w:num="1">
            <w:col w:w="11380"/>
          </w:cols>
          <w:pgMar w:left="240" w:top="266" w:right="279" w:bottom="1440" w:gutter="0" w:footer="0" w:header="0"/>
          <w:type w:val="continuous"/>
        </w:sectPr>
      </w:pP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380"/>
          </w:cols>
          <w:pgMar w:left="240" w:top="266" w:right="279" w:bottom="1440" w:gutter="0" w:footer="0" w:header="0"/>
          <w:type w:val="continuous"/>
        </w:sectPr>
      </w:pPr>
    </w:p>
    <w:bookmarkStart w:id="271" w:name="page272"/>
    <w:bookmarkEnd w:id="27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Incentive Fee consists of two parts:</w:t>
      </w:r>
    </w:p>
    <w:p>
      <w:pPr>
        <w:spacing w:after="0" w:line="77"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 quarterly “hurdle rate” until the Adviser has received % of the total pre-Incentive Fee net investment income for that quarter and, for pre-Incentive Fee net investment income in excess of % quarterly, % of all remaining pre-Incentive Fee net investment income for that quarter.</w:t>
      </w:r>
    </w:p>
    <w:p>
      <w:pPr>
        <w:spacing w:after="0" w:line="41" w:lineRule="exact"/>
        <w:rPr>
          <w:sz w:val="20"/>
          <w:szCs w:val="20"/>
          <w:color w:val="auto"/>
        </w:rPr>
      </w:pPr>
    </w:p>
    <w:p>
      <w:pPr>
        <w:ind w:left="460" w:right="20"/>
        <w:spacing w:after="0" w:line="276" w:lineRule="auto"/>
        <w:rPr>
          <w:sz w:val="20"/>
          <w:szCs w:val="20"/>
          <w:color w:val="auto"/>
        </w:rPr>
      </w:pPr>
      <w:r>
        <w:rPr>
          <w:rFonts w:ascii="Times New Roman" w:cs="Times New Roman" w:eastAsia="Times New Roman" w:hAnsi="Times New Roman"/>
          <w:sz w:val="17"/>
          <w:szCs w:val="17"/>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w:t>
      </w:r>
    </w:p>
    <w:p>
      <w:pPr>
        <w:spacing w:after="0" w:line="1" w:lineRule="exact"/>
        <w:rPr>
          <w:sz w:val="20"/>
          <w:szCs w:val="20"/>
          <w:color w:val="auto"/>
        </w:rPr>
      </w:pPr>
    </w:p>
    <w:p>
      <w:pPr>
        <w:jc w:val="both"/>
        <w:ind w:left="460" w:right="80"/>
        <w:spacing w:after="0" w:line="250" w:lineRule="auto"/>
        <w:rPr>
          <w:sz w:val="20"/>
          <w:szCs w:val="20"/>
          <w:color w:val="auto"/>
        </w:rPr>
      </w:pPr>
      <w:r>
        <w:rPr>
          <w:rFonts w:ascii="Times New Roman" w:cs="Times New Roman" w:eastAsia="Times New Roman" w:hAnsi="Times New Roman"/>
          <w:sz w:val="18"/>
          <w:szCs w:val="18"/>
          <w:color w:val="auto"/>
        </w:rPr>
        <w:t>and thereafter at %,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1" w:lineRule="exact"/>
        <w:rPr>
          <w:sz w:val="20"/>
          <w:szCs w:val="20"/>
          <w:color w:val="auto"/>
        </w:rPr>
      </w:pPr>
    </w:p>
    <w:p>
      <w:pPr>
        <w:ind w:left="460" w:right="240"/>
        <w:spacing w:after="0" w:line="250" w:lineRule="auto"/>
        <w:rPr>
          <w:sz w:val="20"/>
          <w:szCs w:val="20"/>
          <w:color w:val="auto"/>
        </w:rPr>
      </w:pPr>
      <w:r>
        <w:rPr>
          <w:rFonts w:ascii="Times New Roman" w:cs="Times New Roman" w:eastAsia="Times New Roman" w:hAnsi="Times New Roman"/>
          <w:sz w:val="18"/>
          <w:szCs w:val="18"/>
          <w:color w:val="auto"/>
        </w:rPr>
        <w:t>See “Management and Other Agreements—Investment Advisory Agreement; Administration Agreement; License Agreement” in the accompanying prospectus.</w:t>
      </w:r>
    </w:p>
    <w:p>
      <w:pPr>
        <w:spacing w:after="0" w:line="1" w:lineRule="exact"/>
        <w:rPr>
          <w:sz w:val="20"/>
          <w:szCs w:val="20"/>
          <w:color w:val="auto"/>
        </w:rPr>
      </w:pPr>
    </w:p>
    <w:p>
      <w:pPr>
        <w:ind w:left="460" w:hanging="452"/>
        <w:spacing w:after="0"/>
        <w:tabs>
          <w:tab w:leader="none" w:pos="4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represents an estimate of our annualized interest expenses, based on our interest expense for the quarter ended</w:t>
      </w:r>
    </w:p>
    <w:p>
      <w:pPr>
        <w:spacing w:after="0" w:line="9" w:lineRule="exact"/>
        <w:rPr>
          <w:rFonts w:ascii="Times New Roman" w:cs="Times New Roman" w:eastAsia="Times New Roman" w:hAnsi="Times New Roman"/>
          <w:sz w:val="18"/>
          <w:szCs w:val="18"/>
          <w:color w:val="auto"/>
        </w:rPr>
      </w:pPr>
    </w:p>
    <w:p>
      <w:pPr>
        <w:ind w:left="460" w:right="240" w:firstLine="714"/>
        <w:spacing w:after="0" w:line="250" w:lineRule="auto"/>
        <w:tabs>
          <w:tab w:leader="none" w:pos="127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 under our credit facilities and debt securities based on assumed total borrowings outstanding equal to 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(as defined in the accompanying prospectus) for certain</w:t>
      </w:r>
    </w:p>
    <w:p>
      <w:pPr>
        <w:spacing w:after="0" w:line="9" w:lineRule="exact"/>
        <w:rPr>
          <w:sz w:val="20"/>
          <w:szCs w:val="20"/>
          <w:color w:val="auto"/>
        </w:rPr>
      </w:pPr>
    </w:p>
    <w:p>
      <w:pPr>
        <w:ind w:left="460" w:right="140"/>
        <w:spacing w:after="0" w:line="265" w:lineRule="auto"/>
        <w:rPr>
          <w:sz w:val="20"/>
          <w:szCs w:val="20"/>
          <w:color w:val="auto"/>
        </w:rPr>
      </w:pPr>
      <w:r>
        <w:rPr>
          <w:rFonts w:ascii="Times New Roman" w:cs="Times New Roman" w:eastAsia="Times New Roman" w:hAnsi="Times New Roman"/>
          <w:sz w:val="17"/>
          <w:szCs w:val="17"/>
          <w:color w:val="auto"/>
        </w:rPr>
        <w:t>expenses incurred by the Adviser. See “Management and Other Agreements—Investment Advisory Agreement; Administration Agreement; License Agreement” in the accompanying prospectus. We based these expenses on estimated amounts for the current fiscal year by annualizing expenses from</w:t>
      </w:r>
    </w:p>
    <w:p>
      <w:pPr>
        <w:ind w:left="460"/>
        <w:spacing w:after="0"/>
        <w:tabs>
          <w:tab w:leader="none" w:pos="1460" w:val="left"/>
          <w:tab w:leader="none" w:pos="2720" w:val="left"/>
          <w:tab w:leader="none" w:pos="3220" w:val="left"/>
        </w:tabs>
        <w:rPr>
          <w:sz w:val="20"/>
          <w:szCs w:val="20"/>
          <w:color w:val="auto"/>
        </w:rPr>
      </w:pP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ending</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ind w:left="460" w:hanging="452"/>
        <w:spacing w:after="0"/>
        <w:tabs>
          <w:tab w:leader="none" w:pos="4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for all relevant periods. Transaction expenses are not included in the following example.</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5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59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w:t>
            </w:r>
          </w:p>
        </w:tc>
        <w:tc>
          <w:tcPr>
            <w:tcW w:w="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assuming a 5% annual return from realized capital gains</w:t>
            </w:r>
          </w:p>
        </w:tc>
        <w:tc>
          <w:tcPr>
            <w:tcW w:w="9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00"/>
          </w:cols>
          <w:pgMar w:left="240" w:top="270" w:right="259" w:bottom="1440" w:gutter="0" w:footer="0" w:header="0"/>
        </w:sectPr>
      </w:pPr>
    </w:p>
    <w:bookmarkStart w:id="272" w:name="page273"/>
    <w:bookmarkEnd w:id="27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w:t>
      </w:r>
    </w:p>
    <w:p>
      <w:pPr>
        <w:spacing w:after="0" w:line="180" w:lineRule="exact"/>
        <w:rPr>
          <w:sz w:val="20"/>
          <w:szCs w:val="20"/>
          <w:color w:val="auto"/>
        </w:rPr>
      </w:pPr>
    </w:p>
    <w:p>
      <w:pPr>
        <w:ind w:right="5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00"/>
          </w:cols>
          <w:pgMar w:left="240" w:top="270" w:right="259" w:bottom="1440" w:gutter="0" w:footer="0" w:header="0"/>
        </w:sectPr>
      </w:pPr>
    </w:p>
    <w:bookmarkStart w:id="273" w:name="page274"/>
    <w:bookmarkEnd w:id="27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FINANCIAL DATA AND OTHER INFORMATION</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w:t>
      </w:r>
    </w:p>
    <w:p>
      <w:pPr>
        <w:ind w:right="520"/>
        <w:spacing w:after="0" w:line="261" w:lineRule="auto"/>
        <w:rPr>
          <w:sz w:val="20"/>
          <w:szCs w:val="20"/>
          <w:color w:val="auto"/>
        </w:rPr>
      </w:pPr>
      <w:r>
        <w:rPr>
          <w:rFonts w:ascii="Times New Roman" w:cs="Times New Roman" w:eastAsia="Times New Roman" w:hAnsi="Times New Roman"/>
          <w:sz w:val="18"/>
          <w:szCs w:val="18"/>
          <w:color w:val="auto"/>
        </w:rPr>
        <w:t>derived the selected consolidated financial data for the ended , 20 and , 20 from our unaudited interim consolidated financial statements and related notes, which are included elsewhere in this prospectus supplement or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340"/>
          </w:cols>
          <w:pgMar w:left="240" w:top="266" w:right="319" w:bottom="1440" w:gutter="0" w:footer="0" w:header="0"/>
        </w:sectPr>
      </w:pPr>
    </w:p>
    <w:bookmarkStart w:id="274" w:name="page275"/>
    <w:bookmarkEnd w:id="27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p>
    <w:p>
      <w:pPr>
        <w:spacing w:after="0" w:line="229" w:lineRule="exact"/>
        <w:rPr>
          <w:sz w:val="20"/>
          <w:szCs w:val="20"/>
          <w:color w:val="auto"/>
        </w:rPr>
      </w:pPr>
    </w:p>
    <w:p>
      <w:pPr>
        <w:ind w:left="460"/>
        <w:spacing w:after="0"/>
        <w:tabs>
          <w:tab w:leader="none" w:pos="5800" w:val="left"/>
        </w:tabs>
        <w:rPr>
          <w:sz w:val="20"/>
          <w:szCs w:val="20"/>
          <w:color w:val="auto"/>
        </w:rPr>
      </w:pPr>
      <w:r>
        <w:rPr>
          <w:rFonts w:ascii="Times New Roman" w:cs="Times New Roman" w:eastAsia="Times New Roman" w:hAnsi="Times New Roman"/>
          <w:sz w:val="18"/>
          <w:szCs w:val="18"/>
          <w:color w:val="auto"/>
        </w:rPr>
        <w:t>We estimate that the net proceeds we will receive from the sale of</w:t>
      </w:r>
      <w:r>
        <w:rPr>
          <w:sz w:val="20"/>
          <w:szCs w:val="20"/>
          <w:color w:val="auto"/>
        </w:rPr>
        <w:tab/>
      </w:r>
      <w:r>
        <w:rPr>
          <w:rFonts w:ascii="Times New Roman" w:cs="Times New Roman" w:eastAsia="Times New Roman" w:hAnsi="Times New Roman"/>
          <w:sz w:val="18"/>
          <w:szCs w:val="18"/>
          <w:color w:val="auto"/>
        </w:rPr>
        <w:t>shares of our common stock in this offering will be approximately</w:t>
      </w:r>
    </w:p>
    <w:p>
      <w:pPr>
        <w:spacing w:after="0" w:line="27" w:lineRule="exact"/>
        <w:rPr>
          <w:sz w:val="20"/>
          <w:szCs w:val="20"/>
          <w:color w:val="auto"/>
        </w:rPr>
      </w:pPr>
    </w:p>
    <w:p>
      <w:pPr>
        <w:spacing w:after="0"/>
        <w:tabs>
          <w:tab w:leader="none" w:pos="660" w:val="left"/>
          <w:tab w:leader="none" w:pos="3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7"/>
          <w:szCs w:val="17"/>
          <w:color w:val="auto"/>
        </w:rPr>
        <w:t>million if the underwriters fully exercise their over-allotment option), in each case assuming a public offering</w:t>
      </w:r>
    </w:p>
    <w:p>
      <w:pPr>
        <w:spacing w:after="0" w:line="9" w:lineRule="exact"/>
        <w:rPr>
          <w:sz w:val="20"/>
          <w:szCs w:val="20"/>
          <w:color w:val="auto"/>
        </w:rPr>
      </w:pPr>
    </w:p>
    <w:p>
      <w:pPr>
        <w:spacing w:after="0"/>
        <w:tabs>
          <w:tab w:leader="none" w:pos="1260" w:val="left"/>
          <w:tab w:leader="none" w:pos="7260" w:val="left"/>
          <w:tab w:leader="none" w:pos="9840" w:val="left"/>
        </w:tabs>
        <w:rPr>
          <w:sz w:val="20"/>
          <w:szCs w:val="20"/>
          <w:color w:val="auto"/>
        </w:rPr>
      </w:pPr>
      <w:r>
        <w:rPr>
          <w:rFonts w:ascii="Times New Roman" w:cs="Times New Roman" w:eastAsia="Times New Roman" w:hAnsi="Times New Roman"/>
          <w:sz w:val="18"/>
          <w:szCs w:val="18"/>
          <w:color w:val="auto"/>
        </w:rPr>
        <w:t>price of $</w:t>
      </w:r>
      <w:r>
        <w:rPr>
          <w:sz w:val="20"/>
          <w:szCs w:val="20"/>
          <w:color w:val="auto"/>
        </w:rPr>
        <w:tab/>
      </w:r>
      <w:r>
        <w:rPr>
          <w:rFonts w:ascii="Times New Roman" w:cs="Times New Roman" w:eastAsia="Times New Roman" w:hAnsi="Times New Roman"/>
          <w:sz w:val="18"/>
          <w:szCs w:val="18"/>
          <w:color w:val="auto"/>
        </w:rPr>
        <w:t>per share, after deducting the underwriting discounts and commissions of $</w:t>
      </w:r>
      <w:r>
        <w:rPr>
          <w:sz w:val="20"/>
          <w:szCs w:val="20"/>
          <w:color w:val="auto"/>
        </w:rPr>
        <w:tab/>
      </w:r>
      <w:r>
        <w:rPr>
          <w:rFonts w:ascii="Times New Roman" w:cs="Times New Roman" w:eastAsia="Times New Roman" w:hAnsi="Times New Roman"/>
          <w:sz w:val="18"/>
          <w:szCs w:val="18"/>
          <w:color w:val="auto"/>
        </w:rPr>
        <w:t>million (or approximately $</w:t>
      </w:r>
      <w:r>
        <w:rPr>
          <w:sz w:val="20"/>
          <w:szCs w:val="20"/>
          <w:color w:val="auto"/>
        </w:rPr>
        <w:tab/>
      </w:r>
      <w:r>
        <w:rPr>
          <w:rFonts w:ascii="Times New Roman" w:cs="Times New Roman" w:eastAsia="Times New Roman" w:hAnsi="Times New Roman"/>
          <w:sz w:val="17"/>
          <w:szCs w:val="17"/>
          <w:color w:val="auto"/>
        </w:rPr>
        <w:t>million if the</w:t>
      </w:r>
    </w:p>
    <w:p>
      <w:pPr>
        <w:spacing w:after="0" w:line="9" w:lineRule="exact"/>
        <w:rPr>
          <w:sz w:val="20"/>
          <w:szCs w:val="20"/>
          <w:color w:val="auto"/>
        </w:rPr>
      </w:pPr>
    </w:p>
    <w:p>
      <w:pPr>
        <w:spacing w:after="0"/>
        <w:tabs>
          <w:tab w:leader="none" w:pos="9340" w:val="left"/>
        </w:tabs>
        <w:rPr>
          <w:sz w:val="20"/>
          <w:szCs w:val="20"/>
          <w:color w:val="auto"/>
        </w:rPr>
      </w:pPr>
      <w:r>
        <w:rPr>
          <w:rFonts w:ascii="Times New Roman" w:cs="Times New Roman" w:eastAsia="Times New Roman" w:hAnsi="Times New Roman"/>
          <w:sz w:val="18"/>
          <w:szCs w:val="18"/>
          <w:color w:val="auto"/>
        </w:rPr>
        <w:t>underwriters fully exercise their over-allotment option) payable by us and estimated offering expenses of approximately $</w:t>
      </w:r>
      <w:r>
        <w:rPr>
          <w:sz w:val="20"/>
          <w:szCs w:val="20"/>
          <w:color w:val="auto"/>
        </w:rPr>
        <w:tab/>
      </w:r>
      <w:r>
        <w:rPr>
          <w:rFonts w:ascii="Times New Roman" w:cs="Times New Roman" w:eastAsia="Times New Roman" w:hAnsi="Times New Roman"/>
          <w:sz w:val="17"/>
          <w:szCs w:val="17"/>
          <w:color w:val="auto"/>
        </w:rPr>
        <w:t>million payable by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240" w:top="266" w:right="519" w:bottom="1440" w:gutter="0" w:footer="0" w:header="0"/>
        </w:sectPr>
      </w:pPr>
    </w:p>
    <w:bookmarkStart w:id="275" w:name="page276"/>
    <w:bookmarkEnd w:id="27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RANGE OF COMMON STOCK AND DISTRIBUTIONS</w:t>
      </w:r>
    </w:p>
    <w:p>
      <w:pPr>
        <w:spacing w:after="0" w:line="22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It is not possible to predict whether our common stock offered hereby will trade at, above or below net asset value. See “Risk Factors—Risks Related to Offerings Pursuant to This Prospectus” in the accompanying prospectus.</w:t>
      </w:r>
    </w:p>
    <w:p>
      <w:pPr>
        <w:spacing w:after="0" w:line="162"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fiscal quarter since our initial public offering, the net asset value per share of our common stock, the range of high and low closing sales prices of our common stock, the closing sales price as a premium (discount) to net asset value and the dividends or distributions</w:t>
      </w:r>
    </w:p>
    <w:tbl>
      <w:tblPr>
        <w:tblLayout w:type="fixed"/>
        <w:tblInd w:w="0" w:type="dxa"/>
        <w:tblCellMar>
          <w:top w:w="0" w:type="dxa"/>
          <w:left w:w="0" w:type="dxa"/>
          <w:bottom w:w="0" w:type="dxa"/>
          <w:right w:w="0" w:type="dxa"/>
        </w:tblCellMar>
      </w:tblP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declared by us. On</w:t>
            </w:r>
          </w:p>
        </w:tc>
        <w:tc>
          <w:tcPr>
            <w:tcW w:w="56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 20</w:t>
            </w:r>
          </w:p>
        </w:tc>
        <w:tc>
          <w:tcPr>
            <w:tcW w:w="584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 the last reported closing sales price of our common stock on the NYSE was $</w:t>
            </w:r>
          </w:p>
        </w:tc>
        <w:tc>
          <w:tcPr>
            <w:tcW w:w="2780" w:type="dxa"/>
            <w:vAlign w:val="bottom"/>
            <w:gridSpan w:val="7"/>
          </w:tcPr>
          <w:p>
            <w:pPr>
              <w:ind w:left="400"/>
              <w:spacing w:after="0" w:line="198" w:lineRule="exact"/>
              <w:rPr>
                <w:sz w:val="20"/>
                <w:szCs w:val="20"/>
                <w:color w:val="auto"/>
              </w:rPr>
            </w:pPr>
            <w:r>
              <w:rPr>
                <w:rFonts w:ascii="Times New Roman" w:cs="Times New Roman" w:eastAsia="Times New Roman" w:hAnsi="Times New Roman"/>
                <w:sz w:val="18"/>
                <w:szCs w:val="18"/>
                <w:color w:val="auto"/>
              </w:rPr>
              <w:t>per share, which represented a</w:t>
            </w:r>
          </w:p>
        </w:tc>
        <w:tc>
          <w:tcPr>
            <w:tcW w:w="0" w:type="dxa"/>
            <w:vAlign w:val="bottom"/>
          </w:tcPr>
          <w:p>
            <w:pPr>
              <w:spacing w:after="0"/>
              <w:rPr>
                <w:sz w:val="1"/>
                <w:szCs w:val="1"/>
                <w:color w:val="auto"/>
              </w:rPr>
            </w:pP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[premium][discount] of approximately</w:t>
            </w:r>
          </w:p>
        </w:tc>
        <w:tc>
          <w:tcPr>
            <w:tcW w:w="41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to the net asset value per share reported by us as of</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20   .</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6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420" w:type="dxa"/>
            <w:vAlign w:val="bottom"/>
          </w:tcPr>
          <w:p>
            <w:pPr>
              <w:spacing w:after="0"/>
              <w:rPr>
                <w:sz w:val="6"/>
                <w:szCs w:val="6"/>
                <w:color w:val="auto"/>
              </w:rPr>
            </w:pPr>
          </w:p>
        </w:tc>
        <w:tc>
          <w:tcPr>
            <w:tcW w:w="5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to</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50"/>
        </w:trPr>
        <w:tc>
          <w:tcPr>
            <w:tcW w:w="2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360" w:type="dxa"/>
            <w:vAlign w:val="bottom"/>
          </w:tcPr>
          <w:p>
            <w:pPr>
              <w:spacing w:after="0"/>
              <w:rPr>
                <w:sz w:val="4"/>
                <w:szCs w:val="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Asset</w:t>
            </w:r>
          </w:p>
        </w:tc>
        <w:tc>
          <w:tcPr>
            <w:tcW w:w="1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High</w:t>
            </w:r>
          </w:p>
        </w:tc>
        <w:tc>
          <w:tcPr>
            <w:tcW w:w="300" w:type="dxa"/>
            <w:vAlign w:val="bottom"/>
          </w:tcPr>
          <w:p>
            <w:pPr>
              <w:spacing w:after="0"/>
              <w:rPr>
                <w:sz w:val="12"/>
                <w:szCs w:val="12"/>
                <w:color w:val="auto"/>
              </w:rPr>
            </w:pPr>
          </w:p>
        </w:tc>
        <w:tc>
          <w:tcPr>
            <w:tcW w:w="7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Low</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4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4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2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w:t>
            </w:r>
          </w:p>
        </w:tc>
        <w:tc>
          <w:tcPr>
            <w:tcW w:w="56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First Quarter (beginning</w:t>
            </w:r>
          </w:p>
        </w:tc>
        <w:tc>
          <w:tcPr>
            <w:tcW w:w="560" w:type="dxa"/>
            <w:vAlign w:val="bottom"/>
          </w:tcPr>
          <w:p>
            <w:pPr>
              <w:spacing w:after="0"/>
              <w:rPr>
                <w:sz w:val="17"/>
                <w:szCs w:val="17"/>
                <w:color w:val="auto"/>
              </w:rPr>
            </w:pPr>
          </w:p>
        </w:tc>
        <w:tc>
          <w:tcPr>
            <w:tcW w:w="3360" w:type="dxa"/>
            <w:vAlign w:val="bottom"/>
          </w:tcPr>
          <w:p>
            <w:pPr>
              <w:jc w:val="right"/>
              <w:ind w:right="29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20  )</w:t>
            </w:r>
          </w:p>
        </w:tc>
        <w:tc>
          <w:tcPr>
            <w:tcW w:w="560" w:type="dxa"/>
            <w:vAlign w:val="bottom"/>
          </w:tcPr>
          <w:p>
            <w:pPr>
              <w:spacing w:after="0"/>
              <w:rPr>
                <w:sz w:val="20"/>
                <w:szCs w:val="20"/>
                <w:color w:val="auto"/>
              </w:rPr>
            </w:pPr>
          </w:p>
        </w:tc>
        <w:tc>
          <w:tcPr>
            <w:tcW w:w="39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56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560" w:type="dxa"/>
            <w:vAlign w:val="bottom"/>
          </w:tcPr>
          <w:p>
            <w:pPr>
              <w:spacing w:after="0"/>
              <w:rPr>
                <w:sz w:val="18"/>
                <w:szCs w:val="18"/>
                <w:color w:val="auto"/>
              </w:rPr>
            </w:pPr>
          </w:p>
        </w:tc>
        <w:tc>
          <w:tcPr>
            <w:tcW w:w="39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56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   ]</w:t>
            </w:r>
          </w:p>
        </w:tc>
        <w:tc>
          <w:tcPr>
            <w:tcW w:w="3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56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560" w:type="dxa"/>
            <w:vAlign w:val="bottom"/>
          </w:tcPr>
          <w:p>
            <w:pPr>
              <w:spacing w:after="0"/>
              <w:rPr>
                <w:sz w:val="18"/>
                <w:szCs w:val="18"/>
                <w:color w:val="auto"/>
              </w:rPr>
            </w:pPr>
          </w:p>
        </w:tc>
        <w:tc>
          <w:tcPr>
            <w:tcW w:w="39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560" w:type="dxa"/>
            <w:vAlign w:val="bottom"/>
            <w:shd w:val="clear" w:color="auto" w:fill="CCEEFF"/>
          </w:tcPr>
          <w:p>
            <w:pPr>
              <w:spacing w:after="0"/>
              <w:rPr>
                <w:sz w:val="18"/>
                <w:szCs w:val="18"/>
                <w:color w:val="auto"/>
              </w:rPr>
            </w:pPr>
          </w:p>
        </w:tc>
        <w:tc>
          <w:tcPr>
            <w:tcW w:w="398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560" w:type="dxa"/>
            <w:vAlign w:val="bottom"/>
          </w:tcPr>
          <w:p>
            <w:pPr>
              <w:spacing w:after="0"/>
              <w:rPr>
                <w:sz w:val="20"/>
                <w:szCs w:val="20"/>
                <w:color w:val="auto"/>
              </w:rPr>
            </w:pPr>
          </w:p>
        </w:tc>
        <w:tc>
          <w:tcPr>
            <w:tcW w:w="398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Pr>
          <w:p>
            <w:pPr>
              <w:spacing w:after="0"/>
              <w:rPr>
                <w:sz w:val="20"/>
                <w:szCs w:val="20"/>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0" w:right="60" w:hanging="452"/>
        <w:spacing w:after="0" w:line="261" w:lineRule="auto"/>
        <w:tabs>
          <w:tab w:leader="none" w:pos="4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Net asset value has not yet been calculated for this period.]</w:t>
      </w:r>
    </w:p>
    <w:p>
      <w:pPr>
        <w:spacing w:after="0" w:line="207" w:lineRule="exact"/>
        <w:rPr>
          <w:sz w:val="20"/>
          <w:szCs w:val="20"/>
          <w:color w:val="auto"/>
        </w:rPr>
      </w:pPr>
    </w:p>
    <w:p>
      <w:pPr>
        <w:ind w:right="440" w:firstLine="456"/>
        <w:spacing w:after="0" w:line="313"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ectPr>
          <w:pgSz w:w="11900" w:h="16838" w:orient="portrait"/>
          <w:cols w:equalWidth="0" w:num="1">
            <w:col w:w="11420"/>
          </w:cols>
          <w:pgMar w:left="240" w:top="266" w:right="239" w:bottom="1440" w:gutter="0" w:footer="0" w:header="0"/>
        </w:sectPr>
      </w:pPr>
    </w:p>
    <w:p>
      <w:pPr>
        <w:spacing w:after="0" w:line="138" w:lineRule="exact"/>
        <w:rPr>
          <w:sz w:val="20"/>
          <w:szCs w:val="20"/>
          <w:color w:val="auto"/>
        </w:rPr>
      </w:pPr>
    </w:p>
    <w:p>
      <w:pPr>
        <w:ind w:left="540" w:hanging="83"/>
        <w:spacing w:after="0" w:line="261" w:lineRule="auto"/>
        <w:rPr>
          <w:sz w:val="20"/>
          <w:szCs w:val="20"/>
          <w:color w:val="auto"/>
        </w:rPr>
      </w:pPr>
      <w:r>
        <w:rPr>
          <w:rFonts w:ascii="Times New Roman" w:cs="Times New Roman" w:eastAsia="Times New Roman" w:hAnsi="Times New Roman"/>
          <w:sz w:val="18"/>
          <w:szCs w:val="18"/>
          <w:color w:val="auto"/>
        </w:rPr>
        <w:t>[On</w:t>
      </w:r>
      <w:r>
        <w:rPr>
          <w:sz w:val="20"/>
          <w:szCs w:val="20"/>
          <w:color w:val="auto"/>
        </w:rPr>
        <w:t xml:space="preserve"> </w:t>
      </w:r>
      <w:r>
        <w:rPr>
          <w:rFonts w:ascii="Times New Roman" w:cs="Times New Roman" w:eastAsia="Times New Roman" w:hAnsi="Times New Roman"/>
          <w:sz w:val="18"/>
          <w:szCs w:val="18"/>
          <w:color w:val="auto"/>
        </w:rPr>
        <w:t>, 20 , our Board declared a dividend of $ , 20 . The dividend is expected to be paid on or about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340" w:hanging="268"/>
        <w:spacing w:after="0" w:line="261" w:lineRule="auto"/>
        <w:rPr>
          <w:sz w:val="20"/>
          <w:szCs w:val="20"/>
          <w:color w:val="auto"/>
        </w:rPr>
      </w:pPr>
      <w:r>
        <w:rPr>
          <w:rFonts w:ascii="Times New Roman" w:cs="Times New Roman" w:eastAsia="Times New Roman" w:hAnsi="Times New Roman"/>
          <w:sz w:val="18"/>
          <w:szCs w:val="18"/>
          <w:color w:val="auto"/>
        </w:rPr>
        <w:t>per share for the quarter ending</w:t>
      </w:r>
      <w:r>
        <w:rPr>
          <w:sz w:val="20"/>
          <w:szCs w:val="20"/>
          <w:color w:val="auto"/>
        </w:rPr>
        <w:t xml:space="preserve"> </w:t>
      </w:r>
      <w:r>
        <w:rPr>
          <w:rFonts w:ascii="Times New Roman" w:cs="Times New Roman" w:eastAsia="Times New Roman" w:hAnsi="Times New Roman"/>
          <w:sz w:val="18"/>
          <w:szCs w:val="18"/>
          <w:color w:val="auto"/>
        </w:rPr>
        <w:t>, 20 to stockholders of record as of , 20 . We anticipate that this dividend will be paid from income generated</w:t>
      </w:r>
    </w:p>
    <w:p>
      <w:pPr>
        <w:spacing w:after="0" w:line="1" w:lineRule="exact"/>
        <w:rPr>
          <w:sz w:val="20"/>
          <w:szCs w:val="20"/>
          <w:color w:val="auto"/>
        </w:rPr>
      </w:pPr>
    </w:p>
    <w:p>
      <w:pPr>
        <w:sectPr>
          <w:pgSz w:w="11900" w:h="16838" w:orient="portrait"/>
          <w:cols w:equalWidth="0" w:num="2">
            <w:col w:w="4780" w:space="680"/>
            <w:col w:w="596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primarily by interest earned on our investment portfolio.]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S-12</w:t>
      </w:r>
    </w:p>
    <w:p>
      <w:pPr>
        <w:sectPr>
          <w:pgSz w:w="11900" w:h="16838" w:orient="portrait"/>
          <w:cols w:equalWidth="0" w:num="1">
            <w:col w:w="11420"/>
          </w:cols>
          <w:pgMar w:left="240" w:top="266" w:right="239" w:bottom="1440" w:gutter="0" w:footer="0" w:header="0"/>
          <w:type w:val="continuous"/>
        </w:sectPr>
      </w:pPr>
    </w:p>
    <w:bookmarkStart w:id="276" w:name="page277"/>
    <w:bookmarkEnd w:id="276"/>
    <w:tbl>
      <w:tblPr>
        <w:tblLayout w:type="fixed"/>
        <w:tblInd w:w="460" w:type="dxa"/>
        <w:tblCellMar>
          <w:top w:w="0" w:type="dxa"/>
          <w:left w:w="0" w:type="dxa"/>
          <w:bottom w:w="0" w:type="dxa"/>
          <w:right w:w="0" w:type="dxa"/>
        </w:tblCellMar>
      </w:tblPr>
      <w:tr>
        <w:trPr>
          <w:trHeight w:val="234"/>
        </w:trPr>
        <w:tc>
          <w:tcPr>
            <w:tcW w:w="4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9"/>
              </w:rPr>
              <w:t>The following tables summarize dividends declared during the</w:t>
            </w:r>
          </w:p>
        </w:tc>
        <w:tc>
          <w:tcPr>
            <w:tcW w:w="150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ended</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20</w:t>
            </w:r>
          </w:p>
        </w:tc>
        <w:tc>
          <w:tcPr>
            <w:tcW w:w="38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and the years ended December 31, 20   and 20   :</w:t>
            </w: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ind w:right="982"/>
              <w:spacing w:after="0"/>
              <w:rPr>
                <w:sz w:val="20"/>
                <w:szCs w:val="20"/>
                <w:color w:val="auto"/>
              </w:rPr>
            </w:pPr>
            <w:r>
              <w:rPr>
                <w:rFonts w:ascii="Times New Roman" w:cs="Times New Roman" w:eastAsia="Times New Roman" w:hAnsi="Times New Roman"/>
                <w:sz w:val="14"/>
                <w:szCs w:val="14"/>
                <w:b w:val="1"/>
                <w:bCs w:val="1"/>
                <w:color w:val="auto"/>
              </w:rPr>
              <w:t>Ended</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 20</w:t>
            </w: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620" w:type="dxa"/>
            <w:vAlign w:val="bottom"/>
            <w:vMerge w:val="restart"/>
          </w:tcPr>
          <w:p>
            <w:pPr>
              <w:spacing w:after="0"/>
              <w:rPr>
                <w:sz w:val="10"/>
                <w:szCs w:val="10"/>
                <w:color w:val="auto"/>
              </w:rPr>
            </w:pPr>
          </w:p>
        </w:tc>
        <w:tc>
          <w:tcPr>
            <w:tcW w:w="15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48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500" w:type="dxa"/>
            <w:vAlign w:val="bottom"/>
            <w:tcBorders>
              <w:top w:val="single" w:sz="8" w:color="CCEEFF"/>
            </w:tcBorders>
            <w:gridSpan w:val="2"/>
            <w:shd w:val="clear" w:color="auto" w:fill="CCEEFF"/>
          </w:tcPr>
          <w:p>
            <w:pPr>
              <w:jc w:val="right"/>
              <w:ind w:right="3320"/>
              <w:spacing w:after="0" w:line="203" w:lineRule="exact"/>
              <w:rPr>
                <w:sz w:val="20"/>
                <w:szCs w:val="20"/>
                <w:color w:val="auto"/>
              </w:rPr>
            </w:pPr>
            <w:r>
              <w:rPr>
                <w:rFonts w:ascii="Times New Roman" w:cs="Times New Roman" w:eastAsia="Times New Roman" w:hAnsi="Times New Roman"/>
                <w:sz w:val="18"/>
                <w:szCs w:val="18"/>
                <w:color w:val="auto"/>
              </w:rPr>
              <w:t>, 20</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20</w:t>
            </w: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102"/>
              <w:spacing w:after="0" w:line="203" w:lineRule="exact"/>
              <w:rPr>
                <w:sz w:val="20"/>
                <w:szCs w:val="20"/>
                <w:color w:val="auto"/>
              </w:rPr>
            </w:pPr>
            <w:r>
              <w:rPr>
                <w:rFonts w:ascii="Times New Roman" w:cs="Times New Roman" w:eastAsia="Times New Roman" w:hAnsi="Times New Roman"/>
                <w:sz w:val="18"/>
                <w:szCs w:val="18"/>
                <w:color w:val="auto"/>
              </w:rPr>
              <w:t>, 20</w:t>
            </w: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vMerge w:val="restart"/>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December 31, 20</w:t>
            </w: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620" w:type="dxa"/>
            <w:vAlign w:val="bottom"/>
            <w:vMerge w:val="restart"/>
          </w:tcPr>
          <w:p>
            <w:pPr>
              <w:spacing w:after="0"/>
              <w:rPr>
                <w:sz w:val="10"/>
                <w:szCs w:val="10"/>
                <w:color w:val="auto"/>
              </w:rPr>
            </w:pPr>
          </w:p>
        </w:tc>
        <w:tc>
          <w:tcPr>
            <w:tcW w:w="15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48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500" w:type="dxa"/>
            <w:vAlign w:val="bottom"/>
            <w:tcBorders>
              <w:top w:val="single" w:sz="8" w:color="CCEEFF"/>
            </w:tcBorders>
            <w:gridSpan w:val="2"/>
            <w:shd w:val="clear" w:color="auto" w:fill="CCEEFF"/>
          </w:tcPr>
          <w:p>
            <w:pPr>
              <w:jc w:val="right"/>
              <w:ind w:right="3320"/>
              <w:spacing w:after="0" w:line="203" w:lineRule="exact"/>
              <w:rPr>
                <w:sz w:val="20"/>
                <w:szCs w:val="20"/>
                <w:color w:val="auto"/>
              </w:rPr>
            </w:pPr>
            <w:r>
              <w:rPr>
                <w:rFonts w:ascii="Times New Roman" w:cs="Times New Roman" w:eastAsia="Times New Roman" w:hAnsi="Times New Roman"/>
                <w:sz w:val="18"/>
                <w:szCs w:val="18"/>
                <w:color w:val="auto"/>
              </w:rPr>
              <w:t>, 20</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20</w:t>
            </w: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102"/>
              <w:spacing w:after="0" w:line="203" w:lineRule="exact"/>
              <w:rPr>
                <w:sz w:val="20"/>
                <w:szCs w:val="20"/>
                <w:color w:val="auto"/>
              </w:rPr>
            </w:pPr>
            <w:r>
              <w:rPr>
                <w:rFonts w:ascii="Times New Roman" w:cs="Times New Roman" w:eastAsia="Times New Roman" w:hAnsi="Times New Roman"/>
                <w:sz w:val="18"/>
                <w:szCs w:val="18"/>
                <w:color w:val="auto"/>
              </w:rPr>
              <w:t>, 20</w:t>
            </w: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jc w:val="right"/>
              <w:ind w:right="3320"/>
              <w:spacing w:after="0"/>
              <w:rPr>
                <w:sz w:val="20"/>
                <w:szCs w:val="20"/>
                <w:color w:val="auto"/>
              </w:rPr>
            </w:pPr>
            <w:r>
              <w:rPr>
                <w:rFonts w:ascii="Times New Roman" w:cs="Times New Roman" w:eastAsia="Times New Roman" w:hAnsi="Times New Roman"/>
                <w:sz w:val="18"/>
                <w:szCs w:val="18"/>
                <w:color w:val="auto"/>
              </w:rPr>
              <w:t>, 20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jc w:val="right"/>
              <w:ind w:right="3320"/>
              <w:spacing w:after="0"/>
              <w:rPr>
                <w:sz w:val="20"/>
                <w:szCs w:val="20"/>
                <w:color w:val="auto"/>
              </w:rPr>
            </w:pPr>
            <w:r>
              <w:rPr>
                <w:rFonts w:ascii="Times New Roman" w:cs="Times New Roman" w:eastAsia="Times New Roman" w:hAnsi="Times New Roman"/>
                <w:sz w:val="18"/>
                <w:szCs w:val="18"/>
                <w:color w:val="auto"/>
              </w:rPr>
              <w:t>, 20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00" w:type="dxa"/>
            <w:vAlign w:val="bottom"/>
            <w:gridSpan w:val="2"/>
          </w:tcPr>
          <w:p>
            <w:pPr>
              <w:jc w:val="right"/>
              <w:ind w:right="3320"/>
              <w:spacing w:after="0"/>
              <w:rPr>
                <w:sz w:val="20"/>
                <w:szCs w:val="20"/>
                <w:color w:val="auto"/>
              </w:rPr>
            </w:pPr>
            <w:r>
              <w:rPr>
                <w:rFonts w:ascii="Times New Roman" w:cs="Times New Roman" w:eastAsia="Times New Roman" w:hAnsi="Times New Roman"/>
                <w:sz w:val="18"/>
                <w:szCs w:val="18"/>
                <w:color w:val="auto"/>
              </w:rPr>
              <w:t>, 20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4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vMerge w:val="restart"/>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December 31, 20</w:t>
            </w: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620" w:type="dxa"/>
            <w:vAlign w:val="bottom"/>
            <w:vMerge w:val="restart"/>
          </w:tcPr>
          <w:p>
            <w:pPr>
              <w:spacing w:after="0"/>
              <w:rPr>
                <w:sz w:val="10"/>
                <w:szCs w:val="10"/>
                <w:color w:val="auto"/>
              </w:rPr>
            </w:pPr>
          </w:p>
        </w:tc>
        <w:tc>
          <w:tcPr>
            <w:tcW w:w="15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48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500" w:type="dxa"/>
            <w:vAlign w:val="bottom"/>
            <w:tcBorders>
              <w:top w:val="single" w:sz="8" w:color="CCEEFF"/>
            </w:tcBorders>
            <w:gridSpan w:val="2"/>
            <w:shd w:val="clear" w:color="auto" w:fill="CCEEFF"/>
          </w:tcPr>
          <w:p>
            <w:pPr>
              <w:jc w:val="right"/>
              <w:ind w:right="3320"/>
              <w:spacing w:after="0" w:line="203" w:lineRule="exact"/>
              <w:rPr>
                <w:sz w:val="20"/>
                <w:szCs w:val="20"/>
                <w:color w:val="auto"/>
              </w:rPr>
            </w:pPr>
            <w:r>
              <w:rPr>
                <w:rFonts w:ascii="Times New Roman" w:cs="Times New Roman" w:eastAsia="Times New Roman" w:hAnsi="Times New Roman"/>
                <w:sz w:val="18"/>
                <w:szCs w:val="18"/>
                <w:color w:val="auto"/>
              </w:rPr>
              <w:t>, 20</w:t>
            </w: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20</w:t>
            </w: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ind w:right="102"/>
              <w:spacing w:after="0" w:line="203" w:lineRule="exact"/>
              <w:rPr>
                <w:sz w:val="20"/>
                <w:szCs w:val="20"/>
                <w:color w:val="auto"/>
              </w:rPr>
            </w:pPr>
            <w:r>
              <w:rPr>
                <w:rFonts w:ascii="Times New Roman" w:cs="Times New Roman" w:eastAsia="Times New Roman" w:hAnsi="Times New Roman"/>
                <w:sz w:val="18"/>
                <w:szCs w:val="18"/>
                <w:color w:val="auto"/>
              </w:rPr>
              <w:t>, 20</w:t>
            </w: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84"/>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tcPr>
          <w:p>
            <w:pPr>
              <w:jc w:val="right"/>
              <w:ind w:right="3320"/>
              <w:spacing w:after="0"/>
              <w:rPr>
                <w:sz w:val="20"/>
                <w:szCs w:val="20"/>
                <w:color w:val="auto"/>
              </w:rPr>
            </w:pPr>
            <w:r>
              <w:rPr>
                <w:rFonts w:ascii="Times New Roman" w:cs="Times New Roman" w:eastAsia="Times New Roman" w:hAnsi="Times New Roman"/>
                <w:sz w:val="18"/>
                <w:szCs w:val="18"/>
                <w:color w:val="auto"/>
              </w:rPr>
              <w:t>, 20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jc w:val="right"/>
              <w:ind w:right="3320"/>
              <w:spacing w:after="0"/>
              <w:rPr>
                <w:sz w:val="20"/>
                <w:szCs w:val="20"/>
                <w:color w:val="auto"/>
              </w:rPr>
            </w:pPr>
            <w:r>
              <w:rPr>
                <w:rFonts w:ascii="Times New Roman" w:cs="Times New Roman" w:eastAsia="Times New Roman" w:hAnsi="Times New Roman"/>
                <w:sz w:val="18"/>
                <w:szCs w:val="18"/>
                <w:color w:val="auto"/>
              </w:rPr>
              <w:t>, 20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500" w:type="dxa"/>
            <w:vAlign w:val="bottom"/>
            <w:gridSpan w:val="2"/>
          </w:tcPr>
          <w:p>
            <w:pPr>
              <w:jc w:val="right"/>
              <w:ind w:right="3320"/>
              <w:spacing w:after="0"/>
              <w:rPr>
                <w:sz w:val="20"/>
                <w:szCs w:val="20"/>
                <w:color w:val="auto"/>
              </w:rPr>
            </w:pPr>
            <w:r>
              <w:rPr>
                <w:rFonts w:ascii="Times New Roman" w:cs="Times New Roman" w:eastAsia="Times New Roman" w:hAnsi="Times New Roman"/>
                <w:sz w:val="18"/>
                <w:szCs w:val="18"/>
                <w:color w:val="auto"/>
              </w:rPr>
              <w:t>, 20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4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80"/>
          </w:cols>
          <w:pgMar w:left="240" w:top="270"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ended , 20 declared during the years ended December 31, 20 and December 31, 20 determined on a tax basis.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hanging="186"/>
        <w:spacing w:after="0" w:line="313" w:lineRule="auto"/>
        <w:rPr>
          <w:sz w:val="20"/>
          <w:szCs w:val="20"/>
          <w:color w:val="auto"/>
        </w:rPr>
      </w:pPr>
      <w:r>
        <w:rPr>
          <w:rFonts w:ascii="Times New Roman" w:cs="Times New Roman" w:eastAsia="Times New Roman" w:hAnsi="Times New Roman"/>
          <w:sz w:val="17"/>
          <w:szCs w:val="17"/>
          <w:color w:val="auto"/>
        </w:rPr>
        <w:t>were derived from net investment income determined on a tax basis. The dividends , were derived from net investment income and long-term capital gains,</w:t>
      </w:r>
    </w:p>
    <w:p>
      <w:pPr>
        <w:spacing w:after="0" w:line="354" w:lineRule="exact"/>
        <w:rPr>
          <w:sz w:val="20"/>
          <w:szCs w:val="20"/>
          <w:color w:val="auto"/>
        </w:rPr>
      </w:pPr>
    </w:p>
    <w:p>
      <w:pPr>
        <w:sectPr>
          <w:pgSz w:w="11900" w:h="16838" w:orient="portrait"/>
          <w:cols w:equalWidth="0" w:num="2">
            <w:col w:w="5340" w:space="220"/>
            <w:col w:w="5820"/>
          </w:cols>
          <w:pgMar w:left="240" w:top="270" w:right="279" w:bottom="1440" w:gutter="0" w:footer="0" w:header="0"/>
          <w:type w:val="continuous"/>
        </w:sect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To be treated as a regulated investment company under Subchapter M of the Internal Revenue Code of 1986, as amended,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 of the amount by which our distributions for a calendar year are less than the sum of:</w:t>
      </w:r>
    </w:p>
    <w:p>
      <w:pPr>
        <w:spacing w:after="0" w:line="89" w:lineRule="exact"/>
        <w:rPr>
          <w:sz w:val="20"/>
          <w:szCs w:val="20"/>
          <w:color w:val="auto"/>
        </w:rPr>
      </w:pPr>
    </w:p>
    <w:p>
      <w:pPr>
        <w:ind w:left="900" w:hanging="325"/>
        <w:spacing w:after="0"/>
        <w:tabs>
          <w:tab w:leader="none" w:pos="9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900" w:right="760" w:hanging="325"/>
        <w:spacing w:after="0" w:line="282" w:lineRule="auto"/>
        <w:tabs>
          <w:tab w:leader="none" w:pos="9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380"/>
          </w:cols>
          <w:pgMar w:left="240" w:top="270" w:right="279" w:bottom="1440" w:gutter="0" w:footer="0" w:header="0"/>
          <w:type w:val="continuous"/>
        </w:sectPr>
      </w:pPr>
    </w:p>
    <w:bookmarkStart w:id="277" w:name="page278"/>
    <w:bookmarkEnd w:id="277"/>
    <w:p>
      <w:pPr>
        <w:ind w:firstLine="45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w:t>
      </w:r>
    </w:p>
    <w:p>
      <w:pPr>
        <w:spacing w:after="0" w:line="2"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calendar years ended December 31, 20 and 20 and the ended , 20 for purposes of additional liquidity and we recorded a net expense of $ , $ and $ , respectively, for U.S. federal excise tax as a result.] We cannot assure you that we will achieve results that will</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the accompanying prospectus.</w:t>
      </w:r>
    </w:p>
    <w:p>
      <w:pPr>
        <w:spacing w:after="0" w:line="18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you. If this happens, you will be treated for U.S. federal income tax purposes as if you had received an actual distribution of the net capital gains that we retain and you reinvested the net after-tax proceeds in us. In this situation, you would be eligible to claim a tax credit (or, in certain circumstances, a tax refund) equal to your allocable share of the tax we paid on the capital gains deemed distributed to you. See “Material U.S. Federal Income Tax Considerations” in the accompanying prospectus. We cannot assure you that we will achieve results that will permit us to pay any cash distributions or that will not be limited in our ability to pay dividends under the asset coverage test applicable to us under the 1940 Act.</w:t>
      </w:r>
    </w:p>
    <w:p>
      <w:pPr>
        <w:spacing w:after="0" w:line="189" w:lineRule="exact"/>
        <w:rPr>
          <w:sz w:val="20"/>
          <w:szCs w:val="20"/>
          <w:color w:val="auto"/>
        </w:rPr>
      </w:pPr>
    </w:p>
    <w:p>
      <w:pPr>
        <w:jc w:val="both"/>
        <w:ind w:right="100" w:firstLine="456"/>
        <w:spacing w:after="0" w:line="272" w:lineRule="auto"/>
        <w:rPr>
          <w:sz w:val="20"/>
          <w:szCs w:val="20"/>
          <w:color w:val="auto"/>
        </w:rPr>
      </w:pPr>
      <w:r>
        <w:rPr>
          <w:rFonts w:ascii="Times New Roman" w:cs="Times New Roman" w:eastAsia="Times New Roman" w:hAnsi="Times New Roman"/>
          <w:sz w:val="17"/>
          <w:szCs w:val="17"/>
          <w:color w:val="auto"/>
        </w:rPr>
        <w:t>Unless you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you hold shares of our common stock in the name of a broker or financial intermediary, you should contact such broker or financial intermediary regarding your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 in the accompanying prospectus.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420"/>
          </w:cols>
          <w:pgMar w:left="240" w:top="270" w:right="239" w:bottom="1440" w:gutter="0" w:footer="0" w:header="0"/>
        </w:sectPr>
      </w:pPr>
    </w:p>
    <w:bookmarkStart w:id="278" w:name="page279"/>
    <w:bookmarkEnd w:id="27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MANAGEMENT’S DISCUSSION AND ANALYSIS OF FINANCIAL CONDITION AND RESULTS OF OPERATIONS</w:t>
      </w:r>
    </w:p>
    <w:p>
      <w:pPr>
        <w:spacing w:after="0" w:line="2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the accompanying prospectus for a discussion of the uncertainties, risks and assumptions associated with these statements.</w:t>
      </w:r>
    </w:p>
    <w:p>
      <w:pPr>
        <w:spacing w:after="0" w:line="18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380"/>
          </w:cols>
          <w:pgMar w:left="240" w:top="266" w:right="279" w:bottom="1440" w:gutter="0" w:footer="0" w:header="0"/>
        </w:sectPr>
      </w:pPr>
    </w:p>
    <w:bookmarkStart w:id="279" w:name="page280"/>
    <w:bookmarkEnd w:id="2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CAPITALIZATION</w:t>
      </w:r>
    </w:p>
    <w:p>
      <w:pPr>
        <w:spacing w:after="0" w:line="229" w:lineRule="exact"/>
        <w:rPr>
          <w:sz w:val="20"/>
          <w:szCs w:val="20"/>
          <w:color w:val="auto"/>
        </w:rPr>
      </w:pPr>
    </w:p>
    <w:p>
      <w:pPr>
        <w:ind w:left="460"/>
        <w:spacing w:after="0"/>
        <w:tabs>
          <w:tab w:leader="none" w:pos="6660" w:val="left"/>
          <w:tab w:leader="none" w:pos="7160" w:val="left"/>
        </w:tabs>
        <w:rPr>
          <w:sz w:val="20"/>
          <w:szCs w:val="20"/>
          <w:color w:val="auto"/>
        </w:rPr>
      </w:pPr>
      <w:r>
        <w:rPr>
          <w:rFonts w:ascii="Times New Roman" w:cs="Times New Roman" w:eastAsia="Times New Roman" w:hAnsi="Times New Roman"/>
          <w:sz w:val="18"/>
          <w:szCs w:val="18"/>
          <w:color w:val="auto"/>
        </w:rPr>
        <w:t>The following table sets forth (a) our actual consolidated capitalization at</w:t>
      </w:r>
      <w:r>
        <w:rPr>
          <w:sz w:val="20"/>
          <w:szCs w:val="20"/>
          <w:color w:val="auto"/>
        </w:rPr>
        <w:tab/>
      </w:r>
      <w:r>
        <w:rPr>
          <w:rFonts w:ascii="Times New Roman" w:cs="Times New Roman" w:eastAsia="Times New Roman" w:hAnsi="Times New Roman"/>
          <w:sz w:val="18"/>
          <w:szCs w:val="18"/>
          <w:color w:val="auto"/>
        </w:rPr>
        <w:t>, 20</w:t>
        <w:tab/>
        <w:t>and (b) our pro forma consolidated capitalization to reflect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effects of the sale of our common stock in this offering (assuming that the underwriters do not exercise their over-allotment option) assuming a public</w:t>
      </w:r>
    </w:p>
    <w:p>
      <w:pPr>
        <w:spacing w:after="0" w:line="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offering price of $ per share, after deducting the underwriting discounts and commissions and estimated offering expenses payable by us. You should read this table together with “Use of Proceeds” and our most recent balance sheet included elsewhere in this prospectus supplement or the accompanying prospectus.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20</w:t>
            </w:r>
          </w:p>
        </w:tc>
        <w:tc>
          <w:tcPr>
            <w:tcW w:w="100" w:type="dxa"/>
            <w:vAlign w:val="bottom"/>
          </w:tcPr>
          <w:p>
            <w:pPr>
              <w:spacing w:after="0"/>
              <w:rPr>
                <w:sz w:val="13"/>
                <w:szCs w:val="13"/>
                <w:color w:val="auto"/>
              </w:rPr>
            </w:pPr>
          </w:p>
        </w:tc>
      </w:tr>
      <w:tr>
        <w:trPr>
          <w:trHeight w:val="149"/>
        </w:trPr>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8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(unaudited, dollar amounts</w:t>
            </w:r>
          </w:p>
        </w:tc>
      </w:tr>
      <w:tr>
        <w:trPr>
          <w:trHeight w:val="173"/>
        </w:trPr>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6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42"/>
        </w:trPr>
        <w:tc>
          <w:tcPr>
            <w:tcW w:w="14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Borders>
              <w:bottom w:val="single" w:sz="8" w:color="CCEEFF"/>
            </w:tcBorders>
          </w:tcPr>
          <w:p>
            <w:pPr>
              <w:spacing w:after="0"/>
              <w:rPr>
                <w:sz w:val="12"/>
                <w:szCs w:val="12"/>
                <w:color w:val="auto"/>
              </w:rPr>
            </w:pPr>
          </w:p>
        </w:tc>
      </w:tr>
      <w:tr>
        <w:trPr>
          <w:trHeight w:val="210"/>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 Debt outstanding as of period reported]</w:t>
            </w:r>
          </w:p>
        </w:tc>
        <w:tc>
          <w:tcPr>
            <w:tcW w:w="10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w:t>
            </w:r>
          </w:p>
        </w:tc>
        <w:tc>
          <w:tcPr>
            <w:tcW w:w="17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10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3340" w:type="dxa"/>
            <w:vAlign w:val="bottom"/>
            <w:gridSpan w:val="2"/>
          </w:tcPr>
          <w:p>
            <w:pPr>
              <w:jc w:val="right"/>
              <w:ind w:right="1945"/>
              <w:spacing w:after="0" w:line="198" w:lineRule="exact"/>
              <w:rPr>
                <w:sz w:val="20"/>
                <w:szCs w:val="20"/>
                <w:color w:val="auto"/>
              </w:rPr>
            </w:pPr>
            <w:r>
              <w:rPr>
                <w:rFonts w:ascii="Times New Roman" w:cs="Times New Roman" w:eastAsia="Times New Roman" w:hAnsi="Times New Roman"/>
                <w:sz w:val="18"/>
                <w:szCs w:val="18"/>
                <w:color w:val="auto"/>
              </w:rPr>
              <w:t>shares issued and</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7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340" w:type="dxa"/>
            <w:vAlign w:val="bottom"/>
            <w:gridSpan w:val="2"/>
          </w:tcPr>
          <w:p>
            <w:pPr>
              <w:jc w:val="right"/>
              <w:ind w:right="46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98"/>
        </w:trPr>
        <w:tc>
          <w:tcPr>
            <w:tcW w:w="2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w:t>
            </w:r>
          </w:p>
        </w:tc>
        <w:tc>
          <w:tcPr>
            <w:tcW w:w="1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104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3340" w:type="dxa"/>
            <w:vAlign w:val="bottom"/>
            <w:gridSpan w:val="2"/>
            <w:shd w:val="clear" w:color="auto" w:fill="CCEEFF"/>
          </w:tcPr>
          <w:p>
            <w:pPr>
              <w:jc w:val="right"/>
              <w:ind w:right="1185"/>
              <w:spacing w:after="0" w:line="198" w:lineRule="exact"/>
              <w:rPr>
                <w:sz w:val="20"/>
                <w:szCs w:val="20"/>
                <w:color w:val="auto"/>
              </w:rPr>
            </w:pPr>
            <w:r>
              <w:rPr>
                <w:rFonts w:ascii="Times New Roman" w:cs="Times New Roman" w:eastAsia="Times New Roman" w:hAnsi="Times New Roman"/>
                <w:sz w:val="18"/>
                <w:szCs w:val="18"/>
                <w:color w:val="auto"/>
              </w:rPr>
              <w:t>shares issued, respectively;</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and</w:t>
            </w:r>
          </w:p>
        </w:tc>
        <w:tc>
          <w:tcPr>
            <w:tcW w:w="3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104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[gain][loss] on investments and foreign currency transactions</w:t>
            </w: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40" w:type="dxa"/>
            <w:vAlign w:val="bottom"/>
            <w:gridSpan w:val="2"/>
          </w:tcPr>
          <w:p>
            <w:pPr>
              <w:jc w:val="right"/>
              <w:ind w:right="46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right"/>
              <w:ind w:right="46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365"/>
        </w:trPr>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S-16</w:t>
            </w: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266" w:right="259" w:bottom="1440" w:gutter="0" w:footer="0" w:header="0"/>
        </w:sectPr>
      </w:pPr>
    </w:p>
    <w:bookmarkStart w:id="280" w:name="page281"/>
    <w:bookmarkEnd w:id="2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UNDERWRITING</w:t>
      </w:r>
    </w:p>
    <w:p>
      <w:pPr>
        <w:spacing w:after="0" w:line="229" w:lineRule="exact"/>
        <w:rPr>
          <w:sz w:val="20"/>
          <w:szCs w:val="20"/>
          <w:color w:val="auto"/>
        </w:rPr>
      </w:pPr>
    </w:p>
    <w:p>
      <w:pPr>
        <w:ind w:right="260" w:firstLine="464"/>
        <w:spacing w:after="0" w:line="266" w:lineRule="auto"/>
        <w:tabs>
          <w:tab w:leader="none" w:pos="141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are acting as representatives of each of the underwriters named below. Subject to the terms and conditions set forth in a purchase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960" w:type="dxa"/>
            <w:vAlign w:val="bottom"/>
          </w:tcPr>
          <w:p>
            <w:pPr>
              <w:jc w:val="center"/>
              <w:ind w:left="62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3"/>
                <w:szCs w:val="13"/>
                <w:color w:val="auto"/>
              </w:rPr>
            </w:pPr>
          </w:p>
        </w:tc>
        <w:tc>
          <w:tcPr>
            <w:tcW w:w="6960" w:type="dxa"/>
            <w:vAlign w:val="bottom"/>
          </w:tcPr>
          <w:p>
            <w:pPr>
              <w:jc w:val="center"/>
              <w:ind w:left="6228"/>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1371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7"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purchase agreement, the underwriters have agreed, severally and not jointly,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176" w:lineRule="exact"/>
        <w:rPr>
          <w:sz w:val="20"/>
          <w:szCs w:val="20"/>
          <w:color w:val="auto"/>
        </w:rPr>
      </w:pPr>
    </w:p>
    <w:p>
      <w:pPr>
        <w:jc w:val="both"/>
        <w:ind w:right="12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cover page of this prospectus and to dealers at that price less a concession not in excess of $ per share. After the initial offering, the public offering price, concession or any other term of the offering may be changed.</w:t>
      </w:r>
    </w:p>
    <w:p>
      <w:pPr>
        <w:spacing w:after="0" w:line="18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7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196"/>
        </w:trPr>
        <w:tc>
          <w:tcPr>
            <w:tcW w:w="9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Public offering price</w:t>
            </w:r>
          </w:p>
        </w:tc>
        <w:tc>
          <w:tcPr>
            <w:tcW w:w="1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432"/>
        </w:trPr>
        <w:tc>
          <w:tcPr>
            <w:tcW w:w="72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w:t>
            </w:r>
          </w:p>
        </w:tc>
        <w:tc>
          <w:tcPr>
            <w:tcW w:w="24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and are payable by us.</w:t>
            </w: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4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24"/>
        </w:trPr>
        <w:tc>
          <w:tcPr>
            <w:tcW w:w="5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 have granted an option to the underwriters to purchase up to</w:t>
            </w:r>
          </w:p>
        </w:tc>
        <w:tc>
          <w:tcPr>
            <w:tcW w:w="5780" w:type="dxa"/>
            <w:vAlign w:val="bottom"/>
            <w:gridSpan w:val="7"/>
          </w:tcPr>
          <w:p>
            <w:pPr>
              <w:ind w:left="300"/>
              <w:spacing w:after="0"/>
              <w:rPr>
                <w:sz w:val="20"/>
                <w:szCs w:val="20"/>
                <w:color w:val="auto"/>
              </w:rPr>
            </w:pPr>
            <w:r>
              <w:rPr>
                <w:rFonts w:ascii="Times New Roman" w:cs="Times New Roman" w:eastAsia="Times New Roman" w:hAnsi="Times New Roman"/>
                <w:sz w:val="18"/>
                <w:szCs w:val="18"/>
                <w:color w:val="auto"/>
                <w:w w:val="99"/>
              </w:rPr>
              <w:t>additional shares at the public offering price, less the underwriting discount.</w:t>
            </w:r>
          </w:p>
        </w:tc>
      </w:tr>
    </w:tbl>
    <w:p>
      <w:pPr>
        <w:ind w:right="320"/>
        <w:spacing w:after="0" w:line="255" w:lineRule="auto"/>
        <w:rPr>
          <w:sz w:val="20"/>
          <w:szCs w:val="20"/>
          <w:color w:val="auto"/>
        </w:rPr>
      </w:pPr>
      <w:r>
        <w:rPr>
          <w:rFonts w:ascii="Times New Roman" w:cs="Times New Roman" w:eastAsia="Times New Roman" w:hAnsi="Times New Roman"/>
          <w:sz w:val="18"/>
          <w:szCs w:val="18"/>
          <w:color w:val="auto"/>
        </w:rPr>
        <w:t>The underwriters may exercise this option for days from the date of this prospectus supplement solely to cover any over-allotments. If the underwriters exercise this option, each will be obligated, subject to conditions contained in the purchase agreement, to purchase a number of additional shares proportionate to that underwriter’s initial amount reflected in the above table.]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380"/>
          </w:cols>
          <w:pgMar w:left="240" w:top="266" w:right="2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Sales of Similar Securities</w:t>
      </w:r>
    </w:p>
    <w:p>
      <w:pPr>
        <w:spacing w:after="0" w:line="121" w:lineRule="exact"/>
        <w:rPr>
          <w:sz w:val="20"/>
          <w:szCs w:val="20"/>
          <w:color w:val="auto"/>
        </w:rPr>
      </w:pPr>
    </w:p>
    <w:p>
      <w:pPr>
        <w:ind w:left="460"/>
        <w:spacing w:after="0"/>
        <w:tabs>
          <w:tab w:leader="none" w:pos="6280" w:val="left"/>
        </w:tabs>
        <w:rPr>
          <w:sz w:val="20"/>
          <w:szCs w:val="20"/>
          <w:color w:val="auto"/>
        </w:rPr>
      </w:pPr>
      <w:r>
        <w:rPr>
          <w:rFonts w:ascii="Times New Roman" w:cs="Times New Roman" w:eastAsia="Times New Roman" w:hAnsi="Times New Roman"/>
          <w:sz w:val="18"/>
          <w:szCs w:val="18"/>
          <w:color w:val="auto"/>
        </w:rPr>
        <w:t>We have agreed, with exceptions, not to sell or transfer any common stock for</w:t>
        <w:tab/>
        <w:t>days after the date of this prospectus supplement without first</w:t>
      </w:r>
    </w:p>
    <w:p>
      <w:pPr>
        <w:spacing w:after="0" w:line="27"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8"/>
          <w:szCs w:val="18"/>
          <w:color w:val="auto"/>
        </w:rPr>
        <w:t>obtaining the written consent of [</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executive officers and directors and our Adviser and certain of its affiliates have agreed, with exceptions, not to sell or transfer any common stock</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days after the date of this prospectus supplement without first obtaining the written consent of [ ]. Specifically, we and these other persons have agreed, with certain limited exceptions, not to directly or indirectly</w:t>
      </w:r>
    </w:p>
    <w:p>
      <w:pPr>
        <w:spacing w:after="0" w:line="85" w:lineRule="exact"/>
        <w:rPr>
          <w:sz w:val="20"/>
          <w:szCs w:val="20"/>
          <w:color w:val="auto"/>
        </w:rPr>
      </w:pPr>
    </w:p>
    <w:p>
      <w:pPr>
        <w:ind w:left="1480" w:hanging="905"/>
        <w:spacing w:after="0"/>
        <w:tabs>
          <w:tab w:leader="none" w:pos="14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130" w:lineRule="exact"/>
        <w:rPr>
          <w:rFonts w:ascii="Times New Roman" w:cs="Times New Roman" w:eastAsia="Times New Roman" w:hAnsi="Times New Roman"/>
          <w:sz w:val="18"/>
          <w:szCs w:val="18"/>
          <w:color w:val="auto"/>
        </w:rPr>
      </w:pPr>
    </w:p>
    <w:p>
      <w:pPr>
        <w:ind w:left="1480" w:hanging="905"/>
        <w:spacing w:after="0"/>
        <w:tabs>
          <w:tab w:leader="none" w:pos="14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130" w:lineRule="exact"/>
        <w:rPr>
          <w:rFonts w:ascii="Times New Roman" w:cs="Times New Roman" w:eastAsia="Times New Roman" w:hAnsi="Times New Roman"/>
          <w:sz w:val="18"/>
          <w:szCs w:val="18"/>
          <w:color w:val="auto"/>
        </w:rPr>
      </w:pPr>
    </w:p>
    <w:p>
      <w:pPr>
        <w:ind w:left="1480" w:hanging="905"/>
        <w:spacing w:after="0"/>
        <w:tabs>
          <w:tab w:leader="none" w:pos="14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130" w:lineRule="exact"/>
        <w:rPr>
          <w:rFonts w:ascii="Times New Roman" w:cs="Times New Roman" w:eastAsia="Times New Roman" w:hAnsi="Times New Roman"/>
          <w:sz w:val="18"/>
          <w:szCs w:val="18"/>
          <w:color w:val="auto"/>
        </w:rPr>
      </w:pPr>
    </w:p>
    <w:p>
      <w:pPr>
        <w:ind w:left="1480" w:hanging="905"/>
        <w:spacing w:after="0"/>
        <w:tabs>
          <w:tab w:leader="none" w:pos="14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130" w:lineRule="exact"/>
        <w:rPr>
          <w:rFonts w:ascii="Times New Roman" w:cs="Times New Roman" w:eastAsia="Times New Roman" w:hAnsi="Times New Roman"/>
          <w:sz w:val="18"/>
          <w:szCs w:val="18"/>
          <w:color w:val="auto"/>
        </w:rPr>
      </w:pPr>
    </w:p>
    <w:p>
      <w:pPr>
        <w:ind w:left="1480" w:hanging="905"/>
        <w:spacing w:after="0"/>
        <w:tabs>
          <w:tab w:leader="none" w:pos="14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130" w:lineRule="exact"/>
        <w:rPr>
          <w:rFonts w:ascii="Times New Roman" w:cs="Times New Roman" w:eastAsia="Times New Roman" w:hAnsi="Times New Roman"/>
          <w:sz w:val="18"/>
          <w:szCs w:val="18"/>
          <w:color w:val="auto"/>
        </w:rPr>
      </w:pPr>
    </w:p>
    <w:p>
      <w:pPr>
        <w:ind w:left="1480" w:hanging="905"/>
        <w:spacing w:after="0"/>
        <w:tabs>
          <w:tab w:leader="none" w:pos="14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a registration statement related to the common stock, or</w:t>
      </w:r>
    </w:p>
    <w:p>
      <w:pPr>
        <w:spacing w:after="0" w:line="13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148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In the event that either (x) during the last 17 days of the lock-up period referred to above, we issue an earnings release or material news or a material event relating to the Company occurs or (y) prior to the expiration of the lock-up period, we announce that we will release earnings results or become aware that material news or a material event will occur during the 16-day period beginning on the last day of the lock-up period, the restrictions described above shall continue to apply until the expiration of the 18-day period beginning on the issuance of the earnings release or the occurrence of the material news or material event.]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NYSE 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shares are listed on the NYSE under the symbol “TSLX.”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over-allotment option described above. The underwriters may close out any covered short position by either exercising their over-allotment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sales in excess of the</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320"/>
          </w:cols>
          <w:pgMar w:left="240" w:top="266" w:right="339" w:bottom="1440" w:gutter="0" w:footer="0" w:header="0"/>
        </w:sectPr>
      </w:pPr>
    </w:p>
    <w:bookmarkStart w:id="282" w:name="page283"/>
    <w:bookmarkEnd w:id="28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over-allotment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0" w:lineRule="exact"/>
        <w:rPr>
          <w:sz w:val="20"/>
          <w:szCs w:val="20"/>
          <w:color w:val="auto"/>
        </w:rPr>
      </w:pPr>
    </w:p>
    <w:p>
      <w:pPr>
        <w:jc w:val="both"/>
        <w:ind w:right="120" w:firstLine="456"/>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NYSE, in the over-the-counter market or otherwise.</w:t>
      </w:r>
    </w:p>
    <w:p>
      <w:pPr>
        <w:spacing w:after="0" w:line="180" w:lineRule="exact"/>
        <w:rPr>
          <w:sz w:val="20"/>
          <w:szCs w:val="20"/>
          <w:color w:val="auto"/>
        </w:rPr>
      </w:pPr>
    </w:p>
    <w:p>
      <w:pPr>
        <w:ind w:right="560" w:firstLine="456"/>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[Describe any other specific transactions and compensation related thereto to the extent required to be disclosed by applicable law or regulation.]</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[Describe if underwriters receiving proceeds of offering, if required by FINRA.]</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[Insert principal business addresses of underwriters.]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[Insert applicable legends for jurisdictions in which offers and sales may be made.]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360"/>
          </w:cols>
          <w:pgMar w:left="240" w:top="270" w:right="299" w:bottom="1440" w:gutter="0" w:footer="0" w:header="0"/>
        </w:sectPr>
      </w:pPr>
    </w:p>
    <w:bookmarkStart w:id="283" w:name="page284"/>
    <w:bookmarkEnd w:id="28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MATTERS</w:t>
      </w:r>
    </w:p>
    <w:p>
      <w:pPr>
        <w:spacing w:after="0" w:line="229"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line="1"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8"/>
          <w:szCs w:val="18"/>
          <w:color w:val="auto"/>
        </w:rPr>
        <w:t>Hamilton LLP also represents the Adviser. Certain legal matters in connection with the offering will be passed upon for the underwriters by [</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0" w:hanging="592"/>
        <w:spacing w:after="0"/>
        <w:tabs>
          <w:tab w:leader="none" w:pos="6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40"/>
          </w:cols>
          <w:pgMar w:left="240" w:top="266" w:right="519" w:bottom="1440" w:gutter="0" w:footer="0" w:header="0"/>
        </w:sectPr>
      </w:pPr>
    </w:p>
    <w:bookmarkStart w:id="284" w:name="page285"/>
    <w:bookmarkEnd w:id="2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financial statements and notes thereto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400"/>
          </w:cols>
          <w:pgMar w:left="240" w:top="266" w:right="259" w:bottom="1440" w:gutter="0" w:footer="0" w:header="0"/>
        </w:sectPr>
      </w:pPr>
    </w:p>
    <w:bookmarkStart w:id="285" w:name="page286"/>
    <w:bookmarkEnd w:id="285"/>
    <w:p>
      <w:pPr>
        <w:spacing w:after="0" w:line="2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976630</wp:posOffset>
            </wp:positionV>
            <wp:extent cx="1346200" cy="660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1043305</wp:posOffset>
            </wp:positionV>
            <wp:extent cx="151765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243840</wp:posOffset>
            </wp:positionV>
            <wp:extent cx="151765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977900</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1038225</wp:posOffset>
            </wp:positionV>
            <wp:extent cx="7246620"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103" w:lineRule="exact"/>
        <w:rPr>
          <w:sz w:val="20"/>
          <w:szCs w:val="20"/>
          <w:color w:val="auto"/>
        </w:rPr>
      </w:pPr>
    </w:p>
    <w:tbl>
      <w:tblPr>
        <w:tblLayout w:type="fixed"/>
        <w:tblInd w:w="3580" w:type="dxa"/>
        <w:tblCellMar>
          <w:top w:w="0" w:type="dxa"/>
          <w:left w:w="0" w:type="dxa"/>
          <w:bottom w:w="0" w:type="dxa"/>
          <w:right w:w="0" w:type="dxa"/>
        </w:tblCellMar>
      </w:tblPr>
      <w:tr>
        <w:trPr>
          <w:trHeight w:val="238"/>
        </w:trPr>
        <w:tc>
          <w:tcPr>
            <w:tcW w:w="354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DE1A1E"/>
              </w:rPr>
              <w:t>Subject to Completion</w:t>
            </w:r>
          </w:p>
        </w:tc>
        <w:tc>
          <w:tcPr>
            <w:tcW w:w="560" w:type="dxa"/>
            <w:vAlign w:val="bottom"/>
          </w:tcPr>
          <w:p>
            <w:pPr>
              <w:spacing w:after="0"/>
              <w:rPr>
                <w:sz w:val="20"/>
                <w:szCs w:val="20"/>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DE1A1E"/>
              </w:rPr>
              <w:t>Preliminary Prospectus Supplement dated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DE1A1E"/>
              </w:rPr>
              <w:t>, 20</w:t>
            </w:r>
          </w:p>
        </w:tc>
      </w:tr>
    </w:tbl>
    <w:p>
      <w:pPr>
        <w:spacing w:after="0" w:line="49" w:lineRule="exact"/>
        <w:rPr>
          <w:sz w:val="20"/>
          <w:szCs w:val="20"/>
          <w:color w:val="auto"/>
        </w:rPr>
      </w:pPr>
    </w:p>
    <w:p>
      <w:pPr>
        <w:ind w:right="40" w:firstLine="34"/>
        <w:spacing w:after="0" w:line="326" w:lineRule="auto"/>
        <w:rPr>
          <w:sz w:val="20"/>
          <w:szCs w:val="20"/>
          <w:color w:val="auto"/>
        </w:rPr>
      </w:pPr>
      <w:r>
        <w:rPr>
          <w:rFonts w:ascii="Times New Roman" w:cs="Times New Roman" w:eastAsia="Times New Roman" w:hAnsi="Times New Roman"/>
          <w:sz w:val="18"/>
          <w:szCs w:val="18"/>
          <w:color w:val="auto"/>
        </w:rPr>
        <w:t xml:space="preserve">[FORM OF PRELIMINARY PROSPECTUS SUPPLEMENT TO BE USED IN CONJUNCTION WITH FUTURE PREFERRED STOCK OFFERINGS](1) </w:t>
      </w:r>
      <w:r>
        <w:rPr>
          <w:rFonts w:ascii="Times New Roman" w:cs="Times New Roman" w:eastAsia="Times New Roman" w:hAnsi="Times New Roman"/>
          <w:sz w:val="18"/>
          <w:szCs w:val="18"/>
          <w:b w:val="1"/>
          <w:bCs w:val="1"/>
          <w:u w:val="single" w:color="auto"/>
          <w:color w:val="auto"/>
        </w:rPr>
        <w:t>PROSPECTUS SUPPLEMENT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   )</w:t>
            </w: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71755</wp:posOffset>
            </wp:positionV>
            <wp:extent cx="1346200" cy="660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Specialty Lending, Inc.</w:t>
      </w:r>
    </w:p>
    <w:p>
      <w:pPr>
        <w:spacing w:after="0" w:line="103"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Series [</w:t>
      </w:r>
      <w:r>
        <w:rPr>
          <w:sz w:val="20"/>
          <w:szCs w:val="20"/>
          <w:color w:val="auto"/>
        </w:rPr>
        <w:tab/>
      </w:r>
      <w:r>
        <w:rPr>
          <w:rFonts w:ascii="Times New Roman" w:cs="Times New Roman" w:eastAsia="Times New Roman" w:hAnsi="Times New Roman"/>
          <w:sz w:val="17"/>
          <w:szCs w:val="17"/>
          <w:b w:val="1"/>
          <w:bCs w:val="1"/>
          <w:color w:val="auto"/>
        </w:rPr>
        <w:t>] Preferred Stock</w:t>
      </w:r>
    </w:p>
    <w:p>
      <w:pPr>
        <w:spacing w:after="0" w:line="31"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Liquidation Preference $</w:t>
      </w:r>
      <w:r>
        <w:rPr>
          <w:sz w:val="20"/>
          <w:szCs w:val="20"/>
          <w:color w:val="auto"/>
        </w:rPr>
        <w:tab/>
      </w:r>
      <w:r>
        <w:rPr>
          <w:rFonts w:ascii="Times New Roman" w:cs="Times New Roman" w:eastAsia="Times New Roman" w:hAnsi="Times New Roman"/>
          <w:sz w:val="17"/>
          <w:szCs w:val="17"/>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100330</wp:posOffset>
            </wp:positionV>
            <wp:extent cx="151765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0"/>
          <w:szCs w:val="20"/>
          <w:color w:val="auto"/>
        </w:rPr>
      </w:pPr>
    </w:p>
    <w:p>
      <w:pPr>
        <w:ind w:right="240" w:firstLine="342"/>
        <w:spacing w:after="0" w:line="251" w:lineRule="auto"/>
        <w:rPr>
          <w:sz w:val="20"/>
          <w:szCs w:val="20"/>
          <w:color w:val="auto"/>
        </w:rPr>
      </w:pPr>
      <w:r>
        <w:rPr>
          <w:rFonts w:ascii="Times New Roman" w:cs="Times New Roman" w:eastAsia="Times New Roman" w:hAnsi="Times New Roman"/>
          <w:sz w:val="14"/>
          <w:szCs w:val="14"/>
          <w:color w:val="auto"/>
        </w:rPr>
        <w:t>We are offering for sale shares of our Series [ ] preferred stock, or our “preferred stock,” with a liquidation preference of $ per share. [Insert relevant information regarding ranking, conversion, redemption, dividends, etc. to the extent required to be disclosed by applicable law or regulation.]</w:t>
      </w:r>
    </w:p>
    <w:p>
      <w:pPr>
        <w:ind w:right="360" w:firstLine="342"/>
        <w:spacing w:after="0" w:line="242" w:lineRule="auto"/>
        <w:rPr>
          <w:sz w:val="20"/>
          <w:szCs w:val="20"/>
          <w:color w:val="auto"/>
        </w:rPr>
      </w:pPr>
      <w:r>
        <w:rPr>
          <w:rFonts w:ascii="Times New Roman" w:cs="Times New Roman" w:eastAsia="Times New Roman" w:hAnsi="Times New Roman"/>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ind w:right="440" w:firstLine="342"/>
        <w:spacing w:after="0" w:line="251" w:lineRule="auto"/>
        <w:rPr>
          <w:sz w:val="20"/>
          <w:szCs w:val="20"/>
          <w:color w:val="auto"/>
        </w:rPr>
      </w:pPr>
      <w:r>
        <w:rPr>
          <w:rFonts w:ascii="Times New Roman" w:cs="Times New Roman" w:eastAsia="Times New Roman" w:hAnsi="Times New Roman"/>
          <w:sz w:val="14"/>
          <w:szCs w:val="14"/>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TSL Advisers, LLC, or the Adviser, acts as our investment adviser and administrator. We and the</w:t>
      </w:r>
    </w:p>
    <w:p>
      <w:pPr>
        <w:spacing w:after="0" w:line="4"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4"/>
          <w:szCs w:val="14"/>
          <w:color w:val="auto"/>
        </w:rPr>
        <w:t>Adviser are part of the TPG Special Situations Partners platform, which had over $ billion of assets under management as of , 20 . TPG Special Situations Partners is the special situations and credit platform of TPG, a leading global private investment firm founded in 1992 with over $ billion of assets under management as of , 20 .</w:t>
      </w:r>
    </w:p>
    <w:p>
      <w:pPr>
        <w:ind w:right="60" w:firstLine="342"/>
        <w:spacing w:after="0" w:line="231" w:lineRule="auto"/>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2" w:lineRule="exact"/>
        <w:rPr>
          <w:sz w:val="20"/>
          <w:szCs w:val="20"/>
          <w:color w:val="auto"/>
        </w:rPr>
      </w:pPr>
    </w:p>
    <w:p>
      <w:pPr>
        <w:ind w:right="200" w:firstLine="342"/>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[Add relevant disclosure depending on whether preferred shares are listed or not.]</w:t>
      </w:r>
    </w:p>
    <w:p>
      <w:pPr>
        <w:spacing w:after="0" w:line="27" w:lineRule="exact"/>
        <w:rPr>
          <w:sz w:val="20"/>
          <w:szCs w:val="20"/>
          <w:color w:val="auto"/>
        </w:rPr>
      </w:pPr>
    </w:p>
    <w:p>
      <w:pPr>
        <w:ind w:right="620" w:firstLine="456"/>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preferred stock involves risks that are described in the “</w:t>
      </w:r>
      <w:hyperlink w:anchor="page295">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section beginning on page S-9 of this prospectus supplement and page [ ] of the accompanying prospectus, including the risk of leverage.</w:t>
      </w:r>
    </w:p>
    <w:p>
      <w:pPr>
        <w:spacing w:after="0" w:line="1" w:lineRule="exact"/>
        <w:rPr>
          <w:sz w:val="20"/>
          <w:szCs w:val="20"/>
          <w:color w:val="auto"/>
        </w:rPr>
      </w:pPr>
    </w:p>
    <w:p>
      <w:pPr>
        <w:ind w:right="20" w:firstLine="342"/>
        <w:spacing w:after="0" w:line="231"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84455</wp:posOffset>
            </wp:positionV>
            <wp:extent cx="15176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5"/>
                <w:szCs w:val="15"/>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Public offering price</w:t>
            </w:r>
          </w:p>
        </w:tc>
        <w:tc>
          <w:tcPr>
            <w:tcW w:w="48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3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spacing w:after="0"/>
              <w:rPr>
                <w:sz w:val="12"/>
                <w:szCs w:val="12"/>
                <w:color w:val="auto"/>
              </w:rPr>
            </w:pPr>
          </w:p>
        </w:tc>
      </w:tr>
      <w:tr>
        <w:trPr>
          <w:trHeight w:val="149"/>
        </w:trPr>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00" w:type="dxa"/>
            <w:vAlign w:val="bottom"/>
            <w:gridSpan w:val="2"/>
          </w:tcPr>
          <w:p>
            <w:pPr>
              <w:jc w:val="right"/>
              <w:ind w:right="59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2"/>
                <w:szCs w:val="12"/>
                <w:color w:val="auto"/>
              </w:rPr>
            </w:pPr>
          </w:p>
        </w:tc>
      </w:tr>
      <w:tr>
        <w:trPr>
          <w:trHeight w:val="149"/>
        </w:trPr>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to us, before expenses (1)</w:t>
            </w:r>
          </w:p>
        </w:tc>
        <w:tc>
          <w:tcPr>
            <w:tcW w:w="4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9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7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2"/>
                <w:szCs w:val="12"/>
                <w:color w:val="auto"/>
              </w:rPr>
            </w:pP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3960" w:type="dxa"/>
            <w:vAlign w:val="bottom"/>
            <w:gridSpan w:val="4"/>
          </w:tcPr>
          <w:p>
            <w:pPr>
              <w:spacing w:after="0"/>
              <w:rPr>
                <w:sz w:val="11"/>
                <w:szCs w:val="11"/>
                <w:color w:val="auto"/>
              </w:rPr>
            </w:pPr>
          </w:p>
        </w:tc>
        <w:tc>
          <w:tcPr>
            <w:tcW w:w="3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87"/>
        </w:trPr>
        <w:tc>
          <w:tcPr>
            <w:tcW w:w="51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  Before deducting expenses payable by us related to this offering, estimated at $</w:t>
            </w:r>
          </w:p>
        </w:tc>
        <w:tc>
          <w:tcPr>
            <w:tcW w:w="3160" w:type="dxa"/>
            <w:vAlign w:val="bottom"/>
          </w:tcPr>
          <w:p>
            <w:pPr>
              <w:jc w:val="right"/>
              <w:ind w:right="28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49"/>
        </w:trPr>
        <w:tc>
          <w:tcPr>
            <w:tcW w:w="35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[The underwriters may also purchase up to an additional</w:t>
            </w:r>
          </w:p>
        </w:tc>
        <w:tc>
          <w:tcPr>
            <w:tcW w:w="5880" w:type="dxa"/>
            <w:vAlign w:val="bottom"/>
            <w:gridSpan w:val="5"/>
          </w:tcPr>
          <w:p>
            <w:pPr>
              <w:jc w:val="right"/>
              <w:ind w:right="36"/>
              <w:spacing w:after="0" w:line="149" w:lineRule="exact"/>
              <w:rPr>
                <w:sz w:val="20"/>
                <w:szCs w:val="20"/>
                <w:color w:val="auto"/>
              </w:rPr>
            </w:pPr>
            <w:r>
              <w:rPr>
                <w:rFonts w:ascii="Times New Roman" w:cs="Times New Roman" w:eastAsia="Times New Roman" w:hAnsi="Times New Roman"/>
                <w:sz w:val="14"/>
                <w:szCs w:val="14"/>
                <w:color w:val="auto"/>
              </w:rPr>
              <w:t>shares of preferred stock from us at the public offering price, less the underwriting discount, within</w:t>
            </w:r>
          </w:p>
        </w:tc>
        <w:tc>
          <w:tcPr>
            <w:tcW w:w="80" w:type="dxa"/>
            <w:vAlign w:val="bottom"/>
          </w:tcPr>
          <w:p>
            <w:pPr>
              <w:spacing w:after="0"/>
              <w:rPr>
                <w:sz w:val="12"/>
                <w:szCs w:val="12"/>
                <w:color w:val="auto"/>
              </w:rPr>
            </w:pPr>
          </w:p>
        </w:tc>
        <w:tc>
          <w:tcPr>
            <w:tcW w:w="17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days of the date of this</w:t>
            </w:r>
          </w:p>
        </w:tc>
      </w:tr>
      <w:tr>
        <w:trPr>
          <w:trHeight w:val="149"/>
        </w:trPr>
        <w:tc>
          <w:tcPr>
            <w:tcW w:w="828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auto"/>
              </w:rPr>
              <w:t>prospectus supplement to cover over-allotments, if any. If the underwriters exercise this option in full, the total public offering price will be $</w:t>
            </w:r>
          </w:p>
        </w:tc>
        <w:tc>
          <w:tcPr>
            <w:tcW w:w="2960" w:type="dxa"/>
            <w:vAlign w:val="bottom"/>
            <w:gridSpan w:val="5"/>
          </w:tcPr>
          <w:p>
            <w:pPr>
              <w:ind w:left="140"/>
              <w:spacing w:after="0" w:line="149" w:lineRule="exact"/>
              <w:rPr>
                <w:sz w:val="20"/>
                <w:szCs w:val="20"/>
                <w:color w:val="auto"/>
              </w:rPr>
            </w:pPr>
            <w:r>
              <w:rPr>
                <w:rFonts w:ascii="Times New Roman" w:cs="Times New Roman" w:eastAsia="Times New Roman" w:hAnsi="Times New Roman"/>
                <w:sz w:val="14"/>
                <w:szCs w:val="14"/>
                <w:color w:val="auto"/>
              </w:rPr>
              <w:t>, the total underwriting discount (sales load) paid</w:t>
            </w: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by us will be $</w:t>
            </w:r>
          </w:p>
        </w:tc>
        <w:tc>
          <w:tcPr>
            <w:tcW w:w="298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 and total proceeds, before expenses, will be $</w:t>
            </w:r>
          </w:p>
        </w:tc>
        <w:tc>
          <w:tcPr>
            <w:tcW w:w="114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3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Pr>
          <w:p>
            <w:pPr>
              <w:spacing w:after="0"/>
              <w:rPr>
                <w:sz w:val="16"/>
                <w:szCs w:val="16"/>
                <w:color w:val="auto"/>
              </w:rPr>
            </w:pPr>
          </w:p>
        </w:tc>
      </w:tr>
    </w:tbl>
    <w:p>
      <w:pPr>
        <w:spacing w:after="0" w:line="8" w:lineRule="exact"/>
        <w:rPr>
          <w:sz w:val="20"/>
          <w:szCs w:val="20"/>
          <w:color w:val="auto"/>
        </w:rPr>
      </w:pPr>
    </w:p>
    <w:p>
      <w:pPr>
        <w:ind w:right="80" w:firstLine="342"/>
        <w:spacing w:after="0" w:line="289"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or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98"/>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The shares will be ready for delivery on or about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82550</wp:posOffset>
            </wp:positionV>
            <wp:extent cx="151765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2" w:lineRule="exact"/>
        <w:rPr>
          <w:sz w:val="20"/>
          <w:szCs w:val="20"/>
          <w:color w:val="auto"/>
        </w:rPr>
      </w:pPr>
    </w:p>
    <w:tbl>
      <w:tblPr>
        <w:tblLayout w:type="fixed"/>
        <w:tblInd w:w="3820" w:type="dxa"/>
        <w:tblCellMar>
          <w:top w:w="0" w:type="dxa"/>
          <w:left w:w="0" w:type="dxa"/>
          <w:bottom w:w="0" w:type="dxa"/>
          <w:right w:w="0" w:type="dxa"/>
        </w:tblCellMar>
      </w:tblPr>
      <w:tr>
        <w:trPr>
          <w:trHeight w:val="202"/>
        </w:trPr>
        <w:tc>
          <w:tcPr>
            <w:tcW w:w="30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89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340" w:right="100" w:hanging="332"/>
        <w:spacing w:after="0" w:line="232" w:lineRule="auto"/>
        <w:tabs>
          <w:tab w:leader="none" w:pos="340" w:val="left"/>
        </w:tabs>
        <w:numPr>
          <w:ilvl w:val="0"/>
          <w:numId w:val="2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18" w:right="23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40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920" w:type="dxa"/>
            <w:vAlign w:val="bottom"/>
            <w:gridSpan w:val="13"/>
            <w:vMerge w:val="restart"/>
          </w:tcPr>
          <w:p>
            <w:pPr>
              <w:spacing w:after="0"/>
              <w:rPr>
                <w:rFonts w:ascii="Times New Roman" w:cs="Times New Roman" w:eastAsia="Times New Roman" w:hAnsi="Times New Roman"/>
                <w:sz w:val="18"/>
                <w:szCs w:val="18"/>
                <w:color w:val="0000EE"/>
              </w:rPr>
            </w:pPr>
            <w:hyperlink w:anchor="page289">
              <w:r>
                <w:rPr>
                  <w:rFonts w:ascii="Times New Roman" w:cs="Times New Roman" w:eastAsia="Times New Roman" w:hAnsi="Times New Roman"/>
                  <w:sz w:val="18"/>
                  <w:szCs w:val="18"/>
                  <w:color w:val="0000EE"/>
                </w:rPr>
                <w:t>SPECIAL NOTE REGARDING FORWARD-LOOKING STATEMENTS</w:t>
              </w:r>
            </w:hyperlink>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20" w:type="dxa"/>
            <w:vAlign w:val="bottom"/>
            <w:gridSpan w:val="13"/>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290">
              <w:r>
                <w:rPr>
                  <w:rFonts w:ascii="Times New Roman" w:cs="Times New Roman" w:eastAsia="Times New Roman" w:hAnsi="Times New Roman"/>
                  <w:sz w:val="18"/>
                  <w:szCs w:val="18"/>
                  <w:color w:val="0000EE"/>
                </w:rPr>
                <w:t>THE COMPANY</w:t>
              </w:r>
            </w:hyperlink>
          </w:p>
        </w:tc>
        <w:tc>
          <w:tcPr>
            <w:tcW w:w="5580" w:type="dxa"/>
            <w:vAlign w:val="bottom"/>
            <w:gridSpan w:val="4"/>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293">
              <w:r>
                <w:rPr>
                  <w:rFonts w:ascii="Times New Roman" w:cs="Times New Roman" w:eastAsia="Times New Roman" w:hAnsi="Times New Roman"/>
                  <w:sz w:val="18"/>
                  <w:szCs w:val="18"/>
                  <w:color w:val="0000EE"/>
                </w:rPr>
                <w:t>SPECIFIC TERMS OF THE PREFERRED STOCK AND THE OFFERING</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4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294">
              <w:r>
                <w:rPr>
                  <w:rFonts w:ascii="Times New Roman" w:cs="Times New Roman" w:eastAsia="Times New Roman" w:hAnsi="Times New Roman"/>
                  <w:sz w:val="18"/>
                  <w:szCs w:val="18"/>
                  <w:color w:val="0000EE"/>
                  <w:w w:val="98"/>
                </w:rPr>
                <w:t>SELECTED FINANCIAL DATA AND OTHER INFORMATION</w:t>
              </w:r>
            </w:hyperlink>
          </w:p>
        </w:tc>
        <w:tc>
          <w:tcPr>
            <w:tcW w:w="740" w:type="dxa"/>
            <w:vAlign w:val="bottom"/>
            <w:tcBorders>
              <w:top w:val="single" w:sz="8" w:color="0000EE"/>
            </w:tcBorders>
            <w:gridSpan w:val="2"/>
          </w:tcPr>
          <w:p>
            <w:pPr>
              <w:spacing w:after="0"/>
              <w:rPr>
                <w:sz w:val="17"/>
                <w:szCs w:val="17"/>
                <w:color w:val="auto"/>
              </w:rPr>
            </w:pPr>
          </w:p>
        </w:tc>
        <w:tc>
          <w:tcPr>
            <w:tcW w:w="538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295">
              <w:r>
                <w:rPr>
                  <w:rFonts w:ascii="Times New Roman" w:cs="Times New Roman" w:eastAsia="Times New Roman" w:hAnsi="Times New Roman"/>
                  <w:sz w:val="18"/>
                  <w:szCs w:val="18"/>
                  <w:color w:val="0000EE"/>
                  <w:w w:val="97"/>
                </w:rPr>
                <w:t>RISK FACTORS</w:t>
              </w:r>
            </w:hyperlink>
          </w:p>
        </w:tc>
        <w:tc>
          <w:tcPr>
            <w:tcW w:w="96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296">
              <w:r>
                <w:rPr>
                  <w:rFonts w:ascii="Times New Roman" w:cs="Times New Roman" w:eastAsia="Times New Roman" w:hAnsi="Times New Roman"/>
                  <w:sz w:val="18"/>
                  <w:szCs w:val="18"/>
                  <w:color w:val="0000EE"/>
                </w:rPr>
                <w:t>USE OF PROCEEDS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297">
              <w:r>
                <w:rPr>
                  <w:rFonts w:ascii="Times New Roman" w:cs="Times New Roman" w:eastAsia="Times New Roman" w:hAnsi="Times New Roman"/>
                  <w:sz w:val="18"/>
                  <w:szCs w:val="18"/>
                  <w:color w:val="0000EE"/>
                  <w:w w:val="99"/>
                </w:rPr>
                <w:t>RATIOS OF EARNINGS TO FIXED CHARGES AND PREFERRED DIVIDENDS</w:t>
              </w:r>
            </w:hyperlink>
          </w:p>
        </w:tc>
        <w:tc>
          <w:tcPr>
            <w:tcW w:w="47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29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299">
              <w:r>
                <w:rPr>
                  <w:rFonts w:ascii="Times New Roman" w:cs="Times New Roman" w:eastAsia="Times New Roman" w:hAnsi="Times New Roman"/>
                  <w:sz w:val="18"/>
                  <w:szCs w:val="18"/>
                  <w:color w:val="0000EE"/>
                  <w:w w:val="99"/>
                </w:rPr>
                <w:t>DESCRIPTION OF PREFERRED STOCK</w:t>
              </w:r>
            </w:hyperlink>
          </w:p>
        </w:tc>
        <w:tc>
          <w:tcPr>
            <w:tcW w:w="5760" w:type="dxa"/>
            <w:vAlign w:val="bottom"/>
            <w:tcBorders>
              <w:top w:val="single" w:sz="8" w:color="0000EE"/>
            </w:tcBorders>
            <w:gridSpan w:val="5"/>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300">
              <w:r>
                <w:rPr>
                  <w:rFonts w:ascii="Times New Roman" w:cs="Times New Roman" w:eastAsia="Times New Roman" w:hAnsi="Times New Roman"/>
                  <w:sz w:val="18"/>
                  <w:szCs w:val="18"/>
                  <w:color w:val="0000EE"/>
                  <w:w w:val="97"/>
                </w:rPr>
                <w:t>CAPITALIZATION</w:t>
              </w:r>
            </w:hyperlink>
          </w:p>
        </w:tc>
        <w:tc>
          <w:tcPr>
            <w:tcW w:w="944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01">
              <w:r>
                <w:rPr>
                  <w:rFonts w:ascii="Times New Roman" w:cs="Times New Roman" w:eastAsia="Times New Roman" w:hAnsi="Times New Roman"/>
                  <w:sz w:val="18"/>
                  <w:szCs w:val="18"/>
                  <w:color w:val="0000EE"/>
                  <w:w w:val="98"/>
                </w:rPr>
                <w:t>UNDERWRITING</w:t>
              </w:r>
            </w:hyperlink>
          </w:p>
        </w:tc>
        <w:tc>
          <w:tcPr>
            <w:tcW w:w="952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304">
              <w:r>
                <w:rPr>
                  <w:rFonts w:ascii="Times New Roman" w:cs="Times New Roman" w:eastAsia="Times New Roman" w:hAnsi="Times New Roman"/>
                  <w:sz w:val="18"/>
                  <w:szCs w:val="18"/>
                  <w:color w:val="0000EE"/>
                </w:rPr>
                <w:t>LEGAL MATTERS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7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305">
              <w:r>
                <w:rPr>
                  <w:rFonts w:ascii="Times New Roman" w:cs="Times New Roman" w:eastAsia="Times New Roman" w:hAnsi="Times New Roman"/>
                  <w:sz w:val="18"/>
                  <w:szCs w:val="18"/>
                  <w:color w:val="0000EE"/>
                  <w:w w:val="97"/>
                </w:rPr>
                <w:t>FINANCIAL STATEMENTS</w:t>
              </w:r>
            </w:hyperlink>
          </w:p>
        </w:tc>
        <w:tc>
          <w:tcPr>
            <w:tcW w:w="87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Page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table of contents from base prospectus.]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455" w:right="23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67" w:lineRule="exact"/>
        <w:rPr>
          <w:sz w:val="20"/>
          <w:szCs w:val="20"/>
          <w:color w:val="auto"/>
        </w:rPr>
      </w:pPr>
    </w:p>
    <w:p>
      <w:pPr>
        <w:ind w:left="900" w:right="240" w:hanging="325"/>
        <w:spacing w:after="0" w:line="282" w:lineRule="auto"/>
        <w:tabs>
          <w:tab w:leader="none" w:pos="9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ind w:left="900" w:right="40" w:hanging="325"/>
        <w:spacing w:after="0" w:line="313" w:lineRule="auto"/>
        <w:tabs>
          <w:tab w:leader="none" w:pos="90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and the accompanying prospectus.</w:t>
      </w:r>
    </w:p>
    <w:p>
      <w:pPr>
        <w:spacing w:after="0" w:line="162"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455" w:right="23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in this prospectus supplement and the accompanying prospectus.</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prospectus supplement and the accompanying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180"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74" w:lineRule="exact"/>
        <w:rPr>
          <w:sz w:val="20"/>
          <w:szCs w:val="20"/>
          <w:color w:val="auto"/>
        </w:rPr>
      </w:pPr>
    </w:p>
    <w:p>
      <w:pPr>
        <w:ind w:right="3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w:t>
      </w:r>
    </w:p>
    <w:p>
      <w:pPr>
        <w:spacing w:after="0" w:line="2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18"/>
          <w:szCs w:val="18"/>
          <w:color w:val="auto"/>
        </w:rPr>
        <w:t>,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00"/>
          </w:cols>
          <w:pgMar w:left="240" w:top="455" w:right="25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Table of Contents</w:t>
              </w:r>
            </w:hyperlink>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515"/>
        </w:trPr>
        <w:tc>
          <w:tcPr>
            <w:tcW w:w="11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include secured loans, and, to a lesser extent, secured corporate bonds, with a secondary priority behind first-lien debt. Based on fair value as of</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r>
      <w:tr>
        <w:trPr>
          <w:trHeight w:val="216"/>
        </w:trPr>
        <w:tc>
          <w:tcPr>
            <w:tcW w:w="2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our portfolio consisted of</w:t>
            </w:r>
          </w:p>
        </w:tc>
        <w:tc>
          <w:tcPr>
            <w:tcW w:w="2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first-lien debt investments,</w:t>
            </w:r>
          </w:p>
        </w:tc>
        <w:tc>
          <w:tcPr>
            <w:tcW w:w="24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second-lien debt investments,</w:t>
            </w: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mezzanine debt investments and</w:t>
            </w:r>
          </w:p>
        </w:tc>
        <w:tc>
          <w:tcPr>
            <w:tcW w:w="11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equity</w:t>
            </w:r>
          </w:p>
        </w:tc>
        <w:tc>
          <w:tcPr>
            <w:tcW w:w="360" w:type="dxa"/>
            <w:vAlign w:val="bottom"/>
          </w:tcPr>
          <w:p>
            <w:pPr>
              <w:spacing w:after="0"/>
              <w:rPr>
                <w:sz w:val="18"/>
                <w:szCs w:val="18"/>
                <w:color w:val="auto"/>
              </w:rPr>
            </w:pPr>
          </w:p>
        </w:tc>
      </w:tr>
      <w:tr>
        <w:trPr>
          <w:trHeight w:val="216"/>
        </w:trPr>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investments. Approximately</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 of our investments as of</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 20   are floating rate in nature, subject to interest rate floors, which we believe helps</w:t>
            </w:r>
          </w:p>
        </w:tc>
      </w:tr>
      <w:tr>
        <w:trPr>
          <w:trHeight w:val="234"/>
        </w:trPr>
        <w:tc>
          <w:tcPr>
            <w:tcW w:w="4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act as a portfolio-wide hedge against inflation.</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328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 20   , our portfolio was invested across</w:t>
            </w:r>
          </w:p>
        </w:tc>
        <w:tc>
          <w:tcPr>
            <w:tcW w:w="6400" w:type="dxa"/>
            <w:vAlign w:val="bottom"/>
            <w:gridSpan w:val="6"/>
          </w:tcPr>
          <w:p>
            <w:pPr>
              <w:jc w:val="right"/>
              <w:ind w:right="150"/>
              <w:spacing w:after="0"/>
              <w:rPr>
                <w:sz w:val="20"/>
                <w:szCs w:val="20"/>
                <w:color w:val="auto"/>
              </w:rPr>
            </w:pPr>
            <w:r>
              <w:rPr>
                <w:rFonts w:ascii="Times New Roman" w:cs="Times New Roman" w:eastAsia="Times New Roman" w:hAnsi="Times New Roman"/>
                <w:sz w:val="18"/>
                <w:szCs w:val="18"/>
                <w:color w:val="auto"/>
              </w:rPr>
              <w:t>different industries. The largest industries in our portfolio, based on fair value as of</w:t>
            </w:r>
          </w:p>
        </w:tc>
        <w:tc>
          <w:tcPr>
            <w:tcW w:w="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were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and</w:t>
            </w:r>
          </w:p>
        </w:tc>
        <w:tc>
          <w:tcPr>
            <w:tcW w:w="41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 which represented, as a percentage of our portfolio,</w:t>
            </w:r>
          </w:p>
        </w:tc>
        <w:tc>
          <w:tcPr>
            <w:tcW w:w="26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 and   %, respectively. We</w:t>
            </w:r>
          </w:p>
        </w:tc>
        <w:tc>
          <w:tcPr>
            <w:tcW w:w="360" w:type="dxa"/>
            <w:vAlign w:val="bottom"/>
          </w:tcPr>
          <w:p>
            <w:pPr>
              <w:spacing w:after="0"/>
              <w:rPr>
                <w:sz w:val="18"/>
                <w:szCs w:val="18"/>
                <w:color w:val="auto"/>
              </w:rPr>
            </w:pPr>
          </w:p>
        </w:tc>
      </w:tr>
      <w:tr>
        <w:trPr>
          <w:trHeight w:val="234"/>
        </w:trPr>
        <w:tc>
          <w:tcPr>
            <w:tcW w:w="4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expect that no single investment will represent more than</w:t>
            </w:r>
          </w:p>
        </w:tc>
        <w:tc>
          <w:tcPr>
            <w:tcW w:w="41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9"/>
              </w:rPr>
              <w:t>% of our total investment portfolio, based on fair value.</w:t>
            </w: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2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20   , we had investments in</w:t>
            </w:r>
          </w:p>
        </w:tc>
        <w:tc>
          <w:tcPr>
            <w:tcW w:w="41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portfolio companies with an aggregate fair value of $</w:t>
            </w:r>
          </w:p>
        </w:tc>
        <w:tc>
          <w:tcPr>
            <w:tcW w:w="2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million. For the months ended</w:t>
            </w:r>
          </w:p>
        </w:tc>
        <w:tc>
          <w:tcPr>
            <w:tcW w:w="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w:t>
            </w:r>
          </w:p>
        </w:tc>
        <w:tc>
          <w:tcPr>
            <w:tcW w:w="160" w:type="dxa"/>
            <w:vAlign w:val="bottom"/>
          </w:tcPr>
          <w:p>
            <w:pPr>
              <w:spacing w:after="0"/>
              <w:rPr>
                <w:sz w:val="18"/>
                <w:szCs w:val="18"/>
                <w:color w:val="auto"/>
              </w:rPr>
            </w:pPr>
          </w:p>
        </w:tc>
        <w:tc>
          <w:tcPr>
            <w:tcW w:w="32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 we made new investment commitments of $</w:t>
            </w:r>
          </w:p>
        </w:tc>
        <w:tc>
          <w:tcPr>
            <w:tcW w:w="2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million, $</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in</w:t>
            </w:r>
          </w:p>
        </w:tc>
        <w:tc>
          <w:tcPr>
            <w:tcW w:w="2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new portfolio companies and $</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million</w:t>
            </w: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458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existing portfolio companies. For this period, we had $</w:t>
            </w:r>
          </w:p>
        </w:tc>
        <w:tc>
          <w:tcPr>
            <w:tcW w:w="648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 resulting in net portfolio</w:t>
            </w:r>
          </w:p>
        </w:tc>
      </w:tr>
      <w:tr>
        <w:trPr>
          <w:trHeight w:val="234"/>
        </w:trPr>
        <w:tc>
          <w:tcPr>
            <w:tcW w:w="4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growth of $   million aggregate principal amount.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 of December 31, 20</w:t>
            </w: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we had investments in</w:t>
            </w:r>
          </w:p>
        </w:tc>
        <w:tc>
          <w:tcPr>
            <w:tcW w:w="41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portfolio companies with an aggregate fair value of $</w:t>
            </w:r>
          </w:p>
        </w:tc>
        <w:tc>
          <w:tcPr>
            <w:tcW w:w="26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million. For the year ended</w:t>
            </w:r>
          </w:p>
        </w:tc>
        <w:tc>
          <w:tcPr>
            <w:tcW w:w="360" w:type="dxa"/>
            <w:vAlign w:val="bottom"/>
          </w:tcPr>
          <w:p>
            <w:pPr>
              <w:spacing w:after="0"/>
              <w:rPr>
                <w:sz w:val="24"/>
                <w:szCs w:val="24"/>
                <w:color w:val="auto"/>
              </w:rPr>
            </w:pPr>
          </w:p>
        </w:tc>
      </w:tr>
      <w:tr>
        <w:trPr>
          <w:trHeight w:val="216"/>
        </w:trPr>
        <w:tc>
          <w:tcPr>
            <w:tcW w:w="4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December 31, 20   , we made new investment commitments of $</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million, $</w:t>
            </w:r>
          </w:p>
        </w:tc>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million in</w:t>
            </w:r>
          </w:p>
        </w:tc>
        <w:tc>
          <w:tcPr>
            <w:tcW w:w="2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new portfolio companies and $</w:t>
            </w: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million in</w:t>
            </w:r>
          </w:p>
        </w:tc>
        <w:tc>
          <w:tcPr>
            <w:tcW w:w="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existing portfolio companies. For this period, we had $</w:t>
            </w:r>
          </w:p>
        </w:tc>
        <w:tc>
          <w:tcPr>
            <w:tcW w:w="67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 resulting in net portfolio growth</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of $</w:t>
            </w:r>
          </w:p>
        </w:tc>
        <w:tc>
          <w:tcPr>
            <w:tcW w:w="38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million aggregate principal amount.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38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Since we began investing in 2011 through</w:t>
            </w:r>
          </w:p>
        </w:tc>
        <w:tc>
          <w:tcPr>
            <w:tcW w:w="7200" w:type="dxa"/>
            <w:vAlign w:val="bottom"/>
            <w:gridSpan w:val="8"/>
          </w:tcPr>
          <w:p>
            <w:pPr>
              <w:jc w:val="right"/>
              <w:ind w:right="10"/>
              <w:spacing w:after="0"/>
              <w:rPr>
                <w:sz w:val="20"/>
                <w:szCs w:val="20"/>
                <w:color w:val="auto"/>
              </w:rPr>
            </w:pPr>
            <w:r>
              <w:rPr>
                <w:rFonts w:ascii="Times New Roman" w:cs="Times New Roman" w:eastAsia="Times New Roman" w:hAnsi="Times New Roman"/>
                <w:sz w:val="18"/>
                <w:szCs w:val="18"/>
                <w:color w:val="auto"/>
              </w:rPr>
              <w:t>, 20   , our exited investments have resulted in an aggregate cash flow realized gross internal rate</w:t>
            </w:r>
          </w:p>
        </w:tc>
      </w:tr>
      <w:tr>
        <w:trPr>
          <w:trHeight w:val="216"/>
        </w:trPr>
        <w:tc>
          <w:tcPr>
            <w:tcW w:w="2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return to us of approximately</w:t>
            </w:r>
          </w:p>
        </w:tc>
        <w:tc>
          <w:tcPr>
            <w:tcW w:w="34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 (based on cash invested of approximately $</w:t>
            </w:r>
          </w:p>
        </w:tc>
        <w:tc>
          <w:tcPr>
            <w:tcW w:w="50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million and total proceeds from these exited investments of</w:t>
            </w:r>
          </w:p>
        </w:tc>
        <w:tc>
          <w:tcPr>
            <w:tcW w:w="360" w:type="dxa"/>
            <w:vAlign w:val="bottom"/>
          </w:tcPr>
          <w:p>
            <w:pPr>
              <w:spacing w:after="0"/>
              <w:rPr>
                <w:sz w:val="18"/>
                <w:szCs w:val="18"/>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w:t>
            </w:r>
          </w:p>
        </w:tc>
        <w:tc>
          <w:tcPr>
            <w:tcW w:w="16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million).</w:t>
            </w:r>
          </w:p>
        </w:tc>
        <w:tc>
          <w:tcPr>
            <w:tcW w:w="260" w:type="dxa"/>
            <w:vAlign w:val="bottom"/>
          </w:tcPr>
          <w:p>
            <w:pPr>
              <w:spacing w:after="0"/>
              <w:rPr>
                <w:sz w:val="18"/>
                <w:szCs w:val="18"/>
                <w:color w:val="auto"/>
              </w:rPr>
            </w:pPr>
          </w:p>
        </w:tc>
        <w:tc>
          <w:tcPr>
            <w:tcW w:w="89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percent of these exited investments resulted in an aggregate cash flow realized gross internal rate of return to us of 10%</w:t>
            </w:r>
          </w:p>
        </w:tc>
      </w:tr>
      <w:tr>
        <w:trPr>
          <w:trHeight w:val="216"/>
        </w:trPr>
        <w:tc>
          <w:tcPr>
            <w:tcW w:w="11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or greater. For a description of how we calculate gross internal rates of return, see “Management’s Discussion and Analysis of Financial Condition and</w:t>
            </w:r>
          </w:p>
        </w:tc>
        <w:tc>
          <w:tcPr>
            <w:tcW w:w="360" w:type="dxa"/>
            <w:vAlign w:val="bottom"/>
          </w:tcPr>
          <w:p>
            <w:pPr>
              <w:spacing w:after="0"/>
              <w:rPr>
                <w:sz w:val="18"/>
                <w:szCs w:val="18"/>
                <w:color w:val="auto"/>
              </w:rPr>
            </w:pPr>
          </w:p>
        </w:tc>
      </w:tr>
      <w:tr>
        <w:trPr>
          <w:trHeight w:val="234"/>
        </w:trPr>
        <w:tc>
          <w:tcPr>
            <w:tcW w:w="83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Results of Operations — Results of Operations — Aggregate Cash Flow Realized Gross Internal Rate of Return.”</w:t>
            </w: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00"/>
          </w:cols>
          <w:pgMar w:left="240" w:top="446" w:right="25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TSSP, which encompasses TPG Specialty Lending, TPG Opportunities Partners and TPG Institutional Credit Partners, is TPG’s special situations and</w:t>
      </w:r>
    </w:p>
    <w:p>
      <w:pPr>
        <w:spacing w:after="0" w:line="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credit platform. TSSP had over $ billion of assets under management as of , 20 . TSSP has extensive experience with highly complex, global public and private investments executed through primary originations, secondary market purchases and restructurings, and has a team of investment and operating professionals. of these personnel are dedicated to our business, including investment professionals. The TSSP members of the Investment Review Committee are Joshua Easterly, Michael Fishman, Alan Waxman and David Stiepleman.</w:t>
      </w:r>
    </w:p>
    <w:p>
      <w:pPr>
        <w:spacing w:after="0" w:line="18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with billion of assets under management, as of , 20 ,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w:t>
      </w:r>
    </w:p>
    <w:p>
      <w:pPr>
        <w:spacing w:after="0" w:line="4"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ventures and restructurings, and has a team of professionals. The TPG members of the Investment Review Committee are TPG co-founders, David Bonderman and James Coulter, and TPG Senior Partners, Jonathan Coslet and James Gates.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Management of the Adviser consists primarily of senior executives of TSSP and TPG. TSSP and TPG executives, including members of our Investment</w:t>
      </w:r>
    </w:p>
    <w:p>
      <w:pPr>
        <w:spacing w:after="0" w:line="3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Review Committee and certain of our other senior personnel, own a significant stake in the Adviser. As of , 20 , our Adviser owned % of our common stock. See “Management,” “Related-Party Transactions and Certain Relationships” and “Control Persons and Principal Stockholders” in the accompanying prospectus.</w:t>
      </w:r>
    </w:p>
    <w:p>
      <w:pPr>
        <w:spacing w:after="0" w:line="18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420"/>
          </w:cols>
          <w:pgMar w:left="240" w:top="456" w:right="23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SPECIFIC TERMS OF THE PREFERRED STOCK AND THE OFFERING</w:t>
      </w:r>
    </w:p>
    <w:p>
      <w:pPr>
        <w:spacing w:after="0" w:line="227"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our preferred stock that we are offering pursuant to this prospectus supplement and supplements the accompanying prospectus that is attached to the back of this prospectus supplement. This section outlines the specific legal and financial terms of our preferred stock. You should read this section together with the more general description of our preferred stock in this prospectus supplement under the heading “Description of Our Preferred Stock” and in the accompanying prospectus under the headings “Description of Our Capital Stock—Preferred Stock” and “Description of Our Preferred Stock” before investing in our preferred stock. Capitalized terms used in this prospectus supplement and not otherwise defined shall have the meanings ascribed to them in the accompanying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material terms of the preferred stock in tabular form to the extent required to be disclosed by applicable law or regulation.]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380"/>
          </w:cols>
          <w:pgMar w:left="240" w:top="455" w:right="27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FINANCIAL DATA AND OTHER INFORMATION</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w:t>
      </w:r>
    </w:p>
    <w:p>
      <w:pPr>
        <w:ind w:right="40"/>
        <w:spacing w:after="0" w:line="261" w:lineRule="auto"/>
        <w:rPr>
          <w:sz w:val="20"/>
          <w:szCs w:val="20"/>
          <w:color w:val="auto"/>
        </w:rPr>
      </w:pPr>
      <w:r>
        <w:rPr>
          <w:rFonts w:ascii="Times New Roman" w:cs="Times New Roman" w:eastAsia="Times New Roman" w:hAnsi="Times New Roman"/>
          <w:sz w:val="18"/>
          <w:szCs w:val="18"/>
          <w:color w:val="auto"/>
        </w:rPr>
        <w:t>derived the selected consolidated financial data for the ended , 20 and , 20 from our unaudited interim consolidated financial statements and related notes, which are included elsewhere in this prospectus supplement or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340"/>
          </w:cols>
          <w:pgMar w:left="240" w:top="456" w:right="31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risk factors applicable to the preferred stock and any additional relevant risk factors not included in the base prospectus to the extent required to be disclosed by applicable law or regulation.]</w:t>
      </w:r>
    </w:p>
    <w:p>
      <w:pPr>
        <w:spacing w:after="0" w:line="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80"/>
          </w:cols>
          <w:pgMar w:left="240" w:top="455" w:right="57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07"/>
        </w:trPr>
        <w:tc>
          <w:tcPr>
            <w:tcW w:w="2980" w:type="dxa"/>
            <w:vAlign w:val="bottom"/>
            <w:gridSpan w:val="4"/>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2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534"/>
        </w:trPr>
        <w:tc>
          <w:tcPr>
            <w:tcW w:w="2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38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14"/>
        </w:trPr>
        <w:tc>
          <w:tcPr>
            <w:tcW w:w="280" w:type="dxa"/>
            <w:vAlign w:val="bottom"/>
          </w:tcPr>
          <w:p>
            <w:pPr>
              <w:spacing w:after="0"/>
              <w:rPr>
                <w:sz w:val="24"/>
                <w:szCs w:val="24"/>
                <w:color w:val="auto"/>
              </w:rPr>
            </w:pPr>
          </w:p>
        </w:tc>
        <w:tc>
          <w:tcPr>
            <w:tcW w:w="52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the sale of</w:t>
            </w:r>
          </w:p>
        </w:tc>
        <w:tc>
          <w:tcPr>
            <w:tcW w:w="56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shares of our preferred stock in this offering will be approximately</w:t>
            </w:r>
          </w:p>
        </w:tc>
      </w:tr>
      <w:tr>
        <w:trPr>
          <w:trHeight w:val="21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81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9"/>
              </w:rPr>
              <w:t>million if the underwriters fully exercise their over-allotment option), in each case assuming a public offering</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price of $</w:t>
            </w:r>
          </w:p>
        </w:tc>
        <w:tc>
          <w:tcPr>
            <w:tcW w:w="59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per share, after deducting the underwriting discounts and commissions of $</w:t>
            </w:r>
          </w:p>
        </w:tc>
        <w:tc>
          <w:tcPr>
            <w:tcW w:w="2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million if the</w:t>
            </w:r>
          </w:p>
        </w:tc>
      </w:tr>
      <w:tr>
        <w:trPr>
          <w:trHeight w:val="234"/>
        </w:trPr>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underwriters fully exercise their over-allotment option) payable by us and estimated offering expenses of approximately $</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million payable by us.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40"/>
          </w:cols>
          <w:pgMar w:left="240" w:top="446" w:right="519" w:bottom="1440" w:gutter="0" w:footer="0" w:header="0"/>
        </w:sectPr>
      </w:pPr>
    </w:p>
    <w:bookmarkStart w:id="296" w:name="page297"/>
    <w:bookmarkEnd w:id="2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RATIOS OF EARNINGS TO FIXED CHARGES AND PREFERRED DIVIDENDS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information required by Item 503(d) of Regulation S-K at time of offering.]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219"/>
          </w:cols>
          <w:pgMar w:left="240" w:top="456" w:right="1440" w:bottom="1440" w:gutter="0" w:footer="0" w:header="0"/>
        </w:sectPr>
      </w:pPr>
    </w:p>
    <w:bookmarkStart w:id="297" w:name="page298"/>
    <w:bookmarkEnd w:id="2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this prospectus supplement and the accompanying prospectus for a discussion of the uncertainties, risks and assumptions associated with these statements.</w:t>
      </w:r>
    </w:p>
    <w:p>
      <w:pPr>
        <w:spacing w:after="0" w:line="18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380"/>
          </w:cols>
          <w:pgMar w:left="240" w:top="455" w:right="279" w:bottom="1440" w:gutter="0" w:footer="0" w:header="0"/>
        </w:sectPr>
      </w:pPr>
    </w:p>
    <w:bookmarkStart w:id="298" w:name="page299"/>
    <w:bookmarkEnd w:id="2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our preferred stock that we are offering pursuant to this prospectus supplement and the accompanying prospectus. This section outlines the specific legal and financial terms of our preferred stock. You should read this section together with the more general descriptions of our preferred stock in the accompanying prospectus under the headings “Description of Our Capital Stock — Preferred Stock” and “Description of Our Preferred Stock” in the accompanying prospectus before investing in our preferred stock. This summary is not necessarily complete and is subject to and entirely qualified by reference to our certificate of incorporation and bylaws.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material terms of the preferred stock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320"/>
          </w:cols>
          <w:pgMar w:left="240" w:top="456" w:right="339" w:bottom="1440" w:gutter="0" w:footer="0" w:header="0"/>
        </w:sectPr>
      </w:pPr>
    </w:p>
    <w:bookmarkStart w:id="299" w:name="page300"/>
    <w:bookmarkEnd w:id="2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our actual consolidated capitalization at , 20 and (b) our pro forma consolidated capitalization to reflect the effects of the sale of our preferred stock in this offering (assuming that the underwriters do not exercise their over-allotment option) assuming a public</w:t>
      </w:r>
    </w:p>
    <w:p>
      <w:pPr>
        <w:ind w:right="320"/>
        <w:spacing w:after="0" w:line="255" w:lineRule="auto"/>
        <w:rPr>
          <w:sz w:val="20"/>
          <w:szCs w:val="20"/>
          <w:color w:val="auto"/>
        </w:rPr>
      </w:pPr>
      <w:r>
        <w:rPr>
          <w:rFonts w:ascii="Times New Roman" w:cs="Times New Roman" w:eastAsia="Times New Roman" w:hAnsi="Times New Roman"/>
          <w:sz w:val="18"/>
          <w:szCs w:val="18"/>
          <w:color w:val="auto"/>
        </w:rPr>
        <w:t>offering price of $ per share, after deducting the underwriting discounts and commissions and estimated offering expenses payable by us. You should read this table together with “Use of Proceeds” and our most recent balance sheet included elsewhere in this prospectus supplement or the accompanying prospectus.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 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3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(unaudited, dollar amounts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3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60" w:type="dxa"/>
            <w:vAlign w:val="bottom"/>
            <w:tcBorders>
              <w:top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86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 Debt outstanding as of period reported]</w:t>
            </w:r>
          </w:p>
        </w:tc>
        <w:tc>
          <w:tcPr>
            <w:tcW w:w="1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2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9"/>
              </w:rPr>
              <w:t>Preferred stock, $0.01 par value;</w:t>
            </w:r>
          </w:p>
        </w:tc>
        <w:tc>
          <w:tcPr>
            <w:tcW w:w="600" w:type="dxa"/>
            <w:vAlign w:val="bottom"/>
          </w:tcPr>
          <w:p>
            <w:pPr>
              <w:spacing w:after="0"/>
              <w:rPr>
                <w:sz w:val="17"/>
                <w:szCs w:val="17"/>
                <w:color w:val="auto"/>
              </w:rPr>
            </w:pPr>
          </w:p>
        </w:tc>
        <w:tc>
          <w:tcPr>
            <w:tcW w:w="1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1300" w:type="dxa"/>
            <w:vAlign w:val="bottom"/>
          </w:tcPr>
          <w:p>
            <w:pPr>
              <w:ind w:left="44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348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shares issued and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960" w:type="dxa"/>
            <w:vAlign w:val="bottom"/>
            <w:gridSpan w:val="2"/>
          </w:tcPr>
          <w:p>
            <w:pPr>
              <w:jc w:val="right"/>
              <w:ind w:right="68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600" w:type="dxa"/>
            <w:vAlign w:val="bottom"/>
            <w:shd w:val="clear" w:color="auto" w:fill="CCEEFF"/>
          </w:tcPr>
          <w:p>
            <w:pPr>
              <w:spacing w:after="0"/>
              <w:rPr>
                <w:sz w:val="17"/>
                <w:szCs w:val="17"/>
                <w:color w:val="auto"/>
              </w:rPr>
            </w:pPr>
          </w:p>
        </w:tc>
        <w:tc>
          <w:tcPr>
            <w:tcW w:w="17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1300" w:type="dxa"/>
            <w:vAlign w:val="bottom"/>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348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shares issued,</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respectively;</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w:t>
            </w:r>
          </w:p>
        </w:tc>
        <w:tc>
          <w:tcPr>
            <w:tcW w:w="3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2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[gain][loss] on investments and foreign currency transactions</w:t>
            </w:r>
          </w:p>
        </w:tc>
        <w:tc>
          <w:tcPr>
            <w:tcW w:w="2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960" w:type="dxa"/>
            <w:vAlign w:val="bottom"/>
            <w:gridSpan w:val="2"/>
          </w:tcPr>
          <w:p>
            <w:pPr>
              <w:jc w:val="right"/>
              <w:ind w:right="68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68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S-14</w:t>
            </w:r>
          </w:p>
        </w:tc>
        <w:tc>
          <w:tcPr>
            <w:tcW w:w="2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5" w:right="399" w:bottom="1440" w:gutter="0" w:footer="0" w:header="0"/>
        </w:sectPr>
      </w:pPr>
    </w:p>
    <w:bookmarkStart w:id="300" w:name="page301"/>
    <w:bookmarkEnd w:id="3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260" w:firstLine="464"/>
        <w:spacing w:after="0" w:line="266" w:lineRule="auto"/>
        <w:tabs>
          <w:tab w:leader="none" w:pos="141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are acting as representatives of each of the underwriters named below. Subject to the terms and conditions set forth in a purchase agreement among us and the underwriters, we have agreed to sell to the underwriters, and each of the underwriters has agreed, severally and not jointly, to purchase from us, the number of shares of preferred stock set forth opposite its name below.</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w:t>
            </w:r>
          </w:p>
        </w:tc>
        <w:tc>
          <w:tcPr>
            <w:tcW w:w="3820" w:type="dxa"/>
            <w:vAlign w:val="bottom"/>
          </w:tcPr>
          <w:p>
            <w:pPr>
              <w:jc w:val="center"/>
              <w:ind w:left="30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3920" w:type="dxa"/>
            <w:vAlign w:val="bottom"/>
            <w:vMerge w:val="continue"/>
          </w:tcPr>
          <w:p>
            <w:pPr>
              <w:spacing w:after="0"/>
              <w:rPr>
                <w:sz w:val="15"/>
                <w:szCs w:val="15"/>
                <w:color w:val="auto"/>
              </w:rPr>
            </w:pPr>
          </w:p>
        </w:tc>
        <w:tc>
          <w:tcPr>
            <w:tcW w:w="3820" w:type="dxa"/>
            <w:vAlign w:val="bottom"/>
          </w:tcPr>
          <w:p>
            <w:pPr>
              <w:jc w:val="center"/>
              <w:ind w:left="30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5"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purchase agreement, the underwriters have agreed, severally and not jointly,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176" w:lineRule="exact"/>
        <w:rPr>
          <w:sz w:val="20"/>
          <w:szCs w:val="20"/>
          <w:color w:val="auto"/>
        </w:rPr>
      </w:pPr>
    </w:p>
    <w:p>
      <w:pPr>
        <w:jc w:val="both"/>
        <w:ind w:right="12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cover page of this prospectus and to dealers at that price less a concession not in excess of $ per share. After the initial offering, the public offering price, concession or any other term of the offering may be changed.</w:t>
      </w:r>
    </w:p>
    <w:p>
      <w:pPr>
        <w:spacing w:after="0" w:line="180"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80" w:type="dxa"/>
            <w:vAlign w:val="bottom"/>
          </w:tcPr>
          <w:p>
            <w:pPr>
              <w:spacing w:after="0"/>
              <w:rPr>
                <w:sz w:val="15"/>
                <w:szCs w:val="15"/>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196"/>
        </w:trPr>
        <w:tc>
          <w:tcPr>
            <w:tcW w:w="9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Public offering price</w:t>
            </w:r>
          </w:p>
        </w:tc>
        <w:tc>
          <w:tcPr>
            <w:tcW w:w="8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40" w:type="dxa"/>
            <w:vAlign w:val="bottom"/>
          </w:tcPr>
          <w:p>
            <w:pPr>
              <w:spacing w:after="0"/>
              <w:rPr>
                <w:sz w:val="18"/>
                <w:szCs w:val="18"/>
                <w:color w:val="auto"/>
              </w:rPr>
            </w:pPr>
          </w:p>
        </w:tc>
      </w:tr>
      <w:tr>
        <w:trPr>
          <w:trHeight w:val="432"/>
        </w:trPr>
        <w:tc>
          <w:tcPr>
            <w:tcW w:w="702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w:t>
            </w:r>
          </w:p>
        </w:tc>
        <w:tc>
          <w:tcPr>
            <w:tcW w:w="2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and are payable by us.</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40"/>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6"/>
        </w:trPr>
        <w:tc>
          <w:tcPr>
            <w:tcW w:w="5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 have granted an option to the underwriters to purchase up to</w:t>
            </w:r>
          </w:p>
        </w:tc>
        <w:tc>
          <w:tcPr>
            <w:tcW w:w="6200" w:type="dxa"/>
            <w:vAlign w:val="bottom"/>
            <w:gridSpan w:val="8"/>
          </w:tcPr>
          <w:p>
            <w:pPr>
              <w:ind w:left="700"/>
              <w:spacing w:after="0"/>
              <w:rPr>
                <w:sz w:val="20"/>
                <w:szCs w:val="20"/>
                <w:color w:val="auto"/>
              </w:rPr>
            </w:pPr>
            <w:r>
              <w:rPr>
                <w:rFonts w:ascii="Times New Roman" w:cs="Times New Roman" w:eastAsia="Times New Roman" w:hAnsi="Times New Roman"/>
                <w:sz w:val="18"/>
                <w:szCs w:val="18"/>
                <w:color w:val="auto"/>
              </w:rPr>
              <w:t>additional shares of preferred stock at the public offering price, less the</w:t>
            </w: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underwriting discount. The underwriters may exercise this option for</w:t>
            </w:r>
          </w:p>
        </w:tc>
        <w:tc>
          <w:tcPr>
            <w:tcW w:w="620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w w:val="99"/>
              </w:rPr>
              <w:t>days from the date of this prospectus supplement solely to cover any over-allotments.</w:t>
            </w:r>
          </w:p>
        </w:tc>
      </w:tr>
    </w:tbl>
    <w:p>
      <w:pPr>
        <w:ind w:right="60"/>
        <w:spacing w:after="0" w:line="261" w:lineRule="auto"/>
        <w:rPr>
          <w:sz w:val="20"/>
          <w:szCs w:val="20"/>
          <w:color w:val="auto"/>
        </w:rPr>
      </w:pPr>
      <w:r>
        <w:rPr>
          <w:rFonts w:ascii="Times New Roman" w:cs="Times New Roman" w:eastAsia="Times New Roman" w:hAnsi="Times New Roman"/>
          <w:sz w:val="18"/>
          <w:szCs w:val="18"/>
          <w:color w:val="auto"/>
        </w:rPr>
        <w:t>If the underwriters exercise this option, each will be obligated, subject to conditions contained in the purchase agreement, to purchase a number of additional shares proportionate to that underwriter’s initial amount reflected in the above table.]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380"/>
          </w:cols>
          <w:pgMar w:left="240" w:top="456" w:right="279" w:bottom="1440" w:gutter="0" w:footer="0" w:header="0"/>
        </w:sectPr>
      </w:pPr>
    </w:p>
    <w:bookmarkStart w:id="301" w:name="page302"/>
    <w:bookmarkEnd w:id="3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460"/>
        <w:spacing w:after="0"/>
        <w:tabs>
          <w:tab w:leader="none" w:pos="6320" w:val="left"/>
        </w:tabs>
        <w:rPr>
          <w:sz w:val="20"/>
          <w:szCs w:val="20"/>
          <w:color w:val="auto"/>
        </w:rPr>
      </w:pPr>
      <w:r>
        <w:rPr>
          <w:rFonts w:ascii="Times New Roman" w:cs="Times New Roman" w:eastAsia="Times New Roman" w:hAnsi="Times New Roman"/>
          <w:sz w:val="18"/>
          <w:szCs w:val="18"/>
          <w:color w:val="auto"/>
        </w:rPr>
        <w:t>We have agreed, with exceptions, not to sell or transfer any preferred stock for</w:t>
        <w:tab/>
        <w:t>days after the date of this prospectus supplement without first</w:t>
      </w:r>
    </w:p>
    <w:p>
      <w:pPr>
        <w:spacing w:after="0" w:line="27"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color w:val="auto"/>
        </w:rPr>
        <w:t>obtaining the written consent of [</w:t>
      </w:r>
      <w:r>
        <w:rPr>
          <w:sz w:val="20"/>
          <w:szCs w:val="20"/>
          <w:color w:val="auto"/>
        </w:rPr>
        <w:tab/>
      </w:r>
      <w:r>
        <w:rPr>
          <w:rFonts w:ascii="Times New Roman" w:cs="Times New Roman" w:eastAsia="Times New Roman" w:hAnsi="Times New Roman"/>
          <w:sz w:val="17"/>
          <w:szCs w:val="17"/>
          <w:color w:val="auto"/>
        </w:rPr>
        <w: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shares of preferred stock are a new issue of securities with no established trading market. We intend to list the shares of preferred stock</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 We expect trading in the shares of preferred stock on to begin within days after the original issue date. Currently there is no public market for the shares of preferred stock.</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have been advised by the underwriters that they presently intend to make a market in the shares of preferred stock after completion of the offering as permitted by applicable laws and regulations. The underwriters are not obligated, however, to make a market in the shares of preferred stock and any such market-making may be discontinued at any time in the sole discretion of the underwriters without any notice. Accordingly, no assurance can be given as to the liquidity of, or development of a public trading market for, the shares of preferred stock. If any active public trading market for the shares of preferred stock does not develop, the market price and liquidity of the shares of preferred stock may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preferred stock. However, the representatives may engage in transactions that stabilize the price of the preferred stock, such as bids or purchases to peg, fix or maintain that price.</w:t>
      </w:r>
    </w:p>
    <w:p>
      <w:pPr>
        <w:spacing w:after="0" w:line="176"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preferred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over-allotment option described above. The underwriters may close out any covered short position by either exercising their over-allotment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sales in excess of the over-allotment option. The underwriters must close out any naked short position by purchasing shares in the open market. A naked short position is more likely to be created if the underwriters are concerned that there may be downward pressure on the price of our preferred stock in the open market after pricing that could adversely affect investors who purchase in the offering. Stabilizing transactions consist of various bids for or purchases of shares of preferred stock made by the underwriters in the open market prior to the completion of the offering.</w:t>
      </w:r>
    </w:p>
    <w:p>
      <w:pPr>
        <w:spacing w:after="0" w:line="193"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preferred stock or preventing or retarding a decline in the market price of our preferred stock. As a result, the price of our preferred stock</w:t>
      </w:r>
    </w:p>
    <w:p>
      <w:pPr>
        <w:ind w:right="240"/>
        <w:spacing w:after="0" w:line="261" w:lineRule="auto"/>
        <w:rPr>
          <w:sz w:val="20"/>
          <w:szCs w:val="20"/>
          <w:color w:val="auto"/>
        </w:rPr>
      </w:pPr>
      <w:r>
        <w:rPr>
          <w:rFonts w:ascii="Times New Roman" w:cs="Times New Roman" w:eastAsia="Times New Roman" w:hAnsi="Times New Roman"/>
          <w:sz w:val="18"/>
          <w:szCs w:val="18"/>
          <w:color w:val="auto"/>
        </w:rPr>
        <w:t>may be higher than the price that might otherwise exist in the open market. The underwriters may conduct these transactions on , in the over-the-counter market or otherwise.</w:t>
      </w:r>
    </w:p>
    <w:p>
      <w:pPr>
        <w:spacing w:after="0" w:line="180" w:lineRule="exact"/>
        <w:rPr>
          <w:sz w:val="20"/>
          <w:szCs w:val="20"/>
          <w:color w:val="auto"/>
        </w:rPr>
      </w:pPr>
    </w:p>
    <w:p>
      <w:pPr>
        <w:ind w:right="600" w:firstLine="456"/>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preferred stock. In addition, neither we nor any of the underwriters make any representation that the representatives will engage in these transactions or that these transactions, once commenced, will not be discontinued without notice.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456" w:right="259" w:bottom="1440" w:gutter="0" w:footer="0" w:header="0"/>
        </w:sectPr>
      </w:pPr>
    </w:p>
    <w:bookmarkStart w:id="302" w:name="page303"/>
    <w:bookmarkEnd w:id="3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any other specific transactions and compensation related thereto to the extent required to be disclosed by applicable law or regulation.]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if underwriters receiving proceeds of offering, if required by FINRA.]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[Insert principal business addresses of underwriters.]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[Insert applicable legends for jurisdictions in which offers and sales may be made.]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340"/>
          </w:cols>
          <w:pgMar w:left="240" w:top="455" w:right="319" w:bottom="1440" w:gutter="0" w:footer="0" w:header="0"/>
        </w:sectPr>
      </w:pPr>
    </w:p>
    <w:bookmarkStart w:id="303" w:name="page304"/>
    <w:bookmarkEnd w:id="3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line="1" w:lineRule="exact"/>
        <w:rPr>
          <w:sz w:val="20"/>
          <w:szCs w:val="20"/>
          <w:color w:val="auto"/>
        </w:rPr>
      </w:pPr>
    </w:p>
    <w:p>
      <w:pPr>
        <w:spacing w:after="0"/>
        <w:tabs>
          <w:tab w:leader="none" w:pos="10860" w:val="left"/>
        </w:tabs>
        <w:rPr>
          <w:sz w:val="20"/>
          <w:szCs w:val="20"/>
          <w:color w:val="auto"/>
        </w:rPr>
      </w:pPr>
      <w:r>
        <w:rPr>
          <w:rFonts w:ascii="Times New Roman" w:cs="Times New Roman" w:eastAsia="Times New Roman" w:hAnsi="Times New Roman"/>
          <w:sz w:val="18"/>
          <w:szCs w:val="18"/>
          <w:color w:val="auto"/>
        </w:rPr>
        <w:t>Hamilton LLP also represents the Adviser. Certain legal matters in connection with the offering will be passed upon for the underwriters by [</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80" w:hanging="772"/>
        <w:spacing w:after="0"/>
        <w:tabs>
          <w:tab w:leader="none" w:pos="7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240" w:top="456" w:right="519" w:bottom="1440" w:gutter="0" w:footer="0" w:header="0"/>
        </w:sectPr>
      </w:pPr>
    </w:p>
    <w:bookmarkStart w:id="304" w:name="page305"/>
    <w:bookmarkEnd w:id="3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financial statements and notes thereto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00"/>
          </w:cols>
          <w:pgMar w:left="240" w:top="455" w:right="259" w:bottom="1440" w:gutter="0" w:footer="0" w:header="0"/>
        </w:sectPr>
      </w:pPr>
    </w:p>
    <w:bookmarkStart w:id="305" w:name="page306"/>
    <w:bookmarkEnd w:id="30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978535</wp:posOffset>
            </wp:positionV>
            <wp:extent cx="1346200" cy="660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tabs>
          <w:tab w:leader="none" w:pos="5600" w:val="left"/>
        </w:tabs>
        <w:rPr>
          <w:sz w:val="20"/>
          <w:szCs w:val="20"/>
          <w:color w:val="auto"/>
        </w:rPr>
      </w:pPr>
      <w:r>
        <w:rPr>
          <w:rFonts w:ascii="Times New Roman" w:cs="Times New Roman" w:eastAsia="Times New Roman" w:hAnsi="Times New Roman"/>
          <w:sz w:val="25"/>
          <w:szCs w:val="25"/>
          <w:color w:val="auto"/>
        </w:rPr>
        <w:t>Series [</w:t>
      </w:r>
      <w:r>
        <w:rPr>
          <w:sz w:val="20"/>
          <w:szCs w:val="20"/>
          <w:color w:val="auto"/>
        </w:rPr>
        <w:tab/>
      </w:r>
      <w:r>
        <w:rPr>
          <w:rFonts w:ascii="Times New Roman" w:cs="Times New Roman" w:eastAsia="Times New Roman" w:hAnsi="Times New Roman"/>
          <w:sz w:val="25"/>
          <w:szCs w:val="25"/>
          <w:color w:val="auto"/>
        </w:rPr>
        <w:t>] Preferred Stock</w:t>
      </w:r>
    </w:p>
    <w:p>
      <w:pPr>
        <w:spacing w:after="0" w:line="226" w:lineRule="exact"/>
        <w:rPr>
          <w:sz w:val="20"/>
          <w:szCs w:val="20"/>
          <w:color w:val="auto"/>
        </w:rPr>
      </w:pPr>
    </w:p>
    <w:p>
      <w:pPr>
        <w:ind w:left="3700"/>
        <w:spacing w:after="0"/>
        <w:tabs>
          <w:tab w:leader="none" w:pos="6740" w:val="left"/>
        </w:tabs>
        <w:rPr>
          <w:sz w:val="20"/>
          <w:szCs w:val="20"/>
          <w:color w:val="auto"/>
        </w:rPr>
      </w:pPr>
      <w:r>
        <w:rPr>
          <w:rFonts w:ascii="Times New Roman" w:cs="Times New Roman" w:eastAsia="Times New Roman" w:hAnsi="Times New Roman"/>
          <w:sz w:val="25"/>
          <w:szCs w:val="25"/>
          <w:color w:val="auto"/>
        </w:rPr>
        <w:t>Liquidation Preference $</w:t>
      </w:r>
      <w:r>
        <w:rPr>
          <w:sz w:val="20"/>
          <w:szCs w:val="20"/>
          <w:color w:val="auto"/>
        </w:rPr>
        <w:tab/>
      </w:r>
      <w:r>
        <w:rPr>
          <w:rFonts w:ascii="Times New Roman" w:cs="Times New Roman" w:eastAsia="Times New Roman" w:hAnsi="Times New Roman"/>
          <w:sz w:val="25"/>
          <w:szCs w:val="25"/>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1041400</wp:posOffset>
            </wp:positionV>
            <wp:extent cx="151765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9"/>
          <w:szCs w:val="29"/>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1029335</wp:posOffset>
            </wp:positionV>
            <wp:extent cx="7246620"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type w:val="continuous"/>
        </w:sectPr>
      </w:pPr>
    </w:p>
    <w:bookmarkStart w:id="306" w:name="page307"/>
    <w:bookmarkEnd w:id="30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w:t>
      </w:r>
    </w:p>
    <w:p>
      <w:pPr>
        <w:spacing w:after="0" w:line="117" w:lineRule="exact"/>
        <w:rPr>
          <w:sz w:val="20"/>
          <w:szCs w:val="20"/>
          <w:color w:val="auto"/>
        </w:rPr>
      </w:pPr>
    </w:p>
    <w:tbl>
      <w:tblPr>
        <w:tblLayout w:type="fixed"/>
        <w:tblInd w:w="358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DE1A1E"/>
              </w:rPr>
              <w:t>Preliminary Prospectus Supplement dated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DE1A1E"/>
              </w:rPr>
              <w:t>, 20</w:t>
            </w:r>
          </w:p>
        </w:tc>
      </w:tr>
    </w:tbl>
    <w:p>
      <w:pPr>
        <w:spacing w:after="0" w:line="90" w:lineRule="exact"/>
        <w:rPr>
          <w:sz w:val="20"/>
          <w:szCs w:val="20"/>
          <w:color w:val="auto"/>
        </w:rPr>
      </w:pPr>
    </w:p>
    <w:p>
      <w:pPr>
        <w:ind w:right="100" w:firstLine="92"/>
        <w:spacing w:after="0" w:line="373" w:lineRule="auto"/>
        <w:rPr>
          <w:sz w:val="20"/>
          <w:szCs w:val="20"/>
          <w:color w:val="auto"/>
        </w:rPr>
      </w:pPr>
      <w:r>
        <w:rPr>
          <w:rFonts w:ascii="Times New Roman" w:cs="Times New Roman" w:eastAsia="Times New Roman" w:hAnsi="Times New Roman"/>
          <w:sz w:val="18"/>
          <w:szCs w:val="18"/>
          <w:color w:val="auto"/>
        </w:rPr>
        <w:t xml:space="preserve">[FORM OF PRELIMINARY PROSPECTUS SUPPLEMENT TO BE USED IN CONJUNCTION WITH FUTURE DEBT SECURITIES OFFERINGS](1) </w:t>
      </w:r>
      <w:r>
        <w:rPr>
          <w:rFonts w:ascii="Times New Roman" w:cs="Times New Roman" w:eastAsia="Times New Roman" w:hAnsi="Times New Roman"/>
          <w:sz w:val="18"/>
          <w:szCs w:val="18"/>
          <w:b w:val="1"/>
          <w:bCs w:val="1"/>
          <w:u w:val="single" w:color="auto"/>
          <w:color w:val="auto"/>
        </w:rPr>
        <w:t>PROSPECTUS SUPPLEMENT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  )</w:t>
            </w:r>
          </w:p>
        </w:tc>
      </w:tr>
    </w:tbl>
    <w:p>
      <w:pPr>
        <w:ind w:left="53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83185</wp:posOffset>
            </wp:positionV>
            <wp:extent cx="1346200" cy="660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Specialty Lending, Inc.</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[Insert ranking/conversion information]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0"/>
          <w:szCs w:val="20"/>
          <w:color w:val="auto"/>
        </w:rPr>
      </w:pPr>
    </w:p>
    <w:p>
      <w:pPr>
        <w:ind w:right="260" w:firstLine="342"/>
        <w:spacing w:after="0" w:line="261" w:lineRule="auto"/>
        <w:rPr>
          <w:sz w:val="20"/>
          <w:szCs w:val="20"/>
          <w:color w:val="auto"/>
        </w:rPr>
      </w:pPr>
      <w:r>
        <w:rPr>
          <w:rFonts w:ascii="Times New Roman" w:cs="Times New Roman" w:eastAsia="Times New Roman" w:hAnsi="Times New Roman"/>
          <w:sz w:val="14"/>
          <w:szCs w:val="14"/>
          <w:color w:val="auto"/>
        </w:rPr>
        <w:t>We are offering $ in aggregate principal amount of % [Insert ranking/conversion information] notes due , which we refer to as the Notes. [Insert relevant information regarding interest payments, redemption, etc.]</w:t>
      </w:r>
    </w:p>
    <w:p>
      <w:pPr>
        <w:spacing w:after="0" w:line="1" w:lineRule="exact"/>
        <w:rPr>
          <w:sz w:val="20"/>
          <w:szCs w:val="20"/>
          <w:color w:val="auto"/>
        </w:rPr>
      </w:pPr>
    </w:p>
    <w:p>
      <w:pPr>
        <w:ind w:right="360" w:firstLine="342"/>
        <w:spacing w:after="0" w:line="261" w:lineRule="auto"/>
        <w:rPr>
          <w:sz w:val="20"/>
          <w:szCs w:val="20"/>
          <w:color w:val="auto"/>
        </w:rPr>
      </w:pPr>
      <w:r>
        <w:rPr>
          <w:rFonts w:ascii="Times New Roman" w:cs="Times New Roman" w:eastAsia="Times New Roman" w:hAnsi="Times New Roman"/>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 w:lineRule="exact"/>
        <w:rPr>
          <w:sz w:val="20"/>
          <w:szCs w:val="20"/>
          <w:color w:val="auto"/>
        </w:rPr>
      </w:pPr>
    </w:p>
    <w:p>
      <w:pPr>
        <w:ind w:right="340" w:firstLine="342"/>
        <w:spacing w:after="0" w:line="261" w:lineRule="auto"/>
        <w:rPr>
          <w:sz w:val="20"/>
          <w:szCs w:val="20"/>
          <w:color w:val="auto"/>
        </w:rPr>
      </w:pPr>
      <w:r>
        <w:rPr>
          <w:rFonts w:ascii="Times New Roman" w:cs="Times New Roman" w:eastAsia="Times New Roman" w:hAnsi="Times New Roman"/>
          <w:sz w:val="14"/>
          <w:szCs w:val="14"/>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TSL Advisers, LLC, or the Adviser, acts as our investment adviser and administrator. We and the</w:t>
      </w:r>
    </w:p>
    <w:p>
      <w:pPr>
        <w:spacing w:after="0" w:line="4"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4"/>
          <w:szCs w:val="14"/>
          <w:color w:val="auto"/>
        </w:rPr>
        <w:t>Adviser are part of the TPG Special Situations Partners platform, which had over $ billion of assets under management as of , 20 . TPG Special Situations Partners is the special situations and credit platform of TPG, a leading global private investment firm founded in 1992 with over $ billion of assets under management as of , 20 .</w:t>
      </w:r>
    </w:p>
    <w:p>
      <w:pPr>
        <w:spacing w:after="0" w:line="15" w:lineRule="exact"/>
        <w:rPr>
          <w:sz w:val="20"/>
          <w:szCs w:val="20"/>
          <w:color w:val="auto"/>
        </w:rPr>
      </w:pPr>
    </w:p>
    <w:p>
      <w:pPr>
        <w:ind w:right="60" w:firstLine="342"/>
        <w:spacing w:after="0" w:line="236" w:lineRule="auto"/>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 w:lineRule="exact"/>
        <w:rPr>
          <w:sz w:val="20"/>
          <w:szCs w:val="20"/>
          <w:color w:val="auto"/>
        </w:rPr>
      </w:pPr>
    </w:p>
    <w:p>
      <w:pPr>
        <w:ind w:right="200" w:firstLine="342"/>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5" w:lineRule="exact"/>
        <w:rPr>
          <w:sz w:val="20"/>
          <w:szCs w:val="20"/>
          <w:color w:val="auto"/>
        </w:rPr>
      </w:pPr>
    </w:p>
    <w:p>
      <w:pPr>
        <w:ind w:right="120" w:firstLine="456"/>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the Notes involves risks that are described in the “</w:t>
      </w:r>
      <w:hyperlink w:anchor="page314">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section beginning on page S-8 of this prospectus supplement and page [ ]of the accompanying prospectus, including the risk of leverage.</w:t>
      </w:r>
    </w:p>
    <w:p>
      <w:pPr>
        <w:spacing w:after="0" w:line="1" w:lineRule="exact"/>
        <w:rPr>
          <w:sz w:val="20"/>
          <w:szCs w:val="20"/>
          <w:color w:val="auto"/>
        </w:rPr>
      </w:pPr>
    </w:p>
    <w:p>
      <w:pPr>
        <w:ind w:right="20" w:firstLine="342"/>
        <w:spacing w:after="0" w:line="227"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w:t>
      </w:r>
    </w:p>
    <w:p>
      <w:pPr>
        <w:spacing w:after="0" w:line="1"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14"/>
          <w:szCs w:val="14"/>
          <w:color w:val="auto"/>
        </w:rPr>
        <w:t>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Public offering price</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r>
      <w:tr>
        <w:trPr>
          <w:trHeight w:val="149"/>
        </w:trPr>
        <w:tc>
          <w:tcPr>
            <w:tcW w:w="7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3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5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to us, before expenses (1)</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89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14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(1)</w:t>
        <w:tab/>
        <w:t>Before deducting expenses payable by us related to this offering, estimated at $</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42" w:lineRule="exact"/>
        <w:rPr>
          <w:sz w:val="20"/>
          <w:szCs w:val="20"/>
          <w:color w:val="auto"/>
        </w:rPr>
      </w:pPr>
    </w:p>
    <w:p>
      <w:pPr>
        <w:sectPr>
          <w:pgSz w:w="11900" w:h="16838" w:orient="portrait"/>
          <w:cols w:equalWidth="0" w:num="2">
            <w:col w:w="4920" w:space="420"/>
            <w:col w:w="6080"/>
          </w:cols>
          <w:pgMar w:left="240" w:top="118" w:right="239" w:bottom="1440" w:gutter="0" w:footer="0" w:header="0"/>
          <w:type w:val="continuous"/>
        </w:sectPr>
      </w:pPr>
    </w:p>
    <w:p>
      <w:pPr>
        <w:ind w:right="180"/>
        <w:spacing w:after="0" w:line="241" w:lineRule="auto"/>
        <w:rPr>
          <w:sz w:val="20"/>
          <w:szCs w:val="20"/>
          <w:color w:val="auto"/>
        </w:rPr>
      </w:pPr>
      <w:r>
        <w:rPr>
          <w:rFonts w:ascii="Times New Roman" w:cs="Times New Roman" w:eastAsia="Times New Roman" w:hAnsi="Times New Roman"/>
          <w:sz w:val="14"/>
          <w:szCs w:val="14"/>
          <w:color w:val="auto"/>
        </w:rPr>
        <w:t>[The underwriters may also purchase up to an additional $ total aggregate principal amount of Notes offered hereby, to cover over-allotments, if any, within days of the date of this prospectus supplement. If the underwriters exercise this option in full, the total public offering price will be $ , the total underwriting discount (sales load) paid by us will be $ , and total proceeds, before expenses, will be $ .]</w:t>
      </w:r>
    </w:p>
    <w:p>
      <w:pPr>
        <w:sectPr>
          <w:pgSz w:w="11900" w:h="16838" w:orient="portrait"/>
          <w:cols w:equalWidth="0" w:num="1">
            <w:col w:w="11420"/>
          </w:cols>
          <w:pgMar w:left="240" w:top="118" w:right="239" w:bottom="1440" w:gutter="0" w:footer="0" w:header="0"/>
          <w:type w:val="continuous"/>
        </w:sectPr>
      </w:pPr>
    </w:p>
    <w:p>
      <w:pPr>
        <w:spacing w:after="0" w:line="13" w:lineRule="exact"/>
        <w:rPr>
          <w:sz w:val="20"/>
          <w:szCs w:val="20"/>
          <w:color w:val="auto"/>
        </w:rPr>
      </w:pPr>
    </w:p>
    <w:p>
      <w:pPr>
        <w:ind w:right="180" w:firstLine="342"/>
        <w:spacing w:after="0" w:line="261" w:lineRule="auto"/>
        <w:rPr>
          <w:sz w:val="20"/>
          <w:szCs w:val="20"/>
          <w:color w:val="auto"/>
        </w:rPr>
      </w:pPr>
      <w:r>
        <w:rPr>
          <w:rFonts w:ascii="Times New Roman" w:cs="Times New Roman" w:eastAsia="Times New Roman" w:hAnsi="Times New Roman"/>
          <w:sz w:val="14"/>
          <w:szCs w:val="14"/>
          <w:b w:val="1"/>
          <w:bCs w:val="1"/>
          <w:color w:val="auto"/>
        </w:rPr>
        <w:t>THE NOTES ARE NOT DEPOSITS OR OTHER OBLIGATIONS OF A BANK AND ARE NOT INSURED BY THE FEDERAL DEPOSIT INSURANCE CORPORATION OR ANY OTHER GOVERNMENT AGENCY.</w:t>
      </w:r>
    </w:p>
    <w:p>
      <w:pPr>
        <w:spacing w:after="0" w:line="1" w:lineRule="exact"/>
        <w:rPr>
          <w:sz w:val="20"/>
          <w:szCs w:val="20"/>
          <w:color w:val="auto"/>
        </w:rPr>
      </w:pPr>
    </w:p>
    <w:p>
      <w:pPr>
        <w:ind w:right="360" w:firstLine="342"/>
        <w:spacing w:after="0" w:line="26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or SEC, nor any state securities commission has approved or disapproved of these securities or determined if this prospectus supplement or the accompanying prospectus is truthful or complete. Any representation to the contrary is a criminal offense.</w:t>
      </w:r>
    </w:p>
    <w:tbl>
      <w:tblPr>
        <w:tblLayout w:type="fixed"/>
        <w:tblInd w:w="360" w:type="dxa"/>
        <w:tblCellMar>
          <w:top w:w="0" w:type="dxa"/>
          <w:left w:w="0" w:type="dxa"/>
          <w:bottom w:w="0" w:type="dxa"/>
          <w:right w:w="0" w:type="dxa"/>
        </w:tblCellMar>
      </w:tblPr>
      <w:tr>
        <w:trPr>
          <w:trHeight w:val="188"/>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Delivery of the Notes in book-entry form only through The Depository Trust Company will be made on or about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  .</w:t>
            </w:r>
          </w:p>
        </w:tc>
      </w:tr>
      <w:tr>
        <w:trPr>
          <w:trHeight w:val="159"/>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r>
      <w:tr>
        <w:trPr>
          <w:trHeight w:val="213"/>
        </w:trPr>
        <w:tc>
          <w:tcPr>
            <w:tcW w:w="6540" w:type="dxa"/>
            <w:vAlign w:val="bottom"/>
            <w:gridSpan w:val="2"/>
          </w:tcPr>
          <w:p>
            <w:pPr>
              <w:ind w:left="358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w:t>
            </w:r>
          </w:p>
        </w:tc>
        <w:tc>
          <w:tcPr>
            <w:tcW w:w="9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89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340" w:hanging="332"/>
        <w:spacing w:after="0"/>
        <w:tabs>
          <w:tab w:leader="none" w:pos="34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18" w:right="239" w:bottom="1440" w:gutter="0" w:footer="0" w:header="0"/>
          <w:type w:val="continuous"/>
        </w:sectPr>
      </w:pPr>
    </w:p>
    <w:bookmarkStart w:id="307" w:name="page308"/>
    <w:bookmarkEnd w:id="3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40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920" w:type="dxa"/>
            <w:vAlign w:val="bottom"/>
            <w:gridSpan w:val="13"/>
            <w:vMerge w:val="restart"/>
          </w:tcPr>
          <w:p>
            <w:pPr>
              <w:spacing w:after="0"/>
              <w:rPr>
                <w:rFonts w:ascii="Times New Roman" w:cs="Times New Roman" w:eastAsia="Times New Roman" w:hAnsi="Times New Roman"/>
                <w:sz w:val="18"/>
                <w:szCs w:val="18"/>
                <w:color w:val="0000EE"/>
              </w:rPr>
            </w:pPr>
            <w:hyperlink w:anchor="page309">
              <w:r>
                <w:rPr>
                  <w:rFonts w:ascii="Times New Roman" w:cs="Times New Roman" w:eastAsia="Times New Roman" w:hAnsi="Times New Roman"/>
                  <w:sz w:val="18"/>
                  <w:szCs w:val="18"/>
                  <w:color w:val="0000EE"/>
                </w:rPr>
                <w:t>SPECIAL NOTE REGARDING FORWARD-LOOKING STATEMENTS</w:t>
              </w:r>
            </w:hyperlink>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20" w:type="dxa"/>
            <w:vAlign w:val="bottom"/>
            <w:gridSpan w:val="13"/>
            <w:vMerge w:val="continue"/>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S-3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310">
              <w:r>
                <w:rPr>
                  <w:rFonts w:ascii="Times New Roman" w:cs="Times New Roman" w:eastAsia="Times New Roman" w:hAnsi="Times New Roman"/>
                  <w:sz w:val="18"/>
                  <w:szCs w:val="18"/>
                  <w:color w:val="0000EE"/>
                </w:rPr>
                <w:t>THE COMPANY</w:t>
              </w:r>
            </w:hyperlink>
          </w:p>
        </w:tc>
        <w:tc>
          <w:tcPr>
            <w:tcW w:w="55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13">
              <w:r>
                <w:rPr>
                  <w:rFonts w:ascii="Times New Roman" w:cs="Times New Roman" w:eastAsia="Times New Roman" w:hAnsi="Times New Roman"/>
                  <w:sz w:val="18"/>
                  <w:szCs w:val="18"/>
                  <w:color w:val="0000EE"/>
                  <w:w w:val="99"/>
                </w:rPr>
                <w:t>SPECIFIC TERMS OF THE NOTES AND THE OFFERING</w:t>
              </w:r>
            </w:hyperlink>
          </w:p>
        </w:tc>
        <w:tc>
          <w:tcPr>
            <w:tcW w:w="644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14">
              <w:r>
                <w:rPr>
                  <w:rFonts w:ascii="Times New Roman" w:cs="Times New Roman" w:eastAsia="Times New Roman" w:hAnsi="Times New Roman"/>
                  <w:sz w:val="18"/>
                  <w:szCs w:val="18"/>
                  <w:color w:val="0000EE"/>
                  <w:w w:val="97"/>
                </w:rPr>
                <w:t>RISK FACTORS</w:t>
              </w:r>
            </w:hyperlink>
          </w:p>
        </w:tc>
        <w:tc>
          <w:tcPr>
            <w:tcW w:w="964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315">
              <w:r>
                <w:rPr>
                  <w:rFonts w:ascii="Times New Roman" w:cs="Times New Roman" w:eastAsia="Times New Roman" w:hAnsi="Times New Roman"/>
                  <w:sz w:val="18"/>
                  <w:szCs w:val="18"/>
                  <w:color w:val="0000EE"/>
                  <w:w w:val="98"/>
                </w:rPr>
                <w:t>SELECTED FINANCIAL DATA AND OTHER INFORMATION</w:t>
              </w:r>
            </w:hyperlink>
          </w:p>
        </w:tc>
        <w:tc>
          <w:tcPr>
            <w:tcW w:w="612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316">
              <w:r>
                <w:rPr>
                  <w:rFonts w:ascii="Times New Roman" w:cs="Times New Roman" w:eastAsia="Times New Roman" w:hAnsi="Times New Roman"/>
                  <w:sz w:val="18"/>
                  <w:szCs w:val="18"/>
                  <w:color w:val="0000EE"/>
                </w:rPr>
                <w:t>USE OF PROCEEDS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31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318">
              <w:r>
                <w:rPr>
                  <w:rFonts w:ascii="Times New Roman" w:cs="Times New Roman" w:eastAsia="Times New Roman" w:hAnsi="Times New Roman"/>
                  <w:sz w:val="18"/>
                  <w:szCs w:val="18"/>
                  <w:color w:val="0000EE"/>
                  <w:w w:val="97"/>
                </w:rPr>
                <w:t>CAPITALIZATION</w:t>
              </w:r>
            </w:hyperlink>
          </w:p>
        </w:tc>
        <w:tc>
          <w:tcPr>
            <w:tcW w:w="7440" w:type="dxa"/>
            <w:vAlign w:val="bottom"/>
            <w:tcBorders>
              <w:top w:val="single" w:sz="8" w:color="0000EE"/>
            </w:tcBorders>
            <w:gridSpan w:val="8"/>
          </w:tcPr>
          <w:p>
            <w:pPr>
              <w:spacing w:after="0"/>
              <w:rPr>
                <w:sz w:val="17"/>
                <w:szCs w:val="17"/>
                <w:color w:val="auto"/>
              </w:rPr>
            </w:pPr>
          </w:p>
        </w:tc>
        <w:tc>
          <w:tcPr>
            <w:tcW w:w="20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319">
              <w:r>
                <w:rPr>
                  <w:rFonts w:ascii="Times New Roman" w:cs="Times New Roman" w:eastAsia="Times New Roman" w:hAnsi="Times New Roman"/>
                  <w:sz w:val="18"/>
                  <w:szCs w:val="18"/>
                  <w:color w:val="0000EE"/>
                </w:rPr>
                <w:t>UNITED STATES FEDERAL INCOME TAX CONSEQUENCES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320">
              <w:r>
                <w:rPr>
                  <w:rFonts w:ascii="Times New Roman" w:cs="Times New Roman" w:eastAsia="Times New Roman" w:hAnsi="Times New Roman"/>
                  <w:sz w:val="18"/>
                  <w:szCs w:val="18"/>
                  <w:color w:val="0000EE"/>
                  <w:w w:val="98"/>
                </w:rPr>
                <w:t>CERTAIN ERISA CONSIDERATIONS</w:t>
              </w:r>
            </w:hyperlink>
          </w:p>
        </w:tc>
        <w:tc>
          <w:tcPr>
            <w:tcW w:w="1900" w:type="dxa"/>
            <w:vAlign w:val="bottom"/>
            <w:tcBorders>
              <w:top w:val="single" w:sz="8" w:color="0000EE"/>
            </w:tcBorders>
            <w:gridSpan w:val="3"/>
          </w:tcPr>
          <w:p>
            <w:pPr>
              <w:spacing w:after="0"/>
              <w:rPr>
                <w:sz w:val="17"/>
                <w:szCs w:val="17"/>
                <w:color w:val="auto"/>
              </w:rPr>
            </w:pPr>
          </w:p>
        </w:tc>
        <w:tc>
          <w:tcPr>
            <w:tcW w:w="610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21">
              <w:r>
                <w:rPr>
                  <w:rFonts w:ascii="Times New Roman" w:cs="Times New Roman" w:eastAsia="Times New Roman" w:hAnsi="Times New Roman"/>
                  <w:sz w:val="18"/>
                  <w:szCs w:val="18"/>
                  <w:color w:val="0000EE"/>
                  <w:w w:val="98"/>
                </w:rPr>
                <w:t>UNDERWRITING</w:t>
              </w:r>
            </w:hyperlink>
          </w:p>
        </w:tc>
        <w:tc>
          <w:tcPr>
            <w:tcW w:w="952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324">
              <w:r>
                <w:rPr>
                  <w:rFonts w:ascii="Times New Roman" w:cs="Times New Roman" w:eastAsia="Times New Roman" w:hAnsi="Times New Roman"/>
                  <w:sz w:val="18"/>
                  <w:szCs w:val="18"/>
                  <w:color w:val="0000EE"/>
                </w:rPr>
                <w:t>LEGAL MATTERS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7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325">
              <w:r>
                <w:rPr>
                  <w:rFonts w:ascii="Times New Roman" w:cs="Times New Roman" w:eastAsia="Times New Roman" w:hAnsi="Times New Roman"/>
                  <w:sz w:val="18"/>
                  <w:szCs w:val="18"/>
                  <w:color w:val="0000EE"/>
                  <w:w w:val="97"/>
                </w:rPr>
                <w:t>FINANCIAL STATEMENTS</w:t>
              </w:r>
            </w:hyperlink>
          </w:p>
        </w:tc>
        <w:tc>
          <w:tcPr>
            <w:tcW w:w="87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Page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table of contents from base prospectus.]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455" w:right="239" w:bottom="1440" w:gutter="0" w:footer="0" w:header="0"/>
        </w:sectPr>
      </w:pPr>
    </w:p>
    <w:bookmarkStart w:id="308" w:name="page309"/>
    <w:bookmarkEnd w:id="3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67" w:lineRule="exact"/>
        <w:rPr>
          <w:sz w:val="20"/>
          <w:szCs w:val="20"/>
          <w:color w:val="auto"/>
        </w:rPr>
      </w:pPr>
    </w:p>
    <w:p>
      <w:pPr>
        <w:ind w:left="900" w:right="240" w:hanging="325"/>
        <w:spacing w:after="0" w:line="282" w:lineRule="auto"/>
        <w:tabs>
          <w:tab w:leader="none" w:pos="9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ind w:left="900" w:right="40" w:hanging="325"/>
        <w:spacing w:after="0" w:line="313" w:lineRule="auto"/>
        <w:tabs>
          <w:tab w:leader="none" w:pos="90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and the accompanying prospectus.</w:t>
      </w:r>
    </w:p>
    <w:p>
      <w:pPr>
        <w:spacing w:after="0" w:line="162"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455" w:right="239" w:bottom="1440" w:gutter="0" w:footer="0" w:header="0"/>
        </w:sectPr>
      </w:pPr>
    </w:p>
    <w:bookmarkStart w:id="309" w:name="page310"/>
    <w:bookmarkEnd w:id="3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in this prospectus supplement and the accompanying prospectus.</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prospectus supplement and the accompanying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180"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74" w:lineRule="exact"/>
        <w:rPr>
          <w:sz w:val="20"/>
          <w:szCs w:val="20"/>
          <w:color w:val="auto"/>
        </w:rPr>
      </w:pPr>
    </w:p>
    <w:p>
      <w:pPr>
        <w:ind w:right="3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w:t>
      </w:r>
    </w:p>
    <w:p>
      <w:pPr>
        <w:spacing w:after="0" w:line="2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18"/>
          <w:szCs w:val="18"/>
          <w:color w:val="auto"/>
        </w:rPr>
        <w:t>,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00"/>
          </w:cols>
          <w:pgMar w:left="240" w:top="455" w:right="25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Table of Contents</w:t>
              </w:r>
            </w:hyperlink>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515"/>
        </w:trPr>
        <w:tc>
          <w:tcPr>
            <w:tcW w:w="11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include secured loans, and, to a lesser extent, secured corporate bonds, with a secondary priority behind first-lien debt. Based on fair value as of</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  , our portfolio consisted of</w:t>
            </w: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first-lien debt investments,</w:t>
            </w: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second-lien debt investments,</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mezzanine debt investments and   % equity</w:t>
            </w:r>
          </w:p>
        </w:tc>
        <w:tc>
          <w:tcPr>
            <w:tcW w:w="340" w:type="dxa"/>
            <w:vAlign w:val="bottom"/>
          </w:tcPr>
          <w:p>
            <w:pPr>
              <w:spacing w:after="0"/>
              <w:rPr>
                <w:sz w:val="18"/>
                <w:szCs w:val="18"/>
                <w:color w:val="auto"/>
              </w:rPr>
            </w:pPr>
          </w:p>
        </w:tc>
      </w:tr>
      <w:tr>
        <w:trPr>
          <w:trHeight w:val="216"/>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investments. Approximately</w:t>
            </w: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8"/>
              </w:rPr>
              <w:t>% of our investments as of</w:t>
            </w:r>
          </w:p>
        </w:tc>
        <w:tc>
          <w:tcPr>
            <w:tcW w:w="540" w:type="dxa"/>
            <w:vAlign w:val="bottom"/>
          </w:tcPr>
          <w:p>
            <w:pPr>
              <w:spacing w:after="0"/>
              <w:rPr>
                <w:sz w:val="18"/>
                <w:szCs w:val="18"/>
                <w:color w:val="auto"/>
              </w:rPr>
            </w:pPr>
          </w:p>
        </w:tc>
        <w:tc>
          <w:tcPr>
            <w:tcW w:w="6660" w:type="dxa"/>
            <w:vAlign w:val="bottom"/>
            <w:gridSpan w:val="7"/>
          </w:tcPr>
          <w:p>
            <w:pPr>
              <w:jc w:val="right"/>
              <w:ind w:right="110"/>
              <w:spacing w:after="0"/>
              <w:rPr>
                <w:sz w:val="20"/>
                <w:szCs w:val="20"/>
                <w:color w:val="auto"/>
              </w:rPr>
            </w:pPr>
            <w:r>
              <w:rPr>
                <w:rFonts w:ascii="Times New Roman" w:cs="Times New Roman" w:eastAsia="Times New Roman" w:hAnsi="Times New Roman"/>
                <w:sz w:val="18"/>
                <w:szCs w:val="18"/>
                <w:color w:val="auto"/>
              </w:rPr>
              <w:t>, 20   are floating rate in nature, subject to interest rate floors, which we believe helps</w:t>
            </w:r>
          </w:p>
        </w:tc>
      </w:tr>
      <w:tr>
        <w:trPr>
          <w:trHeight w:val="234"/>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act as a portfolio-wide hedge against inflation.</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20</w:t>
            </w:r>
          </w:p>
        </w:tc>
        <w:tc>
          <w:tcPr>
            <w:tcW w:w="2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our portfolio was invested across</w:t>
            </w:r>
          </w:p>
        </w:tc>
        <w:tc>
          <w:tcPr>
            <w:tcW w:w="6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different industries. The largest industries in our portfolio, based on fair value as of</w:t>
            </w:r>
          </w:p>
        </w:tc>
        <w:tc>
          <w:tcPr>
            <w:tcW w:w="340" w:type="dxa"/>
            <w:vAlign w:val="bottom"/>
          </w:tcPr>
          <w:p>
            <w:pPr>
              <w:spacing w:after="0"/>
              <w:rPr>
                <w:sz w:val="24"/>
                <w:szCs w:val="24"/>
                <w:color w:val="auto"/>
              </w:rPr>
            </w:pPr>
          </w:p>
        </w:tc>
      </w:tr>
      <w:tr>
        <w:trPr>
          <w:trHeight w:val="216"/>
        </w:trPr>
        <w:tc>
          <w:tcPr>
            <w:tcW w:w="1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20</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were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and</w:t>
            </w:r>
          </w:p>
        </w:tc>
        <w:tc>
          <w:tcPr>
            <w:tcW w:w="40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which represented, as a percentage of our portfolio,</w:t>
            </w: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 and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respectively. We expect</w:t>
            </w:r>
          </w:p>
        </w:tc>
      </w:tr>
      <w:tr>
        <w:trPr>
          <w:trHeight w:val="234"/>
        </w:trPr>
        <w:tc>
          <w:tcPr>
            <w:tcW w:w="8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that no single investment will represent more than   % of our total investment portfolio, based on fair value.</w:t>
            </w:r>
          </w:p>
        </w:tc>
        <w:tc>
          <w:tcPr>
            <w:tcW w:w="1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1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20</w:t>
            </w: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we had investments in</w:t>
            </w:r>
          </w:p>
        </w:tc>
        <w:tc>
          <w:tcPr>
            <w:tcW w:w="4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portfolio companies with an aggregate fair value of $</w:t>
            </w:r>
          </w:p>
        </w:tc>
        <w:tc>
          <w:tcPr>
            <w:tcW w:w="28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million. For the months ended</w:t>
            </w:r>
          </w:p>
        </w:tc>
        <w:tc>
          <w:tcPr>
            <w:tcW w:w="340" w:type="dxa"/>
            <w:vAlign w:val="bottom"/>
          </w:tcPr>
          <w:p>
            <w:pPr>
              <w:spacing w:after="0"/>
              <w:rPr>
                <w:sz w:val="24"/>
                <w:szCs w:val="24"/>
                <w:color w:val="auto"/>
              </w:rPr>
            </w:pPr>
          </w:p>
        </w:tc>
      </w:tr>
      <w:tr>
        <w:trPr>
          <w:trHeight w:val="216"/>
        </w:trPr>
        <w:tc>
          <w:tcPr>
            <w:tcW w:w="474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 20  , we made new investment commitments of $</w:t>
            </w: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million, $</w:t>
            </w: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in</w:t>
            </w:r>
          </w:p>
        </w:tc>
        <w:tc>
          <w:tcPr>
            <w:tcW w:w="2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new portfolio companies and $</w:t>
            </w:r>
          </w:p>
        </w:tc>
        <w:tc>
          <w:tcPr>
            <w:tcW w:w="16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million in</w:t>
            </w:r>
          </w:p>
        </w:tc>
        <w:tc>
          <w:tcPr>
            <w:tcW w:w="340" w:type="dxa"/>
            <w:vAlign w:val="bottom"/>
          </w:tcPr>
          <w:p>
            <w:pPr>
              <w:spacing w:after="0"/>
              <w:rPr>
                <w:sz w:val="18"/>
                <w:szCs w:val="18"/>
                <w:color w:val="auto"/>
              </w:rPr>
            </w:pPr>
          </w:p>
        </w:tc>
      </w:tr>
      <w:tr>
        <w:trPr>
          <w:trHeight w:val="234"/>
        </w:trPr>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existing portfolio companies. For this period, we had $</w:t>
            </w:r>
          </w:p>
        </w:tc>
        <w:tc>
          <w:tcPr>
            <w:tcW w:w="7200" w:type="dxa"/>
            <w:vAlign w:val="bottom"/>
            <w:gridSpan w:val="8"/>
          </w:tcPr>
          <w:p>
            <w:pPr>
              <w:jc w:val="right"/>
              <w:ind w:right="70"/>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 resulting in net portfolio growth of</w:t>
            </w:r>
          </w:p>
        </w:tc>
      </w:tr>
    </w:tbl>
    <w:p>
      <w:pPr>
        <w:ind w:left="500" w:hanging="492"/>
        <w:spacing w:after="0"/>
        <w:tabs>
          <w:tab w:leader="none" w:pos="5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million aggregate principal amount.</w:t>
      </w:r>
    </w:p>
    <w:p>
      <w:pPr>
        <w:spacing w:after="0" w:line="207" w:lineRule="exact"/>
        <w:rPr>
          <w:sz w:val="20"/>
          <w:szCs w:val="20"/>
          <w:color w:val="auto"/>
        </w:rPr>
      </w:pPr>
    </w:p>
    <w:p>
      <w:pPr>
        <w:ind w:right="160" w:firstLine="456"/>
        <w:spacing w:after="0" w:line="263" w:lineRule="auto"/>
        <w:rPr>
          <w:sz w:val="20"/>
          <w:szCs w:val="20"/>
          <w:color w:val="auto"/>
        </w:rPr>
      </w:pPr>
      <w:r>
        <w:rPr>
          <w:rFonts w:ascii="Times New Roman" w:cs="Times New Roman" w:eastAsia="Times New Roman" w:hAnsi="Times New Roman"/>
          <w:sz w:val="18"/>
          <w:szCs w:val="18"/>
          <w:color w:val="auto"/>
        </w:rPr>
        <w:t>As of December 31, 20 , we had investments in portfolio companies with an aggregate fair value of $ million. For the year ended December 31, 20 , we made new investment commitments of $ million, $ million in new portfolio companies and $ million in existing portfolio companies. For this period, we had $ million aggregate principal amount in exits and repayments, resulting in net portfolio growth of $ million aggregate principal amount.</w:t>
      </w:r>
    </w:p>
    <w:p>
      <w:pPr>
        <w:spacing w:after="0" w:line="400"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color w:val="auto"/>
        </w:rPr>
        <w:t>Since we began investing in 2011 through , 20 , our exited investments have resulted in an aggregate cash flow realized gross internal rate of return to us of approximately % (based on cash invested of approximately $ million and total proceeds from these exited investments of approximately $ million). percent of these exited investments resulted in an aggregate cash flow realized gross internal rate of return to us of 10%</w:t>
      </w:r>
    </w:p>
    <w:p>
      <w:pPr>
        <w:spacing w:after="0" w:line="2"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00"/>
          </w:cols>
          <w:pgMar w:left="240" w:top="445" w:right="259" w:bottom="1440" w:gutter="0" w:footer="0" w:header="0"/>
        </w:sectPr>
      </w:pPr>
    </w:p>
    <w:bookmarkStart w:id="311" w:name="page312"/>
    <w:bookmarkEnd w:id="3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TSSP, which encompasses TPG Specialty Lending, TPG Opportunities Partners and TPG Institutional Credit Partners, is TPG’s special situations and</w:t>
      </w:r>
    </w:p>
    <w:p>
      <w:pPr>
        <w:spacing w:after="0" w:line="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credit platform. TSSP had over $ billion of assets under management as of , 20 . TSSP has extensive experience with highly complex, global public and private investments executed through primary originations, secondary market purchases and restructurings, and has a team of investment and operating professionals. of these personnel are dedicated to our business, including investment professionals. The TSSP members of the Investment Review Committee are Joshua Easterly, Michael Fishman, Alan Waxman and David Stiepleman.</w:t>
      </w:r>
    </w:p>
    <w:p>
      <w:pPr>
        <w:spacing w:after="0" w:line="186" w:lineRule="exact"/>
        <w:rPr>
          <w:sz w:val="20"/>
          <w:szCs w:val="20"/>
          <w:color w:val="auto"/>
        </w:rPr>
      </w:pPr>
    </w:p>
    <w:p>
      <w:pPr>
        <w:ind w:left="460"/>
        <w:spacing w:after="0"/>
        <w:tabs>
          <w:tab w:leader="none" w:pos="5920" w:val="left"/>
          <w:tab w:leader="none" w:pos="9660" w:val="left"/>
          <w:tab w:leader="none" w:pos="10120" w:val="left"/>
        </w:tabs>
        <w:rPr>
          <w:sz w:val="20"/>
          <w:szCs w:val="20"/>
          <w:color w:val="auto"/>
        </w:rPr>
      </w:pPr>
      <w:r>
        <w:rPr>
          <w:rFonts w:ascii="Times New Roman" w:cs="Times New Roman" w:eastAsia="Times New Roman" w:hAnsi="Times New Roman"/>
          <w:sz w:val="18"/>
          <w:szCs w:val="18"/>
          <w:color w:val="auto"/>
        </w:rPr>
        <w:t>TPG is a leading global private investment firm founded in 1992 with</w:t>
      </w:r>
      <w:r>
        <w:rPr>
          <w:sz w:val="20"/>
          <w:szCs w:val="20"/>
          <w:color w:val="auto"/>
        </w:rPr>
        <w:tab/>
      </w:r>
      <w:r>
        <w:rPr>
          <w:rFonts w:ascii="Times New Roman" w:cs="Times New Roman" w:eastAsia="Times New Roman" w:hAnsi="Times New Roman"/>
          <w:sz w:val="18"/>
          <w:szCs w:val="18"/>
          <w:color w:val="auto"/>
        </w:rPr>
        <w:t>billion of assets under management,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and offices in</w:t>
      </w:r>
    </w:p>
    <w:p>
      <w:pPr>
        <w:spacing w:after="0" w:line="2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w:t>
      </w:r>
    </w:p>
    <w:p>
      <w:pPr>
        <w:spacing w:after="0" w:line="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growth investments, joint ventures and restructurings, and has a team of professionals. The TPG members of the Investment Review Committee are TPG co-founders, David Bonderman and James Coulter, and TPG Senior Partners, Jonathan Coslet and James Gates.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Management of the Adviser consists primarily of senior executives of TSSP and TPG. TSSP and TPG executives, including members of our Investment</w:t>
      </w:r>
    </w:p>
    <w:p>
      <w:pPr>
        <w:spacing w:after="0" w:line="3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Review Committee and certain of our other senior personnel, own a significant stake in the Adviser. As of , 20 , our Adviser owned % of our common stock. See “Management,” “Related-Party Transactions and Certain Relationships” and “Control Persons and Principal Stockholders” in the accompanying prospectus.</w:t>
      </w:r>
    </w:p>
    <w:p>
      <w:pPr>
        <w:spacing w:after="0" w:line="18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420"/>
          </w:cols>
          <w:pgMar w:left="240" w:top="456" w:right="239" w:bottom="1440" w:gutter="0" w:footer="0" w:header="0"/>
        </w:sectPr>
      </w:pPr>
    </w:p>
    <w:bookmarkStart w:id="312" w:name="page313"/>
    <w:bookmarkEnd w:id="3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SPECIFIC TERMS OF THE NOTES AND THE OFFERING</w:t>
      </w:r>
    </w:p>
    <w:p>
      <w:pPr>
        <w:spacing w:after="0" w:line="2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material terms of the Notes in tabular form to the extent required to be disclosed by applicable law or regulation.]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60"/>
          </w:cols>
          <w:pgMar w:left="240" w:top="455" w:right="399" w:bottom="1440" w:gutter="0" w:footer="0" w:header="0"/>
        </w:sectPr>
      </w:pPr>
    </w:p>
    <w:bookmarkStart w:id="313" w:name="page314"/>
    <w:bookmarkEnd w:id="3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risk factors applicable to the Notes and any additional relevant risk factors not included in the base prospectus to the extent required to be disclosed by applicable law or regulation.]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360"/>
          </w:cols>
          <w:pgMar w:left="240" w:top="455" w:right="299" w:bottom="1440" w:gutter="0" w:footer="0" w:header="0"/>
        </w:sectPr>
      </w:pPr>
    </w:p>
    <w:bookmarkStart w:id="314" w:name="page315"/>
    <w:bookmarkEnd w:id="3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FINANCIAL DATA AND OTHER INFORMATION</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w:t>
      </w:r>
    </w:p>
    <w:p>
      <w:pPr>
        <w:ind w:right="160"/>
        <w:spacing w:after="0" w:line="261" w:lineRule="auto"/>
        <w:rPr>
          <w:sz w:val="20"/>
          <w:szCs w:val="20"/>
          <w:color w:val="auto"/>
        </w:rPr>
      </w:pPr>
      <w:r>
        <w:rPr>
          <w:rFonts w:ascii="Times New Roman" w:cs="Times New Roman" w:eastAsia="Times New Roman" w:hAnsi="Times New Roman"/>
          <w:sz w:val="18"/>
          <w:szCs w:val="18"/>
          <w:color w:val="auto"/>
        </w:rPr>
        <w:t>derived the selected consolidated financial data for the ended , 20 and , 20 from our unaudited interim consolidated financial statements and related notes, which are included elsewhere in this prospectus supplement or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340"/>
          </w:cols>
          <w:pgMar w:left="240" w:top="455" w:right="319"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Table of Contents</w:t>
              </w:r>
            </w:hyperlink>
          </w:p>
        </w:tc>
        <w:tc>
          <w:tcPr>
            <w:tcW w:w="2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14"/>
        </w:trPr>
        <w:tc>
          <w:tcPr>
            <w:tcW w:w="55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the sale of $</w:t>
            </w:r>
          </w:p>
        </w:tc>
        <w:tc>
          <w:tcPr>
            <w:tcW w:w="5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million aggregate principal amount of Notes in this offering will be</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7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9"/>
              </w:rPr>
              <w:t>million if the underwriters fully exercise their over-allotment option), in each case assuming a public</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price of</w:t>
            </w:r>
          </w:p>
        </w:tc>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of par, after deducting the underwriting discounts and commissions of $</w:t>
            </w:r>
          </w:p>
        </w:tc>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million (or approximately $</w:t>
            </w:r>
          </w:p>
        </w:tc>
        <w:tc>
          <w:tcPr>
            <w:tcW w:w="2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million if the</w:t>
            </w:r>
          </w:p>
        </w:tc>
      </w:tr>
      <w:tr>
        <w:trPr>
          <w:trHeight w:val="234"/>
        </w:trPr>
        <w:tc>
          <w:tcPr>
            <w:tcW w:w="9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underwriters fully exercise their over-allotment option) payable by us and estimated offering expenses of approximately $</w:t>
            </w: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million payable by us.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240" w:top="445" w:right="419" w:bottom="1440" w:gutter="0" w:footer="0" w:header="0"/>
        </w:sectPr>
      </w:pPr>
    </w:p>
    <w:bookmarkStart w:id="316" w:name="page317"/>
    <w:bookmarkEnd w:id="3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this prospectus supplement and the accompanying prospectus for a discussion of the uncertainties, risks and assumptions associated with these statements.</w:t>
      </w:r>
    </w:p>
    <w:p>
      <w:pPr>
        <w:spacing w:after="0" w:line="18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380"/>
          </w:cols>
          <w:pgMar w:left="240" w:top="456" w:right="279"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07"/>
        </w:trPr>
        <w:tc>
          <w:tcPr>
            <w:tcW w:w="206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444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44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w w:val="96"/>
              </w:rPr>
              <w:t>CAPITALIZATION</w:t>
            </w:r>
          </w:p>
        </w:tc>
        <w:tc>
          <w:tcPr>
            <w:tcW w:w="4860" w:type="dxa"/>
            <w:vAlign w:val="bottom"/>
          </w:tcPr>
          <w:p>
            <w:pPr>
              <w:spacing w:after="0"/>
              <w:rPr>
                <w:sz w:val="24"/>
                <w:szCs w:val="24"/>
                <w:color w:val="auto"/>
              </w:rPr>
            </w:pPr>
          </w:p>
        </w:tc>
      </w:tr>
      <w:tr>
        <w:trPr>
          <w:trHeight w:val="414"/>
        </w:trPr>
        <w:tc>
          <w:tcPr>
            <w:tcW w:w="65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(a) our actual consolidated capitalization at</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 20   and (b) our pro forma consolidated capitalization to reflect</w:t>
            </w:r>
          </w:p>
        </w:tc>
      </w:tr>
      <w:tr>
        <w:trPr>
          <w:trHeight w:val="234"/>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effects of the sale of $</w:t>
            </w:r>
          </w:p>
        </w:tc>
        <w:tc>
          <w:tcPr>
            <w:tcW w:w="9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aggregate principal amount of Notes [(assuming that the underwriters do not exercise their over-allotment option)] assuming a</w:t>
            </w:r>
          </w:p>
        </w:tc>
      </w:tr>
    </w:tbl>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 offering price of % of par, after deducting the underwriting discounts and commissions and estimated offering expenses payable by us. You should read this table together with “Use of Proceeds” and our most recent balance sheet included elsewhere in this prospectus supplement or the accompanying prospectus.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60" w:type="dxa"/>
            <w:vAlign w:val="bottom"/>
            <w:gridSpan w:val="2"/>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 20</w:t>
            </w:r>
          </w:p>
        </w:tc>
        <w:tc>
          <w:tcPr>
            <w:tcW w:w="100" w:type="dxa"/>
            <w:vAlign w:val="bottom"/>
          </w:tcPr>
          <w:p>
            <w:pPr>
              <w:spacing w:after="0"/>
              <w:rPr>
                <w:sz w:val="13"/>
                <w:szCs w:val="13"/>
                <w:color w:val="auto"/>
              </w:rPr>
            </w:pPr>
          </w:p>
        </w:tc>
      </w:tr>
      <w:tr>
        <w:trPr>
          <w:trHeight w:val="149"/>
        </w:trPr>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56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(unaudited, dollar amounts</w:t>
            </w:r>
          </w:p>
        </w:tc>
      </w:tr>
      <w:tr>
        <w:trPr>
          <w:trHeight w:val="173"/>
        </w:trPr>
        <w:tc>
          <w:tcPr>
            <w:tcW w:w="1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60" w:type="dxa"/>
            <w:vAlign w:val="bottom"/>
            <w:gridSpan w:val="4"/>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42"/>
        </w:trPr>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r>
      <w:tr>
        <w:trPr>
          <w:trHeight w:val="210"/>
        </w:trPr>
        <w:tc>
          <w:tcPr>
            <w:tcW w:w="2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 Debt outstanding as of period reported]</w:t>
            </w:r>
          </w:p>
        </w:tc>
        <w:tc>
          <w:tcPr>
            <w:tcW w:w="7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8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5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w:t>
            </w:r>
          </w:p>
        </w:tc>
        <w:tc>
          <w:tcPr>
            <w:tcW w:w="2420" w:type="dxa"/>
            <w:vAlign w:val="bottom"/>
          </w:tcPr>
          <w:p>
            <w:pPr>
              <w:ind w:left="48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348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shares issued and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8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26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98"/>
        </w:trPr>
        <w:tc>
          <w:tcPr>
            <w:tcW w:w="2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w:t>
            </w:r>
          </w:p>
        </w:tc>
        <w:tc>
          <w:tcPr>
            <w:tcW w:w="2420" w:type="dxa"/>
            <w:vAlign w:val="bottom"/>
            <w:shd w:val="clear" w:color="auto" w:fill="CCEEFF"/>
          </w:tcPr>
          <w:p>
            <w:pPr>
              <w:ind w:left="48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348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shares issued,</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shares outstanding, respectively</w:t>
            </w:r>
          </w:p>
        </w:tc>
        <w:tc>
          <w:tcPr>
            <w:tcW w:w="7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32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[gain][loss] on investments and foreign currency transactions</w:t>
            </w:r>
          </w:p>
        </w:tc>
        <w:tc>
          <w:tcPr>
            <w:tcW w:w="2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8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6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8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365"/>
        </w:trPr>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S-12</w:t>
            </w:r>
          </w:p>
        </w:tc>
        <w:tc>
          <w:tcPr>
            <w:tcW w:w="2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45" w:right="299" w:bottom="1440" w:gutter="0" w:footer="0" w:header="0"/>
        </w:sectPr>
      </w:pPr>
    </w:p>
    <w:bookmarkStart w:id="318" w:name="page319"/>
    <w:bookmarkEnd w:id="3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CONSEQUENCES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disclosure regarding federal income tax consequences of an investment in the Notes to the extent required to be disclosed by applicable law or regulation.]</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760"/>
          </w:cols>
          <w:pgMar w:left="240" w:top="455" w:right="899" w:bottom="1440" w:gutter="0" w:footer="0" w:header="0"/>
        </w:sectPr>
      </w:pPr>
    </w:p>
    <w:bookmarkStart w:id="319" w:name="page320"/>
    <w:bookmarkEnd w:id="3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disclosure regarding considerations for an investment in the Notes by entities subject to the Employee Retirement Income Security Act of 1974, as amended, related provisions under the Internal Revenue Code of 1986 or similar law to the extent required to be disclosed by applicable law or regulation.]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80"/>
          </w:cols>
          <w:pgMar w:left="240" w:top="455" w:right="479" w:bottom="1440" w:gutter="0" w:footer="0" w:header="0"/>
        </w:sectPr>
      </w:pPr>
    </w:p>
    <w:bookmarkStart w:id="320" w:name="page321"/>
    <w:bookmarkEnd w:id="3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firstLine="464"/>
        <w:spacing w:after="0" w:line="266" w:lineRule="auto"/>
        <w:tabs>
          <w:tab w:leader="none" w:pos="105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are acting as representatives of each of the underwriters named below. Subject to the terms and conditions set forth in a purchase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w:t>
            </w:r>
          </w:p>
        </w:tc>
        <w:tc>
          <w:tcPr>
            <w:tcW w:w="3720" w:type="dxa"/>
            <w:vAlign w:val="bottom"/>
          </w:tcPr>
          <w:p>
            <w:pPr>
              <w:jc w:val="center"/>
              <w:ind w:left="30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5"/>
        </w:trPr>
        <w:tc>
          <w:tcPr>
            <w:tcW w:w="3920" w:type="dxa"/>
            <w:vAlign w:val="bottom"/>
            <w:vMerge w:val="continue"/>
          </w:tcPr>
          <w:p>
            <w:pPr>
              <w:spacing w:after="0"/>
              <w:rPr>
                <w:sz w:val="15"/>
                <w:szCs w:val="15"/>
                <w:color w:val="auto"/>
              </w:rPr>
            </w:pPr>
          </w:p>
        </w:tc>
        <w:tc>
          <w:tcPr>
            <w:tcW w:w="3720" w:type="dxa"/>
            <w:vAlign w:val="bottom"/>
          </w:tcPr>
          <w:p>
            <w:pPr>
              <w:jc w:val="center"/>
              <w:ind w:left="30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5"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purchase agreement, the underwriters have agreed, severally and not jointly, to purchase all of the Notes sold under the purchase agreement if any of these Notes are purchased. If an underwriter defaults, the purchase agreement provides that the purchase commitments of the nondefaulting underwriters may be increased or the purchase agreement may be terminated.</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An underwriting discount of % per Note will be paid by us. [This underwriting discount will also apply to any Notes purchased pursuant to the over-allotment option.]</w:t>
      </w:r>
    </w:p>
    <w:p>
      <w:pPr>
        <w:spacing w:after="0" w:line="162"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underwriting discounts and commissions that we are to pay to the underwriters in connection with this offering. [The information assumes either no exercise or full exercise by the underwriters of their over-allotment option.]</w:t>
      </w:r>
    </w:p>
    <w:p>
      <w:pPr>
        <w:spacing w:after="0" w:line="182" w:lineRule="exact"/>
        <w:rPr>
          <w:sz w:val="20"/>
          <w:szCs w:val="20"/>
          <w:color w:val="auto"/>
        </w:rPr>
      </w:pPr>
    </w:p>
    <w:p>
      <w:pPr>
        <w:ind w:left="6640"/>
        <w:spacing w:after="0"/>
        <w:tabs>
          <w:tab w:leader="none" w:pos="7880" w:val="left"/>
          <w:tab w:leader="none" w:pos="9660" w:val="left"/>
        </w:tabs>
        <w:rPr>
          <w:sz w:val="20"/>
          <w:szCs w:val="20"/>
          <w:color w:val="auto"/>
        </w:rPr>
      </w:pPr>
      <w:r>
        <w:rPr>
          <w:rFonts w:ascii="Times New Roman" w:cs="Times New Roman" w:eastAsia="Times New Roman" w:hAnsi="Times New Roman"/>
          <w:sz w:val="14"/>
          <w:szCs w:val="14"/>
          <w:b w:val="1"/>
          <w:bCs w:val="1"/>
          <w:u w:val="single" w:color="auto"/>
          <w:color w:val="auto"/>
        </w:rPr>
        <w:t>Per Note</w:t>
      </w:r>
      <w:r>
        <w:rPr>
          <w:sz w:val="20"/>
          <w:szCs w:val="20"/>
          <w:color w:val="auto"/>
        </w:rPr>
        <w:tab/>
      </w:r>
      <w:r>
        <w:rPr>
          <w:rFonts w:ascii="Times New Roman" w:cs="Times New Roman" w:eastAsia="Times New Roman" w:hAnsi="Times New Roman"/>
          <w:sz w:val="14"/>
          <w:szCs w:val="14"/>
          <w:b w:val="1"/>
          <w:bCs w:val="1"/>
          <w:u w:val="single" w:color="auto"/>
          <w:color w:val="auto"/>
        </w:rPr>
        <w:t>[Without Option</w:t>
      </w:r>
      <w:r>
        <w:rPr>
          <w:sz w:val="20"/>
          <w:szCs w:val="20"/>
          <w:color w:val="auto"/>
        </w:rPr>
        <w:tab/>
      </w:r>
      <w:r>
        <w:rPr>
          <w:rFonts w:ascii="Times New Roman" w:cs="Times New Roman" w:eastAsia="Times New Roman" w:hAnsi="Times New Roman"/>
          <w:sz w:val="14"/>
          <w:szCs w:val="14"/>
          <w:b w:val="1"/>
          <w:bCs w:val="1"/>
          <w:u w:val="single" w:color="auto"/>
          <w:color w:val="auto"/>
        </w:rPr>
        <w:t>With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6080125"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Public offering price</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Underwriting discount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Proceeds to us, before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8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ectPr>
          <w:pgSz w:w="11900" w:h="16838" w:orient="portrait"/>
          <w:cols w:equalWidth="0" w:num="1">
            <w:col w:w="11400"/>
          </w:cols>
          <w:pgMar w:left="240" w:top="455" w:right="259" w:bottom="1440" w:gutter="0" w:footer="0" w:header="0"/>
        </w:sectPr>
      </w:pP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are payable by us.</w:t>
      </w:r>
    </w:p>
    <w:p>
      <w:pPr>
        <w:spacing w:after="0" w:line="211" w:lineRule="exact"/>
        <w:rPr>
          <w:sz w:val="20"/>
          <w:szCs w:val="20"/>
          <w:color w:val="auto"/>
        </w:rPr>
      </w:pPr>
    </w:p>
    <w:p>
      <w:pPr>
        <w:sectPr>
          <w:pgSz w:w="11900" w:h="16838" w:orient="portrait"/>
          <w:cols w:equalWidth="0" w:num="2">
            <w:col w:w="6820" w:space="400"/>
            <w:col w:w="4180"/>
          </w:cols>
          <w:pgMar w:left="240" w:top="455" w:right="25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[Over-allotment Option</w:t>
      </w:r>
    </w:p>
    <w:p>
      <w:pPr>
        <w:sectPr>
          <w:pgSz w:w="11900" w:h="16838" w:orient="portrait"/>
          <w:cols w:equalWidth="0" w:num="1">
            <w:col w:w="11400"/>
          </w:cols>
          <w:pgMar w:left="240" w:top="455" w:right="259" w:bottom="1440" w:gutter="0" w:footer="0" w:header="0"/>
          <w:type w:val="continuous"/>
        </w:sectPr>
      </w:pPr>
    </w:p>
    <w:p>
      <w:pPr>
        <w:spacing w:after="0" w:line="133"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granted an option to the underwriters to purchase up to an additional $ public offering price within days from the date of this prospectus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aggregate principal amount of the Notes offered hereby at the</w:t>
      </w:r>
    </w:p>
    <w:p>
      <w:pPr>
        <w:spacing w:after="0" w:line="384" w:lineRule="exact"/>
        <w:rPr>
          <w:sz w:val="20"/>
          <w:szCs w:val="20"/>
          <w:color w:val="auto"/>
        </w:rPr>
      </w:pPr>
    </w:p>
    <w:p>
      <w:pPr>
        <w:sectPr>
          <w:pgSz w:w="11900" w:h="16838" w:orient="portrait"/>
          <w:cols w:equalWidth="0" w:num="2">
            <w:col w:w="6180" w:space="420"/>
            <w:col w:w="4800"/>
          </w:cols>
          <w:pgMar w:left="240" w:top="455"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S-15</w:t>
      </w:r>
    </w:p>
    <w:p>
      <w:pPr>
        <w:sectPr>
          <w:pgSz w:w="11900" w:h="16838" w:orient="portrait"/>
          <w:cols w:equalWidth="0" w:num="1">
            <w:col w:w="11400"/>
          </w:cols>
          <w:pgMar w:left="240" w:top="455" w:right="259" w:bottom="1440" w:gutter="0" w:footer="0" w:header="0"/>
          <w:type w:val="continuous"/>
        </w:sectPr>
      </w:pPr>
    </w:p>
    <w:bookmarkStart w:id="321" w:name="page322"/>
    <w:bookmarkEnd w:id="3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supplement solely to cover any over-allotments. If the underwriters exercise this option, each will be obligated, subject to conditions contained in the purchase agreement, to purchase a number of additional Notes proportionate to that underwriter’s initial principal amount reflected in the above table.]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for a period of days after the date of this prospectus supplement without first obtaining the written consent of [ ]. This consent may be given at any time without public notice.]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ectPr>
          <w:pgSz w:w="11900" w:h="16838" w:orient="portrait"/>
          <w:cols w:equalWidth="0" w:num="1">
            <w:col w:w="11400"/>
          </w:cols>
          <w:pgMar w:left="240" w:top="456" w:right="259" w:bottom="1440" w:gutter="0" w:footer="0" w:header="0"/>
        </w:sectPr>
      </w:pP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Notes are a new issue of securities with no established trading market. We intend to list the Notes on to begin within days after the original issue date. Currently there is no public market for the Notes.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 We expect trading in the Notes on</w:t>
      </w:r>
    </w:p>
    <w:p>
      <w:pPr>
        <w:spacing w:after="0" w:line="452" w:lineRule="exact"/>
        <w:rPr>
          <w:sz w:val="20"/>
          <w:szCs w:val="20"/>
          <w:color w:val="auto"/>
        </w:rPr>
      </w:pPr>
    </w:p>
    <w:p>
      <w:pPr>
        <w:sectPr>
          <w:pgSz w:w="11900" w:h="16838" w:orient="portrait"/>
          <w:cols w:equalWidth="0" w:num="2">
            <w:col w:w="8020" w:space="420"/>
            <w:col w:w="2960"/>
          </w:cols>
          <w:pgMar w:left="240" w:top="456" w:right="259" w:bottom="1440" w:gutter="0" w:footer="0" w:header="0"/>
          <w:type w:val="continuous"/>
        </w:sect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have been advised by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over-allotment, covering transactions and stabilizing transactions. Over-allotment involves sales of securities in excess of the aggregate principal amount of securities to be purchased by the underwriters in the offering, which creates a short position for the underwriters. Covering transactions involve purchases of the securities in the open market after the distribution has been completed in order to cover short positions. Stabilizing transactions consist of certain bids or purchases of securities made for the purpose of preventing or retarding a decline in the market price of the securities while the offering is in progress.</w:t>
      </w:r>
    </w:p>
    <w:p>
      <w:pPr>
        <w:spacing w:after="0" w:line="184" w:lineRule="exact"/>
        <w:rPr>
          <w:sz w:val="20"/>
          <w:szCs w:val="20"/>
          <w:color w:val="auto"/>
        </w:rPr>
      </w:pPr>
    </w:p>
    <w:p>
      <w:pPr>
        <w:jc w:val="both"/>
        <w:ind w:right="320" w:firstLine="456"/>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456" w:right="259" w:bottom="1440" w:gutter="0" w:footer="0" w:header="0"/>
          <w:type w:val="continuous"/>
        </w:sectPr>
      </w:pPr>
    </w:p>
    <w:bookmarkStart w:id="322" w:name="page323"/>
    <w:bookmarkEnd w:id="3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any other specific transactions and compensation related thereto to the extent required to be disclosed by applicable law or regulation.]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if underwriters receiving proceeds of offering, if required by FINRA.]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[Insert principal business addresses of underwriters.]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[Insert applicable legends for jurisdictions in which offers and sales may be made.]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340"/>
          </w:cols>
          <w:pgMar w:left="240" w:top="455" w:right="319" w:bottom="1440" w:gutter="0" w:footer="0" w:header="0"/>
        </w:sectPr>
      </w:pPr>
    </w:p>
    <w:bookmarkStart w:id="323" w:name="page324"/>
    <w:bookmarkEnd w:id="3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line="1"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8"/>
          <w:szCs w:val="18"/>
          <w:color w:val="auto"/>
        </w:rPr>
        <w:t>Hamilton LLP also represents the Adviser. Certain legal matters in connection with the offering will be passed upon for the underwriters by [</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0" w:hanging="592"/>
        <w:spacing w:after="0"/>
        <w:tabs>
          <w:tab w:leader="none" w:pos="6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240" w:top="455" w:right="519" w:bottom="1440" w:gutter="0" w:footer="0" w:header="0"/>
        </w:sectPr>
      </w:pPr>
    </w:p>
    <w:bookmarkStart w:id="324" w:name="page325"/>
    <w:bookmarkEnd w:id="3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financial statements and notes thereto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00"/>
          </w:cols>
          <w:pgMar w:left="240" w:top="455" w:right="259" w:bottom="1440" w:gutter="0" w:footer="0" w:header="0"/>
        </w:sectPr>
      </w:pPr>
    </w:p>
    <w:bookmarkStart w:id="325" w:name="page326"/>
    <w:bookmarkEnd w:id="32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345440</wp:posOffset>
            </wp:positionV>
            <wp:extent cx="1346200" cy="660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8"/>
          <w:szCs w:val="28"/>
          <w:color w:val="auto"/>
        </w:rPr>
        <w:t>% [Insert ranking/conversion information]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1050925</wp:posOffset>
            </wp:positionV>
            <wp:extent cx="151765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9"/>
          <w:szCs w:val="29"/>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1029335</wp:posOffset>
            </wp:positionV>
            <wp:extent cx="7246620"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type w:val="continuous"/>
        </w:sectPr>
      </w:pPr>
    </w:p>
    <w:bookmarkStart w:id="326" w:name="page327"/>
    <w:bookmarkEnd w:id="32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DE1A1E"/>
        </w:rPr>
        <w:t>Subject to Completion</w:t>
      </w:r>
    </w:p>
    <w:p>
      <w:pPr>
        <w:spacing w:after="0" w:line="29" w:lineRule="exact"/>
        <w:rPr>
          <w:sz w:val="20"/>
          <w:szCs w:val="20"/>
          <w:color w:val="auto"/>
        </w:rPr>
      </w:pPr>
    </w:p>
    <w:p>
      <w:pPr>
        <w:ind w:left="4020"/>
        <w:spacing w:after="0"/>
        <w:tabs>
          <w:tab w:leader="none" w:pos="7180" w:val="left"/>
        </w:tabs>
        <w:rPr>
          <w:sz w:val="20"/>
          <w:szCs w:val="20"/>
          <w:color w:val="auto"/>
        </w:rPr>
      </w:pPr>
      <w:r>
        <w:rPr>
          <w:rFonts w:ascii="Times New Roman" w:cs="Times New Roman" w:eastAsia="Times New Roman" w:hAnsi="Times New Roman"/>
          <w:sz w:val="14"/>
          <w:szCs w:val="14"/>
          <w:b w:val="1"/>
          <w:bCs w:val="1"/>
          <w:color w:val="DE1A1E"/>
        </w:rPr>
        <w:t>Preliminary Prospectus Supplement dated</w:t>
      </w:r>
      <w:r>
        <w:rPr>
          <w:sz w:val="20"/>
          <w:szCs w:val="20"/>
          <w:color w:val="auto"/>
        </w:rPr>
        <w:tab/>
      </w:r>
      <w:r>
        <w:rPr>
          <w:rFonts w:ascii="Times New Roman" w:cs="Times New Roman" w:eastAsia="Times New Roman" w:hAnsi="Times New Roman"/>
          <w:sz w:val="13"/>
          <w:szCs w:val="13"/>
          <w:b w:val="1"/>
          <w:bCs w:val="1"/>
          <w:color w:val="DE1A1E"/>
        </w:rPr>
        <w:t>, 20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PRELIMINARY PROSPECTUS SUPPLEMENT TO BE USED IN CONJUNCTION WITH FUTURE</w:t>
      </w:r>
    </w:p>
    <w:p>
      <w:pPr>
        <w:jc w:val="center"/>
        <w:spacing w:after="0"/>
        <w:rPr>
          <w:sz w:val="20"/>
          <w:szCs w:val="20"/>
          <w:color w:val="auto"/>
        </w:rPr>
      </w:pPr>
      <w:r>
        <w:rPr>
          <w:rFonts w:ascii="Times New Roman" w:cs="Times New Roman" w:eastAsia="Times New Roman" w:hAnsi="Times New Roman"/>
          <w:sz w:val="14"/>
          <w:szCs w:val="14"/>
          <w:color w:val="auto"/>
        </w:rPr>
        <w:t>RIGHTS OFFERINGS](1)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PROSPECTUS SUPPLEMENT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 Prospectus dated</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13970</wp:posOffset>
            </wp:positionV>
            <wp:extent cx="1346200" cy="660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Specialty Lending, Inc.</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Up to</w:t>
            </w:r>
          </w:p>
        </w:tc>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3200" w:type="dxa"/>
            <w:vAlign w:val="bottom"/>
          </w:tcPr>
          <w:p>
            <w:pPr>
              <w:spacing w:after="0"/>
              <w:rPr>
                <w:sz w:val="13"/>
                <w:szCs w:val="13"/>
                <w:color w:val="auto"/>
              </w:rPr>
            </w:pPr>
          </w:p>
        </w:tc>
      </w:tr>
      <w:tr>
        <w:trPr>
          <w:trHeight w:val="149"/>
        </w:trPr>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560" w:type="dxa"/>
            <w:vAlign w:val="bottom"/>
            <w:gridSpan w:val="3"/>
          </w:tcPr>
          <w:p>
            <w:pPr>
              <w:jc w:val="center"/>
              <w:ind w:right="1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2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560" w:type="dxa"/>
            <w:vAlign w:val="bottom"/>
            <w:gridSpan w:val="3"/>
          </w:tcPr>
          <w:p>
            <w:pPr>
              <w:jc w:val="center"/>
              <w:ind w:right="116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3200" w:type="dxa"/>
            <w:vAlign w:val="bottom"/>
          </w:tcPr>
          <w:p>
            <w:pPr>
              <w:spacing w:after="0"/>
              <w:rPr>
                <w:sz w:val="12"/>
                <w:szCs w:val="12"/>
                <w:color w:val="auto"/>
              </w:rPr>
            </w:pPr>
          </w:p>
        </w:tc>
      </w:tr>
      <w:tr>
        <w:trPr>
          <w:trHeight w:val="190"/>
        </w:trPr>
        <w:tc>
          <w:tcPr>
            <w:tcW w:w="3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5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Exercise of Rights</w:t>
            </w:r>
          </w:p>
        </w:tc>
        <w:tc>
          <w:tcPr>
            <w:tcW w:w="3200" w:type="dxa"/>
            <w:vAlign w:val="bottom"/>
          </w:tcPr>
          <w:p>
            <w:pPr>
              <w:spacing w:after="0"/>
              <w:rPr>
                <w:sz w:val="16"/>
                <w:szCs w:val="16"/>
                <w:color w:val="auto"/>
              </w:rPr>
            </w:pPr>
          </w:p>
        </w:tc>
      </w:tr>
      <w:tr>
        <w:trPr>
          <w:trHeight w:val="132"/>
        </w:trPr>
        <w:tc>
          <w:tcPr>
            <w:tcW w:w="4520" w:type="dxa"/>
            <w:vAlign w:val="bottom"/>
            <w:gridSpan w:val="2"/>
          </w:tcPr>
          <w:p>
            <w:pPr>
              <w:spacing w:after="0"/>
              <w:rPr>
                <w:sz w:val="11"/>
                <w:szCs w:val="11"/>
                <w:color w:val="auto"/>
              </w:rPr>
            </w:pPr>
          </w:p>
        </w:tc>
        <w:tc>
          <w:tcPr>
            <w:tcW w:w="2380" w:type="dxa"/>
            <w:vAlign w:val="bottom"/>
            <w:tcBorders>
              <w:bottom w:val="single" w:sz="8" w:color="auto"/>
            </w:tcBorders>
            <w:gridSpan w:val="2"/>
          </w:tcPr>
          <w:p>
            <w:pPr>
              <w:spacing w:after="0"/>
              <w:rPr>
                <w:sz w:val="11"/>
                <w:szCs w:val="11"/>
                <w:color w:val="auto"/>
              </w:rPr>
            </w:pPr>
          </w:p>
        </w:tc>
        <w:tc>
          <w:tcPr>
            <w:tcW w:w="118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51"/>
        </w:trPr>
        <w:tc>
          <w:tcPr>
            <w:tcW w:w="8080" w:type="dxa"/>
            <w:vAlign w:val="bottom"/>
            <w:gridSpan w:val="5"/>
          </w:tcPr>
          <w:p>
            <w:pPr>
              <w:ind w:left="360"/>
              <w:spacing w:after="0"/>
              <w:rPr>
                <w:sz w:val="20"/>
                <w:szCs w:val="20"/>
                <w:color w:val="auto"/>
              </w:rPr>
            </w:pPr>
            <w:r>
              <w:rPr>
                <w:rFonts w:ascii="Times New Roman" w:cs="Times New Roman" w:eastAsia="Times New Roman" w:hAnsi="Times New Roman"/>
                <w:sz w:val="13"/>
                <w:szCs w:val="13"/>
                <w:color w:val="auto"/>
                <w:w w:val="97"/>
              </w:rPr>
              <w:t>We are issuing [transferable/non-transferable] rights to our stockholders of record, or record date stockholders, as of 5:00 p.m., New York City time, on</w:t>
            </w:r>
          </w:p>
        </w:tc>
        <w:tc>
          <w:tcPr>
            <w:tcW w:w="32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 20  , or the record date. The rights entitle holders of</w:t>
            </w:r>
          </w:p>
        </w:tc>
      </w:tr>
      <w:tr>
        <w:trPr>
          <w:trHeight w:val="149"/>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rights, or rights holders, to subscribe for an aggregate of up to</w:t>
            </w:r>
          </w:p>
        </w:tc>
        <w:tc>
          <w:tcPr>
            <w:tcW w:w="4760" w:type="dxa"/>
            <w:vAlign w:val="bottom"/>
            <w:gridSpan w:val="4"/>
          </w:tcPr>
          <w:p>
            <w:pPr>
              <w:ind w:left="180"/>
              <w:spacing w:after="0"/>
              <w:rPr>
                <w:sz w:val="20"/>
                <w:szCs w:val="20"/>
                <w:color w:val="auto"/>
              </w:rPr>
            </w:pPr>
            <w:r>
              <w:rPr>
                <w:rFonts w:ascii="Times New Roman" w:cs="Times New Roman" w:eastAsia="Times New Roman" w:hAnsi="Times New Roman"/>
                <w:sz w:val="13"/>
                <w:szCs w:val="13"/>
                <w:color w:val="auto"/>
              </w:rPr>
              <w:t>shares of our common stock. Record date stockholders will receive one right for each</w:t>
            </w:r>
          </w:p>
        </w:tc>
        <w:tc>
          <w:tcPr>
            <w:tcW w:w="320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6"/>
              </w:rPr>
              <w:t>shares of common stock owned on the record date. The rights</w:t>
            </w:r>
          </w:p>
        </w:tc>
      </w:tr>
    </w:tbl>
    <w:p>
      <w:pPr>
        <w:jc w:val="both"/>
        <w:ind w:right="240"/>
        <w:spacing w:after="0" w:line="224" w:lineRule="auto"/>
        <w:rPr>
          <w:sz w:val="20"/>
          <w:szCs w:val="20"/>
          <w:color w:val="auto"/>
        </w:rPr>
      </w:pPr>
      <w:r>
        <w:rPr>
          <w:rFonts w:ascii="Times New Roman" w:cs="Times New Roman" w:eastAsia="Times New Roman" w:hAnsi="Times New Roman"/>
          <w:sz w:val="13"/>
          <w:szCs w:val="13"/>
          <w:color w:val="auto"/>
        </w:rPr>
        <w:t>entitle the holder to purchase one new share of common stock for every right held, which we refer to as the basic subscription right[, and record date stockholders who fully exercise their rights will be entitled to subscribe, subject to certain limitations and pro rata allocation, for additional shares that remain unsubscribed as a result of any unexercised rights.][ In addition, any non-record date stockholder who exercises rights will be entitled to subscribe, subject to certain limitations and pro rata allocation, for any remaining shares that are not otherwise subscribed for by record date stockholders.]</w:t>
      </w:r>
    </w:p>
    <w:p>
      <w:pPr>
        <w:spacing w:after="0" w:line="13" w:lineRule="exact"/>
        <w:rPr>
          <w:sz w:val="20"/>
          <w:szCs w:val="20"/>
          <w:color w:val="auto"/>
        </w:rPr>
      </w:pPr>
    </w:p>
    <w:p>
      <w:pPr>
        <w:ind w:right="460" w:firstLine="342"/>
        <w:spacing w:after="0"/>
        <w:rPr>
          <w:sz w:val="20"/>
          <w:szCs w:val="20"/>
          <w:color w:val="auto"/>
        </w:rPr>
      </w:pPr>
      <w:r>
        <w:rPr>
          <w:rFonts w:ascii="Times New Roman" w:cs="Times New Roman" w:eastAsia="Times New Roman" w:hAnsi="Times New Roman"/>
          <w:sz w:val="13"/>
          <w:szCs w:val="13"/>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ind w:right="140" w:firstLine="342"/>
        <w:spacing w:after="0" w:line="238" w:lineRule="auto"/>
        <w:rPr>
          <w:sz w:val="20"/>
          <w:szCs w:val="20"/>
          <w:color w:val="auto"/>
        </w:rPr>
      </w:pPr>
      <w:r>
        <w:rPr>
          <w:rFonts w:ascii="Times New Roman" w:cs="Times New Roman" w:eastAsia="Times New Roman" w:hAnsi="Times New Roman"/>
          <w:sz w:val="13"/>
          <w:szCs w:val="13"/>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We are an externally managed, closed-end, non-diversified management investment company. TSL Advisers, LLC, or the Adviser, acts as our investment adviser and administrator. We and the Adviser are part of the</w:t>
      </w:r>
    </w:p>
    <w:p>
      <w:pPr>
        <w:spacing w:after="0"/>
        <w:tabs>
          <w:tab w:leader="none" w:pos="3260" w:val="left"/>
          <w:tab w:leader="none" w:pos="5820" w:val="left"/>
        </w:tabs>
        <w:rPr>
          <w:sz w:val="20"/>
          <w:szCs w:val="20"/>
          <w:color w:val="auto"/>
        </w:rPr>
      </w:pPr>
      <w:r>
        <w:rPr>
          <w:rFonts w:ascii="Times New Roman" w:cs="Times New Roman" w:eastAsia="Times New Roman" w:hAnsi="Times New Roman"/>
          <w:sz w:val="13"/>
          <w:szCs w:val="13"/>
          <w:color w:val="auto"/>
        </w:rPr>
        <w:t>TPG Special Situations Partners platform, which had over $</w:t>
      </w:r>
      <w:r>
        <w:rPr>
          <w:sz w:val="20"/>
          <w:szCs w:val="20"/>
          <w:color w:val="auto"/>
        </w:rPr>
        <w:tab/>
      </w:r>
      <w:r>
        <w:rPr>
          <w:rFonts w:ascii="Times New Roman" w:cs="Times New Roman" w:eastAsia="Times New Roman" w:hAnsi="Times New Roman"/>
          <w:sz w:val="13"/>
          <w:szCs w:val="13"/>
          <w:color w:val="auto"/>
        </w:rPr>
        <w:t>billion of assets under management as of</w:t>
      </w:r>
      <w:r>
        <w:rPr>
          <w:sz w:val="20"/>
          <w:szCs w:val="20"/>
          <w:color w:val="auto"/>
        </w:rPr>
        <w:tab/>
      </w:r>
      <w:r>
        <w:rPr>
          <w:rFonts w:ascii="Times New Roman" w:cs="Times New Roman" w:eastAsia="Times New Roman" w:hAnsi="Times New Roman"/>
          <w:sz w:val="12"/>
          <w:szCs w:val="12"/>
          <w:color w:val="auto"/>
        </w:rPr>
        <w:t>, 20 . TPG Special Situations Partners is the special situations and credit platform of TPG, a leading global</w:t>
      </w:r>
    </w:p>
    <w:p>
      <w:pPr>
        <w:spacing w:after="0"/>
        <w:tabs>
          <w:tab w:leader="none" w:pos="2920" w:val="left"/>
          <w:tab w:leader="none" w:pos="5480" w:val="left"/>
        </w:tabs>
        <w:rPr>
          <w:sz w:val="20"/>
          <w:szCs w:val="20"/>
          <w:color w:val="auto"/>
        </w:rPr>
      </w:pPr>
      <w:r>
        <w:rPr>
          <w:rFonts w:ascii="Times New Roman" w:cs="Times New Roman" w:eastAsia="Times New Roman" w:hAnsi="Times New Roman"/>
          <w:sz w:val="13"/>
          <w:szCs w:val="13"/>
          <w:color w:val="auto"/>
        </w:rPr>
        <w:t>private investment firm founded in 1992 with over $</w:t>
      </w:r>
      <w:r>
        <w:rPr>
          <w:sz w:val="20"/>
          <w:szCs w:val="20"/>
          <w:color w:val="auto"/>
        </w:rPr>
        <w:tab/>
      </w:r>
      <w:r>
        <w:rPr>
          <w:rFonts w:ascii="Times New Roman" w:cs="Times New Roman" w:eastAsia="Times New Roman" w:hAnsi="Times New Roman"/>
          <w:sz w:val="13"/>
          <w:szCs w:val="13"/>
          <w:color w:val="auto"/>
        </w:rPr>
        <w:t>billion of assets under management as of</w:t>
      </w:r>
      <w:r>
        <w:rPr>
          <w:sz w:val="20"/>
          <w:szCs w:val="20"/>
          <w:color w:val="auto"/>
        </w:rPr>
        <w:tab/>
      </w:r>
      <w:r>
        <w:rPr>
          <w:rFonts w:ascii="Times New Roman" w:cs="Times New Roman" w:eastAsia="Times New Roman" w:hAnsi="Times New Roman"/>
          <w:sz w:val="11"/>
          <w:szCs w:val="11"/>
          <w:color w:val="auto"/>
        </w:rPr>
        <w:t>, 20 .</w:t>
      </w:r>
    </w:p>
    <w:p>
      <w:pPr>
        <w:spacing w:after="0" w:line="12" w:lineRule="exact"/>
        <w:rPr>
          <w:sz w:val="20"/>
          <w:szCs w:val="20"/>
          <w:color w:val="auto"/>
        </w:rPr>
      </w:pPr>
    </w:p>
    <w:p>
      <w:pPr>
        <w:ind w:right="40" w:firstLine="342"/>
        <w:spacing w:after="0" w:line="228" w:lineRule="auto"/>
        <w:rPr>
          <w:sz w:val="20"/>
          <w:szCs w:val="20"/>
          <w:color w:val="auto"/>
        </w:rPr>
      </w:pPr>
      <w:r>
        <w:rPr>
          <w:rFonts w:ascii="Times New Roman" w:cs="Times New Roman" w:eastAsia="Times New Roman" w:hAnsi="Times New Roman"/>
          <w:sz w:val="13"/>
          <w:szCs w:val="13"/>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Substantially all of our debt investments have variable interest rates that reset periodically based on interest rate benchmarks such as London Interbank Offered Rate, the Federal Funds Effective Rate or the Prime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a result, significant increases in such interest rate benchmarks in the future would make it more difficult for these borrowers to service their obligations under the debt investments that we hold.</w:t>
      </w:r>
    </w:p>
    <w:p>
      <w:pPr>
        <w:spacing w:after="0" w:line="12" w:lineRule="exact"/>
        <w:rPr>
          <w:sz w:val="20"/>
          <w:szCs w:val="20"/>
          <w:color w:val="auto"/>
        </w:rPr>
      </w:pPr>
    </w:p>
    <w:p>
      <w:pPr>
        <w:ind w:right="180" w:firstLine="342"/>
        <w:spacing w:after="0" w:line="232" w:lineRule="auto"/>
        <w:rPr>
          <w:sz w:val="20"/>
          <w:szCs w:val="20"/>
          <w:color w:val="auto"/>
        </w:rPr>
      </w:pPr>
      <w:r>
        <w:rPr>
          <w:rFonts w:ascii="Times New Roman" w:cs="Times New Roman" w:eastAsia="Times New Roman" w:hAnsi="Times New Roman"/>
          <w:sz w:val="13"/>
          <w:szCs w:val="13"/>
          <w:color w:val="auto"/>
        </w:rPr>
        <w:t>Our common stock is traded on the New York Stock Exchange, or NYSE, under the symbol “TSLX.” [The rights are transferable and will be listed on under the symbol “ .”] On , 20 , the last reported sales price of our common stock on the NYSE was $ per share. The net asset value per share of our common stock at , 20 (the last date prior to the date of this prospectus supplement on which we determined net asset value) was $ .</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b w:val="1"/>
          <w:bCs w:val="1"/>
          <w:color w:val="auto"/>
        </w:rPr>
        <w:t>The subscription price per share will be [describe means of computing subscription price]. Because the subscription price will be determined on the expiration date, stockholders who elect to exercise their</w:t>
      </w:r>
    </w:p>
    <w:p>
      <w:pPr>
        <w:spacing w:after="0" w:line="13"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3"/>
          <w:szCs w:val="13"/>
          <w:b w:val="1"/>
          <w:bCs w:val="1"/>
          <w:color w:val="auto"/>
        </w:rPr>
        <w:t>rights will not know the subscription price per share at the time they exercise such rights. The rights will expire if they are not exercised by 5:00 p.m., New York City time, on , 20 , the expiration date of this offering, unless extended. We, in our sole discretion, may extend the period for exercising the rights. You will have no right to rescind your subscription after receipt of your payment of the estimated subscription price or a notice of guaranteed delivery except as described in this prospectus supplement or accompanying prospectus.</w:t>
      </w:r>
    </w:p>
    <w:p>
      <w:pPr>
        <w:spacing w:after="0" w:line="2" w:lineRule="exact"/>
        <w:rPr>
          <w:sz w:val="20"/>
          <w:szCs w:val="20"/>
          <w:color w:val="auto"/>
        </w:rPr>
      </w:pPr>
    </w:p>
    <w:p>
      <w:pPr>
        <w:jc w:val="both"/>
        <w:ind w:firstLine="342"/>
        <w:spacing w:after="0" w:line="231" w:lineRule="auto"/>
        <w:rPr>
          <w:sz w:val="20"/>
          <w:szCs w:val="20"/>
          <w:color w:val="auto"/>
        </w:rPr>
      </w:pPr>
      <w:r>
        <w:rPr>
          <w:rFonts w:ascii="Times New Roman" w:cs="Times New Roman" w:eastAsia="Times New Roman" w:hAnsi="Times New Roman"/>
          <w:sz w:val="13"/>
          <w:szCs w:val="13"/>
          <w:color w:val="auto"/>
        </w:rPr>
        <w:t>This offering will dilute the ownership interest and voting power of the common stock owned by stockholders who do not fully exercise their subscription rights. Stockholders who do not fully exercise their subscription rights should expect, upon completion of the offering, to own a smaller proportional interest in us than before the offering. Further, if the net proceeds per share from the offering are at a discount to our net asset value per share, this offering will reduce our net asset value per share.</w:t>
      </w:r>
    </w:p>
    <w:p>
      <w:pPr>
        <w:spacing w:after="0" w:line="8" w:lineRule="exact"/>
        <w:rPr>
          <w:sz w:val="20"/>
          <w:szCs w:val="20"/>
          <w:color w:val="auto"/>
        </w:rPr>
      </w:pPr>
    </w:p>
    <w:p>
      <w:pPr>
        <w:ind w:right="600" w:firstLine="456"/>
        <w:spacing w:after="0" w:line="27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that are described in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section beginning on page S-10 of this prospectus supplement and page [ ] of the accompanying prospectus, including the risk of leverage.</w:t>
      </w:r>
    </w:p>
    <w:p>
      <w:pPr>
        <w:spacing w:after="0" w:line="1" w:lineRule="exact"/>
        <w:rPr>
          <w:sz w:val="20"/>
          <w:szCs w:val="20"/>
          <w:color w:val="auto"/>
        </w:rPr>
      </w:pPr>
    </w:p>
    <w:p>
      <w:pPr>
        <w:ind w:right="40" w:firstLine="342"/>
        <w:spacing w:after="0" w:line="226" w:lineRule="auto"/>
        <w:rPr>
          <w:sz w:val="20"/>
          <w:szCs w:val="20"/>
          <w:color w:val="auto"/>
        </w:rPr>
      </w:pPr>
      <w:r>
        <w:rPr>
          <w:rFonts w:ascii="Times New Roman" w:cs="Times New Roman" w:eastAsia="Times New Roman" w:hAnsi="Times New Roman"/>
          <w:sz w:val="13"/>
          <w:szCs w:val="13"/>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100" w:type="dxa"/>
            <w:vAlign w:val="bottom"/>
            <w:gridSpan w:val="2"/>
          </w:tcPr>
          <w:p>
            <w:pPr>
              <w:ind w:left="2560"/>
              <w:spacing w:after="0"/>
              <w:rPr>
                <w:sz w:val="20"/>
                <w:szCs w:val="20"/>
                <w:color w:val="auto"/>
              </w:rPr>
            </w:pPr>
            <w:r>
              <w:rPr>
                <w:rFonts w:ascii="Times New Roman" w:cs="Times New Roman" w:eastAsia="Times New Roman" w:hAnsi="Times New Roman"/>
                <w:sz w:val="13"/>
                <w:szCs w:val="13"/>
                <w:b w:val="1"/>
                <w:bCs w:val="1"/>
                <w:color w:val="auto"/>
                <w:w w:val="94"/>
              </w:rPr>
              <w:t>Per Share</w:t>
            </w:r>
          </w:p>
        </w:tc>
        <w:tc>
          <w:tcPr>
            <w:tcW w:w="50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Estimated subscription price</w:t>
            </w:r>
            <w:r>
              <w:rPr>
                <w:rFonts w:ascii="Times New Roman" w:cs="Times New Roman" w:eastAsia="Times New Roman" w:hAnsi="Times New Roman"/>
                <w:sz w:val="11"/>
                <w:szCs w:val="11"/>
                <w:color w:val="auto"/>
              </w:rPr>
              <w:t>(1)</w:t>
            </w:r>
          </w:p>
        </w:tc>
        <w:tc>
          <w:tcPr>
            <w:tcW w:w="3100" w:type="dxa"/>
            <w:vAlign w:val="bottom"/>
            <w:gridSpan w:val="2"/>
            <w:shd w:val="clear" w:color="auto" w:fill="CCEEFF"/>
          </w:tcPr>
          <w:p>
            <w:pPr>
              <w:ind w:left="2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r>
              <w:rPr>
                <w:rFonts w:ascii="Times New Roman" w:cs="Times New Roman" w:eastAsia="Times New Roman" w:hAnsi="Times New Roman"/>
                <w:sz w:val="11"/>
                <w:szCs w:val="11"/>
                <w:color w:val="auto"/>
              </w:rPr>
              <w:t>(2)</w:t>
            </w:r>
          </w:p>
        </w:tc>
        <w:tc>
          <w:tcPr>
            <w:tcW w:w="3100" w:type="dxa"/>
            <w:vAlign w:val="bottom"/>
            <w:gridSpan w:val="2"/>
          </w:tcPr>
          <w:p>
            <w:pPr>
              <w:ind w:left="2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to us, before expenses</w:t>
            </w:r>
            <w:r>
              <w:rPr>
                <w:rFonts w:ascii="Times New Roman" w:cs="Times New Roman" w:eastAsia="Times New Roman" w:hAnsi="Times New Roman"/>
                <w:sz w:val="11"/>
                <w:szCs w:val="11"/>
                <w:color w:val="auto"/>
              </w:rPr>
              <w:t>(3)</w:t>
            </w:r>
          </w:p>
        </w:tc>
        <w:tc>
          <w:tcPr>
            <w:tcW w:w="3100" w:type="dxa"/>
            <w:vAlign w:val="bottom"/>
            <w:gridSpan w:val="2"/>
            <w:shd w:val="clear" w:color="auto" w:fill="CCEEFF"/>
          </w:tcPr>
          <w:p>
            <w:pPr>
              <w:ind w:left="2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37"/>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340" w:hanging="332"/>
        <w:spacing w:after="0"/>
        <w:tabs>
          <w:tab w:leader="none" w:pos="340" w:val="left"/>
        </w:tabs>
        <w:numPr>
          <w:ilvl w:val="0"/>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on the basis of [describe means of computing subscription price].</w:t>
      </w:r>
    </w:p>
    <w:tbl>
      <w:tblPr>
        <w:tblLayout w:type="fixed"/>
        <w:tblInd w:w="0" w:type="dxa"/>
        <w:tblCellMar>
          <w:top w:w="0" w:type="dxa"/>
          <w:left w:w="0" w:type="dxa"/>
          <w:bottom w:w="0" w:type="dxa"/>
          <w:right w:w="0" w:type="dxa"/>
        </w:tblCellMar>
      </w:tblPr>
      <w:tr>
        <w:trPr>
          <w:trHeight w:val="121"/>
        </w:trPr>
        <w:tc>
          <w:tcPr>
            <w:tcW w:w="260" w:type="dxa"/>
            <w:vAlign w:val="bottom"/>
          </w:tcPr>
          <w:p>
            <w:pPr>
              <w:jc w:val="right"/>
              <w:ind w:right="37"/>
              <w:spacing w:after="0" w:line="121" w:lineRule="exact"/>
              <w:rPr>
                <w:sz w:val="20"/>
                <w:szCs w:val="20"/>
                <w:color w:val="auto"/>
              </w:rPr>
            </w:pPr>
            <w:r>
              <w:rPr>
                <w:rFonts w:ascii="Times New Roman" w:cs="Times New Roman" w:eastAsia="Times New Roman" w:hAnsi="Times New Roman"/>
                <w:sz w:val="13"/>
                <w:szCs w:val="13"/>
                <w:color w:val="auto"/>
                <w:w w:val="92"/>
              </w:rPr>
              <w:t>(2)</w:t>
            </w:r>
          </w:p>
        </w:tc>
        <w:tc>
          <w:tcPr>
            <w:tcW w:w="1940" w:type="dxa"/>
            <w:vAlign w:val="bottom"/>
          </w:tcPr>
          <w:p>
            <w:pPr>
              <w:ind w:left="80"/>
              <w:spacing w:after="0" w:line="121" w:lineRule="exact"/>
              <w:rPr>
                <w:sz w:val="20"/>
                <w:szCs w:val="20"/>
                <w:color w:val="auto"/>
              </w:rPr>
            </w:pPr>
            <w:r>
              <w:rPr>
                <w:rFonts w:ascii="Times New Roman" w:cs="Times New Roman" w:eastAsia="Times New Roman" w:hAnsi="Times New Roman"/>
                <w:sz w:val="13"/>
                <w:szCs w:val="13"/>
                <w:color w:val="auto"/>
              </w:rPr>
              <w:t>In connection with this offering,[</w:t>
            </w:r>
          </w:p>
        </w:tc>
        <w:tc>
          <w:tcPr>
            <w:tcW w:w="9060" w:type="dxa"/>
            <w:vAlign w:val="bottom"/>
            <w:gridSpan w:val="4"/>
          </w:tcPr>
          <w:p>
            <w:pPr>
              <w:ind w:left="200"/>
              <w:spacing w:after="0" w:line="121" w:lineRule="exact"/>
              <w:rPr>
                <w:sz w:val="20"/>
                <w:szCs w:val="20"/>
                <w:color w:val="auto"/>
              </w:rPr>
            </w:pPr>
            <w:r>
              <w:rPr>
                <w:rFonts w:ascii="Times New Roman" w:cs="Times New Roman" w:eastAsia="Times New Roman" w:hAnsi="Times New Roman"/>
                <w:sz w:val="13"/>
                <w:szCs w:val="13"/>
                <w:color w:val="auto"/>
                <w:w w:val="97"/>
              </w:rPr>
              <w:t>], the dealer managers for this offering, will receive a fee for financial advisory, marketing and soliciting services equal to  % of the estimated subscription price per share for</w:t>
            </w:r>
          </w:p>
        </w:tc>
      </w:tr>
      <w:tr>
        <w:trPr>
          <w:trHeight w:val="135"/>
        </w:trPr>
        <w:tc>
          <w:tcPr>
            <w:tcW w:w="260" w:type="dxa"/>
            <w:vAlign w:val="bottom"/>
          </w:tcPr>
          <w:p>
            <w:pPr>
              <w:spacing w:after="0"/>
              <w:rPr>
                <w:sz w:val="11"/>
                <w:szCs w:val="11"/>
                <w:color w:val="auto"/>
              </w:rPr>
            </w:pPr>
          </w:p>
        </w:tc>
        <w:tc>
          <w:tcPr>
            <w:tcW w:w="676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3"/>
                <w:szCs w:val="13"/>
                <w:color w:val="auto"/>
                <w:w w:val="98"/>
              </w:rPr>
              <w:t>each share issued pursuant to the exercise of rights. We have also agreed to reimburse the dealer managers an aggregate of up to $</w:t>
            </w:r>
          </w:p>
        </w:tc>
        <w:tc>
          <w:tcPr>
            <w:tcW w:w="424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for their expenses incurred in connection with the offering.</w:t>
            </w:r>
          </w:p>
        </w:tc>
      </w:tr>
      <w:tr>
        <w:trPr>
          <w:trHeight w:val="164"/>
        </w:trPr>
        <w:tc>
          <w:tcPr>
            <w:tcW w:w="2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2"/>
              </w:rPr>
              <w:t>(3)</w:t>
            </w:r>
          </w:p>
        </w:tc>
        <w:tc>
          <w:tcPr>
            <w:tcW w:w="4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9"/>
              </w:rPr>
              <w:t>Before deducting expenses payable by us related to this offering, estimated at $</w:t>
            </w:r>
          </w:p>
        </w:tc>
        <w:tc>
          <w:tcPr>
            <w:tcW w:w="19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 including an aggregate of up to $</w:t>
            </w:r>
          </w:p>
        </w:tc>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6"/>
              </w:rPr>
              <w:t>to be paid to the dealer managers for their expenses incurred in connection with this offering.</w:t>
            </w:r>
          </w:p>
        </w:tc>
      </w:tr>
    </w:tbl>
    <w:p>
      <w:pPr>
        <w:spacing w:after="0" w:line="9" w:lineRule="exact"/>
        <w:rPr>
          <w:sz w:val="20"/>
          <w:szCs w:val="20"/>
          <w:color w:val="auto"/>
        </w:rPr>
      </w:pPr>
    </w:p>
    <w:p>
      <w:pPr>
        <w:ind w:right="680" w:firstLine="342"/>
        <w:spacing w:after="0" w:line="243"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or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0"/>
          <w:szCs w:val="20"/>
          <w:color w:val="auto"/>
        </w:rPr>
      </w:pPr>
    </w:p>
    <w:tbl>
      <w:tblPr>
        <w:tblLayout w:type="fixed"/>
        <w:tblInd w:w="4240" w:type="dxa"/>
        <w:tblCellMar>
          <w:top w:w="0" w:type="dxa"/>
          <w:left w:w="0" w:type="dxa"/>
          <w:bottom w:w="0" w:type="dxa"/>
          <w:right w:w="0" w:type="dxa"/>
        </w:tblCellMar>
      </w:tblPr>
      <w:tr>
        <w:trPr>
          <w:trHeight w:val="166"/>
        </w:trPr>
        <w:tc>
          <w:tcPr>
            <w:tcW w:w="2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160" w:right="80" w:hanging="148"/>
        <w:spacing w:after="0" w:line="224" w:lineRule="auto"/>
        <w:rPr>
          <w:sz w:val="20"/>
          <w:szCs w:val="20"/>
          <w:color w:val="auto"/>
        </w:rPr>
      </w:pPr>
      <w:r>
        <w:rPr>
          <w:rFonts w:ascii="Times New Roman" w:cs="Times New Roman" w:eastAsia="Times New Roman" w:hAnsi="Times New Roman"/>
          <w:sz w:val="13"/>
          <w:szCs w:val="13"/>
          <w:color w:val="auto"/>
        </w:rPr>
        <w:t>(1)In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18" w:right="239" w:bottom="1440" w:gutter="0" w:footer="0" w:header="0"/>
        </w:sectPr>
      </w:pPr>
    </w:p>
    <w:bookmarkStart w:id="327" w:name="page328"/>
    <w:bookmarkEnd w:id="3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We have not, and the dealer managers have not, authorized anyone to give you any information other than in this prospectus supplement and the accompanying prospectus, and we take no responsibility for any other information that others may give you. We are not, and the dealer managers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40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940" w:type="dxa"/>
            <w:vAlign w:val="bottom"/>
            <w:gridSpan w:val="11"/>
            <w:vMerge w:val="restart"/>
          </w:tcPr>
          <w:p>
            <w:pPr>
              <w:spacing w:after="0"/>
              <w:rPr>
                <w:rFonts w:ascii="Times New Roman" w:cs="Times New Roman" w:eastAsia="Times New Roman" w:hAnsi="Times New Roman"/>
                <w:sz w:val="18"/>
                <w:szCs w:val="18"/>
                <w:color w:val="0000EE"/>
              </w:rPr>
            </w:pPr>
            <w:hyperlink w:anchor="page329">
              <w:r>
                <w:rPr>
                  <w:rFonts w:ascii="Times New Roman" w:cs="Times New Roman" w:eastAsia="Times New Roman" w:hAnsi="Times New Roman"/>
                  <w:sz w:val="18"/>
                  <w:szCs w:val="18"/>
                  <w:color w:val="0000EE"/>
                </w:rPr>
                <w:t>SPECIAL NOTE REGARDING FORWARD-LOOKING STATEMENTS</w:t>
              </w:r>
            </w:hyperlink>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11"/>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330">
              <w:r>
                <w:rPr>
                  <w:rFonts w:ascii="Times New Roman" w:cs="Times New Roman" w:eastAsia="Times New Roman" w:hAnsi="Times New Roman"/>
                  <w:sz w:val="18"/>
                  <w:szCs w:val="18"/>
                  <w:color w:val="0000EE"/>
                </w:rPr>
                <w:t>THE COMPANY</w:t>
              </w:r>
            </w:hyperlink>
          </w:p>
        </w:tc>
        <w:tc>
          <w:tcPr>
            <w:tcW w:w="5600" w:type="dxa"/>
            <w:vAlign w:val="bottom"/>
            <w:gridSpan w:val="2"/>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33">
              <w:r>
                <w:rPr>
                  <w:rFonts w:ascii="Times New Roman" w:cs="Times New Roman" w:eastAsia="Times New Roman" w:hAnsi="Times New Roman"/>
                  <w:sz w:val="18"/>
                  <w:szCs w:val="18"/>
                  <w:color w:val="0000EE"/>
                  <w:w w:val="99"/>
                </w:rPr>
                <w:t>FEES AND EXPENSES</w:t>
              </w:r>
            </w:hyperlink>
          </w:p>
        </w:tc>
        <w:tc>
          <w:tcPr>
            <w:tcW w:w="914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0940" w:type="dxa"/>
            <w:vAlign w:val="bottom"/>
            <w:gridSpan w:val="11"/>
          </w:tcPr>
          <w:p>
            <w:pPr>
              <w:spacing w:after="0" w:line="196" w:lineRule="exact"/>
              <w:rPr>
                <w:rFonts w:ascii="Times New Roman" w:cs="Times New Roman" w:eastAsia="Times New Roman" w:hAnsi="Times New Roman"/>
                <w:sz w:val="18"/>
                <w:szCs w:val="18"/>
                <w:color w:val="0000EE"/>
              </w:rPr>
            </w:pPr>
            <w:hyperlink w:anchor="page336">
              <w:r>
                <w:rPr>
                  <w:rFonts w:ascii="Times New Roman" w:cs="Times New Roman" w:eastAsia="Times New Roman" w:hAnsi="Times New Roman"/>
                  <w:sz w:val="18"/>
                  <w:szCs w:val="18"/>
                  <w:color w:val="0000EE"/>
                </w:rPr>
                <w:t>RISK FACTORS</w:t>
              </w:r>
            </w:hyperlink>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1"/>
          </w:tcPr>
          <w:p>
            <w:pPr>
              <w:spacing w:after="0" w:line="194" w:lineRule="exact"/>
              <w:rPr>
                <w:rFonts w:ascii="Times New Roman" w:cs="Times New Roman" w:eastAsia="Times New Roman" w:hAnsi="Times New Roman"/>
                <w:sz w:val="18"/>
                <w:szCs w:val="18"/>
                <w:color w:val="0000EE"/>
              </w:rPr>
            </w:pPr>
            <w:hyperlink w:anchor="page337">
              <w:r>
                <w:rPr>
                  <w:rFonts w:ascii="Times New Roman" w:cs="Times New Roman" w:eastAsia="Times New Roman" w:hAnsi="Times New Roman"/>
                  <w:sz w:val="18"/>
                  <w:szCs w:val="18"/>
                  <w:color w:val="0000EE"/>
                </w:rPr>
                <w:t>SELECTED FINANCIAL DATA AND OTHER INFORMATION</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4"/>
        </w:trPr>
        <w:tc>
          <w:tcPr>
            <w:tcW w:w="10940" w:type="dxa"/>
            <w:vAlign w:val="bottom"/>
            <w:gridSpan w:val="11"/>
          </w:tcPr>
          <w:p>
            <w:pPr>
              <w:spacing w:after="0" w:line="194" w:lineRule="exact"/>
              <w:rPr>
                <w:rFonts w:ascii="Times New Roman" w:cs="Times New Roman" w:eastAsia="Times New Roman" w:hAnsi="Times New Roman"/>
                <w:sz w:val="18"/>
                <w:szCs w:val="18"/>
                <w:color w:val="0000EE"/>
              </w:rPr>
            </w:pPr>
            <w:hyperlink w:anchor="page338">
              <w:r>
                <w:rPr>
                  <w:rFonts w:ascii="Times New Roman" w:cs="Times New Roman" w:eastAsia="Times New Roman" w:hAnsi="Times New Roman"/>
                  <w:sz w:val="18"/>
                  <w:szCs w:val="18"/>
                  <w:color w:val="0000EE"/>
                </w:rPr>
                <w:t>THE RIGHTS OFFERING</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1"/>
          </w:tcPr>
          <w:p>
            <w:pPr>
              <w:spacing w:after="0" w:line="194" w:lineRule="exact"/>
              <w:rPr>
                <w:rFonts w:ascii="Times New Roman" w:cs="Times New Roman" w:eastAsia="Times New Roman" w:hAnsi="Times New Roman"/>
                <w:sz w:val="18"/>
                <w:szCs w:val="18"/>
                <w:color w:val="0000EE"/>
              </w:rPr>
            </w:pPr>
            <w:hyperlink w:anchor="page348">
              <w:r>
                <w:rPr>
                  <w:rFonts w:ascii="Times New Roman" w:cs="Times New Roman" w:eastAsia="Times New Roman" w:hAnsi="Times New Roman"/>
                  <w:sz w:val="18"/>
                  <w:szCs w:val="18"/>
                  <w:color w:val="0000EE"/>
                </w:rPr>
                <w:t>USE OF PROCEEDS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1"/>
          </w:tcPr>
          <w:p>
            <w:pPr>
              <w:spacing w:after="0" w:line="194" w:lineRule="exact"/>
              <w:rPr>
                <w:rFonts w:ascii="Times New Roman" w:cs="Times New Roman" w:eastAsia="Times New Roman" w:hAnsi="Times New Roman"/>
                <w:sz w:val="18"/>
                <w:szCs w:val="18"/>
                <w:color w:val="0000EE"/>
              </w:rPr>
            </w:pPr>
            <w:hyperlink w:anchor="page349">
              <w:r>
                <w:rPr>
                  <w:rFonts w:ascii="Times New Roman" w:cs="Times New Roman" w:eastAsia="Times New Roman" w:hAnsi="Times New Roman"/>
                  <w:sz w:val="18"/>
                  <w:szCs w:val="18"/>
                  <w:color w:val="0000EE"/>
                </w:rPr>
                <w:t>PRICE RANGE OF COMMON STOCK AND DISTRIBUTIONS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1"/>
          </w:tcPr>
          <w:p>
            <w:pPr>
              <w:spacing w:after="0" w:line="194" w:lineRule="exact"/>
              <w:rPr>
                <w:rFonts w:ascii="Times New Roman" w:cs="Times New Roman" w:eastAsia="Times New Roman" w:hAnsi="Times New Roman"/>
                <w:sz w:val="18"/>
                <w:szCs w:val="18"/>
                <w:color w:val="0000EE"/>
              </w:rPr>
            </w:pPr>
            <w:hyperlink w:anchor="page35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580" w:type="dxa"/>
            <w:vAlign w:val="bottom"/>
            <w:tcBorders>
              <w:top w:val="single" w:sz="8" w:color="0000EE"/>
            </w:tcBorders>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1"/>
          </w:tcPr>
          <w:p>
            <w:pPr>
              <w:spacing w:after="0" w:line="194" w:lineRule="exact"/>
              <w:rPr>
                <w:rFonts w:ascii="Times New Roman" w:cs="Times New Roman" w:eastAsia="Times New Roman" w:hAnsi="Times New Roman"/>
                <w:sz w:val="18"/>
                <w:szCs w:val="18"/>
                <w:color w:val="0000EE"/>
              </w:rPr>
            </w:pPr>
            <w:hyperlink w:anchor="page353">
              <w:r>
                <w:rPr>
                  <w:rFonts w:ascii="Times New Roman" w:cs="Times New Roman" w:eastAsia="Times New Roman" w:hAnsi="Times New Roman"/>
                  <w:sz w:val="18"/>
                  <w:szCs w:val="18"/>
                  <w:color w:val="0000EE"/>
                </w:rPr>
                <w:t>CAPITALIZATION</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1"/>
          </w:tcPr>
          <w:p>
            <w:pPr>
              <w:spacing w:after="0" w:line="194" w:lineRule="exact"/>
              <w:rPr>
                <w:rFonts w:ascii="Times New Roman" w:cs="Times New Roman" w:eastAsia="Times New Roman" w:hAnsi="Times New Roman"/>
                <w:sz w:val="18"/>
                <w:szCs w:val="18"/>
                <w:color w:val="0000EE"/>
              </w:rPr>
            </w:pPr>
            <w:hyperlink w:anchor="page354">
              <w:r>
                <w:rPr>
                  <w:rFonts w:ascii="Times New Roman" w:cs="Times New Roman" w:eastAsia="Times New Roman" w:hAnsi="Times New Roman"/>
                  <w:sz w:val="18"/>
                  <w:szCs w:val="18"/>
                  <w:color w:val="0000EE"/>
                </w:rPr>
                <w:t>DILUTION</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860" w:type="dxa"/>
            <w:vAlign w:val="bottom"/>
            <w:tcBorders>
              <w:top w:val="single" w:sz="8" w:color="0000EE"/>
            </w:tcBorders>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1"/>
          </w:tcPr>
          <w:p>
            <w:pPr>
              <w:spacing w:after="0" w:line="194" w:lineRule="exact"/>
              <w:rPr>
                <w:rFonts w:ascii="Times New Roman" w:cs="Times New Roman" w:eastAsia="Times New Roman" w:hAnsi="Times New Roman"/>
                <w:sz w:val="18"/>
                <w:szCs w:val="18"/>
                <w:color w:val="0000EE"/>
              </w:rPr>
            </w:pPr>
            <w:hyperlink w:anchor="page355">
              <w:r>
                <w:rPr>
                  <w:rFonts w:ascii="Times New Roman" w:cs="Times New Roman" w:eastAsia="Times New Roman" w:hAnsi="Times New Roman"/>
                  <w:sz w:val="18"/>
                  <w:szCs w:val="18"/>
                  <w:color w:val="0000EE"/>
                </w:rPr>
                <w:t>LEGAL MATTERS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8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1"/>
          </w:tcPr>
          <w:p>
            <w:pPr>
              <w:spacing w:after="0" w:line="194" w:lineRule="exact"/>
              <w:rPr>
                <w:rFonts w:ascii="Times New Roman" w:cs="Times New Roman" w:eastAsia="Times New Roman" w:hAnsi="Times New Roman"/>
                <w:sz w:val="18"/>
                <w:szCs w:val="18"/>
                <w:color w:val="0000EE"/>
              </w:rPr>
            </w:pPr>
            <w:hyperlink w:anchor="page356">
              <w:r>
                <w:rPr>
                  <w:rFonts w:ascii="Times New Roman" w:cs="Times New Roman" w:eastAsia="Times New Roman" w:hAnsi="Times New Roman"/>
                  <w:sz w:val="18"/>
                  <w:szCs w:val="18"/>
                  <w:color w:val="0000EE"/>
                </w:rPr>
                <w:t>FINANCIAL STATEMENTS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37"/>
        </w:trPr>
        <w:tc>
          <w:tcPr>
            <w:tcW w:w="8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Page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table of contents from base prospectus.]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455" w:right="239" w:bottom="1440" w:gutter="0" w:footer="0" w:header="0"/>
        </w:sectPr>
      </w:pPr>
    </w:p>
    <w:bookmarkStart w:id="328" w:name="page329"/>
    <w:bookmarkEnd w:id="3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67" w:lineRule="exact"/>
        <w:rPr>
          <w:sz w:val="20"/>
          <w:szCs w:val="20"/>
          <w:color w:val="auto"/>
        </w:rPr>
      </w:pPr>
    </w:p>
    <w:p>
      <w:pPr>
        <w:ind w:left="900" w:right="240" w:hanging="325"/>
        <w:spacing w:after="0" w:line="282" w:lineRule="auto"/>
        <w:tabs>
          <w:tab w:leader="none" w:pos="9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ind w:left="900" w:right="40" w:hanging="325"/>
        <w:spacing w:after="0" w:line="313" w:lineRule="auto"/>
        <w:tabs>
          <w:tab w:leader="none" w:pos="90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and the accompanying prospectus.</w:t>
      </w:r>
    </w:p>
    <w:p>
      <w:pPr>
        <w:spacing w:after="0" w:line="162"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455" w:right="239" w:bottom="1440" w:gutter="0" w:footer="0" w:header="0"/>
        </w:sectPr>
      </w:pPr>
    </w:p>
    <w:bookmarkStart w:id="329" w:name="page330"/>
    <w:bookmarkEnd w:id="3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in this prospectus supplement and the accompanying prospectus.</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prospectus supplement and the accompanying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180"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74" w:lineRule="exact"/>
        <w:rPr>
          <w:sz w:val="20"/>
          <w:szCs w:val="20"/>
          <w:color w:val="auto"/>
        </w:rPr>
      </w:pPr>
    </w:p>
    <w:p>
      <w:pPr>
        <w:ind w:right="3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w:t>
      </w:r>
    </w:p>
    <w:p>
      <w:pPr>
        <w:spacing w:after="0" w:line="27"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through ,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00"/>
          </w:cols>
          <w:pgMar w:left="240" w:top="455" w:right="25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Table of Contents</w:t>
              </w:r>
            </w:hyperlink>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515"/>
        </w:trPr>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debt. Based on fair value as of</w:t>
            </w:r>
          </w:p>
        </w:tc>
        <w:tc>
          <w:tcPr>
            <w:tcW w:w="540" w:type="dxa"/>
            <w:vAlign w:val="bottom"/>
          </w:tcPr>
          <w:p>
            <w:pPr>
              <w:spacing w:after="0"/>
              <w:rPr>
                <w:sz w:val="24"/>
                <w:szCs w:val="24"/>
                <w:color w:val="auto"/>
              </w:rPr>
            </w:pPr>
          </w:p>
        </w:tc>
        <w:tc>
          <w:tcPr>
            <w:tcW w:w="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 20</w:t>
            </w:r>
          </w:p>
        </w:tc>
        <w:tc>
          <w:tcPr>
            <w:tcW w:w="44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our portfolio consisted of  % first-lien debt investments,</w:t>
            </w:r>
          </w:p>
        </w:tc>
        <w:tc>
          <w:tcPr>
            <w:tcW w:w="25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second-lien debt investments,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mezzanine</w:t>
            </w:r>
          </w:p>
        </w:tc>
        <w:tc>
          <w:tcPr>
            <w:tcW w:w="60" w:type="dxa"/>
            <w:vAlign w:val="bottom"/>
          </w:tcPr>
          <w:p>
            <w:pPr>
              <w:spacing w:after="0"/>
              <w:rPr>
                <w:sz w:val="24"/>
                <w:szCs w:val="24"/>
                <w:color w:val="auto"/>
              </w:rPr>
            </w:pPr>
          </w:p>
        </w:tc>
      </w:tr>
      <w:tr>
        <w:trPr>
          <w:trHeight w:val="216"/>
        </w:trPr>
        <w:tc>
          <w:tcPr>
            <w:tcW w:w="7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debt investments and  % equity investments. Approximately  % of our investments as of</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20</w:t>
            </w:r>
          </w:p>
        </w:tc>
        <w:tc>
          <w:tcPr>
            <w:tcW w:w="35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9"/>
              </w:rPr>
              <w:t>are floating rate in nature, subject to interest rate</w:t>
            </w:r>
          </w:p>
        </w:tc>
        <w:tc>
          <w:tcPr>
            <w:tcW w:w="60" w:type="dxa"/>
            <w:vAlign w:val="bottom"/>
          </w:tcPr>
          <w:p>
            <w:pPr>
              <w:spacing w:after="0"/>
              <w:rPr>
                <w:sz w:val="18"/>
                <w:szCs w:val="18"/>
                <w:color w:val="auto"/>
              </w:rPr>
            </w:pPr>
          </w:p>
        </w:tc>
      </w:tr>
      <w:tr>
        <w:trPr>
          <w:trHeight w:val="234"/>
        </w:trPr>
        <w:tc>
          <w:tcPr>
            <w:tcW w:w="5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floors, which we believe helps act as a portfolio-wide hedge against inflation.</w:t>
            </w: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24"/>
                <w:szCs w:val="24"/>
                <w:color w:val="auto"/>
              </w:rPr>
            </w:pPr>
          </w:p>
        </w:tc>
        <w:tc>
          <w:tcPr>
            <w:tcW w:w="350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color w:val="auto"/>
              </w:rPr>
              <w:t>, 20  , our portfolio was invested across</w:t>
            </w:r>
          </w:p>
        </w:tc>
        <w:tc>
          <w:tcPr>
            <w:tcW w:w="63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different industries. The largest industries in our portfolio, based on fair value as</w:t>
            </w:r>
          </w:p>
        </w:tc>
        <w:tc>
          <w:tcPr>
            <w:tcW w:w="60" w:type="dxa"/>
            <w:vAlign w:val="bottom"/>
          </w:tcPr>
          <w:p>
            <w:pPr>
              <w:spacing w:after="0"/>
              <w:rPr>
                <w:sz w:val="24"/>
                <w:szCs w:val="24"/>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20</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were</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and ,</w:t>
            </w:r>
          </w:p>
        </w:tc>
        <w:tc>
          <w:tcPr>
            <w:tcW w:w="3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which represented, as a percentage of our portfolio,</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and</w:t>
            </w:r>
          </w:p>
        </w:tc>
        <w:tc>
          <w:tcPr>
            <w:tcW w:w="26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8"/>
              </w:rPr>
              <w:t>%, respectively. We expect that no</w:t>
            </w:r>
          </w:p>
        </w:tc>
      </w:tr>
      <w:tr>
        <w:trPr>
          <w:trHeight w:val="234"/>
        </w:trPr>
        <w:tc>
          <w:tcPr>
            <w:tcW w:w="3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single investment will represent more than</w:t>
            </w:r>
          </w:p>
        </w:tc>
        <w:tc>
          <w:tcPr>
            <w:tcW w:w="4440" w:type="dxa"/>
            <w:vAlign w:val="bottom"/>
            <w:gridSpan w:val="6"/>
          </w:tcPr>
          <w:p>
            <w:pPr>
              <w:jc w:val="right"/>
              <w:ind w:right="310"/>
              <w:spacing w:after="0"/>
              <w:rPr>
                <w:sz w:val="20"/>
                <w:szCs w:val="20"/>
                <w:color w:val="auto"/>
              </w:rPr>
            </w:pPr>
            <w:r>
              <w:rPr>
                <w:rFonts w:ascii="Times New Roman" w:cs="Times New Roman" w:eastAsia="Times New Roman" w:hAnsi="Times New Roman"/>
                <w:sz w:val="18"/>
                <w:szCs w:val="18"/>
                <w:color w:val="auto"/>
              </w:rPr>
              <w:t>% of our total investment portfolio, based on fair value.</w:t>
            </w: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24"/>
                <w:szCs w:val="24"/>
                <w:color w:val="auto"/>
              </w:rPr>
            </w:pPr>
          </w:p>
        </w:tc>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20  , we had investments in</w:t>
            </w:r>
          </w:p>
        </w:tc>
        <w:tc>
          <w:tcPr>
            <w:tcW w:w="300" w:type="dxa"/>
            <w:vAlign w:val="bottom"/>
          </w:tcPr>
          <w:p>
            <w:pPr>
              <w:spacing w:after="0"/>
              <w:rPr>
                <w:sz w:val="24"/>
                <w:szCs w:val="24"/>
                <w:color w:val="auto"/>
              </w:rPr>
            </w:pPr>
          </w:p>
        </w:tc>
        <w:tc>
          <w:tcPr>
            <w:tcW w:w="39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portfolio companies with an aggregate fair value of $</w:t>
            </w:r>
          </w:p>
        </w:tc>
        <w:tc>
          <w:tcPr>
            <w:tcW w:w="31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rPr>
              <w:t>million. For the months ended</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w:t>
            </w:r>
          </w:p>
        </w:tc>
      </w:tr>
      <w:tr>
        <w:trPr>
          <w:trHeight w:val="216"/>
        </w:trPr>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20  , we made new investment commitments of $</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million, $</w:t>
            </w: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in</w:t>
            </w:r>
          </w:p>
        </w:tc>
        <w:tc>
          <w:tcPr>
            <w:tcW w:w="27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new portfolio companies and $</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million in</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existing portfolio</w:t>
            </w:r>
          </w:p>
        </w:tc>
        <w:tc>
          <w:tcPr>
            <w:tcW w:w="60" w:type="dxa"/>
            <w:vAlign w:val="bottom"/>
          </w:tcPr>
          <w:p>
            <w:pPr>
              <w:spacing w:after="0"/>
              <w:rPr>
                <w:sz w:val="18"/>
                <w:szCs w:val="18"/>
                <w:color w:val="auto"/>
              </w:rPr>
            </w:pPr>
          </w:p>
        </w:tc>
      </w:tr>
      <w:tr>
        <w:trPr>
          <w:trHeight w:val="216"/>
        </w:trPr>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companies. For this period, we had $</w:t>
            </w:r>
          </w:p>
        </w:tc>
        <w:tc>
          <w:tcPr>
            <w:tcW w:w="7400" w:type="dxa"/>
            <w:vAlign w:val="bottom"/>
            <w:gridSpan w:val="11"/>
          </w:tcPr>
          <w:p>
            <w:pPr>
              <w:ind w:left="240"/>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 resulting in net portfolio growth of $</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million</w:t>
            </w:r>
          </w:p>
        </w:tc>
        <w:tc>
          <w:tcPr>
            <w:tcW w:w="60" w:type="dxa"/>
            <w:vAlign w:val="bottom"/>
          </w:tcPr>
          <w:p>
            <w:pPr>
              <w:spacing w:after="0"/>
              <w:rPr>
                <w:sz w:val="18"/>
                <w:szCs w:val="18"/>
                <w:color w:val="auto"/>
              </w:rPr>
            </w:pPr>
          </w:p>
        </w:tc>
      </w:tr>
      <w:tr>
        <w:trPr>
          <w:trHeight w:val="234"/>
        </w:trPr>
        <w:tc>
          <w:tcPr>
            <w:tcW w:w="2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 of December 31, 20</w:t>
            </w:r>
          </w:p>
        </w:tc>
        <w:tc>
          <w:tcPr>
            <w:tcW w:w="18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we had investments in</w:t>
            </w:r>
          </w:p>
        </w:tc>
        <w:tc>
          <w:tcPr>
            <w:tcW w:w="454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portfolio companies with an aggregate fair value of $</w:t>
            </w:r>
          </w:p>
        </w:tc>
        <w:tc>
          <w:tcPr>
            <w:tcW w:w="260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w w:val="99"/>
              </w:rPr>
              <w:t>million. For the year ended</w:t>
            </w:r>
          </w:p>
        </w:tc>
        <w:tc>
          <w:tcPr>
            <w:tcW w:w="60" w:type="dxa"/>
            <w:vAlign w:val="bottom"/>
          </w:tcPr>
          <w:p>
            <w:pPr>
              <w:spacing w:after="0"/>
              <w:rPr>
                <w:sz w:val="24"/>
                <w:szCs w:val="24"/>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w:t>
            </w:r>
          </w:p>
        </w:tc>
        <w:tc>
          <w:tcPr>
            <w:tcW w:w="80" w:type="dxa"/>
            <w:vAlign w:val="bottom"/>
          </w:tcPr>
          <w:p>
            <w:pPr>
              <w:spacing w:after="0"/>
              <w:rPr>
                <w:sz w:val="18"/>
                <w:szCs w:val="18"/>
                <w:color w:val="auto"/>
              </w:rPr>
            </w:pPr>
          </w:p>
        </w:tc>
        <w:tc>
          <w:tcPr>
            <w:tcW w:w="350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color w:val="auto"/>
              </w:rPr>
              <w:t>, we made new investment commitments of $</w:t>
            </w: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w:t>
            </w:r>
          </w:p>
        </w:tc>
        <w:tc>
          <w:tcPr>
            <w:tcW w:w="1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in</w:t>
            </w: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new portfolio companies and $</w:t>
            </w:r>
          </w:p>
        </w:tc>
        <w:tc>
          <w:tcPr>
            <w:tcW w:w="15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million in</w:t>
            </w:r>
          </w:p>
        </w:tc>
        <w:tc>
          <w:tcPr>
            <w:tcW w:w="60" w:type="dxa"/>
            <w:vAlign w:val="bottom"/>
          </w:tcPr>
          <w:p>
            <w:pPr>
              <w:spacing w:after="0"/>
              <w:rPr>
                <w:sz w:val="18"/>
                <w:szCs w:val="18"/>
                <w:color w:val="auto"/>
              </w:rPr>
            </w:pPr>
          </w:p>
        </w:tc>
      </w:tr>
      <w:tr>
        <w:trPr>
          <w:trHeight w:val="234"/>
        </w:trPr>
        <w:tc>
          <w:tcPr>
            <w:tcW w:w="4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existing portfolio companies. For this period, we had $</w:t>
            </w:r>
          </w:p>
        </w:tc>
        <w:tc>
          <w:tcPr>
            <w:tcW w:w="71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 resulting in net portfolio growth of</w:t>
            </w:r>
          </w:p>
        </w:tc>
        <w:tc>
          <w:tcPr>
            <w:tcW w:w="60" w:type="dxa"/>
            <w:vAlign w:val="bottom"/>
          </w:tcPr>
          <w:p>
            <w:pPr>
              <w:spacing w:after="0"/>
              <w:rPr>
                <w:sz w:val="20"/>
                <w:szCs w:val="20"/>
                <w:color w:val="auto"/>
              </w:rPr>
            </w:pPr>
          </w:p>
        </w:tc>
      </w:tr>
    </w:tbl>
    <w:p>
      <w:pPr>
        <w:ind w:left="460" w:hanging="452"/>
        <w:spacing w:after="0"/>
        <w:tabs>
          <w:tab w:leader="none" w:pos="4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million aggregate principal amount.</w:t>
      </w:r>
    </w:p>
    <w:p>
      <w:pPr>
        <w:spacing w:after="0" w:line="207"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Since we began investing in 2011 through , 20 , our exited investments have resulted in an aggregate cash flow realized gross internal rate of return to us of approximately % (based on cash invested of approximately $ million and total proceeds from these exited investments of approximately</w:t>
      </w:r>
    </w:p>
    <w:p>
      <w:pPr>
        <w:jc w:val="both"/>
        <w:ind w:right="60" w:firstLine="8"/>
        <w:spacing w:after="0" w:line="255" w:lineRule="auto"/>
        <w:tabs>
          <w:tab w:leader="none" w:pos="45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 —Results of Operations—Aggregate Cash Flow Realized Gross Internal Rate of Return.”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or the Investment Review Committee, which includes senior personnel of TSSP and TPG.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00"/>
          </w:cols>
          <w:pgMar w:left="240" w:top="446" w:right="259" w:bottom="1440" w:gutter="0" w:footer="0" w:header="0"/>
        </w:sectPr>
      </w:pPr>
    </w:p>
    <w:bookmarkStart w:id="331" w:name="page332"/>
    <w:bookmarkEnd w:id="3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TSSP, which encompasses TPG Specialty Lending, TPG Opportunities Partners and TPG Institutional Credit Partners, is TPG’s special situations and</w:t>
      </w:r>
    </w:p>
    <w:p>
      <w:pPr>
        <w:spacing w:after="0" w:line="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credit platform. TSSP had over $ billion of assets under management as of , 20 . TSSP has extensive experience with highly complex, global public and private investments executed through primary originations, secondary market purchases and restructurings, and has a team of investment and operating professionals. of these personnel are dedicated to our business, including investment professionals. The TSSP members of the Investment Review Committee are Joshua Easterly, Michael Fishman, Alan Waxman and David Stiepleman.</w:t>
      </w:r>
    </w:p>
    <w:p>
      <w:pPr>
        <w:spacing w:after="0" w:line="186" w:lineRule="exact"/>
        <w:rPr>
          <w:sz w:val="20"/>
          <w:szCs w:val="20"/>
          <w:color w:val="auto"/>
        </w:rPr>
      </w:pPr>
    </w:p>
    <w:p>
      <w:pPr>
        <w:ind w:left="460"/>
        <w:spacing w:after="0"/>
        <w:tabs>
          <w:tab w:leader="none" w:pos="6000" w:val="left"/>
          <w:tab w:leader="none" w:pos="9720" w:val="left"/>
          <w:tab w:leader="none" w:pos="10120" w:val="left"/>
        </w:tabs>
        <w:rPr>
          <w:sz w:val="20"/>
          <w:szCs w:val="20"/>
          <w:color w:val="auto"/>
        </w:rPr>
      </w:pPr>
      <w:r>
        <w:rPr>
          <w:rFonts w:ascii="Times New Roman" w:cs="Times New Roman" w:eastAsia="Times New Roman" w:hAnsi="Times New Roman"/>
          <w:sz w:val="18"/>
          <w:szCs w:val="18"/>
          <w:color w:val="auto"/>
        </w:rPr>
        <w:t>TPG is a leading global private investment firm founded in 1992 with</w:t>
      </w:r>
      <w:r>
        <w:rPr>
          <w:sz w:val="20"/>
          <w:szCs w:val="20"/>
          <w:color w:val="auto"/>
        </w:rPr>
        <w:tab/>
      </w:r>
      <w:r>
        <w:rPr>
          <w:rFonts w:ascii="Times New Roman" w:cs="Times New Roman" w:eastAsia="Times New Roman" w:hAnsi="Times New Roman"/>
          <w:sz w:val="18"/>
          <w:szCs w:val="18"/>
          <w:color w:val="auto"/>
        </w:rPr>
        <w:t>billion of assets under management, as of</w:t>
      </w:r>
      <w:r>
        <w:rPr>
          <w:sz w:val="20"/>
          <w:szCs w:val="20"/>
          <w:color w:val="auto"/>
        </w:rPr>
        <w:tab/>
      </w: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7"/>
          <w:szCs w:val="17"/>
          <w:color w:val="auto"/>
        </w:rPr>
        <w:t>, and offices in</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w:t>
      </w:r>
    </w:p>
    <w:p>
      <w:pPr>
        <w:spacing w:after="0" w:line="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growth investments, joint ventures and restructurings, and has a team of professionals. The TPG members of the Investment Review Committee are TPG co-founders, David Bonderman and James Coulter, and TPG Senior Partners, Jonathan Coslet and James Gates.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of the Adviser consists primarily of senior executives of TSSP and TPG. TSSP and TPG executives, including members of our</w:t>
      </w:r>
    </w:p>
    <w:p>
      <w:pPr>
        <w:spacing w:after="0" w:line="27" w:lineRule="exact"/>
        <w:rPr>
          <w:sz w:val="20"/>
          <w:szCs w:val="20"/>
          <w:color w:val="auto"/>
        </w:rPr>
      </w:pPr>
    </w:p>
    <w:p>
      <w:pPr>
        <w:jc w:val="both"/>
        <w:ind w:right="760"/>
        <w:spacing w:after="0" w:line="255" w:lineRule="auto"/>
        <w:rPr>
          <w:sz w:val="20"/>
          <w:szCs w:val="20"/>
          <w:color w:val="auto"/>
        </w:rPr>
      </w:pPr>
      <w:r>
        <w:rPr>
          <w:rFonts w:ascii="Times New Roman" w:cs="Times New Roman" w:eastAsia="Times New Roman" w:hAnsi="Times New Roman"/>
          <w:sz w:val="18"/>
          <w:szCs w:val="18"/>
          <w:color w:val="auto"/>
        </w:rPr>
        <w:t>Investment Review Committee and certain of our other senior personnel, own a significant stake in the Adviser. As of , 20 , our Adviser owned % of our common stock. See “Management,” “Related-Party Transactions and Certain Relationships” and “Control Persons and Principal Stockholders” in the accompanying prospectus.</w:t>
      </w:r>
    </w:p>
    <w:p>
      <w:pPr>
        <w:spacing w:after="0" w:line="18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360"/>
          </w:cols>
          <w:pgMar w:left="240" w:top="455" w:right="299" w:bottom="1440" w:gutter="0" w:footer="0" w:header="0"/>
        </w:sectPr>
      </w:pPr>
    </w:p>
    <w:bookmarkStart w:id="332" w:name="page333"/>
    <w:bookmarkEnd w:id="3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right="280" w:firstLine="456"/>
        <w:spacing w:after="0" w:line="270" w:lineRule="auto"/>
        <w:rPr>
          <w:sz w:val="20"/>
          <w:szCs w:val="20"/>
          <w:color w:val="auto"/>
        </w:rPr>
      </w:pPr>
      <w:r>
        <w:rPr>
          <w:rFonts w:ascii="Times New Roman" w:cs="Times New Roman" w:eastAsia="Times New Roman" w:hAnsi="Times New Roman"/>
          <w:sz w:val="17"/>
          <w:szCs w:val="17"/>
          <w:color w:val="auto"/>
        </w:rPr>
        <w:t>The following table is intended to assist you in understanding the costs and expenses that an investor in our common stock will bear directly or indirectly,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based on the assumption that we borrow amounts under our credit facilities and debt securities in an amount so that our total borrowings are 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table or the accompanying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-116840</wp:posOffset>
            </wp:positionV>
            <wp:extent cx="6663690" cy="1371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ectPr>
          <w:pgSz w:w="11900" w:h="16838" w:orient="portrait"/>
          <w:cols w:equalWidth="0" w:num="1">
            <w:col w:w="11380"/>
          </w:cols>
          <w:pgMar w:left="240" w:top="455" w:right="279" w:bottom="1440" w:gutter="0" w:footer="0" w:header="0"/>
        </w:sectPr>
      </w:pP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load</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Dividend reinvestment plan expenses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0"/>
        <w:spacing w:after="0" w:line="183" w:lineRule="auto"/>
        <w:rPr>
          <w:sz w:val="20"/>
          <w:szCs w:val="20"/>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28"/>
          <w:szCs w:val="28"/>
          <w:color w:val="auto"/>
          <w:vertAlign w:val="superscript"/>
        </w:rPr>
        <w:t>)</w:t>
      </w:r>
    </w:p>
    <w:p>
      <w:pPr>
        <w:ind w:left="260"/>
        <w:spacing w:after="0" w:line="181" w:lineRule="auto"/>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25"/>
          <w:szCs w:val="25"/>
          <w:color w:val="auto"/>
          <w:vertAlign w:val="superscript"/>
        </w:rPr>
        <w:t>)</w:t>
      </w: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5"/>
          <w:szCs w:val="15"/>
          <w:color w:val="auto"/>
        </w:rPr>
        <w:t>(3)</w:t>
      </w:r>
    </w:p>
    <w:p>
      <w:pPr>
        <w:spacing w:after="0" w:line="225" w:lineRule="exact"/>
        <w:rPr>
          <w:sz w:val="20"/>
          <w:szCs w:val="20"/>
          <w:color w:val="auto"/>
        </w:rPr>
      </w:pPr>
    </w:p>
    <w:p>
      <w:pPr>
        <w:sectPr>
          <w:pgSz w:w="11900" w:h="16838" w:orient="portrait"/>
          <w:cols w:equalWidth="0" w:num="2">
            <w:col w:w="9440" w:space="720"/>
            <w:col w:w="1220"/>
          </w:cols>
          <w:pgMar w:left="240" w:top="455" w:right="279" w:bottom="1440" w:gutter="0" w:footer="0" w:header="0"/>
          <w:type w:val="continuous"/>
        </w:sectPr>
      </w:pPr>
    </w:p>
    <w:tbl>
      <w:tblPr>
        <w:tblLayout w:type="fixed"/>
        <w:tblInd w:w="460" w:type="dxa"/>
        <w:tblCellMar>
          <w:top w:w="0" w:type="dxa"/>
          <w:left w:w="0" w:type="dxa"/>
          <w:bottom w:w="0" w:type="dxa"/>
          <w:right w:w="0" w:type="dxa"/>
        </w:tblCellMar>
      </w:tblPr>
      <w:tr>
        <w:trPr>
          <w:trHeight w:val="21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4480" w:type="dxa"/>
            <w:vAlign w:val="bottom"/>
          </w:tcPr>
          <w:p>
            <w:pPr>
              <w:spacing w:after="0"/>
              <w:rPr>
                <w:sz w:val="18"/>
                <w:szCs w:val="18"/>
                <w:color w:val="auto"/>
              </w:rPr>
            </w:pPr>
          </w:p>
        </w:tc>
        <w:tc>
          <w:tcPr>
            <w:tcW w:w="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(4)</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 (</w:t>
            </w:r>
          </w:p>
        </w:tc>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of net investment income and capital gains)</w:t>
            </w:r>
          </w:p>
        </w:tc>
        <w:tc>
          <w:tcPr>
            <w:tcW w:w="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(5)</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4480" w:type="dxa"/>
            <w:vAlign w:val="bottom"/>
          </w:tcPr>
          <w:p>
            <w:pPr>
              <w:spacing w:after="0"/>
              <w:rPr>
                <w:sz w:val="18"/>
                <w:szCs w:val="18"/>
                <w:color w:val="auto"/>
              </w:rPr>
            </w:pPr>
          </w:p>
        </w:tc>
        <w:tc>
          <w:tcPr>
            <w:tcW w:w="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(6)</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(7)(8)</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4480" w:type="dxa"/>
            <w:vAlign w:val="bottom"/>
          </w:tcPr>
          <w:p>
            <w:pPr>
              <w:spacing w:after="0"/>
              <w:rPr>
                <w:sz w:val="19"/>
                <w:szCs w:val="19"/>
                <w:color w:val="auto"/>
              </w:rPr>
            </w:pPr>
          </w:p>
        </w:tc>
        <w:tc>
          <w:tcPr>
            <w:tcW w:w="4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1"/>
              </w:rPr>
              <w:t>(8)</w:t>
            </w:r>
          </w:p>
        </w:tc>
      </w:tr>
      <w:tr>
        <w:trPr>
          <w:trHeight w:val="20"/>
        </w:trPr>
        <w:tc>
          <w:tcPr>
            <w:tcW w:w="51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hanging="452"/>
        <w:spacing w:after="0"/>
        <w:tabs>
          <w:tab w:leader="none" w:pos="4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load (dealer manager fee) with respect to the shares sold in this offering, which is a one-time fee paid to the underwriters, is the only sales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load paid in connection with this offering.</w:t>
      </w:r>
    </w:p>
    <w:p>
      <w:pPr>
        <w:spacing w:after="0" w:line="9" w:lineRule="exact"/>
        <w:rPr>
          <w:sz w:val="20"/>
          <w:szCs w:val="20"/>
          <w:color w:val="auto"/>
        </w:rPr>
      </w:pPr>
    </w:p>
    <w:p>
      <w:pPr>
        <w:spacing w:after="0"/>
        <w:tabs>
          <w:tab w:leader="none" w:pos="440" w:val="left"/>
          <w:tab w:leader="none" w:pos="5600" w:val="left"/>
        </w:tabs>
        <w:rPr>
          <w:sz w:val="20"/>
          <w:szCs w:val="20"/>
          <w:color w:val="auto"/>
        </w:rPr>
      </w:pPr>
      <w:r>
        <w:rPr>
          <w:rFonts w:ascii="Times New Roman" w:cs="Times New Roman" w:eastAsia="Times New Roman" w:hAnsi="Times New Roman"/>
          <w:sz w:val="18"/>
          <w:szCs w:val="18"/>
          <w:color w:val="auto"/>
        </w:rPr>
        <w:t>(2)</w:t>
        <w:tab/>
        <w:t>Amount reflects estimated offering expenses of approximately $</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ind w:left="460" w:hanging="452"/>
        <w:spacing w:after="0"/>
        <w:tabs>
          <w:tab w:leader="none" w:pos="4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For additional information, see “Dividend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Reinvestment Plan” in the accompanying prospectus.</w:t>
      </w:r>
    </w:p>
    <w:p>
      <w:pPr>
        <w:spacing w:after="0" w:line="9" w:lineRule="exact"/>
        <w:rPr>
          <w:sz w:val="20"/>
          <w:szCs w:val="20"/>
          <w:color w:val="auto"/>
        </w:rPr>
      </w:pPr>
    </w:p>
    <w:p>
      <w:pPr>
        <w:ind w:left="460" w:right="140" w:hanging="459"/>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(4)</w:t>
        <w:tab/>
        <w:t>The Management Fee is % of our gross assets (including cash and cash equivalents and assets purchased with borrowed amounts). We may from time to time decide it is appropriate to change the terms of our Investment Advisory Agreement. Under the 1940 Act, any material change to our Investment Advisory Agreement (as defined in the accompanying prospectus) must be submitted to stockholders for approval. See “Management and Other Agreements—Investment Advisory Agreement; Administration Agreement; License Agreement” in the accompanying prospectus.</w:t>
      </w:r>
    </w:p>
    <w:p>
      <w:pPr>
        <w:spacing w:after="0" w:line="51" w:lineRule="exact"/>
        <w:rPr>
          <w:sz w:val="20"/>
          <w:szCs w:val="20"/>
          <w:color w:val="auto"/>
        </w:rPr>
      </w:pPr>
    </w:p>
    <w:p>
      <w:pPr>
        <w:ind w:left="460" w:right="140"/>
        <w:spacing w:after="0" w:line="261" w:lineRule="auto"/>
        <w:rPr>
          <w:sz w:val="20"/>
          <w:szCs w:val="20"/>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w:t>
      </w:r>
    </w:p>
    <w:tbl>
      <w:tblPr>
        <w:tblLayout w:type="fixed"/>
        <w:tblInd w:w="460" w:type="dxa"/>
        <w:tblCellMar>
          <w:top w:w="0" w:type="dxa"/>
          <w:left w:w="0" w:type="dxa"/>
          <w:bottom w:w="0" w:type="dxa"/>
          <w:right w:w="0" w:type="dxa"/>
        </w:tblCellMar>
      </w:tblPr>
      <w:tr>
        <w:trPr>
          <w:trHeight w:val="218"/>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and cash equivalents and assets purchased with borrowed money) and our net assets attributable to common stock as of</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r>
    </w:tbl>
    <w:p>
      <w:pPr>
        <w:ind w:left="460" w:hanging="452"/>
        <w:spacing w:after="0"/>
        <w:tabs>
          <w:tab w:leader="none" w:pos="460"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capital gains and interest income that could result in the payment of an Incentive Fee to the Adviser in the twelve months after the date of</w:t>
      </w:r>
    </w:p>
    <w:p>
      <w:pPr>
        <w:spacing w:after="0" w:line="19" w:lineRule="exact"/>
        <w:rPr>
          <w:sz w:val="20"/>
          <w:szCs w:val="20"/>
          <w:color w:val="auto"/>
        </w:rPr>
      </w:pPr>
    </w:p>
    <w:p>
      <w:pPr>
        <w:ind w:left="460"/>
        <w:spacing w:after="0"/>
        <w:tabs>
          <w:tab w:leader="none" w:pos="10400" w:val="left"/>
          <w:tab w:leader="none" w:pos="10860" w:val="left"/>
        </w:tabs>
        <w:rPr>
          <w:sz w:val="20"/>
          <w:szCs w:val="20"/>
          <w:color w:val="auto"/>
        </w:rPr>
      </w:pPr>
      <w:r>
        <w:rPr>
          <w:rFonts w:ascii="Times New Roman" w:cs="Times New Roman" w:eastAsia="Times New Roman" w:hAnsi="Times New Roman"/>
          <w:sz w:val="18"/>
          <w:szCs w:val="18"/>
          <w:color w:val="auto"/>
        </w:rPr>
        <w:t>this prospectus supplement. The Incentive Fee payable in the example below is based upon our actual results for the quarter ended</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assumes that the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380"/>
          </w:cols>
          <w:pgMar w:left="240" w:top="455" w:right="279" w:bottom="1440" w:gutter="0" w:footer="0" w:header="0"/>
          <w:type w:val="continuous"/>
        </w:sectPr>
      </w:pPr>
    </w:p>
    <w:bookmarkStart w:id="333" w:name="page334"/>
    <w:bookmarkEnd w:id="3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1980" w:val="left"/>
        </w:tabs>
        <w:rPr>
          <w:sz w:val="20"/>
          <w:szCs w:val="20"/>
          <w:color w:val="auto"/>
        </w:rPr>
      </w:pPr>
      <w:r>
        <w:rPr>
          <w:rFonts w:ascii="Times New Roman" w:cs="Times New Roman" w:eastAsia="Times New Roman" w:hAnsi="Times New Roman"/>
          <w:sz w:val="18"/>
          <w:szCs w:val="18"/>
          <w:color w:val="auto"/>
        </w:rPr>
        <w:t>Incentive Fee is</w:t>
      </w:r>
      <w:r>
        <w:rPr>
          <w:sz w:val="20"/>
          <w:szCs w:val="20"/>
          <w:color w:val="auto"/>
        </w:rPr>
        <w:tab/>
      </w:r>
      <w:r>
        <w:rPr>
          <w:rFonts w:ascii="Times New Roman" w:cs="Times New Roman" w:eastAsia="Times New Roman" w:hAnsi="Times New Roman"/>
          <w:sz w:val="17"/>
          <w:szCs w:val="17"/>
          <w:color w:val="auto"/>
        </w:rPr>
        <w:t>% for all relevant periods. However, the Incentive Fee payable to the Adviser is based on our performance and will not be paid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we achieve certain goals.</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Incentive Fee consists of two parts:</w:t>
      </w:r>
    </w:p>
    <w:p>
      <w:pPr>
        <w:spacing w:after="0" w:line="77"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 quarterly “hurdle rate” until the Adviser has received % of the total pre-Incentive Fee net investment income for that quarter and, for pre-Incentive Fee net investment income in excess of % quarterly, % of all remaining pre-Incentive Fee net investment income for that quarter.</w:t>
      </w:r>
    </w:p>
    <w:p>
      <w:pPr>
        <w:spacing w:after="0" w:line="28" w:lineRule="exact"/>
        <w:rPr>
          <w:sz w:val="20"/>
          <w:szCs w:val="20"/>
          <w:color w:val="auto"/>
        </w:rPr>
      </w:pPr>
    </w:p>
    <w:p>
      <w:pPr>
        <w:ind w:left="460" w:right="20"/>
        <w:spacing w:after="0" w:line="276" w:lineRule="auto"/>
        <w:rPr>
          <w:sz w:val="20"/>
          <w:szCs w:val="20"/>
          <w:color w:val="auto"/>
        </w:rPr>
      </w:pPr>
      <w:r>
        <w:rPr>
          <w:rFonts w:ascii="Times New Roman" w:cs="Times New Roman" w:eastAsia="Times New Roman" w:hAnsi="Times New Roman"/>
          <w:sz w:val="17"/>
          <w:szCs w:val="17"/>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w:t>
      </w:r>
    </w:p>
    <w:p>
      <w:pPr>
        <w:spacing w:after="0" w:line="1" w:lineRule="exact"/>
        <w:rPr>
          <w:sz w:val="20"/>
          <w:szCs w:val="20"/>
          <w:color w:val="auto"/>
        </w:rPr>
      </w:pPr>
    </w:p>
    <w:p>
      <w:pPr>
        <w:jc w:val="both"/>
        <w:ind w:left="460" w:right="80"/>
        <w:spacing w:after="0" w:line="250" w:lineRule="auto"/>
        <w:rPr>
          <w:sz w:val="20"/>
          <w:szCs w:val="20"/>
          <w:color w:val="auto"/>
        </w:rPr>
      </w:pPr>
      <w:r>
        <w:rPr>
          <w:rFonts w:ascii="Times New Roman" w:cs="Times New Roman" w:eastAsia="Times New Roman" w:hAnsi="Times New Roman"/>
          <w:sz w:val="18"/>
          <w:szCs w:val="18"/>
          <w:color w:val="auto"/>
        </w:rPr>
        <w:t>and thereafter at %,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1" w:lineRule="exact"/>
        <w:rPr>
          <w:sz w:val="20"/>
          <w:szCs w:val="20"/>
          <w:color w:val="auto"/>
        </w:rPr>
      </w:pPr>
    </w:p>
    <w:p>
      <w:pPr>
        <w:ind w:left="460" w:right="240"/>
        <w:spacing w:after="0" w:line="250" w:lineRule="auto"/>
        <w:rPr>
          <w:sz w:val="20"/>
          <w:szCs w:val="20"/>
          <w:color w:val="auto"/>
        </w:rPr>
      </w:pPr>
      <w:r>
        <w:rPr>
          <w:rFonts w:ascii="Times New Roman" w:cs="Times New Roman" w:eastAsia="Times New Roman" w:hAnsi="Times New Roman"/>
          <w:sz w:val="18"/>
          <w:szCs w:val="18"/>
          <w:color w:val="auto"/>
        </w:rPr>
        <w:t>See “Management and Other Agreements—Investment Advisory Agreement; Administration Agreement; License Agreement” in the accompanying prospectus.</w:t>
      </w:r>
    </w:p>
    <w:p>
      <w:pPr>
        <w:spacing w:after="0" w:line="1" w:lineRule="exact"/>
        <w:rPr>
          <w:sz w:val="20"/>
          <w:szCs w:val="20"/>
          <w:color w:val="auto"/>
        </w:rPr>
      </w:pPr>
    </w:p>
    <w:p>
      <w:pPr>
        <w:ind w:left="460" w:hanging="452"/>
        <w:spacing w:after="0"/>
        <w:tabs>
          <w:tab w:leader="none" w:pos="4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represents an estimate of our annualized interest expenses, based on our interest expense for the quarter ended</w:t>
      </w:r>
    </w:p>
    <w:p>
      <w:pPr>
        <w:spacing w:after="0" w:line="9" w:lineRule="exact"/>
        <w:rPr>
          <w:rFonts w:ascii="Times New Roman" w:cs="Times New Roman" w:eastAsia="Times New Roman" w:hAnsi="Times New Roman"/>
          <w:sz w:val="18"/>
          <w:szCs w:val="18"/>
          <w:color w:val="auto"/>
        </w:rPr>
      </w:pPr>
    </w:p>
    <w:p>
      <w:pPr>
        <w:ind w:left="460" w:right="240" w:firstLine="714"/>
        <w:spacing w:after="0" w:line="250" w:lineRule="auto"/>
        <w:tabs>
          <w:tab w:leader="none" w:pos="127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 under our credit facilities and debt securities based on assumed total borrowings outstanding equal to 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1" w:lineRule="exact"/>
        <w:rPr>
          <w:rFonts w:ascii="Times New Roman" w:cs="Times New Roman" w:eastAsia="Times New Roman" w:hAnsi="Times New Roman"/>
          <w:sz w:val="18"/>
          <w:szCs w:val="18"/>
          <w:color w:val="auto"/>
        </w:rPr>
      </w:pPr>
    </w:p>
    <w:p>
      <w:pPr>
        <w:ind w:left="460" w:right="140" w:hanging="452"/>
        <w:spacing w:after="0" w:line="265" w:lineRule="auto"/>
        <w:tabs>
          <w:tab w:leader="none" w:pos="46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our overhead expenses, such as payments under the Administration Agreement (as defined in the accompanying prospectus) for certain expenses incurred by the Adviser. See “Management and Other Agreements—Investment Advisory Agreement; Administration Agreement; License Agreement” in the accompanying prospectus. We based these expenses on estimated amounts for the current fiscal year by annualizing expenses from</w:t>
      </w:r>
    </w:p>
    <w:p>
      <w:pPr>
        <w:spacing w:after="0" w:line="1" w:lineRule="exact"/>
        <w:rPr>
          <w:sz w:val="20"/>
          <w:szCs w:val="20"/>
          <w:color w:val="auto"/>
        </w:rPr>
      </w:pPr>
    </w:p>
    <w:p>
      <w:pPr>
        <w:ind w:left="460"/>
        <w:spacing w:after="0"/>
        <w:tabs>
          <w:tab w:leader="none" w:pos="1280" w:val="left"/>
          <w:tab w:leader="none" w:pos="2360" w:val="left"/>
          <w:tab w:leader="none" w:pos="2800" w:val="left"/>
        </w:tabs>
        <w:rPr>
          <w:sz w:val="20"/>
          <w:szCs w:val="20"/>
          <w:color w:val="auto"/>
        </w:rPr>
      </w:pP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ending</w:t>
      </w:r>
      <w:r>
        <w:rPr>
          <w:sz w:val="20"/>
          <w:szCs w:val="20"/>
          <w:color w:val="auto"/>
        </w:rPr>
        <w:tab/>
      </w:r>
      <w:r>
        <w:rPr>
          <w:rFonts w:ascii="Times New Roman" w:cs="Times New Roman" w:eastAsia="Times New Roman" w:hAnsi="Times New Roman"/>
          <w:sz w:val="18"/>
          <w:szCs w:val="18"/>
          <w:color w:val="auto"/>
        </w:rPr>
        <w:t>, 20</w:t>
        <w:tab/>
        <w:t>.</w:t>
      </w:r>
    </w:p>
    <w:p>
      <w:pPr>
        <w:spacing w:after="0" w:line="9" w:lineRule="exact"/>
        <w:rPr>
          <w:sz w:val="20"/>
          <w:szCs w:val="20"/>
          <w:color w:val="auto"/>
        </w:rPr>
      </w:pPr>
    </w:p>
    <w:p>
      <w:pPr>
        <w:ind w:left="460" w:hanging="452"/>
        <w:spacing w:after="0"/>
        <w:tabs>
          <w:tab w:leader="none" w:pos="4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for all relevant periods. Transaction expenses are not included in the following example.</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60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w:t>
            </w:r>
          </w:p>
        </w:tc>
        <w:tc>
          <w:tcPr>
            <w:tcW w:w="4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assuming a 5% annual return from realized capital gains</w:t>
            </w: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400"/>
          </w:cols>
          <w:pgMar w:left="240" w:top="455" w:right="259" w:bottom="1440" w:gutter="0" w:footer="0" w:header="0"/>
        </w:sectPr>
      </w:pPr>
    </w:p>
    <w:bookmarkStart w:id="334" w:name="page335"/>
    <w:bookmarkEnd w:id="3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w:t>
      </w:r>
    </w:p>
    <w:p>
      <w:pPr>
        <w:spacing w:after="0" w:line="184"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300"/>
          </w:cols>
          <w:pgMar w:left="240" w:top="456" w:right="359" w:bottom="1440" w:gutter="0" w:footer="0" w:header="0"/>
        </w:sectPr>
      </w:pPr>
    </w:p>
    <w:bookmarkStart w:id="335" w:name="page336"/>
    <w:bookmarkEnd w:id="3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Offering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decline following the offering and our shares of common stock may trade at discounts from net asset value.</w:t>
      </w:r>
    </w:p>
    <w:p>
      <w:pPr>
        <w:spacing w:after="0" w:line="22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Shares of closed-end investment companies frequently trade at a market price that is less than the net asset value that is attributable to those shares. This characteristic of closed-end investment companies is separate and distinct from the risk that our net asset value per share may decline. It is not possible to predict whether any shares of common stock or rights will trade at, above, or below net asset value. The risk of loss associated with this characteristic of closed-end investment companies may be greater for investors expecting to sell shares of common stock purchased in the offering soon after the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established trading market for the rights, which could make it more difficult for you to sell rights and could adversely affect their price.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can be no assurances that an active public market for the rights will develop as a result of the offering of the rights by any selling holder or that,</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such a market develops, it will be maintained. [The rights will be listed on under the symbol “ .”] Future trading prices of the rights will depend on many factors, including our operating results, the market for similar securities, the performance of our common stock (including the requirement that we</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suspend the offering under certain circumstances) and our ability to terminate the offering of the rights if the subscription price is less than [ ]% of the net asset value attributable to a share of common stock disclosed in the most recent periodic report we filed with the SEC.</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terminate the rights offering at any time prior to delivery of the shares of our common stock offered hereby, and neither we nor the subscription agent will have any obligation to you except to return your subscription payments, without interest.</w:t>
      </w:r>
    </w:p>
    <w:p>
      <w:pPr>
        <w:spacing w:after="0" w:line="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may, in our sole discretion, terminate the rights offering at any time prior to delivery of the shares of our common stock offered hereby, if the</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subscription price is less than [ ]% of the net asset value attributable to a share of common stock disclosed in the most recent periodic report we filed with the SEC. If the rights offering is terminated, all rights will expire without value and the subscription agent will return as soon as practicable all exercise payments, without interest. [No amounts paid to acquire rights on [insert name of any applicable exchange on which rights are listed] or otherwise will be returned.]</w:t>
      </w:r>
    </w:p>
    <w:p>
      <w:pPr>
        <w:spacing w:after="0" w:line="2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you do not fully exercise your subscription rights. In addition, if the subscription price is less than our net asset value per share, then you would experience an immediate dilution of the aggregate net asset value of your shares.</w:t>
      </w:r>
    </w:p>
    <w:p>
      <w:pPr>
        <w:spacing w:after="0" w:line="51"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Stockholders who do not fully exercise their subscription rights should expect that they will, at the completion of the offering,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the offering.</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our net asset value per share,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the offering or what proportion of the shares will be purchased as a result of the offering. Such dilution could be substantial.</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fact that the rights are transferable may reduce the effects of any dilution as a result of the offering. Rights holders can transfer or sell their rights. The cash received from the sale of rights is partial compensation for any possible dilution. There can be no assurances, however, that a market for the rights will develop or the rights will have any value in that market.]</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[Insert any other risk factors applicable to the Rights and any additional relevant risk factors not included in the base prospectus to the extent required to be disclosed by applicable law or regulation.]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455" w:right="259" w:bottom="1440" w:gutter="0" w:footer="0" w:header="0"/>
        </w:sectPr>
      </w:pPr>
    </w:p>
    <w:bookmarkStart w:id="336" w:name="page337"/>
    <w:bookmarkEnd w:id="3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SELECTED FINANCIAL DATA AND OTHER INFORMATION</w:t>
      </w:r>
    </w:p>
    <w:p>
      <w:pPr>
        <w:spacing w:after="0" w:line="22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4" w:lineRule="exact"/>
        <w:rPr>
          <w:sz w:val="20"/>
          <w:szCs w:val="20"/>
          <w:color w:val="auto"/>
        </w:rPr>
      </w:pPr>
    </w:p>
    <w:p>
      <w:pPr>
        <w:ind w:right="60" w:firstLine="456"/>
        <w:spacing w:after="0" w:line="276" w:lineRule="auto"/>
        <w:rPr>
          <w:sz w:val="20"/>
          <w:szCs w:val="20"/>
          <w:color w:val="auto"/>
        </w:rPr>
      </w:pPr>
      <w:r>
        <w:rPr>
          <w:rFonts w:ascii="Times New Roman" w:cs="Times New Roman" w:eastAsia="Times New Roman" w:hAnsi="Times New Roman"/>
          <w:sz w:val="17"/>
          <w:szCs w:val="17"/>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 derived</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selected consolidated financial data for the ended , 20 and , 20 from our unaudited interim consolidated financial statements and related notes, which are included elsewhere in this prospectus supplement or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400"/>
          </w:cols>
          <w:pgMar w:left="240" w:top="455" w:right="259" w:bottom="1440" w:gutter="0" w:footer="0" w:header="0"/>
        </w:sectPr>
      </w:pPr>
    </w:p>
    <w:bookmarkStart w:id="337" w:name="page338"/>
    <w:bookmarkEnd w:id="3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RIGHTS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Offering</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board of directors, or Board, has determined in good faith that the offering would result in a net benefit to the existing stockholders because [describe reasons]. The offering gives existing stockholders the right to purchase additional shares at a price that is expected to be below the then-current trading price without paying any commission or sales charges (although, if you exercise your rights through a financial institution, you will be responsible for paying any fees that such institution may charge). In connection with the approval of the offering, our Board considered, among other things, the following factors: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factors]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Offering</w:t>
      </w:r>
    </w:p>
    <w:p>
      <w:pPr>
        <w:spacing w:after="0" w:line="121" w:lineRule="exact"/>
        <w:rPr>
          <w:sz w:val="20"/>
          <w:szCs w:val="20"/>
          <w:color w:val="auto"/>
        </w:rPr>
      </w:pPr>
    </w:p>
    <w:p>
      <w:pPr>
        <w:ind w:left="460"/>
        <w:spacing w:after="0"/>
        <w:tabs>
          <w:tab w:leader="none" w:pos="8380" w:val="left"/>
        </w:tabs>
        <w:rPr>
          <w:sz w:val="20"/>
          <w:szCs w:val="20"/>
          <w:color w:val="auto"/>
        </w:rPr>
      </w:pPr>
      <w:r>
        <w:rPr>
          <w:rFonts w:ascii="Times New Roman" w:cs="Times New Roman" w:eastAsia="Times New Roman" w:hAnsi="Times New Roman"/>
          <w:sz w:val="18"/>
          <w:szCs w:val="18"/>
          <w:color w:val="auto"/>
        </w:rPr>
        <w:t>We are issuing to record date stockholders transferable rights to subscribe for an aggregate of up to</w:t>
      </w:r>
      <w:r>
        <w:rPr>
          <w:sz w:val="20"/>
          <w:szCs w:val="20"/>
          <w:color w:val="auto"/>
        </w:rPr>
        <w:tab/>
      </w:r>
      <w:r>
        <w:rPr>
          <w:rFonts w:ascii="Times New Roman" w:cs="Times New Roman" w:eastAsia="Times New Roman" w:hAnsi="Times New Roman"/>
          <w:sz w:val="17"/>
          <w:szCs w:val="17"/>
          <w:color w:val="auto"/>
        </w:rPr>
        <w:t>shares of our common stock. Each record</w:t>
      </w:r>
    </w:p>
    <w:p>
      <w:pPr>
        <w:spacing w:after="0" w:line="27"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8"/>
          <w:szCs w:val="18"/>
          <w:color w:val="auto"/>
        </w:rPr>
        <w:t>date stockholder is being issued one transferable right for each</w:t>
      </w:r>
      <w:r>
        <w:rPr>
          <w:sz w:val="20"/>
          <w:szCs w:val="20"/>
          <w:color w:val="auto"/>
        </w:rPr>
        <w:tab/>
      </w:r>
      <w:r>
        <w:rPr>
          <w:rFonts w:ascii="Times New Roman" w:cs="Times New Roman" w:eastAsia="Times New Roman" w:hAnsi="Times New Roman"/>
          <w:sz w:val="17"/>
          <w:szCs w:val="17"/>
          <w:color w:val="auto"/>
        </w:rPr>
        <w:t>shares of our common stock owned on the record date. The rights entitle each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acquire at the subscription price one share of our common stock for every right held, which we refer to as the basic subscription. Rights may be exercised</w:t>
      </w:r>
    </w:p>
    <w:p>
      <w:pPr>
        <w:spacing w:after="0" w:line="9" w:lineRule="exact"/>
        <w:rPr>
          <w:sz w:val="20"/>
          <w:szCs w:val="20"/>
          <w:color w:val="auto"/>
        </w:rPr>
      </w:pPr>
    </w:p>
    <w:p>
      <w:pPr>
        <w:spacing w:after="0"/>
        <w:tabs>
          <w:tab w:leader="none" w:pos="5420" w:val="left"/>
          <w:tab w:leader="none" w:pos="5900" w:val="left"/>
          <w:tab w:leader="none" w:pos="11280" w:val="left"/>
        </w:tabs>
        <w:rPr>
          <w:sz w:val="20"/>
          <w:szCs w:val="20"/>
          <w:color w:val="auto"/>
        </w:rPr>
      </w:pPr>
      <w:r>
        <w:rPr>
          <w:rFonts w:ascii="Times New Roman" w:cs="Times New Roman" w:eastAsia="Times New Roman" w:hAnsi="Times New Roman"/>
          <w:sz w:val="18"/>
          <w:szCs w:val="18"/>
          <w:color w:val="auto"/>
        </w:rPr>
        <w:t>at any time during the subscription period, which commences on</w:t>
      </w:r>
      <w:r>
        <w:rPr>
          <w:sz w:val="20"/>
          <w:szCs w:val="20"/>
          <w:color w:val="auto"/>
        </w:rPr>
        <w:tab/>
      </w:r>
      <w:r>
        <w:rPr>
          <w:rFonts w:ascii="Times New Roman" w:cs="Times New Roman" w:eastAsia="Times New Roman" w:hAnsi="Times New Roman"/>
          <w:sz w:val="18"/>
          <w:szCs w:val="18"/>
          <w:color w:val="auto"/>
        </w:rPr>
        <w:t>, 20</w:t>
        <w:tab/>
        <w:t>, the record date, and ends at 5:00 p.m., New York City time, on</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20</w:t>
        <w:tab/>
        <w:t>, the expiration date, which may be extended by us in our sole discretion.</w:t>
      </w:r>
    </w:p>
    <w:p>
      <w:pPr>
        <w:spacing w:after="0" w:line="207" w:lineRule="exact"/>
        <w:rPr>
          <w:sz w:val="20"/>
          <w:szCs w:val="20"/>
          <w:color w:val="auto"/>
        </w:rPr>
      </w:pPr>
    </w:p>
    <w:p>
      <w:pPr>
        <w:ind w:right="1000" w:firstLine="456"/>
        <w:spacing w:after="0" w:line="282" w:lineRule="auto"/>
        <w:rPr>
          <w:sz w:val="20"/>
          <w:szCs w:val="20"/>
          <w:color w:val="auto"/>
        </w:rPr>
      </w:pPr>
      <w:r>
        <w:rPr>
          <w:rFonts w:ascii="Times New Roman" w:cs="Times New Roman" w:eastAsia="Times New Roman" w:hAnsi="Times New Roman"/>
          <w:sz w:val="18"/>
          <w:szCs w:val="18"/>
          <w:color w:val="auto"/>
        </w:rPr>
        <w:t>[The rights will be evidenced by subscription certificates that will be mailed to stockholders, except as discussed below under “—Foreign Stockholders.” We will not issue fractional rights.]</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rights are transferable and will be listed on under the symbol “ .”] Rights holders who are not record date stockholders may purchase shares as described above, which we refer to as the basic subscription[, and may be entitled to subscribe for shares pursuant to the over-subscription privilege (as described below)]. Non-record date rights holders who purchase shares in the basic subscription[ or pursuant to the over-subscription privilege], together with record date stockholders who purchase shares, are hereinafter referred to as participating rights holders.</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[Shares for which there is no subscription during the basic subscription will be offered, by means of the over-subscription privilege, first to record date stockholders who fully exercise the rights issued to them pursuant to the offering and who wish to acquire more than the number of shares they are entitled to purchase pursuant to the exercise of their rights. In addition, any non-record date rights holder who exercises rights is entitled to subscribe for remaining shares that are not otherwise subscribed for by record date stockholders. Shares acquired pursuant to the over-subscription privilege are subject to certain limitations and pro rata allocations. See “—Over-Subscription Privilege” below.]</w:t>
      </w:r>
    </w:p>
    <w:p>
      <w:pPr>
        <w:spacing w:after="0" w:line="184"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For purposes of determining the number of shares a record date stockholder may acquire pursuant to the offering, broker-dealers, trust companies, banks or others whose shares are held of record by Cede &amp; Co. (“Cede”) or by any other depository or nominee will be deemed to be the holders of the rights that are issued to Cede or the other depository or nominee on their behalf.</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no minimum number of rights that must be exercised in order for the offering to close.]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[Over-Subscription Privilege</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Shares not subscribed for by rights holders, which we refer to as remaining shares, will be offered, by means of the over-subscription privilege, first to record date stockholders who have fully exercised the rights issued 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380"/>
          </w:cols>
          <w:pgMar w:left="240" w:top="455" w:right="279" w:bottom="1440" w:gutter="0" w:footer="0" w:header="0"/>
        </w:sectPr>
      </w:pPr>
    </w:p>
    <w:bookmarkStart w:id="338" w:name="page339"/>
    <w:bookmarkEnd w:id="3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them and who wish to acquire more than the number of shares they are entitled to purchase pursuant to the basic subscription. Rights holders should indicate on the subscription certificate that they submit with respect to the exercise of the rights issued to them how many additional shares they are willing to acquire pursuant to the over-subscription privilege. If there are sufficient remaining shares, all record date stockholders’ over-subscription requests will be honored in full. If record date stockholder requests for shares pursuant to the over-subscription privilege exceed the remaining shares available, the available remaining shares will be allocated pro rata among record date stockholders who over-subscribe based on the number of shares held on the record date. The percentage of remaining shares each over-subscribing stockholder may acquire will be rounded down to result in delivery of whole shares. The allocation process may involve a series of allocations to assure that the total number of remaining shares available for over-subscriptions is distributed on a pro rata basis. The formula to be used in allocating the remaining shares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Stockholder’s Record Date Position</w:t>
            </w:r>
          </w:p>
        </w:tc>
        <w:tc>
          <w:tcPr>
            <w:tcW w:w="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w w:val="98"/>
              </w:rPr>
              <w:t>Remaining Shares</w:t>
            </w:r>
          </w:p>
        </w:tc>
        <w:tc>
          <w:tcPr>
            <w:tcW w:w="0" w:type="dxa"/>
            <w:vAlign w:val="bottom"/>
          </w:tcPr>
          <w:p>
            <w:pPr>
              <w:spacing w:after="0"/>
              <w:rPr>
                <w:sz w:val="1"/>
                <w:szCs w:val="1"/>
                <w:color w:val="auto"/>
              </w:rPr>
            </w:pPr>
          </w:p>
        </w:tc>
      </w:tr>
      <w:tr>
        <w:trPr>
          <w:trHeight w:val="88"/>
        </w:trPr>
        <w:tc>
          <w:tcPr>
            <w:tcW w:w="9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Total Record Date Position of All Over-Subscribers</w:t>
            </w:r>
          </w:p>
        </w:tc>
        <w:tc>
          <w:tcPr>
            <w:tcW w:w="58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902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Any rights holder other than a record date stockholder who exercises rights is entitled to subscribe for remaining shares that are not otherwise over-subscribed for by record date stockholders. These non-record date rights holders should indicate, in the subscription certificate submitted with respect to the exercise of any rights, how many shares they are willing to acquire pursuant to the over-subscription privilege. There can be no assurance that non-record date rights holders will receive shares pursuant to the over-subscription privilege.</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sufficient remaining shares are available after the over-subscription privileges for the record date stockholders have been allotted, then all over-subscriptions by non-record date rights holders will be honored in full. If the remaining shares are insufficient to permit such allocation, the remaining shares will be allocated pro rata among the non-record date rights holders who wish to exercise their over-subscription privilege, based on the number of rights held by such rights holders on the expiration date; provided, however, that if this pro rata allocation results in any holder being allocated a greater number of shares than the holder subscribed for pursuant to the exercise of the over-subscription privilege, then such holder will be allocated only such number of shares pursuant to the over-subscription privilege as such holder subscribed for. The formula to be used in allocating the shares available to non-record date rights holders exercising their over-subscription privilege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Non-Record Date Rights Holder’s Rights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Shares Available for Non- Record Date</w:t>
            </w:r>
          </w:p>
        </w:tc>
      </w:tr>
      <w:tr>
        <w:trPr>
          <w:trHeight w:val="234"/>
        </w:trPr>
        <w:tc>
          <w:tcPr>
            <w:tcW w:w="804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color w:val="auto"/>
              </w:rPr>
              <w:t>Ownership as of the Expiration Date</w:t>
            </w:r>
          </w:p>
        </w:tc>
        <w:tc>
          <w:tcPr>
            <w:tcW w:w="380" w:type="dxa"/>
            <w:vAlign w:val="bottom"/>
          </w:tcPr>
          <w:p>
            <w:pPr>
              <w:spacing w:after="0"/>
              <w:rPr>
                <w:sz w:val="20"/>
                <w:szCs w:val="20"/>
                <w:color w:val="auto"/>
              </w:rPr>
            </w:pPr>
          </w:p>
        </w:tc>
        <w:tc>
          <w:tcPr>
            <w:tcW w:w="2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Rights</w:t>
            </w:r>
          </w:p>
        </w:tc>
      </w:tr>
      <w:tr>
        <w:trPr>
          <w:trHeight w:val="191"/>
        </w:trPr>
        <w:tc>
          <w:tcPr>
            <w:tcW w:w="8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Total Rights Ownership as of the Expiration Date of Non-Record Date Rights</w:t>
            </w:r>
          </w:p>
        </w:tc>
        <w:tc>
          <w:tcPr>
            <w:tcW w:w="380" w:type="dxa"/>
            <w:vAlign w:val="bottom"/>
          </w:tcPr>
          <w:p>
            <w:pPr>
              <w:spacing w:after="0"/>
              <w:rPr>
                <w:sz w:val="16"/>
                <w:szCs w:val="16"/>
                <w:color w:val="auto"/>
              </w:rPr>
            </w:pPr>
          </w:p>
        </w:tc>
        <w:tc>
          <w:tcPr>
            <w:tcW w:w="2980" w:type="dxa"/>
            <w:vAlign w:val="bottom"/>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9"/>
              </w:rPr>
              <w:t>Holders Exercising Their</w:t>
            </w:r>
          </w:p>
        </w:tc>
      </w:tr>
      <w:tr>
        <w:trPr>
          <w:trHeight w:val="248"/>
        </w:trPr>
        <w:tc>
          <w:tcPr>
            <w:tcW w:w="8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Holders Exercising Their Over-Subscription Privilege</w:t>
            </w:r>
          </w:p>
        </w:tc>
        <w:tc>
          <w:tcPr>
            <w:tcW w:w="380" w:type="dxa"/>
            <w:vAlign w:val="bottom"/>
          </w:tcPr>
          <w:p>
            <w:pPr>
              <w:spacing w:after="0"/>
              <w:rPr>
                <w:sz w:val="21"/>
                <w:szCs w:val="21"/>
                <w:color w:val="auto"/>
              </w:rPr>
            </w:pPr>
          </w:p>
        </w:tc>
        <w:tc>
          <w:tcPr>
            <w:tcW w:w="2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Over-Subscription Privilege</w:t>
            </w:r>
          </w:p>
        </w:tc>
      </w:tr>
    </w:tbl>
    <w:p>
      <w:pPr>
        <w:spacing w:after="0" w:line="19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Banks, brokers, trustees and other nominee holders of rights will be required to certify to the subscription agent, before any over-subscription privilege may be exercised with respect to any particular beneficial owner, as to the aggregate number of rights exercised pursuant to the basic subscription and the number of shares subscribed for pursuant to the over-subscription privilege by such beneficial owner.]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Subscription Price</w:t>
      </w:r>
    </w:p>
    <w:p>
      <w:pPr>
        <w:spacing w:after="0" w:line="121" w:lineRule="exact"/>
        <w:rPr>
          <w:sz w:val="20"/>
          <w:szCs w:val="20"/>
          <w:color w:val="auto"/>
        </w:rPr>
      </w:pPr>
    </w:p>
    <w:p>
      <w:pPr>
        <w:ind w:right="220" w:firstLine="456"/>
        <w:spacing w:after="0" w:line="257" w:lineRule="auto"/>
        <w:rPr>
          <w:sz w:val="20"/>
          <w:szCs w:val="20"/>
          <w:color w:val="auto"/>
        </w:rPr>
      </w:pPr>
      <w:r>
        <w:rPr>
          <w:rFonts w:ascii="Times New Roman" w:cs="Times New Roman" w:eastAsia="Times New Roman" w:hAnsi="Times New Roman"/>
          <w:sz w:val="18"/>
          <w:szCs w:val="18"/>
          <w:color w:val="auto"/>
        </w:rPr>
        <w:t>The subscription price for the shares to be issued pursuant to the offering will be [describe means of computing subscription price]. Because the subscription price will be determined on the expiration date, rights holders will not know the subscription price at the time of exercise and will be required initially to pay for both the shares subscribed for pursuant to their basic subscription rights[ and, if eligible, any additional shares subscribed for pursuant to</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over-subscription privilege,] at the estimated subscription price of $ per share. Rights holders who exercise their rights will have no right to rescind a purchase after receipt of their completed subscription certificates together with payment for shares or a notice of guaranteed delivery by the subscription agent.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20"/>
          </w:cols>
          <w:pgMar w:left="240" w:top="455" w:right="239" w:bottom="1440" w:gutter="0" w:footer="0" w:header="0"/>
        </w:sectPr>
      </w:pPr>
    </w:p>
    <w:bookmarkStart w:id="339" w:name="page340"/>
    <w:bookmarkEnd w:id="33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Table of Contents</w:t>
              </w:r>
            </w:hyperlink>
          </w:p>
        </w:tc>
        <w:tc>
          <w:tcPr>
            <w:tcW w:w="4020" w:type="dxa"/>
            <w:vAlign w:val="bottom"/>
          </w:tcPr>
          <w:p>
            <w:pPr>
              <w:spacing w:after="0"/>
              <w:rPr>
                <w:sz w:val="17"/>
                <w:szCs w:val="17"/>
                <w:color w:val="auto"/>
              </w:rPr>
            </w:pPr>
          </w:p>
        </w:tc>
        <w:tc>
          <w:tcPr>
            <w:tcW w:w="5880" w:type="dxa"/>
            <w:vAlign w:val="bottom"/>
          </w:tcPr>
          <w:p>
            <w:pPr>
              <w:spacing w:after="0"/>
              <w:rPr>
                <w:sz w:val="17"/>
                <w:szCs w:val="17"/>
                <w:color w:val="auto"/>
              </w:rPr>
            </w:pPr>
          </w:p>
        </w:tc>
      </w:tr>
      <w:tr>
        <w:trPr>
          <w:trHeight w:val="5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Expiration Of The Offering</w:t>
            </w:r>
          </w:p>
        </w:tc>
        <w:tc>
          <w:tcPr>
            <w:tcW w:w="5880" w:type="dxa"/>
            <w:vAlign w:val="bottom"/>
          </w:tcPr>
          <w:p>
            <w:pPr>
              <w:spacing w:after="0"/>
              <w:rPr>
                <w:sz w:val="24"/>
                <w:szCs w:val="24"/>
                <w:color w:val="auto"/>
              </w:rPr>
            </w:pPr>
          </w:p>
        </w:tc>
      </w:tr>
      <w:tr>
        <w:trPr>
          <w:trHeight w:val="306"/>
        </w:trPr>
        <w:tc>
          <w:tcPr>
            <w:tcW w:w="53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offering will expire at 5:00 p.m., New York City time, on</w:t>
            </w:r>
          </w:p>
        </w:tc>
        <w:tc>
          <w:tcPr>
            <w:tcW w:w="5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20   , unless extended by us in our sole discretion. The rights will expire on</w:t>
            </w:r>
          </w:p>
        </w:tc>
      </w:t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expiration date of the offering and may not be exercised thereafter.</w:t>
            </w:r>
          </w:p>
        </w:tc>
        <w:tc>
          <w:tcPr>
            <w:tcW w:w="588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Any extension of the offering will be followed as promptly as practicable by announcement thereof, and in no event later than 9:00 a.m., New York City time, on the next business day following the previously scheduled expiration date. Without limiting the manner in which we may choose to make such announcement, we will not, unless otherwise required by law, have any obligation to publish, advertise or otherwise communicate any such announcement other than by issuing a press release or such other means of announcement as we deem appropriate.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 Termination</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We reserve the right to amend the terms and conditions of the offering, whether the amended terms are more or less favorable to you. We will comply with all applicable laws, including the federal securities laws, in connection with any such amendment.</w:t>
      </w:r>
    </w:p>
    <w:p>
      <w:pPr>
        <w:spacing w:after="0" w:line="16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will decide all questions as to the validity, form and eligibility (including times of receipt, beneficial ownership and compliance with other procedural matters) in our sole discretion, and our determination shall be final and binding. The acceptance of subscription certificates and the subscription price also will be determined by us. Alternative, conditional or contingent subscriptions will not be accepted. We reserve the right to reject any exercise if such exercise is not in accordance with the terms of the offering or not in proper form or if the acceptance thereof or the issuance of shares of our common stock thereto could be deemed unlawful.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We will not be under any duty to give notification of any defect or irregularity in connection with the submission of subscription certificates or incur any liability for failure to give such notification.</w:t>
      </w:r>
    </w:p>
    <w:p>
      <w:pPr>
        <w:spacing w:after="0" w:line="185"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We may, in our sole discretion, terminate the rights offering at any time prior to delivery of the shares of our common stock offered hereby if the subscription price is less than [ ]% of the net asset value attributable to a share of common stock disclosed in the most recent periodic report we filed with the SEC by giving oral or written notice thereof to the subscription agent and making a public announcement thereof. If the offering is terminated, all rights will expire without value and we will promptly arrange for the refund, without interest, of all funds received from holders of rights. All monies received by the subscription agent in connection with the offering will be held by the subscription agent, on our behalf, in a segregated interest-bearing account at a negotiated rate. All such interest shall be payable to us even if we determine to terminate the offering and return your subscription payment. [In addition, no amounts paid to acquire rights on [insert name of any applicable exchange on which rights are listed] or otherwise will be returned.]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Effects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Any stockholder who chooses not to participate in the offering should expect to own a smaller interest in us upon completion of the offering. The offering will dilute the ownership interest and voting power of stockholders who do not fully exercise their basic subscription rights. The amount of dilution that a stockholder will experience could be substantial. Further, because the net proceeds per share from the offering may be lower than our net asset value per share, the offering may reduce our net asset value per share. The amount of dilution that a stockholder will experience could be substantial.</w:t>
      </w:r>
    </w:p>
    <w:p>
      <w:pPr>
        <w:spacing w:after="0" w:line="180"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Shares of closed-end investment companies have in the past frequently traded at discounts to their net asset values. This characteristic of closed-end investment companies is separate and distinct from the risk that our net asset value per share may decline. We cannot predict whether our shares will trade above, at or below our net asset value.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420"/>
          </w:cols>
          <w:pgMar w:left="240" w:top="446" w:right="239" w:bottom="1440" w:gutter="0" w:footer="0" w:header="0"/>
        </w:sectPr>
      </w:pPr>
    </w:p>
    <w:bookmarkStart w:id="340" w:name="page341"/>
    <w:bookmarkEnd w:id="3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transferable feature of the rights will afford non-participating stockholders the potential of receiving cash payment upon the sale of rights, receipt of which may be viewed as partial compensation for the dilution of their interests.]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Net Asset Value Decline</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[If, subsequent to the effective date of this prospectus, our net asset value declines more than 10% from our net asset value as of that date, as required by the SEC’s registration form, we will suspend the offering until we amend this prospectus. In such event, the expiration date would be extended and we would notify record date stockholders of the decline and permit participating rights holders to cancel their exercise of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Agent</w:t>
      </w:r>
    </w:p>
    <w:p>
      <w:pPr>
        <w:spacing w:after="0" w:line="121" w:lineRule="exact"/>
        <w:rPr>
          <w:sz w:val="20"/>
          <w:szCs w:val="20"/>
          <w:color w:val="auto"/>
        </w:rPr>
      </w:pPr>
    </w:p>
    <w:p>
      <w:pPr>
        <w:ind w:left="1060" w:hanging="596"/>
        <w:spacing w:after="0"/>
        <w:tabs>
          <w:tab w:leader="none" w:pos="10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will act as the information agent in connection with the offering. The information agent will receive for its services a fee estimated to be</w:t>
      </w:r>
    </w:p>
    <w:p>
      <w:pPr>
        <w:spacing w:after="0" w:line="27" w:lineRule="exact"/>
        <w:rPr>
          <w:sz w:val="20"/>
          <w:szCs w:val="20"/>
          <w:color w:val="auto"/>
        </w:rPr>
      </w:pPr>
    </w:p>
    <w:p>
      <w:pPr>
        <w:spacing w:after="0"/>
        <w:tabs>
          <w:tab w:leader="none" w:pos="1520" w:val="left"/>
          <w:tab w:leader="none" w:pos="738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8"/>
          <w:szCs w:val="18"/>
          <w:color w:val="auto"/>
        </w:rPr>
        <w:t>plus reimbursement of all out-of-pocket expenses related to the offering. [</w:t>
      </w:r>
      <w:r>
        <w:rPr>
          <w:sz w:val="20"/>
          <w:szCs w:val="20"/>
          <w:color w:val="auto"/>
        </w:rPr>
        <w:tab/>
      </w:r>
      <w:r>
        <w:rPr>
          <w:rFonts w:ascii="Times New Roman" w:cs="Times New Roman" w:eastAsia="Times New Roman" w:hAnsi="Times New Roman"/>
          <w:sz w:val="17"/>
          <w:szCs w:val="17"/>
          <w:color w:val="auto"/>
        </w:rPr>
        <w:t>] can be contacted at the below address: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[Information Agent Address]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Agent</w:t>
      </w:r>
    </w:p>
    <w:p>
      <w:pPr>
        <w:spacing w:after="0" w:line="121" w:lineRule="exact"/>
        <w:rPr>
          <w:sz w:val="20"/>
          <w:szCs w:val="20"/>
          <w:color w:val="auto"/>
        </w:rPr>
      </w:pPr>
    </w:p>
    <w:p>
      <w:pPr>
        <w:ind w:left="1060" w:hanging="596"/>
        <w:spacing w:after="0"/>
        <w:tabs>
          <w:tab w:leader="none" w:pos="10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will act as the subscription agent in connection with the offering. The subscription agent will receive for its administrative, processing,</w:t>
      </w:r>
    </w:p>
    <w:p>
      <w:pPr>
        <w:spacing w:after="0" w:line="27"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8"/>
          <w:szCs w:val="18"/>
          <w:color w:val="auto"/>
        </w:rPr>
        <w:t>invoicing and other services a fee estimated to be approximately $</w:t>
      </w:r>
      <w:r>
        <w:rPr>
          <w:sz w:val="20"/>
          <w:szCs w:val="20"/>
          <w:color w:val="auto"/>
        </w:rPr>
        <w:tab/>
      </w:r>
      <w:r>
        <w:rPr>
          <w:rFonts w:ascii="Times New Roman" w:cs="Times New Roman" w:eastAsia="Times New Roman" w:hAnsi="Times New Roman"/>
          <w:sz w:val="17"/>
          <w:szCs w:val="17"/>
          <w:color w:val="auto"/>
        </w:rPr>
        <w:t>, plus reimbursement of all out-of-pocket expenses related to the offering.</w:t>
      </w:r>
    </w:p>
    <w:p>
      <w:pPr>
        <w:spacing w:after="0" w:line="207" w:lineRule="exact"/>
        <w:rPr>
          <w:sz w:val="20"/>
          <w:szCs w:val="20"/>
          <w:color w:val="auto"/>
        </w:rPr>
      </w:pPr>
    </w:p>
    <w:p>
      <w:pPr>
        <w:ind w:right="420" w:firstLine="456"/>
        <w:spacing w:after="0" w:line="257" w:lineRule="auto"/>
        <w:rPr>
          <w:sz w:val="20"/>
          <w:szCs w:val="20"/>
          <w:color w:val="auto"/>
        </w:rPr>
      </w:pPr>
      <w:r>
        <w:rPr>
          <w:rFonts w:ascii="Times New Roman" w:cs="Times New Roman" w:eastAsia="Times New Roman" w:hAnsi="Times New Roman"/>
          <w:sz w:val="18"/>
          <w:szCs w:val="18"/>
          <w:color w:val="auto"/>
        </w:rPr>
        <w:t>Completed subscription certificates must be sent together with full payment of the subscription price for all shares subscribed for in the basic subscription[ and pursuant to the over-subscription privilege] to the subscription agent by one of the methods described below. Alternatively, an Eligible Guarantor Institution, as that term is defined in Rule 17Ad-15 under the Exchange Act may send notices of guaranteed delivery by facsimile</w:t>
      </w:r>
    </w:p>
    <w:p>
      <w:pPr>
        <w:spacing w:after="0" w:line="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to which must be received by the subscription agent at or prior to 5:00 p.m., New York City time, on the expiration date of the offering. Facsimiles should be confirmed by telephone at . We will accept only properly completed and duly executed subscription certificates actually received at any of the</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addresses listed below, at or prior to 5:00 p.m., New York City time, on the expiration date of the offering or by the close of business on the third business day after the expiration date of the offering following timely receipt of a notice of guaranteed delivery. See “—Payment for Shares” below. In this prospectus supplement and the accompanying prospectus, close of business means 5:00 p.m., New York City time, on the relevant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Subscription Certificate Delivery Method</w:t>
            </w:r>
          </w:p>
        </w:tc>
        <w:tc>
          <w:tcPr>
            <w:tcW w:w="4160" w:type="dxa"/>
            <w:vAlign w:val="bottom"/>
            <w:gridSpan w:val="2"/>
            <w:vMerge w:val="restart"/>
          </w:tcPr>
          <w:p>
            <w:pPr>
              <w:ind w:left="2020"/>
              <w:spacing w:after="0"/>
              <w:rPr>
                <w:sz w:val="20"/>
                <w:szCs w:val="20"/>
                <w:color w:val="auto"/>
              </w:rPr>
            </w:pPr>
            <w:r>
              <w:rPr>
                <w:rFonts w:ascii="Times New Roman" w:cs="Times New Roman" w:eastAsia="Times New Roman" w:hAnsi="Times New Roman"/>
                <w:sz w:val="18"/>
                <w:szCs w:val="18"/>
                <w:color w:val="auto"/>
                <w:w w:val="97"/>
              </w:rPr>
              <w:t>Contact an Eligible Guarantor</w:t>
            </w: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Address/Number</w:t>
            </w: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1500" w:type="dxa"/>
            <w:vAlign w:val="bottom"/>
            <w:vMerge w:val="restart"/>
          </w:tcPr>
          <w:p>
            <w:pPr>
              <w:spacing w:after="0" w:line="20" w:lineRule="exact"/>
              <w:rPr>
                <w:sz w:val="1"/>
                <w:szCs w:val="1"/>
                <w:color w:val="auto"/>
              </w:rPr>
            </w:pPr>
          </w:p>
        </w:tc>
        <w:tc>
          <w:tcPr>
            <w:tcW w:w="4160" w:type="dxa"/>
            <w:vAlign w:val="bottom"/>
            <w:gridSpan w:val="2"/>
            <w:vMerge w:val="continue"/>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5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w w:val="99"/>
              </w:rPr>
              <w:t>By Notice of Guaranteed Delivery:</w:t>
            </w:r>
          </w:p>
        </w:tc>
        <w:tc>
          <w:tcPr>
            <w:tcW w:w="1500" w:type="dxa"/>
            <w:vAlign w:val="bottom"/>
            <w:vMerge w:val="continue"/>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306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8"/>
                <w:szCs w:val="18"/>
                <w:color w:val="auto"/>
              </w:rPr>
              <w:t>Institution, which may include a</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20" w:type="dxa"/>
            <w:vAlign w:val="bottom"/>
            <w:gridSpan w:val="4"/>
          </w:tcPr>
          <w:p>
            <w:pPr>
              <w:ind w:left="2020"/>
              <w:spacing w:after="0"/>
              <w:rPr>
                <w:sz w:val="20"/>
                <w:szCs w:val="20"/>
                <w:color w:val="auto"/>
              </w:rPr>
            </w:pPr>
            <w:r>
              <w:rPr>
                <w:rFonts w:ascii="Times New Roman" w:cs="Times New Roman" w:eastAsia="Times New Roman" w:hAnsi="Times New Roman"/>
                <w:sz w:val="18"/>
                <w:szCs w:val="18"/>
                <w:color w:val="auto"/>
              </w:rPr>
              <w:t>commercial bank or trust company, a member firm of a domestic stock</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20" w:type="dxa"/>
            <w:vAlign w:val="bottom"/>
            <w:gridSpan w:val="4"/>
          </w:tcPr>
          <w:p>
            <w:pPr>
              <w:ind w:left="2020"/>
              <w:spacing w:after="0"/>
              <w:rPr>
                <w:sz w:val="20"/>
                <w:szCs w:val="20"/>
                <w:color w:val="auto"/>
              </w:rPr>
            </w:pPr>
            <w:r>
              <w:rPr>
                <w:rFonts w:ascii="Times New Roman" w:cs="Times New Roman" w:eastAsia="Times New Roman" w:hAnsi="Times New Roman"/>
                <w:sz w:val="18"/>
                <w:szCs w:val="18"/>
                <w:color w:val="auto"/>
                <w:w w:val="99"/>
              </w:rPr>
              <w:t>exchange or a savings bank or credit union, to notify us of your intent to</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20" w:type="dxa"/>
            <w:vAlign w:val="bottom"/>
            <w:gridSpan w:val="4"/>
          </w:tcPr>
          <w:p>
            <w:pPr>
              <w:ind w:left="2020"/>
              <w:spacing w:after="0"/>
              <w:rPr>
                <w:sz w:val="20"/>
                <w:szCs w:val="20"/>
                <w:color w:val="auto"/>
              </w:rPr>
            </w:pPr>
            <w:r>
              <w:rPr>
                <w:rFonts w:ascii="Times New Roman" w:cs="Times New Roman" w:eastAsia="Times New Roman" w:hAnsi="Times New Roman"/>
                <w:sz w:val="18"/>
                <w:szCs w:val="18"/>
                <w:color w:val="auto"/>
              </w:rPr>
              <w:t>exercise the rights.</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First Class Mail Only:</w:t>
            </w:r>
          </w:p>
        </w:tc>
        <w:tc>
          <w:tcPr>
            <w:tcW w:w="23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Overnight/Express Mail)</w:t>
            </w:r>
          </w:p>
        </w:tc>
        <w:tc>
          <w:tcPr>
            <w:tcW w:w="7220" w:type="dxa"/>
            <w:vAlign w:val="bottom"/>
            <w:gridSpan w:val="4"/>
          </w:tcPr>
          <w:p>
            <w:pPr>
              <w:ind w:left="2020"/>
              <w:spacing w:after="0"/>
              <w:rPr>
                <w:sz w:val="20"/>
                <w:szCs w:val="20"/>
                <w:color w:val="auto"/>
              </w:rPr>
            </w:pPr>
            <w:r>
              <w:rPr>
                <w:rFonts w:ascii="Times New Roman" w:cs="Times New Roman" w:eastAsia="Times New Roman" w:hAnsi="Times New Roman"/>
                <w:sz w:val="18"/>
                <w:szCs w:val="18"/>
                <w:color w:val="auto"/>
              </w:rPr>
              <w:t>TSL Rights Offering</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220" w:type="dxa"/>
            <w:vAlign w:val="bottom"/>
            <w:gridSpan w:val="4"/>
          </w:tcPr>
          <w:p>
            <w:pPr>
              <w:ind w:left="2020"/>
              <w:spacing w:after="0"/>
              <w:rPr>
                <w:sz w:val="20"/>
                <w:szCs w:val="20"/>
                <w:color w:val="auto"/>
              </w:rPr>
            </w:pPr>
            <w:r>
              <w:rPr>
                <w:rFonts w:ascii="Times New Roman" w:cs="Times New Roman" w:eastAsia="Times New Roman" w:hAnsi="Times New Roman"/>
                <w:sz w:val="18"/>
                <w:szCs w:val="18"/>
                <w:color w:val="auto"/>
              </w:rPr>
              <w:t>[Subscription Agent Address]</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Overnight Delivery:</w:t>
            </w:r>
          </w:p>
        </w:tc>
        <w:tc>
          <w:tcPr>
            <w:tcW w:w="23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220" w:type="dxa"/>
            <w:vAlign w:val="bottom"/>
            <w:gridSpan w:val="4"/>
          </w:tcPr>
          <w:p>
            <w:pPr>
              <w:ind w:left="2020"/>
              <w:spacing w:after="0"/>
              <w:rPr>
                <w:sz w:val="20"/>
                <w:szCs w:val="20"/>
                <w:color w:val="auto"/>
              </w:rPr>
            </w:pPr>
            <w:r>
              <w:rPr>
                <w:rFonts w:ascii="Times New Roman" w:cs="Times New Roman" w:eastAsia="Times New Roman" w:hAnsi="Times New Roman"/>
                <w:sz w:val="18"/>
                <w:szCs w:val="18"/>
                <w:color w:val="auto"/>
              </w:rPr>
              <w:t>TSL Rights Offering</w:t>
            </w:r>
          </w:p>
        </w:tc>
        <w:tc>
          <w:tcPr>
            <w:tcW w:w="0" w:type="dxa"/>
            <w:vAlign w:val="bottom"/>
          </w:tcPr>
          <w:p>
            <w:pPr>
              <w:spacing w:after="0"/>
              <w:rPr>
                <w:sz w:val="1"/>
                <w:szCs w:val="1"/>
                <w:color w:val="auto"/>
              </w:rPr>
            </w:pPr>
          </w:p>
        </w:tc>
      </w:tr>
      <w:tr>
        <w:trPr>
          <w:trHeight w:val="234"/>
        </w:trPr>
        <w:tc>
          <w:tcPr>
            <w:tcW w:w="2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220" w:type="dxa"/>
            <w:vAlign w:val="bottom"/>
            <w:gridSpan w:val="4"/>
          </w:tcPr>
          <w:p>
            <w:pPr>
              <w:ind w:left="2020"/>
              <w:spacing w:after="0"/>
              <w:rPr>
                <w:sz w:val="20"/>
                <w:szCs w:val="20"/>
                <w:color w:val="auto"/>
              </w:rPr>
            </w:pPr>
            <w:r>
              <w:rPr>
                <w:rFonts w:ascii="Times New Roman" w:cs="Times New Roman" w:eastAsia="Times New Roman" w:hAnsi="Times New Roman"/>
                <w:sz w:val="18"/>
                <w:szCs w:val="18"/>
                <w:color w:val="auto"/>
              </w:rPr>
              <w:t>[Subscription Agent Address]</w:t>
            </w:r>
          </w:p>
        </w:tc>
        <w:tc>
          <w:tcPr>
            <w:tcW w:w="0" w:type="dxa"/>
            <w:vAlign w:val="bottom"/>
          </w:tcPr>
          <w:p>
            <w:pPr>
              <w:spacing w:after="0"/>
              <w:rPr>
                <w:sz w:val="1"/>
                <w:szCs w:val="1"/>
                <w:color w:val="auto"/>
              </w:rPr>
            </w:pPr>
          </w:p>
        </w:tc>
      </w:tr>
      <w:tr>
        <w:trPr>
          <w:trHeight w:val="378"/>
        </w:trPr>
        <w:tc>
          <w:tcPr>
            <w:tcW w:w="2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S-15</w:t>
            </w: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341" w:name="page342"/>
    <w:bookmarkEnd w:id="3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to an address other than one of the addresses listed above will not constitute valid delivery.</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Any questions or requests for assistance concerning the method of subscribing for shares or for additional copies of this prospectus or subscription certificates or notices of guaranteed delivery may be directed to the information agent at its telephone number and address listed below: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[Information Agent Address and Telephone Number]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may also contact their broker-dealers or nominees for information with respect to the offering.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Methods For Exercising Rights</w:t>
      </w:r>
    </w:p>
    <w:p>
      <w:pPr>
        <w:spacing w:after="0" w:line="121"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Rights are evidenced by subscription certificates that, except as described below under “—Foreign Stockholders,” will be mailed to record date stockholders or, if a record date stockholder’s shares are held by Cede or any other depository or nominee on their behalf, to Cede or such depository or nominee. Rights may be exercised by completing and signing the subscription certificate that accompanies this prospectus and mailing it in the envelope provided, or otherwise delivering the completed and duly executed subscription certificate to the subscription agent, together with payment in full for all shares subscribed for in the basic subscription and pursuant to the over-subscription privilege at the estimated subscription price by the expiration date of the offering. Rights may also be exercised by contacting your broker, trustee or other nominee, who can arrange, on your behalf, to guarantee delivery of payment and delivery of a properly completed and duly executed subscription certificate pursuant to a notice of guaranteed delivery by the close of business on the third business day after the expiration date. A fee may be charged for this service. Completed subscription certificates and related payments must be received by the subscription agent at or prior to 5:00 p.m., New York City time, on or before the expiration date (unless payment is effected by means of a notice of guaranteed delivery as described below under “—Payment for Shares”) at the offices of the subscription agent at one of the addresses set forth above.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of the Over-Subscription Privilege</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Record date stockholders who fully exercise all rights issued to them and rights holders other than record date stockholders, may both participate in the over-subscription privilege by indicating on their subscription certificate the number of shares they are willing to acquire. If sufficient remaining shares are available after the initial subscription, all over-subscriptions will be honored in full; otherwise remaining shares will be allocated first to record date stockholders and then (if any remaining shares are still available) to non-record date rights holders, and the number of remaining shares issued to some or all exercising rights holders participating in the over-subscription privilege may be reduced as described under “—Over-Subscription Privilege”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Record Date Stockholders Whose Shares are Held by a Nominee</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Record date stockholders whose shares are held by a nominee, such as a bank, broker-dealer or trustee, must contact that nominee to exercise their rights. In that case, the nominee will complete the subscription certificate on behalf of the record date stockholder and arrange for proper payment by one of the methods set forth under “—Payment for Shares”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w:t>
      </w:r>
    </w:p>
    <w:p>
      <w:pPr>
        <w:spacing w:after="0" w:line="121"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Nominees, such as brokers, trustees or depositories for securities, who hold shares for the account of others should notify the respective beneficial owners of the shares as soon as possible to ascertain the beneficial owners’ intentions and to obtain instructions with respect to the rights. If the beneficial owner so instructs, the nominee should complete the subscription certificate and submit it to the subscription agent with the proper payment as described under “—Payment for Shares” below.</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00"/>
          </w:cols>
          <w:pgMar w:left="240" w:top="455" w:right="259" w:bottom="1440" w:gutter="0" w:footer="0" w:header="0"/>
        </w:sectPr>
      </w:pPr>
    </w:p>
    <w:bookmarkStart w:id="342" w:name="page343"/>
    <w:bookmarkEnd w:id="3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All questions as to the validity, form, eligibility (including times of receipt and matters pertaining to beneficial ownership) and the acceptance of subscription forms and the subscription price will be determined by us, which determinations will be final and binding. No alternative, conditional or contingent subscriptions will be accepted. We reserve the right to reject any exercise if such exercise is not in accordance with the terms of the offering or not in proper form or if the acceptance thereof or the issuance of shares of our common stock thereto could be deemed unlawful.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Stockholders</w:t>
      </w:r>
    </w:p>
    <w:p>
      <w:pPr>
        <w:spacing w:after="0" w:line="121" w:lineRule="exact"/>
        <w:rPr>
          <w:sz w:val="20"/>
          <w:szCs w:val="20"/>
          <w:color w:val="auto"/>
        </w:rPr>
      </w:pPr>
    </w:p>
    <w:p>
      <w:pPr>
        <w:ind w:firstLine="456"/>
        <w:spacing w:after="0" w:line="269" w:lineRule="auto"/>
        <w:rPr>
          <w:sz w:val="20"/>
          <w:szCs w:val="20"/>
          <w:color w:val="auto"/>
        </w:rPr>
      </w:pPr>
      <w:r>
        <w:rPr>
          <w:rFonts w:ascii="Times New Roman" w:cs="Times New Roman" w:eastAsia="Times New Roman" w:hAnsi="Times New Roman"/>
          <w:sz w:val="17"/>
          <w:szCs w:val="17"/>
          <w:color w:val="auto"/>
        </w:rPr>
        <w:t>Stockholders whose record addresses are outside the United States (for these purposes, the United States includes its territories and possessions and the District of Columbia) will receive written notice of the rights offering; however, subscription certificates will not be mailed to such stockholders. The subscription agent will hold the rights to which those subscription certificates relate for these stockholders’ accounts until instructions are received to exercise the rights and such stockholders establish to the satisfaction of the subscription agent that they are permitted to exercise their subscription rights under applicable law. In addition, such stockholders must take all other steps that are necessary to exercise their subscription rights on or prior to the date required</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participation in the rights offering. If no instructions have been received by 5:00 p.m., New York City time, on , 20 , three business days prior to the expiration date (or, if the offering is extended, on or before three business days prior to the extended expiration date), the subscription agent will transfer the rights of these stockholders to the dealer managers, who will either purchase the rights or use their best efforts to sell them. The net proceeds, if any, from the sale of those rights will be remitted to these stockholders. If those rights are not purchased or sold prior to the expiration of the rights offering, they will expire.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For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Participating rights holders may choose between the following methods of payment:</w:t>
      </w:r>
    </w:p>
    <w:p>
      <w:pPr>
        <w:spacing w:after="0" w:line="131" w:lineRule="exact"/>
        <w:rPr>
          <w:sz w:val="20"/>
          <w:szCs w:val="20"/>
          <w:color w:val="auto"/>
        </w:rPr>
      </w:pPr>
    </w:p>
    <w:p>
      <w:pPr>
        <w:jc w:val="both"/>
        <w:ind w:left="900" w:right="260" w:hanging="446"/>
        <w:spacing w:after="0" w:line="276" w:lineRule="auto"/>
        <w:tabs>
          <w:tab w:leader="none" w:pos="90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participating rights holder may send the subscription certificate together with payment for the shares acquired in the basic subscription[ and any additional shares subscribed for pursuant to the over-subscription privilege] to the subscription agent based on the estimated subscription</w:t>
      </w:r>
    </w:p>
    <w:p>
      <w:pPr>
        <w:ind w:left="900"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price of $ . To be accepted, the payment, together with a properly completed and executed subscription certificate, must be received by the subscription agent at one of the subscription agent’s offices set forth above, at or prior to 5:00 p.m., New York City time, on the expiration date.</w:t>
      </w:r>
    </w:p>
    <w:p>
      <w:pPr>
        <w:jc w:val="both"/>
        <w:ind w:left="900" w:right="280" w:hanging="446"/>
        <w:spacing w:after="0" w:line="265" w:lineRule="auto"/>
        <w:tabs>
          <w:tab w:leader="none" w:pos="900"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participating rights holder may request an Eligible Guarantor Institution as that term is defined in Rule 17Ad-15 under the Exchange Act to send a notice of guaranteed delivery by facsimile or otherwise guaranteeing delivery of (i) payment of the full estimated subscription price of</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per share for the shares subscribed for in the basic subscription[ and any additional shares subscribed for pursuant to the over-subscription</w:t>
      </w:r>
    </w:p>
    <w:p>
      <w:pPr>
        <w:spacing w:after="0" w:line="9" w:lineRule="exact"/>
        <w:rPr>
          <w:sz w:val="20"/>
          <w:szCs w:val="20"/>
          <w:color w:val="auto"/>
        </w:rPr>
      </w:pPr>
    </w:p>
    <w:p>
      <w:pPr>
        <w:ind w:left="900" w:right="160"/>
        <w:spacing w:after="0" w:line="265" w:lineRule="auto"/>
        <w:rPr>
          <w:sz w:val="20"/>
          <w:szCs w:val="20"/>
          <w:color w:val="auto"/>
        </w:rPr>
      </w:pPr>
      <w:r>
        <w:rPr>
          <w:rFonts w:ascii="Times New Roman" w:cs="Times New Roman" w:eastAsia="Times New Roman" w:hAnsi="Times New Roman"/>
          <w:sz w:val="17"/>
          <w:szCs w:val="17"/>
          <w:color w:val="auto"/>
        </w:rPr>
        <w:t>privilege] and (ii) a properly completed and duly executed subscription certificate. The subscription agent will not honor a notice of guaranteed delivery unless a properly completed and duly executed subscription certificate and full payment for the shares is received by the subscription</w:t>
      </w:r>
    </w:p>
    <w:p>
      <w:pPr>
        <w:ind w:left="900" w:right="320"/>
        <w:spacing w:after="0" w:line="261" w:lineRule="auto"/>
        <w:rPr>
          <w:sz w:val="20"/>
          <w:szCs w:val="20"/>
          <w:color w:val="auto"/>
        </w:rPr>
      </w:pPr>
      <w:r>
        <w:rPr>
          <w:rFonts w:ascii="Times New Roman" w:cs="Times New Roman" w:eastAsia="Times New Roman" w:hAnsi="Times New Roman"/>
          <w:sz w:val="18"/>
          <w:szCs w:val="18"/>
          <w:color w:val="auto"/>
        </w:rPr>
        <w:t>agent at or prior to 5:00 p.m., New York City time, on , 20 (or, if the offering is extended, by the close of business three business days after the extended expiration date).</w:t>
      </w:r>
    </w:p>
    <w:p>
      <w:pPr>
        <w:spacing w:after="0" w:line="176"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Participating rights holders will have no right to rescind their subscription after receipt of their payment for shares or a notice of guaranteed delivery by the subscription agent, except as provided above under “—Notice of Net Asset Value Decline.”</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payments by a participating rights holder must be in U.S. dollars by money order or check or bank draft drawn on a bank or branch located in the</w:t>
      </w:r>
    </w:p>
    <w:p>
      <w:pPr>
        <w:spacing w:after="0" w:line="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United States and payable to . The subscription agent will hold all funds received by it pending distribution to us after consummation of the rights offering. If the offering is terminated, we will promptly arrange for the refund, without interest, of all funds received from holders of rights.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380"/>
          </w:cols>
          <w:pgMar w:left="240" w:top="455" w:right="279" w:bottom="1440" w:gutter="0" w:footer="0" w:header="0"/>
        </w:sectPr>
      </w:pPr>
    </w:p>
    <w:bookmarkStart w:id="343" w:name="page344"/>
    <w:bookmarkEnd w:id="3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The method of delivery of subscription certificates and payment of the subscription price to us will be at the election and risk of the participating rights holders, but if sent by mail it is recommended that such certificates and payments be sent by registered mail, properly insured, with return receipt requested, and that a sufficient number of days be allowed to ensure delivery to the subscription agent and clearance of payment prior to 5:00 p.m., New York City time, on the expiration date or the date guaranteed payments are due under a notice of guaranteed delivery (as applicable). Because uncertified personal checks may take at least five business days to clear, you are strongly urged to pay, or arrange for payment, by means of certified or cashier’s check or money order.</w:t>
      </w:r>
    </w:p>
    <w:p>
      <w:pPr>
        <w:spacing w:after="0" w:line="18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a date within business days following the expiration date, the subscription agent will send to each participating rights holder (or, if rights are held by Cede or any other depository or nominee, to Cede or such other depository or nominee) a confirmation showing (i) the number of shares purchased pursuant to the basic subscription; [(ii) the number of shares, if any, acquired pursuant to the over-subscription privilege; ](iii) the per share and total purchase price for such shares; and (iv) any additional amount payable to us by the participating rights holder or any excess to be refunded by us to the participating rights holder, in each case based on the subscription price as determined on the expiration date. If any participating rights holder, if eligible, exercises his or her right to acquire shares pursuant to the over-subscription privilege, any excess payment which would otherwise be refunded to him or her will be applied by us toward payment for shares acquired pursuant to the exercise of the over-subscription privilege. Any additional payment required from a participating rights holder must be received by the subscription agent within ten business days after the confirmation date. Any excess payment to be refunded by us to a participating rights holder will be mailed by the subscription agent to the rights holder as promptly as practicable. No interest will be paid on any amounts refunded.</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Whichever of the two methods described above is used, issuance of the shares purchased is subject to collection of checks and actual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payment. </w:t>
      </w:r>
      <w:r>
        <w:rPr>
          <w:rFonts w:ascii="Times New Roman" w:cs="Times New Roman" w:eastAsia="Times New Roman" w:hAnsi="Times New Roman"/>
          <w:sz w:val="18"/>
          <w:szCs w:val="18"/>
          <w:color w:val="auto"/>
        </w:rPr>
        <w:t>If a participating rights holder who subscribes for shares pursuant to the basic subscription or over-subscription privilege does not make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amounts due by the expiration date, the date guaranteed payments are due under a notice of guaranteed delivery or within ten business days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confirmation date, as applicable, the subscription agent reserves the right to take any or all of the following actions: (i) find other participating rights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 wish to subscribe for such subscribed and unpaid for shares; (ii) apply any payment actually received by it from the participating rights holder toward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the greatest whole number of shares which could be acquired by such participating rights holder upon exercise of the basic subscription and/or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over-subscription privilege; and/or (iii) exercise any and all other rights or remedies to which it may be entitled, including, without limitation, the right to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 against payments actually received by it with respect to such subscribed for shares.</w:t>
      </w:r>
    </w:p>
    <w:p>
      <w:pPr>
        <w:spacing w:after="0" w:line="20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will decide all questions as to the validity, form and eligibility (including times of receipt, beneficial ownership and compliance with other procedural matters) in our sole discretion, and our determination shall be final and binding. We, in our sole discretion, may waive any defect or irregularity, or permit a defect or irregularity to be corrected within such time as we may determine, or reject the purported exercise of any right. Subscriptions will not be deemed to have been received or accepted until all irregularities have been waived or cured within such time as we determine in our sole discretion. We will not be under any duty to give notification of any defect or irregularity in connection with the submission of subscription certificates or incur any liability for failure to give such notification.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are Transferable until the Trading Day Immediately Preceding the Expiration Date</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rights will be listed on under the symbol “ .” While we and the dealer managers will use our and their best efforts to ensure that an adequate trading market for the rights will exist, no assurance can be given that a market for the rights will develop. Trading in the rights on is expected to be conducted beginning on or about , 20 . The rights are transferable and are expected to continue trading until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420"/>
          </w:cols>
          <w:pgMar w:left="240" w:top="455" w:right="239" w:bottom="1440" w:gutter="0" w:footer="0" w:header="0"/>
        </w:sectPr>
      </w:pPr>
    </w:p>
    <w:bookmarkStart w:id="344" w:name="page345"/>
    <w:bookmarkEnd w:id="3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including , 20 (or if the offering is extended, until the trading day immediately prior to the extended expiration date). Rights holders are encouraged to contact their broker-dealer, bank, trustee or other nominees for more information about trading of the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through the Subscription Agent and the Dealer Managers</w:t>
      </w:r>
    </w:p>
    <w:p>
      <w:pPr>
        <w:spacing w:after="0" w:line="121" w:lineRule="exact"/>
        <w:rPr>
          <w:sz w:val="20"/>
          <w:szCs w:val="20"/>
          <w:color w:val="auto"/>
        </w:rPr>
      </w:pPr>
    </w:p>
    <w:p>
      <w:pPr>
        <w:ind w:right="100" w:firstLine="456"/>
        <w:spacing w:after="0" w:line="276" w:lineRule="auto"/>
        <w:rPr>
          <w:sz w:val="20"/>
          <w:szCs w:val="20"/>
          <w:color w:val="auto"/>
        </w:rPr>
      </w:pPr>
      <w:r>
        <w:rPr>
          <w:rFonts w:ascii="Times New Roman" w:cs="Times New Roman" w:eastAsia="Times New Roman" w:hAnsi="Times New Roman"/>
          <w:sz w:val="17"/>
          <w:szCs w:val="17"/>
          <w:color w:val="auto"/>
        </w:rPr>
        <w:t>Stockholders who do not wish to exercise any or all of their rights may instruct the subscription agent to sell any rights they do not intend to exercise themselves through or to a dealer manager. Subscription certificates representing the rights to be sold through or to a dealer manager must be received by the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subscription agent on or before , 20 (or if the offering is extended, until two business days prior to the extended expiration date). Upon the timely receipt by the subscription agent of appropriate instructions to sell rights, the subscription agent will ask the dealer managers either to purchase or to use their best efforts to complete the sale and the subscription agent will remit the proceeds of the sale to the selling stockholders. If the rights can be sold, sales of such rights will be deemed to have been effected at the weighted-average price received by the selling dealer manager on the day such rights are sold. The sale price of any rights sold to the dealer managers will be based upon the then-current market price for the rights. The dealer managers will also attempt to sell all rights which remain unclaimed as a result of subscription certificates being returned by the postal authorities to the subscription agent as undeliverable as of the business day prior to the expiration date of the offering. The subscription agent will hold the proceeds from those sales for the benefit of such non-claiming stockholders until such proceeds are either claimed or revert to the state pursuant to applicable state law. There can be no assurance that the dealer managers will purchase or be able to complete the sale of any such rights, and neither we nor the dealer managers have guaranteed any minimum sales price for the rights. If a stockholder does not utilize the services of the subscription agent and chooses to use another broker-dealer or other financial institution to sell rights, then the other broker-dealer or financial institution may charge a fee to sell the rights.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Transfers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rights evidenced by a subscription certificate may be transferred in whole by endorsing the subscription certificate for transfer in accordance with the accompanying instructions. A portion of the rights evidenced by a single subscription certificate may be transferred by delivering to the subscription agent a subscription certificate properly endorsed for transfer, with instructions to register such portion of the rights evidenced thereby in the name of the transferee and to issue a new subscription certificate to the transferee evidencing such transferred rights. In such event, a new subscription certificate evidencing the balance of the rights, if any, will be issued to the stockholder or, if the stockholder so instructs, to an additional transferee. The signature on the subscription certificate must correspond to the name as written upon the face of the subscription certificate, without alteration or enlargement, or any change. A signature guarantee must be provided by an Eligible Guarantor Institution as that term is defined in Rule 17Ad-15 under the Exchange Act, subject to the standards and procedures adopted by us.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wishing to transfer all or a portion of their rights should allow at least five business days prior to the expiration date of the offering for</w:t>
      </w:r>
    </w:p>
    <w:p>
      <w:pPr>
        <w:spacing w:after="0" w:line="27" w:lineRule="exact"/>
        <w:rPr>
          <w:sz w:val="20"/>
          <w:szCs w:val="20"/>
          <w:color w:val="auto"/>
        </w:rPr>
      </w:pPr>
    </w:p>
    <w:p>
      <w:pPr>
        <w:ind w:right="60" w:firstLine="8"/>
        <w:spacing w:after="0" w:line="253" w:lineRule="auto"/>
        <w:tabs>
          <w:tab w:leader="none" w:pos="21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instructions to be received and processed by the subscription agent; (ii) a new subscription certificate to be issued and transmitted to the transferee or transferees with respect to transferred rights, and to the transferor with respect to retained rights, if any; and (iii) the rights evidenced by such new subscription certificate to be exercised or sold by the recipients thereof. Neither we nor the subscription agent nor the dealer managers shall have any liability to a transferee or transferor of rights if subscription certificates are not received in time for exercise prior to the expiration date of the offering or sale prior to the day immediately preceding the expiration date of the offering (or, if the offering is extended, the extended expiration date).</w:t>
      </w:r>
    </w:p>
    <w:p>
      <w:pPr>
        <w:spacing w:after="0" w:line="187"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Except for the fees charged by the subscription agent, information agent and dealer managers, which will be paid by us, all commissions, fees and other expenses (including brokerage commissions and transfer taxes) incurred or charged in connection with the purchase, sale or exercise of rights will be for the account of the transferor of the rights, and none of those commissions, fees or expenses will be paid by us, the subscription agent, information agent or the dealer managers.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00"/>
          </w:cols>
          <w:pgMar w:left="240" w:top="456" w:right="259" w:bottom="1440" w:gutter="0" w:footer="0" w:header="0"/>
        </w:sectPr>
      </w:pPr>
    </w:p>
    <w:bookmarkStart w:id="345" w:name="page346"/>
    <w:bookmarkEnd w:id="3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anticipate that the rights will be eligible for transfer through, and that the exercise of the basic subscription and the over-subscription privilege may be effected through, the facilities of the Depository Trust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Stock Certificates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Stock certificates will not be issued for shares of our common stock offered in the offering. Stockholders who are record owners will have the shares they acquire credited to their account with our transfer agent. All future dividends paid on such shares will be reinvested into additional shares or paid in cash if you have made such an election in connection with our dividend reinvestment plan. Stockholders whose common stock are held by a nominee will have the shares they acquire credited to the account of such nominee holder.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Of The Offering</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[Insert disclosure regarding material U.S. federal income tax considerations of the offering to the extent required to be disclosed by applicable law or regulation.]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ERISA Considerations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Stockholders who are employee benefit plans subject to the Employee Retirement Income Security Act of 1974, which we refer to as ERISA (including corporate pension, savings and 401(k) plans), governmental plans, Keogh and H.R. 10 plans of self-employed individuals and individual retirement accounts (IRAs) should carefully consider the application of the fiduciary duties imposed by ERISA or other applicable laws and the prohibited transaction rules prescribed by ERISA, the Code or other applicable laws to the holding, exercise, sale and transfer of the rights. Adverse consequences under ERISA, the Code or other applicable laws could also occur as a result of any additional cash contributions to such plans or accounts or any borrowing of cash by such plans or accounts in order to finance the exercise of rights. In addition, the trustee or custodian of any such plan or account should also determine that the holding, exercise, sale and transfer of the rights would be permissible under the investment guidelines and governing instruments of such plan or account and applicable law. Due to the complexity of these rules and the penalties for noncompliance, any such plans or accounts should consult with their counsel and other advisers regarding the impact of ERISA, the Code and any other applicable law on their holding, exercise, sale and transfer of the rights.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Arrangements</w:t>
      </w:r>
    </w:p>
    <w:p>
      <w:pPr>
        <w:spacing w:after="0" w:line="121" w:lineRule="exact"/>
        <w:rPr>
          <w:sz w:val="20"/>
          <w:szCs w:val="20"/>
          <w:color w:val="auto"/>
        </w:rPr>
      </w:pPr>
    </w:p>
    <w:p>
      <w:pPr>
        <w:ind w:firstLine="464"/>
        <w:spacing w:after="0" w:line="255" w:lineRule="auto"/>
        <w:tabs>
          <w:tab w:leader="none" w:pos="105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a broker-dealer and member of FINRA, will act as dealer managers for the offering. Under the terms and subject to the conditions contained in the dealer manager agreement, the dealer managers will provide financial advisory and marketing services in connection with the offering and will solicit the acquisition and/or exercise of rights by stockholders and others[ and participation in the over-subscription privilege]. The dealer managers may use this prospectus for any or all of such activities. The offering is not contingent upon any number of rights being exercised. We have agreed to pay the</w:t>
      </w:r>
    </w:p>
    <w:p>
      <w:pPr>
        <w:spacing w:after="0" w:line="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dealer managers a fee for their financial advisory, marketing and soliciting services equal to % of the aggregate subscription price for shares issued pursuant to the offering. The dealer managers will reallow to other broker-dealers that have executed and delivered a soliciting dealer agreement and have solicited the exercise of rights, solicitation fees equal to % of the subscription price per share for each share issued pursuant to the exercise of rights[and the over-subscription privilege] as a result of their soliciting efforts.</w:t>
      </w:r>
    </w:p>
    <w:p>
      <w:pPr>
        <w:spacing w:after="0" w:line="18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addition, we have agreed to reimburse the dealer managers an aggregate amount up to $ for their expenses incurred in connection with the offering. We have agreed to indemnify the dealer managers and the soliciting dealers for, or contribute to losses arising out of, certain liabilities, including liabilities under the Securities Act. The dealer manager agreement also provides that the dealer managers will not be subject to any liability to us in rendering the services contemplated by the dealer manager agreement except for any act of bad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400"/>
          </w:cols>
          <w:pgMar w:left="240" w:top="455" w:right="259" w:bottom="1440" w:gutter="0" w:footer="0" w:header="0"/>
        </w:sectPr>
      </w:pPr>
    </w:p>
    <w:bookmarkStart w:id="346" w:name="page347"/>
    <w:bookmarkEnd w:id="3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faith, willful misfeasance or gross negligence of such dealer manager or reckless disregard by such dealer manager of its obligations and duties under the dealer manager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[Insert principal business addresses of dealer managers.]</w:t>
      </w:r>
    </w:p>
    <w:p>
      <w:pPr>
        <w:spacing w:after="0" w:line="225"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We have agreed, with certain exceptions, with the dealer managers that, for a period of days following the date of this prospectus, we will not offer, pledge, sell, contract to sell or otherwise dispose of, directly or indirectly, any shares of our common stock or any securities convertible into or</w:t>
      </w:r>
    </w:p>
    <w:p>
      <w:pPr>
        <w:ind w:right="280"/>
        <w:spacing w:after="0" w:line="250" w:lineRule="auto"/>
        <w:rPr>
          <w:sz w:val="20"/>
          <w:szCs w:val="20"/>
          <w:color w:val="auto"/>
        </w:rPr>
      </w:pPr>
      <w:r>
        <w:rPr>
          <w:rFonts w:ascii="Times New Roman" w:cs="Times New Roman" w:eastAsia="Times New Roman" w:hAnsi="Times New Roman"/>
          <w:sz w:val="18"/>
          <w:szCs w:val="18"/>
          <w:color w:val="auto"/>
        </w:rPr>
        <w:t>exchangeable for shares of our common stock, or file any registration statement with respect thereto without the prior written consent of [ ]. In addition, our executive officers, directors, the Adviser and certain of its affiliates have agreed, with certain exceptions, with the dealer managers that, for a</w:t>
      </w:r>
    </w:p>
    <w:p>
      <w:pPr>
        <w:spacing w:after="0" w:line="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period of days following the date of this prospectus, that they will not offer, pledge, sell, contract to sell or otherwise dispose of, directly or indirectly, any shares of our common stock or any securities convertible into or exchangeable for shares of our common stock without the prior written consent of</w:t>
      </w:r>
    </w:p>
    <w:p>
      <w:pPr>
        <w:spacing w:after="0" w:line="1" w:lineRule="exact"/>
        <w:rPr>
          <w:sz w:val="20"/>
          <w:szCs w:val="20"/>
          <w:color w:val="auto"/>
        </w:rPr>
      </w:pPr>
    </w:p>
    <w:p>
      <w:pPr>
        <w:ind w:right="220" w:firstLine="8"/>
        <w:spacing w:after="0" w:line="261" w:lineRule="auto"/>
        <w:tabs>
          <w:tab w:leader="none" w:pos="6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However, those dealer managers may, in their sole discretion and at any time without notice, release all or any portion of the securities subject to these agreements.</w:t>
      </w:r>
    </w:p>
    <w:p>
      <w:pPr>
        <w:spacing w:after="0" w:line="18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dealer managers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dealer managers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4"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dealer managers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dealer managers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Prior to the expiration of the offering, the dealer managers may independently offer for sale shares, including shares acquired through purchasing and exercising the rights, at prices they set. The dealer managers may realize profits or losses independent of any fees described in this prospectus supplement and accompanying 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any other specific transactions and compensation related thereto to the extent required to be disclosed by applicable law or regulation.]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if dealer managers receiving proceeds of offering, if required by FINRA.]</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400"/>
          </w:cols>
          <w:pgMar w:left="240" w:top="455" w:right="259" w:bottom="1440" w:gutter="0" w:footer="0" w:header="0"/>
        </w:sectPr>
      </w:pPr>
    </w:p>
    <w:bookmarkStart w:id="347" w:name="page348"/>
    <w:bookmarkEnd w:id="347"/>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594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3780" w:type="dxa"/>
            <w:vAlign w:val="bottom"/>
          </w:tcPr>
          <w:p>
            <w:pPr>
              <w:spacing w:after="0"/>
              <w:rPr>
                <w:sz w:val="24"/>
                <w:szCs w:val="24"/>
                <w:color w:val="auto"/>
              </w:rPr>
            </w:pPr>
          </w:p>
        </w:tc>
      </w:tr>
      <w:tr>
        <w:trPr>
          <w:trHeight w:val="414"/>
        </w:trPr>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Assuming</w:t>
            </w:r>
          </w:p>
        </w:tc>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of our common stock are sold at an estimated subscription price of $</w:t>
            </w: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 the net proceeds from this offering will</w:t>
            </w: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approximately $</w:t>
            </w:r>
          </w:p>
        </w:tc>
        <w:tc>
          <w:tcPr>
            <w:tcW w:w="9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million, after deducting dealer manager fees and other expenses related to the offering payable by us. There can be no assurance that</w:t>
            </w:r>
          </w:p>
        </w:tc>
      </w:tr>
    </w:tbl>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of the rights will be exercised in full, and the subscription price will not be determined until the close of business on the expiration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300"/>
          </w:cols>
          <w:pgMar w:left="240" w:top="445" w:right="359" w:bottom="1440" w:gutter="0" w:footer="0" w:header="0"/>
        </w:sectPr>
      </w:pPr>
    </w:p>
    <w:bookmarkStart w:id="348" w:name="page349"/>
    <w:bookmarkEnd w:id="3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It is not possible to predict whether our common stock offered hereby will trade at, above or below net asset value. See “Risk Factors—Risks Related to Offerings Pursuant to This Prospectus” in the accompanying prospectus.</w:t>
      </w:r>
    </w:p>
    <w:p>
      <w:pPr>
        <w:spacing w:after="0" w:line="162"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fiscal quarter since our initial public offering, the net asset value per share of our common stock, the range of high and low closing sales prices of our common stock, the closing sales price as a premium (discount) to net asset value and the dividends or distributions</w:t>
      </w:r>
    </w:p>
    <w:tbl>
      <w:tblPr>
        <w:tblLayout w:type="fixed"/>
        <w:tblInd w:w="0" w:type="dxa"/>
        <w:tblCellMar>
          <w:top w:w="0" w:type="dxa"/>
          <w:left w:w="0" w:type="dxa"/>
          <w:bottom w:w="0" w:type="dxa"/>
          <w:right w:w="0" w:type="dxa"/>
        </w:tblCellMar>
      </w:tblPr>
      <w:tr>
        <w:trPr>
          <w:trHeight w:val="198"/>
        </w:trPr>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declared by us. On</w:t>
            </w:r>
          </w:p>
        </w:tc>
        <w:tc>
          <w:tcPr>
            <w:tcW w:w="5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 20</w:t>
            </w:r>
          </w:p>
        </w:tc>
        <w:tc>
          <w:tcPr>
            <w:tcW w:w="5840" w:type="dxa"/>
            <w:vAlign w:val="bottom"/>
            <w:gridSpan w:val="7"/>
          </w:tcPr>
          <w:p>
            <w:pPr>
              <w:jc w:val="right"/>
              <w:ind w:right="8"/>
              <w:spacing w:after="0" w:line="198" w:lineRule="exact"/>
              <w:rPr>
                <w:sz w:val="20"/>
                <w:szCs w:val="20"/>
                <w:color w:val="auto"/>
              </w:rPr>
            </w:pPr>
            <w:r>
              <w:rPr>
                <w:rFonts w:ascii="Times New Roman" w:cs="Times New Roman" w:eastAsia="Times New Roman" w:hAnsi="Times New Roman"/>
                <w:sz w:val="18"/>
                <w:szCs w:val="18"/>
                <w:color w:val="auto"/>
              </w:rPr>
              <w:t>, the last reported closing sales price of our common stock on the NYSE was $</w:t>
            </w:r>
          </w:p>
        </w:tc>
        <w:tc>
          <w:tcPr>
            <w:tcW w:w="3160" w:type="dxa"/>
            <w:vAlign w:val="bottom"/>
            <w:gridSpan w:val="9"/>
          </w:tcPr>
          <w:p>
            <w:pPr>
              <w:jc w:val="right"/>
              <w:ind w:right="680"/>
              <w:spacing w:after="0" w:line="198" w:lineRule="exact"/>
              <w:rPr>
                <w:sz w:val="20"/>
                <w:szCs w:val="20"/>
                <w:color w:val="auto"/>
              </w:rPr>
            </w:pPr>
            <w:r>
              <w:rPr>
                <w:rFonts w:ascii="Times New Roman" w:cs="Times New Roman" w:eastAsia="Times New Roman" w:hAnsi="Times New Roman"/>
                <w:sz w:val="18"/>
                <w:szCs w:val="18"/>
                <w:color w:val="auto"/>
              </w:rPr>
              <w:t>per share, which represented a</w:t>
            </w:r>
          </w:p>
        </w:tc>
        <w:tc>
          <w:tcPr>
            <w:tcW w:w="0" w:type="dxa"/>
            <w:vAlign w:val="bottom"/>
          </w:tcPr>
          <w:p>
            <w:pPr>
              <w:spacing w:after="0"/>
              <w:rPr>
                <w:sz w:val="1"/>
                <w:szCs w:val="1"/>
                <w:color w:val="auto"/>
              </w:rPr>
            </w:pPr>
          </w:p>
        </w:tc>
      </w:tr>
      <w:tr>
        <w:trPr>
          <w:trHeight w:val="234"/>
        </w:trPr>
        <w:tc>
          <w:tcPr>
            <w:tcW w:w="6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[premium][discount] of approximately  % to the net asset value per share reported by us as of</w:t>
            </w:r>
          </w:p>
        </w:tc>
        <w:tc>
          <w:tcPr>
            <w:tcW w:w="480" w:type="dxa"/>
            <w:vAlign w:val="bottom"/>
          </w:tcPr>
          <w:p>
            <w:pPr>
              <w:spacing w:after="0"/>
              <w:rPr>
                <w:sz w:val="20"/>
                <w:szCs w:val="20"/>
                <w:color w:val="auto"/>
              </w:rPr>
            </w:pPr>
          </w:p>
        </w:tc>
        <w:tc>
          <w:tcPr>
            <w:tcW w:w="9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 20  .</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3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1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50"/>
        </w:trPr>
        <w:tc>
          <w:tcPr>
            <w:tcW w:w="18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w:t>
            </w: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Pr>
          <w:p>
            <w:pPr>
              <w:spacing w:after="0"/>
              <w:rPr>
                <w:sz w:val="12"/>
                <w:szCs w:val="12"/>
                <w:color w:val="auto"/>
              </w:rPr>
            </w:pPr>
          </w:p>
        </w:tc>
        <w:tc>
          <w:tcPr>
            <w:tcW w:w="6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Low</w:t>
            </w:r>
          </w:p>
        </w:tc>
        <w:tc>
          <w:tcPr>
            <w:tcW w:w="3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0" w:type="dxa"/>
            <w:vAlign w:val="bottom"/>
          </w:tcPr>
          <w:p>
            <w:pPr>
              <w:spacing w:after="0"/>
              <w:rPr>
                <w:sz w:val="1"/>
                <w:szCs w:val="1"/>
                <w:color w:val="auto"/>
              </w:rPr>
            </w:pPr>
          </w:p>
        </w:tc>
      </w:tr>
      <w:tr>
        <w:trPr>
          <w:trHeight w:val="173"/>
        </w:trPr>
        <w:tc>
          <w:tcPr>
            <w:tcW w:w="1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(2)</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w:t>
            </w:r>
          </w:p>
        </w:tc>
        <w:tc>
          <w:tcPr>
            <w:tcW w:w="3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First Quarter (beginning</w:t>
            </w:r>
          </w:p>
        </w:tc>
        <w:tc>
          <w:tcPr>
            <w:tcW w:w="3280" w:type="dxa"/>
            <w:vAlign w:val="bottom"/>
          </w:tcPr>
          <w:p>
            <w:pPr>
              <w:jc w:val="right"/>
              <w:ind w:right="2390"/>
              <w:spacing w:after="0"/>
              <w:rPr>
                <w:sz w:val="20"/>
                <w:szCs w:val="20"/>
                <w:color w:val="auto"/>
              </w:rPr>
            </w:pPr>
            <w:r>
              <w:rPr>
                <w:rFonts w:ascii="Times New Roman" w:cs="Times New Roman" w:eastAsia="Times New Roman" w:hAnsi="Times New Roman"/>
                <w:sz w:val="18"/>
                <w:szCs w:val="18"/>
                <w:color w:val="auto"/>
              </w:rPr>
              <w:t>, 20  )</w:t>
            </w:r>
          </w:p>
        </w:tc>
        <w:tc>
          <w:tcPr>
            <w:tcW w:w="640" w:type="dxa"/>
            <w:vAlign w:val="bottom"/>
          </w:tcPr>
          <w:p>
            <w:pPr>
              <w:jc w:val="right"/>
              <w:ind w:right="47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5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40" w:type="dxa"/>
            <w:vAlign w:val="bottom"/>
          </w:tcPr>
          <w:p>
            <w:pPr>
              <w:jc w:val="right"/>
              <w:ind w:right="47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5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w:t>
            </w:r>
          </w:p>
        </w:tc>
        <w:tc>
          <w:tcPr>
            <w:tcW w:w="3280" w:type="dxa"/>
            <w:vAlign w:val="bottom"/>
          </w:tcPr>
          <w:p>
            <w:pPr>
              <w:jc w:val="right"/>
              <w:ind w:right="307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5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640" w:type="dxa"/>
            <w:vAlign w:val="bottom"/>
          </w:tcPr>
          <w:p>
            <w:pPr>
              <w:jc w:val="right"/>
              <w:ind w:right="47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Pr>
          <w:p>
            <w:pPr>
              <w:spacing w:after="0"/>
              <w:rPr>
                <w:sz w:val="18"/>
                <w:szCs w:val="18"/>
                <w:color w:val="auto"/>
              </w:rPr>
            </w:pP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58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40" w:type="dxa"/>
            <w:vAlign w:val="bottom"/>
          </w:tcPr>
          <w:p>
            <w:pPr>
              <w:jc w:val="right"/>
              <w:ind w:right="47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0" w:right="60" w:hanging="452"/>
        <w:spacing w:after="0" w:line="261" w:lineRule="auto"/>
        <w:tabs>
          <w:tab w:leader="none" w:pos="4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Net asset value has not yet been calculated for this period.]</w:t>
      </w:r>
    </w:p>
    <w:p>
      <w:pPr>
        <w:spacing w:after="0" w:line="207" w:lineRule="exact"/>
        <w:rPr>
          <w:sz w:val="20"/>
          <w:szCs w:val="20"/>
          <w:color w:val="auto"/>
        </w:rPr>
      </w:pPr>
    </w:p>
    <w:p>
      <w:pPr>
        <w:ind w:right="440" w:firstLine="456"/>
        <w:spacing w:after="0" w:line="313"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[On</w:t>
            </w:r>
          </w:p>
        </w:tc>
        <w:tc>
          <w:tcPr>
            <w:tcW w:w="3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20  , our Board declared a dividend of $</w:t>
            </w: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per share for the quarter ending</w:t>
            </w:r>
          </w:p>
        </w:tc>
        <w:tc>
          <w:tcPr>
            <w:tcW w:w="480" w:type="dxa"/>
            <w:vAlign w:val="bottom"/>
          </w:tcPr>
          <w:p>
            <w:pPr>
              <w:spacing w:after="0"/>
              <w:rPr>
                <w:sz w:val="18"/>
                <w:szCs w:val="18"/>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 20  to stockholders of record as of</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  . The dividend is expected to be paid on or about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20</w:t>
            </w:r>
          </w:p>
        </w:tc>
        <w:tc>
          <w:tcPr>
            <w:tcW w:w="6240" w:type="dxa"/>
            <w:vAlign w:val="bottom"/>
            <w:gridSpan w:val="10"/>
          </w:tcPr>
          <w:p>
            <w:pPr>
              <w:jc w:val="right"/>
              <w:ind w:right="210"/>
              <w:spacing w:after="0"/>
              <w:rPr>
                <w:sz w:val="20"/>
                <w:szCs w:val="20"/>
                <w:color w:val="auto"/>
              </w:rPr>
            </w:pPr>
            <w:r>
              <w:rPr>
                <w:rFonts w:ascii="Times New Roman" w:cs="Times New Roman" w:eastAsia="Times New Roman" w:hAnsi="Times New Roman"/>
                <w:sz w:val="18"/>
                <w:szCs w:val="18"/>
                <w:color w:val="auto"/>
                <w:w w:val="99"/>
              </w:rPr>
              <w:t>. We anticipate that this dividend will be paid from income generated primarily by</w:t>
            </w:r>
          </w:p>
        </w:tc>
        <w:tc>
          <w:tcPr>
            <w:tcW w:w="0" w:type="dxa"/>
            <w:vAlign w:val="bottom"/>
          </w:tcPr>
          <w:p>
            <w:pPr>
              <w:spacing w:after="0"/>
              <w:rPr>
                <w:sz w:val="1"/>
                <w:szCs w:val="1"/>
                <w:color w:val="auto"/>
              </w:rPr>
            </w:pPr>
          </w:p>
        </w:tc>
      </w:t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earned on our investment portfolio.]</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w:t>
            </w: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ended</w:t>
            </w:r>
          </w:p>
        </w:tc>
        <w:tc>
          <w:tcPr>
            <w:tcW w:w="4420" w:type="dxa"/>
            <w:vAlign w:val="bottom"/>
            <w:gridSpan w:val="7"/>
          </w:tcPr>
          <w:p>
            <w:pPr>
              <w:ind w:left="480"/>
              <w:spacing w:after="0"/>
              <w:rPr>
                <w:sz w:val="20"/>
                <w:szCs w:val="20"/>
                <w:color w:val="auto"/>
              </w:rPr>
            </w:pPr>
            <w:r>
              <w:rPr>
                <w:rFonts w:ascii="Times New Roman" w:cs="Times New Roman" w:eastAsia="Times New Roman" w:hAnsi="Times New Roman"/>
                <w:sz w:val="18"/>
                <w:szCs w:val="18"/>
                <w:color w:val="auto"/>
              </w:rPr>
              <w:t>, 20  and the years ended December 31, 20  and 20</w:t>
            </w: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2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 20</w:t>
            </w: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76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480" w:type="dxa"/>
            <w:vAlign w:val="bottom"/>
            <w:vMerge w:val="restart"/>
          </w:tcPr>
          <w:p>
            <w:pPr>
              <w:spacing w:after="0"/>
              <w:rPr>
                <w:sz w:val="10"/>
                <w:szCs w:val="10"/>
                <w:color w:val="auto"/>
              </w:rPr>
            </w:pPr>
          </w:p>
        </w:tc>
        <w:tc>
          <w:tcPr>
            <w:tcW w:w="76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40" w:type="dxa"/>
            <w:vAlign w:val="bottom"/>
            <w:gridSpan w:val="2"/>
            <w:shd w:val="clear" w:color="auto" w:fill="CCEEFF"/>
          </w:tcPr>
          <w:p>
            <w:pPr>
              <w:jc w:val="right"/>
              <w:ind w:right="2640"/>
              <w:spacing w:after="0"/>
              <w:rPr>
                <w:sz w:val="20"/>
                <w:szCs w:val="20"/>
                <w:color w:val="auto"/>
              </w:rPr>
            </w:pPr>
            <w:r>
              <w:rPr>
                <w:rFonts w:ascii="Times New Roman" w:cs="Times New Roman" w:eastAsia="Times New Roman" w:hAnsi="Times New Roman"/>
                <w:sz w:val="18"/>
                <w:szCs w:val="18"/>
                <w:color w:val="auto"/>
              </w:rPr>
              <w:t>, 20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 20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4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640" w:type="dxa"/>
            <w:vAlign w:val="bottom"/>
            <w:gridSpan w:val="2"/>
          </w:tcPr>
          <w:p>
            <w:pPr>
              <w:jc w:val="right"/>
              <w:ind w:right="290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S-23</w:t>
            </w: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349" w:name="page350"/>
    <w:bookmarkEnd w:id="3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4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5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vMerge w:val="continue"/>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 20</w:t>
            </w: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 20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7"/>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 20</w:t>
            </w:r>
          </w:p>
        </w:tc>
        <w:tc>
          <w:tcPr>
            <w:tcW w:w="820" w:type="dxa"/>
            <w:vAlign w:val="bottom"/>
          </w:tcPr>
          <w:p>
            <w:pPr>
              <w:spacing w:after="0"/>
              <w:rPr>
                <w:sz w:val="18"/>
                <w:szCs w:val="18"/>
                <w:color w:val="auto"/>
              </w:rPr>
            </w:pPr>
          </w:p>
        </w:tc>
        <w:tc>
          <w:tcPr>
            <w:tcW w:w="306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tcPr>
          <w:p>
            <w:pPr>
              <w:spacing w:after="0"/>
              <w:rPr>
                <w:sz w:val="18"/>
                <w:szCs w:val="18"/>
                <w:color w:val="auto"/>
              </w:rPr>
            </w:pPr>
          </w:p>
        </w:tc>
        <w:tc>
          <w:tcPr>
            <w:tcW w:w="1860" w:type="dxa"/>
            <w:vAlign w:val="bottom"/>
            <w:gridSpan w:val="3"/>
          </w:tcPr>
          <w:p>
            <w:pPr>
              <w:jc w:val="right"/>
              <w:ind w:right="84"/>
              <w:spacing w:after="0"/>
              <w:rPr>
                <w:sz w:val="20"/>
                <w:szCs w:val="20"/>
                <w:color w:val="auto"/>
              </w:rPr>
            </w:pPr>
            <w:r>
              <w:rPr>
                <w:rFonts w:ascii="Times New Roman" w:cs="Times New Roman" w:eastAsia="Times New Roman" w:hAnsi="Times New Roman"/>
                <w:sz w:val="18"/>
                <w:szCs w:val="18"/>
                <w:color w:val="auto"/>
              </w:rPr>
              <w:t>, 20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 20</w:t>
            </w:r>
          </w:p>
        </w:tc>
        <w:tc>
          <w:tcPr>
            <w:tcW w:w="8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 20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42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 20</w:t>
            </w:r>
          </w:p>
        </w:tc>
        <w:tc>
          <w:tcPr>
            <w:tcW w:w="820" w:type="dxa"/>
            <w:vAlign w:val="bottom"/>
          </w:tcPr>
          <w:p>
            <w:pPr>
              <w:spacing w:after="0"/>
              <w:rPr>
                <w:sz w:val="19"/>
                <w:szCs w:val="19"/>
                <w:color w:val="auto"/>
              </w:rPr>
            </w:pPr>
          </w:p>
        </w:tc>
        <w:tc>
          <w:tcPr>
            <w:tcW w:w="306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tcPr>
          <w:p>
            <w:pPr>
              <w:spacing w:after="0"/>
              <w:rPr>
                <w:sz w:val="19"/>
                <w:szCs w:val="19"/>
                <w:color w:val="auto"/>
              </w:rPr>
            </w:pPr>
          </w:p>
        </w:tc>
        <w:tc>
          <w:tcPr>
            <w:tcW w:w="1860" w:type="dxa"/>
            <w:vAlign w:val="bottom"/>
            <w:gridSpan w:val="3"/>
          </w:tcPr>
          <w:p>
            <w:pPr>
              <w:jc w:val="right"/>
              <w:ind w:right="84"/>
              <w:spacing w:after="0"/>
              <w:rPr>
                <w:sz w:val="20"/>
                <w:szCs w:val="20"/>
                <w:color w:val="auto"/>
              </w:rPr>
            </w:pPr>
            <w:r>
              <w:rPr>
                <w:rFonts w:ascii="Times New Roman" w:cs="Times New Roman" w:eastAsia="Times New Roman" w:hAnsi="Times New Roman"/>
                <w:sz w:val="18"/>
                <w:szCs w:val="18"/>
                <w:color w:val="auto"/>
              </w:rPr>
              <w:t>, 20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6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54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6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5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54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Borders>
              <w:bottom w:val="single" w:sz="8" w:color="CCEEFF"/>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 20</w:t>
            </w: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 20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7"/>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 20</w:t>
            </w:r>
          </w:p>
        </w:tc>
        <w:tc>
          <w:tcPr>
            <w:tcW w:w="820" w:type="dxa"/>
            <w:vAlign w:val="bottom"/>
          </w:tcPr>
          <w:p>
            <w:pPr>
              <w:spacing w:after="0"/>
              <w:rPr>
                <w:sz w:val="18"/>
                <w:szCs w:val="18"/>
                <w:color w:val="auto"/>
              </w:rPr>
            </w:pPr>
          </w:p>
        </w:tc>
        <w:tc>
          <w:tcPr>
            <w:tcW w:w="3060" w:type="dxa"/>
            <w:vAlign w:val="bottom"/>
            <w:gridSpan w:val="3"/>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tcPr>
          <w:p>
            <w:pPr>
              <w:spacing w:after="0"/>
              <w:rPr>
                <w:sz w:val="18"/>
                <w:szCs w:val="18"/>
                <w:color w:val="auto"/>
              </w:rPr>
            </w:pPr>
          </w:p>
        </w:tc>
        <w:tc>
          <w:tcPr>
            <w:tcW w:w="186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 20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 20</w:t>
            </w:r>
          </w:p>
        </w:tc>
        <w:tc>
          <w:tcPr>
            <w:tcW w:w="8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 20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42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 20</w:t>
            </w:r>
          </w:p>
        </w:tc>
        <w:tc>
          <w:tcPr>
            <w:tcW w:w="820" w:type="dxa"/>
            <w:vAlign w:val="bottom"/>
          </w:tcPr>
          <w:p>
            <w:pPr>
              <w:spacing w:after="0"/>
              <w:rPr>
                <w:sz w:val="19"/>
                <w:szCs w:val="19"/>
                <w:color w:val="auto"/>
              </w:rPr>
            </w:pPr>
          </w:p>
        </w:tc>
        <w:tc>
          <w:tcPr>
            <w:tcW w:w="3060" w:type="dxa"/>
            <w:vAlign w:val="bottom"/>
            <w:gridSpan w:val="3"/>
          </w:tcPr>
          <w:p>
            <w:pPr>
              <w:jc w:val="right"/>
              <w:ind w:right="102"/>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tcPr>
          <w:p>
            <w:pPr>
              <w:spacing w:after="0"/>
              <w:rPr>
                <w:sz w:val="19"/>
                <w:szCs w:val="19"/>
                <w:color w:val="auto"/>
              </w:rPr>
            </w:pPr>
          </w:p>
        </w:tc>
        <w:tc>
          <w:tcPr>
            <w:tcW w:w="186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 20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8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587"/>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9"/>
              </w:rPr>
              <w:t>The dividends declared during the</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ended</w:t>
            </w:r>
          </w:p>
        </w:tc>
        <w:tc>
          <w:tcPr>
            <w:tcW w:w="6720" w:type="dxa"/>
            <w:vAlign w:val="bottom"/>
            <w:gridSpan w:val="13"/>
          </w:tcPr>
          <w:p>
            <w:pPr>
              <w:ind w:left="280"/>
              <w:spacing w:after="0"/>
              <w:rPr>
                <w:sz w:val="20"/>
                <w:szCs w:val="20"/>
                <w:color w:val="auto"/>
              </w:rPr>
            </w:pPr>
            <w:r>
              <w:rPr>
                <w:rFonts w:ascii="Times New Roman" w:cs="Times New Roman" w:eastAsia="Times New Roman" w:hAnsi="Times New Roman"/>
                <w:sz w:val="18"/>
                <w:szCs w:val="18"/>
                <w:color w:val="auto"/>
              </w:rPr>
              <w:t>, 20  were derived from net investment income determined on a tax basis. The dividends</w:t>
            </w:r>
          </w:p>
        </w:tc>
        <w:tc>
          <w:tcPr>
            <w:tcW w:w="0" w:type="dxa"/>
            <w:vAlign w:val="bottom"/>
          </w:tcPr>
          <w:p>
            <w:pPr>
              <w:spacing w:after="0"/>
              <w:rPr>
                <w:sz w:val="1"/>
                <w:szCs w:val="1"/>
                <w:color w:val="auto"/>
              </w:rPr>
            </w:pPr>
          </w:p>
        </w:tc>
      </w:tr>
    </w:tbl>
    <w:p>
      <w:pPr>
        <w:ind w:right="800"/>
        <w:spacing w:after="0" w:line="261" w:lineRule="auto"/>
        <w:rPr>
          <w:sz w:val="20"/>
          <w:szCs w:val="20"/>
          <w:color w:val="auto"/>
        </w:rPr>
      </w:pPr>
      <w:r>
        <w:rPr>
          <w:rFonts w:ascii="Times New Roman" w:cs="Times New Roman" w:eastAsia="Times New Roman" w:hAnsi="Times New Roman"/>
          <w:sz w:val="18"/>
          <w:szCs w:val="18"/>
          <w:color w:val="auto"/>
        </w:rPr>
        <w:t>declared during the years ended December 31, 20 and December 31, 20 , were derived from net investment income and long-term capital gains, determined on a tax basis.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To be treated as a regulated investment company under Subchapter M of the Internal Revenue Code of 1986, as amended,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 of the amount by which our distributions for a calendar year are less than the sum of:</w:t>
      </w:r>
    </w:p>
    <w:p>
      <w:pPr>
        <w:spacing w:after="0" w:line="89" w:lineRule="exact"/>
        <w:rPr>
          <w:sz w:val="20"/>
          <w:szCs w:val="20"/>
          <w:color w:val="auto"/>
        </w:rPr>
      </w:pPr>
    </w:p>
    <w:p>
      <w:pPr>
        <w:ind w:left="900" w:hanging="325"/>
        <w:spacing w:after="0"/>
        <w:tabs>
          <w:tab w:leader="none" w:pos="9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900" w:right="800" w:hanging="325"/>
        <w:spacing w:after="0" w:line="282" w:lineRule="auto"/>
        <w:tabs>
          <w:tab w:leader="none" w:pos="9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federal income tax. Depending on the level of taxable income earned in a calendar year, we may choose to carry forward taxable income for distribution in the</w:t>
      </w:r>
    </w:p>
    <w:p>
      <w:pPr>
        <w:sectPr>
          <w:pgSz w:w="11900" w:h="16838" w:orient="portrait"/>
          <w:cols w:equalWidth="0" w:num="1">
            <w:col w:w="11420"/>
          </w:cols>
          <w:pgMar w:left="240" w:top="456" w:right="239" w:bottom="1440" w:gutter="0" w:footer="0" w:header="0"/>
        </w:sectPr>
      </w:pP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following calendar year, and pay any applicable U.S. federal excise tax. [We elected to retain a small portion of income and capital gains for the calendar years ended December 31, 20 and 20 and the ended , 20 for purposes of additional liquidity and we recorded a net expense of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0" w:lineRule="exact"/>
        <w:rPr>
          <w:sz w:val="20"/>
          <w:szCs w:val="20"/>
          <w:color w:val="auto"/>
        </w:rPr>
      </w:pPr>
    </w:p>
    <w:p>
      <w:pPr>
        <w:sectPr>
          <w:pgSz w:w="11900" w:h="16838" w:orient="portrait"/>
          <w:cols w:equalWidth="0" w:num="2">
            <w:col w:w="10900" w:space="360"/>
            <w:col w:w="160"/>
          </w:cols>
          <w:pgMar w:left="240" w:top="456" w:right="239" w:bottom="1440" w:gutter="0" w:footer="0" w:header="0"/>
          <w:type w:val="continuous"/>
        </w:sectPr>
      </w:pPr>
    </w:p>
    <w:p>
      <w:pPr>
        <w:ind w:right="180" w:firstLine="8"/>
        <w:spacing w:after="0" w:line="261" w:lineRule="auto"/>
        <w:tabs>
          <w:tab w:leader="none" w:pos="4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 , respectively, for U.S. federal excise tax as a result.] We cannot assure you that we will achieve results that will permit the payment of any dividends. See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420"/>
          </w:cols>
          <w:pgMar w:left="240" w:top="456" w:right="239" w:bottom="1440" w:gutter="0" w:footer="0" w:header="0"/>
          <w:type w:val="continuous"/>
        </w:sectPr>
      </w:pPr>
    </w:p>
    <w:bookmarkStart w:id="350" w:name="page351"/>
    <w:bookmarkEnd w:id="3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requirements“in the accompanying prospectus.</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common stockholders. If this happens, our common stockholders will be treated for U.S. federal income tax purposes as if they had received an actual distribution of the net capital gains that we retain and they reinvested the net after-tax proceeds in us. In this situation, our common stockholders would be eligible to claim a tax credit (or, in certain circumstances, a tax refund) equal to their allocable share of the tax we paid on the capital gains deemed distributed to them. See “Material U.S. Federal Income Tax Considerations” in the accompanying prospectus. We cannot assure you that we will achieve results that will permit us to pay any cash distributions or that will not be limited in our ability to pay dividends under the asset coverage test applicable to us under the 1940 Act.</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our common stockholders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our common stockholders hold shares of our common stock in the name of a broker or financial intermediary, our common stockholders should contact such broker or financial intermediary regarding their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 in the accompanying prospectus.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380"/>
          </w:cols>
          <w:pgMar w:left="240" w:top="455" w:right="279" w:bottom="1440" w:gutter="0" w:footer="0" w:header="0"/>
        </w:sectPr>
      </w:pPr>
    </w:p>
    <w:bookmarkStart w:id="351" w:name="page352"/>
    <w:bookmarkEnd w:id="3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this prospectus supplement and the accompanying prospectus for a discussion of the uncertainties, risks and assumptions associated with these statements.</w:t>
      </w:r>
    </w:p>
    <w:p>
      <w:pPr>
        <w:spacing w:after="0" w:line="18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380"/>
          </w:cols>
          <w:pgMar w:left="240" w:top="455" w:right="279" w:bottom="1440" w:gutter="0" w:footer="0" w:header="0"/>
        </w:sectPr>
      </w:pPr>
    </w:p>
    <w:bookmarkStart w:id="352" w:name="page353"/>
    <w:bookmarkEnd w:id="352"/>
    <w:tbl>
      <w:tblPr>
        <w:tblLayout w:type="fixed"/>
        <w:tblInd w:w="0" w:type="dxa"/>
        <w:tblCellMar>
          <w:top w:w="0" w:type="dxa"/>
          <w:left w:w="0" w:type="dxa"/>
          <w:bottom w:w="0" w:type="dxa"/>
          <w:right w:w="0" w:type="dxa"/>
        </w:tblCellMar>
      </w:tblPr>
      <w:tr>
        <w:trPr>
          <w:trHeight w:val="207"/>
        </w:trPr>
        <w:tc>
          <w:tcPr>
            <w:tcW w:w="4860" w:type="dxa"/>
            <w:vAlign w:val="bottom"/>
            <w:gridSpan w:val="3"/>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44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34"/>
        </w:trPr>
        <w:tc>
          <w:tcPr>
            <w:tcW w:w="3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4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20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4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following table sets forth (a) our actual capitalization at</w:t>
            </w:r>
          </w:p>
        </w:tc>
        <w:tc>
          <w:tcPr>
            <w:tcW w:w="64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20  and (b) our pro forma capitalization to reflect the effects of the sale</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8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shares of our common stock in this offering, assuming all rights are exercised at the estimated subscription price of $</w:t>
            </w:r>
          </w:p>
        </w:tc>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per share, after deducting</w:t>
            </w:r>
          </w:p>
        </w:tc>
      </w:tr>
    </w:tbl>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dealer manager fees and other expenses related to this offering payable by us. You should read this table together with “Use of Proceeds” and our most recent balance sheet included elsewhere in this prospectus supplement or the accompanying prospectus.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20</w:t>
            </w:r>
          </w:p>
        </w:tc>
        <w:tc>
          <w:tcPr>
            <w:tcW w:w="100" w:type="dxa"/>
            <w:vAlign w:val="bottom"/>
          </w:tcPr>
          <w:p>
            <w:pPr>
              <w:spacing w:after="0"/>
              <w:rPr>
                <w:sz w:val="13"/>
                <w:szCs w:val="13"/>
                <w:color w:val="auto"/>
              </w:rPr>
            </w:pPr>
          </w:p>
        </w:tc>
      </w:tr>
      <w:tr>
        <w:trPr>
          <w:trHeight w:val="149"/>
        </w:trPr>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1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(unaudited, dollar amounts</w:t>
            </w:r>
          </w:p>
        </w:tc>
      </w:tr>
      <w:tr>
        <w:trPr>
          <w:trHeight w:val="173"/>
        </w:trPr>
        <w:tc>
          <w:tcPr>
            <w:tcW w:w="1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1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42"/>
        </w:trPr>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30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r>
      <w:tr>
        <w:trPr>
          <w:trHeight w:val="210"/>
        </w:trPr>
        <w:tc>
          <w:tcPr>
            <w:tcW w:w="2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 Debt outstanding as of period reported]</w:t>
            </w: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w:t>
            </w:r>
          </w:p>
        </w:tc>
        <w:tc>
          <w:tcPr>
            <w:tcW w:w="17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104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410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 and outstanding,</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00" w:type="dxa"/>
            <w:vAlign w:val="bottom"/>
            <w:gridSpan w:val="2"/>
          </w:tcPr>
          <w:p>
            <w:pPr>
              <w:jc w:val="right"/>
              <w:ind w:right="5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98"/>
        </w:trPr>
        <w:tc>
          <w:tcPr>
            <w:tcW w:w="27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w:t>
            </w:r>
          </w:p>
        </w:tc>
        <w:tc>
          <w:tcPr>
            <w:tcW w:w="17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104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410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shares issued,</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28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w w:val="99"/>
              </w:rPr>
              <w:t>Additional paid-in capital</w:t>
            </w:r>
          </w:p>
        </w:tc>
        <w:tc>
          <w:tcPr>
            <w:tcW w:w="9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w:t>
            </w: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Net unrealized [gain][loss] on investments and foreign currency transactions</w:t>
            </w:r>
          </w:p>
        </w:tc>
        <w:tc>
          <w:tcPr>
            <w:tcW w:w="2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00" w:type="dxa"/>
            <w:vAlign w:val="bottom"/>
            <w:gridSpan w:val="2"/>
          </w:tcPr>
          <w:p>
            <w:pPr>
              <w:jc w:val="right"/>
              <w:ind w:right="5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ind w:right="5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365"/>
        </w:trPr>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S-27</w:t>
            </w: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45" w:right="319" w:bottom="1440" w:gutter="0" w:footer="0" w:header="0"/>
        </w:sectPr>
      </w:pPr>
    </w:p>
    <w:bookmarkStart w:id="353" w:name="page354"/>
    <w:bookmarkEnd w:id="3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2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534"/>
        </w:trPr>
        <w:tc>
          <w:tcPr>
            <w:tcW w:w="2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DILUTION</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4"/>
        </w:trPr>
        <w:tc>
          <w:tcPr>
            <w:tcW w:w="28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of</w:t>
            </w:r>
          </w:p>
        </w:tc>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20  , our net asset value was $</w:t>
            </w:r>
          </w:p>
        </w:tc>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3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 share. After giving effect to the sale of</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shares of our</w:t>
            </w:r>
          </w:p>
        </w:tc>
      </w:tr>
      <w:tr>
        <w:trPr>
          <w:trHeight w:val="216"/>
        </w:trPr>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common stock in this offering, assuming all rights are exercised at the estimated subscription price of $</w:t>
            </w:r>
          </w:p>
        </w:tc>
        <w:tc>
          <w:tcPr>
            <w:tcW w:w="3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per share, after deducting dealer manager fees</w:t>
            </w:r>
          </w:p>
        </w:tc>
      </w:tr>
      <w:tr>
        <w:trPr>
          <w:trHeight w:val="216"/>
        </w:trPr>
        <w:tc>
          <w:tcPr>
            <w:tcW w:w="8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other expenses related to this offering payable by us, our pro forma net asset value would have been approximately $</w:t>
            </w:r>
          </w:p>
        </w:tc>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million, or approximately</w:t>
            </w: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9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per share, representing an immediate dilution of approximately $</w:t>
            </w:r>
          </w:p>
        </w:tc>
        <w:tc>
          <w:tcPr>
            <w:tcW w:w="3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per share to our existing stockholders.</w:t>
            </w: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illustrates the dilutive effects of this offering on a per share basis, assuming all rights are exercised at the estimated subscription</w:t>
      </w:r>
    </w:p>
    <w:p>
      <w:pPr>
        <w:spacing w:after="0" w:line="27"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price of $</w:t>
      </w:r>
      <w:r>
        <w:rPr>
          <w:sz w:val="20"/>
          <w:szCs w:val="20"/>
          <w:color w:val="auto"/>
        </w:rPr>
        <w:tab/>
      </w:r>
      <w:r>
        <w:rPr>
          <w:rFonts w:ascii="Times New Roman" w:cs="Times New Roman" w:eastAsia="Times New Roman" w:hAnsi="Times New Roman"/>
          <w:sz w:val="17"/>
          <w:szCs w:val="17"/>
          <w:color w:val="auto"/>
        </w:rPr>
        <w:t>per share, after deducting dealer manager fees and other expenses related to this offering payable by us: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 20</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Pro Forma</w:t>
            </w:r>
          </w:p>
        </w:tc>
        <w:tc>
          <w:tcPr>
            <w:tcW w:w="180" w:type="dxa"/>
            <w:vAlign w:val="bottom"/>
            <w:gridSpan w:val="2"/>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common share</w:t>
            </w:r>
          </w:p>
        </w:tc>
        <w:tc>
          <w:tcPr>
            <w:tcW w:w="3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r>
      <w:tr>
        <w:trPr>
          <w:trHeight w:val="392"/>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06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 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12"/>
                <w:szCs w:val="12"/>
                <w:color w:val="auto"/>
              </w:rPr>
            </w:pPr>
          </w:p>
        </w:tc>
        <w:tc>
          <w:tcPr>
            <w:tcW w:w="98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6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assets resulting from net investment income per common share</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91"/>
              </w:rPr>
              <w:t>(1)</w:t>
            </w: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79"/>
              </w:rPr>
              <w:t>(2)</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decrease in net assets resulting from operations per common share</w:t>
            </w:r>
          </w:p>
        </w:tc>
        <w:tc>
          <w:tcPr>
            <w:tcW w:w="32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(1)</w:t>
            </w:r>
          </w:p>
        </w:tc>
        <w:tc>
          <w:tcPr>
            <w:tcW w:w="640" w:type="dxa"/>
            <w:vAlign w:val="bottom"/>
          </w:tcPr>
          <w:p>
            <w:pPr>
              <w:spacing w:after="0"/>
              <w:rPr>
                <w:sz w:val="18"/>
                <w:szCs w:val="18"/>
                <w:color w:val="auto"/>
              </w:rPr>
            </w:pPr>
          </w:p>
        </w:tc>
        <w:tc>
          <w:tcPr>
            <w:tcW w:w="52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79"/>
              </w:rPr>
              <w:t>(2)</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per common share</w:t>
            </w:r>
          </w:p>
        </w:tc>
        <w:tc>
          <w:tcPr>
            <w:tcW w:w="3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79"/>
              </w:rPr>
              <w:t>(3)</w:t>
            </w:r>
          </w:p>
        </w:tc>
        <w:tc>
          <w:tcPr>
            <w:tcW w:w="80" w:type="dxa"/>
            <w:vAlign w:val="bottom"/>
          </w:tcPr>
          <w:p>
            <w:pPr>
              <w:spacing w:after="0"/>
              <w:rPr>
                <w:sz w:val="18"/>
                <w:szCs w:val="18"/>
                <w:color w:val="auto"/>
              </w:rPr>
            </w:pPr>
          </w:p>
        </w:tc>
      </w:tr>
      <w:tr>
        <w:trPr>
          <w:trHeight w:val="135"/>
        </w:trPr>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spacing w:after="0"/>
              <w:rPr>
                <w:sz w:val="11"/>
                <w:szCs w:val="11"/>
                <w:color w:val="auto"/>
              </w:rPr>
            </w:pPr>
          </w:p>
        </w:tc>
        <w:tc>
          <w:tcPr>
            <w:tcW w:w="474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32"/>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5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number of shares outstanding is</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Assumes that on</w:t>
            </w:r>
          </w:p>
        </w:tc>
        <w:tc>
          <w:tcPr>
            <w:tcW w:w="8940" w:type="dxa"/>
            <w:vAlign w:val="bottom"/>
            <w:gridSpan w:val="10"/>
          </w:tcPr>
          <w:p>
            <w:pPr>
              <w:ind w:left="560"/>
              <w:spacing w:after="0"/>
              <w:rPr>
                <w:sz w:val="20"/>
                <w:szCs w:val="20"/>
                <w:color w:val="auto"/>
              </w:rPr>
            </w:pPr>
            <w:r>
              <w:rPr>
                <w:rFonts w:ascii="Times New Roman" w:cs="Times New Roman" w:eastAsia="Times New Roman" w:hAnsi="Times New Roman"/>
                <w:sz w:val="18"/>
                <w:szCs w:val="18"/>
                <w:color w:val="auto"/>
              </w:rPr>
              <w:t>, 20  , the beginning of the indicated period, (i) all rights were exercised at the estimated subscription price of $</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6"/>
              </w:rPr>
              <w:t>per</w:t>
            </w:r>
          </w:p>
        </w:tc>
      </w:tr>
      <w:tr>
        <w:trPr>
          <w:trHeight w:val="216"/>
        </w:trPr>
        <w:tc>
          <w:tcPr>
            <w:tcW w:w="34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 and (ii)</w:t>
            </w:r>
          </w:p>
        </w:tc>
        <w:tc>
          <w:tcPr>
            <w:tcW w:w="6420" w:type="dxa"/>
            <w:vAlign w:val="bottom"/>
            <w:gridSpan w:val="4"/>
          </w:tcPr>
          <w:p>
            <w:pPr>
              <w:jc w:val="right"/>
              <w:ind w:right="895"/>
              <w:spacing w:after="0"/>
              <w:rPr>
                <w:sz w:val="20"/>
                <w:szCs w:val="20"/>
                <w:color w:val="auto"/>
              </w:rPr>
            </w:pPr>
            <w:r>
              <w:rPr>
                <w:rFonts w:ascii="Times New Roman" w:cs="Times New Roman" w:eastAsia="Times New Roman" w:hAnsi="Times New Roman"/>
                <w:sz w:val="18"/>
                <w:szCs w:val="18"/>
                <w:color w:val="auto"/>
              </w:rPr>
              <w:t>shares of our common stock were issued upon the exercise of such rights.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(3)</w:t>
            </w:r>
          </w:p>
        </w:tc>
        <w:tc>
          <w:tcPr>
            <w:tcW w:w="55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Assumes actual cash distributions divided by adjusted shares, including</w:t>
            </w:r>
          </w:p>
        </w:tc>
        <w:tc>
          <w:tcPr>
            <w:tcW w:w="320" w:type="dxa"/>
            <w:vAlign w:val="bottom"/>
          </w:tcPr>
          <w:p>
            <w:pPr>
              <w:spacing w:after="0"/>
              <w:rPr>
                <w:sz w:val="20"/>
                <w:szCs w:val="20"/>
                <w:color w:val="auto"/>
              </w:rPr>
            </w:pPr>
          </w:p>
        </w:tc>
        <w:tc>
          <w:tcPr>
            <w:tcW w:w="3460" w:type="dxa"/>
            <w:vAlign w:val="bottom"/>
            <w:gridSpan w:val="5"/>
          </w:tcPr>
          <w:p>
            <w:pPr>
              <w:jc w:val="right"/>
              <w:ind w:right="602"/>
              <w:spacing w:after="0"/>
              <w:rPr>
                <w:sz w:val="20"/>
                <w:szCs w:val="20"/>
                <w:color w:val="auto"/>
              </w:rPr>
            </w:pPr>
            <w:r>
              <w:rPr>
                <w:rFonts w:ascii="Times New Roman" w:cs="Times New Roman" w:eastAsia="Times New Roman" w:hAnsi="Times New Roman"/>
                <w:sz w:val="18"/>
                <w:szCs w:val="18"/>
                <w:color w:val="auto"/>
              </w:rPr>
              <w:t>shares issued upon exercise of rights.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tcPr>
          <w:p>
            <w:pPr>
              <w:ind w:left="3740"/>
              <w:spacing w:after="0"/>
              <w:rPr>
                <w:sz w:val="20"/>
                <w:szCs w:val="20"/>
                <w:color w:val="auto"/>
              </w:rPr>
            </w:pPr>
            <w:r>
              <w:rPr>
                <w:rFonts w:ascii="Times New Roman" w:cs="Times New Roman" w:eastAsia="Times New Roman" w:hAnsi="Times New Roman"/>
                <w:sz w:val="18"/>
                <w:szCs w:val="18"/>
                <w:color w:val="auto"/>
                <w:w w:val="99"/>
              </w:rPr>
              <w:t>S-28</w:t>
            </w: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240" w:top="446" w:right="519" w:bottom="1440" w:gutter="0" w:footer="0" w:header="0"/>
        </w:sectPr>
      </w:pPr>
    </w:p>
    <w:bookmarkStart w:id="354" w:name="page355"/>
    <w:bookmarkEnd w:id="3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line="1" w:lineRule="exact"/>
        <w:rPr>
          <w:sz w:val="20"/>
          <w:szCs w:val="20"/>
          <w:color w:val="auto"/>
        </w:rPr>
      </w:pPr>
    </w:p>
    <w:p>
      <w:pPr>
        <w:spacing w:after="0"/>
        <w:tabs>
          <w:tab w:leader="none" w:pos="10960" w:val="left"/>
        </w:tabs>
        <w:rPr>
          <w:sz w:val="20"/>
          <w:szCs w:val="20"/>
          <w:color w:val="auto"/>
        </w:rPr>
      </w:pPr>
      <w:r>
        <w:rPr>
          <w:rFonts w:ascii="Times New Roman" w:cs="Times New Roman" w:eastAsia="Times New Roman" w:hAnsi="Times New Roman"/>
          <w:sz w:val="18"/>
          <w:szCs w:val="18"/>
          <w:color w:val="auto"/>
        </w:rPr>
        <w:t>Hamilton LLP also represents the Adviser. Certain legal matters in connection with the offering will be passed upon for the dealer managers by [</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600" w:hanging="592"/>
        <w:spacing w:after="0"/>
        <w:tabs>
          <w:tab w:leader="none" w:pos="6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40"/>
          </w:cols>
          <w:pgMar w:left="240" w:top="456" w:right="519" w:bottom="1440" w:gutter="0" w:footer="0" w:header="0"/>
        </w:sectPr>
      </w:pPr>
    </w:p>
    <w:bookmarkStart w:id="355" w:name="page356"/>
    <w:bookmarkEnd w:id="3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financial statements and notes thereto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400"/>
          </w:cols>
          <w:pgMar w:left="240" w:top="455" w:right="259" w:bottom="1440" w:gutter="0" w:footer="0" w:header="0"/>
        </w:sectPr>
      </w:pPr>
    </w:p>
    <w:bookmarkStart w:id="356" w:name="page357"/>
    <w:bookmarkEnd w:id="35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60"/>
        <w:spacing w:after="0"/>
        <w:tabs>
          <w:tab w:leader="none" w:pos="5100" w:val="left"/>
        </w:tabs>
        <w:rPr>
          <w:sz w:val="20"/>
          <w:szCs w:val="20"/>
          <w:color w:val="auto"/>
        </w:rPr>
      </w:pPr>
      <w:r>
        <w:rPr>
          <w:rFonts w:ascii="Times New Roman" w:cs="Times New Roman" w:eastAsia="Times New Roman" w:hAnsi="Times New Roman"/>
          <w:sz w:val="22"/>
          <w:szCs w:val="22"/>
          <w:b w:val="1"/>
          <w:bCs w:val="1"/>
          <w:color w:val="auto"/>
        </w:rPr>
        <w:t>Up to</w:t>
      </w:r>
      <w:r>
        <w:rPr>
          <w:sz w:val="20"/>
          <w:szCs w:val="20"/>
          <w:color w:val="auto"/>
        </w:rPr>
        <w:tab/>
      </w:r>
      <w:r>
        <w:rPr>
          <w:rFonts w:ascii="Times New Roman" w:cs="Times New Roman" w:eastAsia="Times New Roman" w:hAnsi="Times New Roman"/>
          <w:sz w:val="21"/>
          <w:szCs w:val="21"/>
          <w:b w:val="1"/>
          <w:bCs w:val="1"/>
          <w:color w:val="auto"/>
        </w:rPr>
        <w:t>Shares of Common Stock</w:t>
      </w:r>
    </w:p>
    <w:p>
      <w:pPr>
        <w:spacing w:after="0" w:line="1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Issuable Upon Exercise of Rights to Subscribe for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2635885</wp:posOffset>
            </wp:positionV>
            <wp:extent cx="151765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955040</wp:posOffset>
            </wp:positionV>
            <wp:extent cx="1346200" cy="660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9"/>
          <w:szCs w:val="29"/>
          <w:color w:val="auto"/>
        </w:rPr>
        <w:t>[Dealer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1029335</wp:posOffset>
            </wp:positionV>
            <wp:extent cx="7246620"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5" w:right="1440" w:bottom="1440" w:gutter="0" w:footer="0" w:header="0"/>
          <w:type w:val="continuous"/>
        </w:sectPr>
      </w:pPr>
    </w:p>
    <w:bookmarkStart w:id="357" w:name="page358"/>
    <w:bookmarkEnd w:id="35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103" w:lineRule="exact"/>
        <w:rPr>
          <w:sz w:val="20"/>
          <w:szCs w:val="20"/>
          <w:color w:val="auto"/>
        </w:rPr>
      </w:pPr>
    </w:p>
    <w:tbl>
      <w:tblPr>
        <w:tblLayout w:type="fixed"/>
        <w:tblInd w:w="3420" w:type="dxa"/>
        <w:tblCellMar>
          <w:top w:w="0" w:type="dxa"/>
          <w:left w:w="0" w:type="dxa"/>
          <w:bottom w:w="0" w:type="dxa"/>
          <w:right w:w="0" w:type="dxa"/>
        </w:tblCellMar>
      </w:tblPr>
      <w:tr>
        <w:trPr>
          <w:trHeight w:val="238"/>
        </w:trPr>
        <w:tc>
          <w:tcPr>
            <w:tcW w:w="3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DE1A1E"/>
              </w:rPr>
              <w:t>Subject to Completion</w:t>
            </w:r>
          </w:p>
        </w:tc>
        <w:tc>
          <w:tcPr>
            <w:tcW w:w="720" w:type="dxa"/>
            <w:vAlign w:val="bottom"/>
          </w:tcPr>
          <w:p>
            <w:pPr>
              <w:spacing w:after="0"/>
              <w:rPr>
                <w:sz w:val="20"/>
                <w:szCs w:val="20"/>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DE1A1E"/>
              </w:rPr>
              <w:t>Preliminary Prospectus Supplement dated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DE1A1E"/>
              </w:rPr>
              <w:t>, 20</w:t>
            </w:r>
          </w:p>
        </w:tc>
      </w:tr>
    </w:tbl>
    <w:p>
      <w:pPr>
        <w:spacing w:after="0" w:line="49" w:lineRule="exact"/>
        <w:rPr>
          <w:sz w:val="20"/>
          <w:szCs w:val="20"/>
          <w:color w:val="auto"/>
        </w:rPr>
      </w:pPr>
    </w:p>
    <w:p>
      <w:pPr>
        <w:ind w:right="420" w:firstLine="415"/>
        <w:spacing w:after="0" w:line="326" w:lineRule="auto"/>
        <w:rPr>
          <w:sz w:val="20"/>
          <w:szCs w:val="20"/>
          <w:color w:val="auto"/>
        </w:rPr>
      </w:pPr>
      <w:r>
        <w:rPr>
          <w:rFonts w:ascii="Times New Roman" w:cs="Times New Roman" w:eastAsia="Times New Roman" w:hAnsi="Times New Roman"/>
          <w:sz w:val="18"/>
          <w:szCs w:val="18"/>
          <w:color w:val="auto"/>
        </w:rPr>
        <w:t xml:space="preserve">[FORM OF PRELIMINARY PROSPECTUS SUPPLEMENT TO BE USED IN CONJUNCTION WITH FUTURE WARRANT OFFERINGS](1) </w:t>
      </w:r>
      <w:r>
        <w:rPr>
          <w:rFonts w:ascii="Times New Roman" w:cs="Times New Roman" w:eastAsia="Times New Roman" w:hAnsi="Times New Roman"/>
          <w:sz w:val="18"/>
          <w:szCs w:val="18"/>
          <w:b w:val="1"/>
          <w:bCs w:val="1"/>
          <w:u w:val="single" w:color="auto"/>
          <w:color w:val="auto"/>
        </w:rPr>
        <w:t>PROSPECTUS SUPPLEMENT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51435</wp:posOffset>
            </wp:positionV>
            <wp:extent cx="1346200" cy="660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Specialty Lending, Inc.</w:t>
      </w:r>
    </w:p>
    <w:p>
      <w:pPr>
        <w:spacing w:after="0" w:line="89"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 to Purchase Up to</w:t>
            </w:r>
          </w:p>
        </w:tc>
        <w:tc>
          <w:tcPr>
            <w:tcW w:w="19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[Type of Security]</w:t>
            </w:r>
          </w:p>
        </w:tc>
        <w:tc>
          <w:tcPr>
            <w:tcW w:w="2480" w:type="dxa"/>
            <w:vAlign w:val="bottom"/>
          </w:tcPr>
          <w:p>
            <w:pPr>
              <w:spacing w:after="0"/>
              <w:rPr>
                <w:sz w:val="20"/>
                <w:szCs w:val="20"/>
                <w:color w:val="auto"/>
              </w:rPr>
            </w:pPr>
          </w:p>
        </w:tc>
      </w:tr>
      <w:tr>
        <w:trPr>
          <w:trHeight w:val="203"/>
        </w:trPr>
        <w:tc>
          <w:tcPr>
            <w:tcW w:w="306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2400" w:type="dxa"/>
            <w:vAlign w:val="bottom"/>
            <w:tcBorders>
              <w:bottom w:val="single" w:sz="8" w:color="auto"/>
            </w:tcBorders>
            <w:gridSpan w:val="2"/>
          </w:tcPr>
          <w:p>
            <w:pPr>
              <w:spacing w:after="0"/>
              <w:rPr>
                <w:sz w:val="17"/>
                <w:szCs w:val="17"/>
                <w:color w:val="auto"/>
              </w:rPr>
            </w:pPr>
          </w:p>
        </w:tc>
        <w:tc>
          <w:tcPr>
            <w:tcW w:w="10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27"/>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 are offering for sale warrants to purchase up to</w:t>
            </w:r>
          </w:p>
        </w:tc>
        <w:tc>
          <w:tcPr>
            <w:tcW w:w="454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[type of security]. Each warrant entitles the holder to purchase</w:t>
            </w:r>
          </w:p>
        </w:tc>
        <w:tc>
          <w:tcPr>
            <w:tcW w:w="2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[type of security].</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The exercise price will be $</w:t>
            </w:r>
          </w:p>
        </w:tc>
        <w:tc>
          <w:tcPr>
            <w:tcW w:w="39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per warrant. The warrants will be exercisable beginning on</w:t>
            </w:r>
          </w:p>
        </w:tc>
        <w:tc>
          <w:tcPr>
            <w:tcW w:w="19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 20   , and will expire on</w:t>
            </w:r>
          </w:p>
        </w:tc>
        <w:tc>
          <w:tcPr>
            <w:tcW w:w="2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 20   , or earlier upon redemption.</w:t>
            </w:r>
          </w:p>
        </w:tc>
      </w:tr>
    </w:tbl>
    <w:p>
      <w:pPr>
        <w:spacing w:after="0" w:line="41" w:lineRule="exact"/>
        <w:rPr>
          <w:sz w:val="20"/>
          <w:szCs w:val="20"/>
          <w:color w:val="auto"/>
        </w:rPr>
      </w:pPr>
    </w:p>
    <w:p>
      <w:pPr>
        <w:ind w:right="360" w:firstLine="342"/>
        <w:spacing w:after="0" w:line="262" w:lineRule="auto"/>
        <w:rPr>
          <w:sz w:val="20"/>
          <w:szCs w:val="20"/>
          <w:color w:val="auto"/>
        </w:rPr>
      </w:pPr>
      <w:r>
        <w:rPr>
          <w:rFonts w:ascii="Times New Roman" w:cs="Times New Roman" w:eastAsia="Times New Roman" w:hAnsi="Times New Roman"/>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13" w:lineRule="exact"/>
        <w:rPr>
          <w:sz w:val="20"/>
          <w:szCs w:val="20"/>
          <w:color w:val="auto"/>
        </w:rPr>
      </w:pPr>
    </w:p>
    <w:p>
      <w:pPr>
        <w:ind w:right="80" w:firstLine="342"/>
        <w:spacing w:after="0" w:line="262" w:lineRule="auto"/>
        <w:rPr>
          <w:sz w:val="20"/>
          <w:szCs w:val="20"/>
          <w:color w:val="auto"/>
        </w:rPr>
      </w:pPr>
      <w:r>
        <w:rPr>
          <w:rFonts w:ascii="Times New Roman" w:cs="Times New Roman" w:eastAsia="Times New Roman" w:hAnsi="Times New Roman"/>
          <w:sz w:val="14"/>
          <w:szCs w:val="14"/>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TSL Advisers, LLC, or the Adviser, acts as our investment adviser and administrator. We and the</w:t>
      </w:r>
    </w:p>
    <w:p>
      <w:pPr>
        <w:spacing w:after="0" w:line="4"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4"/>
          <w:szCs w:val="14"/>
          <w:color w:val="auto"/>
        </w:rPr>
        <w:t>Adviser are part of the TPG Special Situations Partners platform, which had over $ billion of assets under management as of , 20 . TPG Special Situations Partners is the special situations and credit platform of TPG, a leading global private investment firm founded in 1992 with over $ billion of assets under management as of , 20 .</w:t>
      </w:r>
    </w:p>
    <w:p>
      <w:pPr>
        <w:spacing w:after="0" w:line="42" w:lineRule="exact"/>
        <w:rPr>
          <w:sz w:val="20"/>
          <w:szCs w:val="20"/>
          <w:color w:val="auto"/>
        </w:rPr>
      </w:pPr>
    </w:p>
    <w:p>
      <w:pPr>
        <w:ind w:right="60" w:firstLine="342"/>
        <w:spacing w:after="0" w:line="236" w:lineRule="auto"/>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29" w:lineRule="exact"/>
        <w:rPr>
          <w:sz w:val="20"/>
          <w:szCs w:val="20"/>
          <w:color w:val="auto"/>
        </w:rPr>
      </w:pPr>
    </w:p>
    <w:p>
      <w:pPr>
        <w:ind w:right="200" w:firstLine="342"/>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[Our common stock is traded on the New York Stock Exchange, or NYSE, under the symbol “TSLX.” On</w:t>
            </w: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20  , the last reported sales price of our common stock on the NYSE was</w:t>
            </w:r>
          </w:p>
        </w:tc>
        <w:tc>
          <w:tcPr>
            <w:tcW w:w="0" w:type="dxa"/>
            <w:vAlign w:val="bottom"/>
          </w:tcPr>
          <w:p>
            <w:pPr>
              <w:spacing w:after="0"/>
              <w:rPr>
                <w:sz w:val="1"/>
                <w:szCs w:val="1"/>
                <w:color w:val="auto"/>
              </w:rPr>
            </w:pPr>
          </w:p>
        </w:tc>
      </w:tr>
      <w:tr>
        <w:trPr>
          <w:trHeight w:val="188"/>
        </w:trPr>
        <w:tc>
          <w:tcPr>
            <w:tcW w:w="220" w:type="dxa"/>
            <w:vAlign w:val="bottom"/>
            <w:vMerge w:val="continue"/>
          </w:tcPr>
          <w:p>
            <w:pPr>
              <w:spacing w:after="0"/>
              <w:rPr>
                <w:sz w:val="16"/>
                <w:szCs w:val="16"/>
                <w:color w:val="auto"/>
              </w:rPr>
            </w:pPr>
          </w:p>
        </w:tc>
        <w:tc>
          <w:tcPr>
            <w:tcW w:w="10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per share. The net asset value per share of our common stock at , 20 (the last date prior to the date of this prospectus supplement on which we determined net asset value) was $</w:t>
            </w:r>
          </w:p>
        </w:tc>
        <w:tc>
          <w:tcPr>
            <w:tcW w:w="6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right="1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warrants involves risks that are described in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section beginning on page S-8 of this prospectus supplement and page [ ] of the accompanying prospectus, including the risk of leverage.</w:t>
      </w:r>
    </w:p>
    <w:p>
      <w:pPr>
        <w:spacing w:after="0" w:line="6" w:lineRule="exact"/>
        <w:rPr>
          <w:sz w:val="20"/>
          <w:szCs w:val="20"/>
          <w:color w:val="auto"/>
        </w:rPr>
      </w:pPr>
    </w:p>
    <w:p>
      <w:pPr>
        <w:ind w:right="20" w:firstLine="342"/>
        <w:spacing w:after="0" w:line="227"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w:t>
      </w:r>
    </w:p>
    <w:p>
      <w:pPr>
        <w:spacing w:after="0" w:line="1"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14"/>
          <w:szCs w:val="14"/>
          <w:color w:val="auto"/>
        </w:rPr>
        <w:t>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3"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Warrant</w:t>
            </w:r>
          </w:p>
        </w:tc>
        <w:tc>
          <w:tcPr>
            <w:tcW w:w="500" w:type="dxa"/>
            <w:vAlign w:val="bottom"/>
          </w:tcPr>
          <w:p>
            <w:pPr>
              <w:spacing w:after="0"/>
              <w:rPr>
                <w:sz w:val="15"/>
                <w:szCs w:val="15"/>
                <w:color w:val="auto"/>
              </w:rPr>
            </w:pP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4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Public offering price</w:t>
            </w:r>
          </w:p>
        </w:tc>
        <w:tc>
          <w:tcPr>
            <w:tcW w:w="22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5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3120" w:type="dxa"/>
            <w:vAlign w:val="bottom"/>
            <w:gridSpan w:val="2"/>
          </w:tcPr>
          <w:p>
            <w:pPr>
              <w:jc w:val="right"/>
              <w:ind w:right="7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9"/>
        </w:trPr>
        <w:tc>
          <w:tcPr>
            <w:tcW w:w="4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to us, before expenses</w:t>
            </w:r>
            <w:r>
              <w:rPr>
                <w:rFonts w:ascii="Times New Roman" w:cs="Times New Roman" w:eastAsia="Times New Roman" w:hAnsi="Times New Roman"/>
                <w:sz w:val="12"/>
                <w:szCs w:val="12"/>
                <w:color w:val="auto"/>
              </w:rPr>
              <w:t>(1)</w:t>
            </w:r>
          </w:p>
        </w:tc>
        <w:tc>
          <w:tcPr>
            <w:tcW w:w="3120" w:type="dxa"/>
            <w:vAlign w:val="bottom"/>
            <w:gridSpan w:val="2"/>
            <w:shd w:val="clear" w:color="auto" w:fill="CCEEFF"/>
          </w:tcPr>
          <w:p>
            <w:pPr>
              <w:jc w:val="right"/>
              <w:ind w:right="7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  Before deducting expenses payable by us related to this offering, estimated at $</w:t>
            </w:r>
          </w:p>
        </w:tc>
        <w:tc>
          <w:tcPr>
            <w:tcW w:w="1840" w:type="dxa"/>
            <w:vAlign w:val="bottom"/>
          </w:tcPr>
          <w:p>
            <w:pPr>
              <w:jc w:val="right"/>
              <w:ind w:right="1588"/>
              <w:spacing w:after="0"/>
              <w:rPr>
                <w:sz w:val="20"/>
                <w:szCs w:val="20"/>
                <w:color w:val="auto"/>
              </w:rPr>
            </w:pPr>
            <w:r>
              <w:rPr>
                <w:rFonts w:ascii="Times New Roman" w:cs="Times New Roman" w:eastAsia="Times New Roman" w:hAnsi="Times New Roman"/>
                <w:sz w:val="14"/>
                <w:szCs w:val="14"/>
                <w:color w:val="auto"/>
              </w:rPr>
              <w:t>.</w:t>
            </w:r>
          </w:p>
        </w:tc>
        <w:tc>
          <w:tcPr>
            <w:tcW w:w="40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76"/>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underwriters may also purchase up to an additional</w:t>
            </w:r>
          </w:p>
        </w:tc>
        <w:tc>
          <w:tcPr>
            <w:tcW w:w="78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warrants from us at the public offering price, less the underwriting discount, within   days of the date of this prospectus supplement</w:t>
            </w:r>
          </w:p>
        </w:tc>
      </w:tr>
      <w:tr>
        <w:trPr>
          <w:trHeight w:val="149"/>
        </w:trPr>
        <w:tc>
          <w:tcPr>
            <w:tcW w:w="69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to cover over-allotments, if any. If the underwriters exercise this option in full, the total public offering price will be $</w:t>
            </w:r>
          </w:p>
        </w:tc>
        <w:tc>
          <w:tcPr>
            <w:tcW w:w="40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 the total underwriting discount (sales load) paid by us will be $</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and</w:t>
            </w:r>
          </w:p>
        </w:tc>
      </w:tr>
      <w:tr>
        <w:trPr>
          <w:trHeight w:val="188"/>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total proceeds, before expenses, will be $</w:t>
            </w:r>
          </w:p>
        </w:tc>
        <w:tc>
          <w:tcPr>
            <w:tcW w:w="960" w:type="dxa"/>
            <w:vAlign w:val="bottom"/>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74"/>
        </w:trPr>
        <w:tc>
          <w:tcPr>
            <w:tcW w:w="113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Neither the Securities and Exchange Commission, or SEC, nor any state securities commission has approved or disapproved of these securities or determined if this prospectus</w:t>
            </w:r>
          </w:p>
        </w:tc>
      </w:tr>
      <w:tr>
        <w:trPr>
          <w:trHeight w:val="190"/>
        </w:trPr>
        <w:tc>
          <w:tcPr>
            <w:tcW w:w="109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supplement or the accompanying prospectus is truthful or complete. Any representation to the contrary is a criminal offense.</w:t>
            </w:r>
          </w:p>
        </w:tc>
        <w:tc>
          <w:tcPr>
            <w:tcW w:w="420" w:type="dxa"/>
            <w:vAlign w:val="bottom"/>
          </w:tcPr>
          <w:p>
            <w:pPr>
              <w:spacing w:after="0"/>
              <w:rPr>
                <w:sz w:val="16"/>
                <w:szCs w:val="16"/>
                <w:color w:val="auto"/>
              </w:rPr>
            </w:pPr>
          </w:p>
        </w:tc>
      </w:tr>
      <w:tr>
        <w:trPr>
          <w:trHeight w:val="230"/>
        </w:trPr>
        <w:tc>
          <w:tcPr>
            <w:tcW w:w="34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The shares will be ready for delivery on or about</w:t>
            </w:r>
          </w:p>
        </w:tc>
        <w:tc>
          <w:tcPr>
            <w:tcW w:w="10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 20  .</w:t>
            </w:r>
          </w:p>
        </w:tc>
        <w:tc>
          <w:tcPr>
            <w:tcW w:w="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172"/>
        </w:trPr>
        <w:tc>
          <w:tcPr>
            <w:tcW w:w="2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80" w:type="dxa"/>
            <w:vAlign w:val="bottom"/>
            <w:tcBorders>
              <w:bottom w:val="single" w:sz="8" w:color="auto"/>
            </w:tcBorders>
            <w:gridSpan w:val="2"/>
          </w:tcPr>
          <w:p>
            <w:pPr>
              <w:spacing w:after="0"/>
              <w:rPr>
                <w:sz w:val="14"/>
                <w:szCs w:val="14"/>
                <w:color w:val="auto"/>
              </w:rPr>
            </w:pPr>
          </w:p>
        </w:tc>
        <w:tc>
          <w:tcPr>
            <w:tcW w:w="40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27"/>
        </w:trPr>
        <w:tc>
          <w:tcPr>
            <w:tcW w:w="2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w:t>
            </w:r>
          </w:p>
        </w:tc>
        <w:tc>
          <w:tcPr>
            <w:tcW w:w="4020" w:type="dxa"/>
            <w:vAlign w:val="bottom"/>
          </w:tcPr>
          <w:p>
            <w:pPr>
              <w:jc w:val="right"/>
              <w:ind w:right="3428"/>
              <w:spacing w:after="0"/>
              <w:rPr>
                <w:sz w:val="20"/>
                <w:szCs w:val="20"/>
                <w:color w:val="auto"/>
              </w:rPr>
            </w:pPr>
            <w:r>
              <w:rPr>
                <w:rFonts w:ascii="Times New Roman" w:cs="Times New Roman" w:eastAsia="Times New Roman" w:hAnsi="Times New Roman"/>
                <w:sz w:val="14"/>
                <w:szCs w:val="14"/>
                <w:b w:val="1"/>
                <w:bCs w:val="1"/>
                <w:color w:val="auto"/>
              </w:rPr>
              <w:t>, 20   .</w:t>
            </w:r>
          </w:p>
        </w:tc>
        <w:tc>
          <w:tcPr>
            <w:tcW w:w="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898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9" w:lineRule="exact"/>
        <w:rPr>
          <w:sz w:val="20"/>
          <w:szCs w:val="20"/>
          <w:color w:val="auto"/>
        </w:rPr>
      </w:pPr>
    </w:p>
    <w:p>
      <w:pPr>
        <w:ind w:left="180" w:right="60" w:hanging="172"/>
        <w:spacing w:after="0" w:line="231" w:lineRule="auto"/>
        <w:tabs>
          <w:tab w:leader="none" w:pos="180"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18" w:right="239" w:bottom="1440" w:gutter="0" w:footer="0" w:header="0"/>
        </w:sectPr>
      </w:pPr>
    </w:p>
    <w:bookmarkStart w:id="358" w:name="page359"/>
    <w:bookmarkEnd w:id="3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40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940" w:type="dxa"/>
            <w:vAlign w:val="bottom"/>
            <w:gridSpan w:val="12"/>
            <w:vMerge w:val="restart"/>
          </w:tcPr>
          <w:p>
            <w:pPr>
              <w:spacing w:after="0"/>
              <w:rPr>
                <w:rFonts w:ascii="Times New Roman" w:cs="Times New Roman" w:eastAsia="Times New Roman" w:hAnsi="Times New Roman"/>
                <w:sz w:val="18"/>
                <w:szCs w:val="18"/>
                <w:color w:val="0000EE"/>
              </w:rPr>
            </w:pPr>
            <w:hyperlink w:anchor="page360">
              <w:r>
                <w:rPr>
                  <w:rFonts w:ascii="Times New Roman" w:cs="Times New Roman" w:eastAsia="Times New Roman" w:hAnsi="Times New Roman"/>
                  <w:sz w:val="18"/>
                  <w:szCs w:val="18"/>
                  <w:color w:val="0000EE"/>
                </w:rPr>
                <w:t>SPECIAL NOTE REGARDING FORWARD-LOOKING STATEMENTS</w:t>
              </w:r>
            </w:hyperlink>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12"/>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361">
              <w:r>
                <w:rPr>
                  <w:rFonts w:ascii="Times New Roman" w:cs="Times New Roman" w:eastAsia="Times New Roman" w:hAnsi="Times New Roman"/>
                  <w:sz w:val="18"/>
                  <w:szCs w:val="18"/>
                  <w:color w:val="0000EE"/>
                </w:rPr>
                <w:t>THE COMPANY</w:t>
              </w:r>
            </w:hyperlink>
          </w:p>
        </w:tc>
        <w:tc>
          <w:tcPr>
            <w:tcW w:w="5600" w:type="dxa"/>
            <w:vAlign w:val="bottom"/>
            <w:gridSpan w:val="2"/>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364">
              <w:r>
                <w:rPr>
                  <w:rFonts w:ascii="Times New Roman" w:cs="Times New Roman" w:eastAsia="Times New Roman" w:hAnsi="Times New Roman"/>
                  <w:sz w:val="18"/>
                  <w:szCs w:val="18"/>
                  <w:color w:val="0000EE"/>
                  <w:w w:val="99"/>
                </w:rPr>
                <w:t>SPECIFIC TERMS OF OUR WARRANTS AND THE OFFERING</w:t>
              </w:r>
            </w:hyperlink>
          </w:p>
        </w:tc>
        <w:tc>
          <w:tcPr>
            <w:tcW w:w="602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966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FEES AND EXPENSES</w:t>
            </w:r>
          </w:p>
        </w:tc>
        <w:tc>
          <w:tcPr>
            <w:tcW w:w="914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940" w:type="dxa"/>
            <w:vAlign w:val="bottom"/>
            <w:gridSpan w:val="12"/>
          </w:tcPr>
          <w:p>
            <w:pPr>
              <w:spacing w:after="0" w:line="196" w:lineRule="exact"/>
              <w:rPr>
                <w:rFonts w:ascii="Times New Roman" w:cs="Times New Roman" w:eastAsia="Times New Roman" w:hAnsi="Times New Roman"/>
                <w:sz w:val="18"/>
                <w:szCs w:val="18"/>
                <w:color w:val="0000EE"/>
              </w:rPr>
            </w:pPr>
            <w:hyperlink w:anchor="page369">
              <w:r>
                <w:rPr>
                  <w:rFonts w:ascii="Times New Roman" w:cs="Times New Roman" w:eastAsia="Times New Roman" w:hAnsi="Times New Roman"/>
                  <w:sz w:val="18"/>
                  <w:szCs w:val="18"/>
                  <w:color w:val="0000EE"/>
                </w:rPr>
                <w:t>SELECTED FINANCIAL DATA AND OTHER INFORMATION</w:t>
              </w:r>
            </w:hyperlink>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2"/>
          </w:tcPr>
          <w:p>
            <w:pPr>
              <w:spacing w:after="0" w:line="194" w:lineRule="exact"/>
              <w:rPr>
                <w:rFonts w:ascii="Times New Roman" w:cs="Times New Roman" w:eastAsia="Times New Roman" w:hAnsi="Times New Roman"/>
                <w:sz w:val="18"/>
                <w:szCs w:val="18"/>
                <w:color w:val="0000EE"/>
              </w:rPr>
            </w:pPr>
            <w:hyperlink w:anchor="page370">
              <w:r>
                <w:rPr>
                  <w:rFonts w:ascii="Times New Roman" w:cs="Times New Roman" w:eastAsia="Times New Roman" w:hAnsi="Times New Roman"/>
                  <w:sz w:val="18"/>
                  <w:szCs w:val="18"/>
                  <w:color w:val="0000EE"/>
                </w:rPr>
                <w:t>USE OF PROCEEDS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2"/>
          </w:tcPr>
          <w:p>
            <w:pPr>
              <w:spacing w:after="0" w:line="194" w:lineRule="exact"/>
              <w:rPr>
                <w:rFonts w:ascii="Times New Roman" w:cs="Times New Roman" w:eastAsia="Times New Roman" w:hAnsi="Times New Roman"/>
                <w:sz w:val="18"/>
                <w:szCs w:val="18"/>
                <w:color w:val="0000EE"/>
              </w:rPr>
            </w:pPr>
            <w:hyperlink w:anchor="page371">
              <w:r>
                <w:rPr>
                  <w:rFonts w:ascii="Times New Roman" w:cs="Times New Roman" w:eastAsia="Times New Roman" w:hAnsi="Times New Roman"/>
                  <w:sz w:val="18"/>
                  <w:szCs w:val="18"/>
                  <w:color w:val="0000EE"/>
                </w:rPr>
                <w:t>DESCRIPTION OF OUR WARRANTS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2"/>
          </w:tcPr>
          <w:p>
            <w:pPr>
              <w:spacing w:after="0" w:line="194" w:lineRule="exact"/>
              <w:rPr>
                <w:rFonts w:ascii="Times New Roman" w:cs="Times New Roman" w:eastAsia="Times New Roman" w:hAnsi="Times New Roman"/>
                <w:sz w:val="18"/>
                <w:szCs w:val="18"/>
                <w:color w:val="0000EE"/>
              </w:rPr>
            </w:pPr>
            <w:hyperlink w:anchor="page372">
              <w:r>
                <w:rPr>
                  <w:rFonts w:ascii="Times New Roman" w:cs="Times New Roman" w:eastAsia="Times New Roman" w:hAnsi="Times New Roman"/>
                  <w:sz w:val="18"/>
                  <w:szCs w:val="18"/>
                  <w:color w:val="0000EE"/>
                </w:rPr>
                <w:t>PRICE RANGE OF COMMON STOCK AND DISTRIBUTIONS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2"/>
          </w:tcPr>
          <w:p>
            <w:pPr>
              <w:spacing w:after="0" w:line="194" w:lineRule="exact"/>
              <w:rPr>
                <w:rFonts w:ascii="Times New Roman" w:cs="Times New Roman" w:eastAsia="Times New Roman" w:hAnsi="Times New Roman"/>
                <w:sz w:val="18"/>
                <w:szCs w:val="18"/>
                <w:color w:val="0000EE"/>
              </w:rPr>
            </w:pPr>
            <w:hyperlink w:anchor="page37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580" w:type="dxa"/>
            <w:vAlign w:val="bottom"/>
            <w:tcBorders>
              <w:top w:val="single" w:sz="8" w:color="0000EE"/>
            </w:tcBorders>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2"/>
          </w:tcPr>
          <w:p>
            <w:pPr>
              <w:spacing w:after="0" w:line="194" w:lineRule="exact"/>
              <w:rPr>
                <w:rFonts w:ascii="Times New Roman" w:cs="Times New Roman" w:eastAsia="Times New Roman" w:hAnsi="Times New Roman"/>
                <w:sz w:val="18"/>
                <w:szCs w:val="18"/>
                <w:color w:val="0000EE"/>
              </w:rPr>
            </w:pPr>
            <w:hyperlink w:anchor="page376">
              <w:r>
                <w:rPr>
                  <w:rFonts w:ascii="Times New Roman" w:cs="Times New Roman" w:eastAsia="Times New Roman" w:hAnsi="Times New Roman"/>
                  <w:sz w:val="18"/>
                  <w:szCs w:val="18"/>
                  <w:color w:val="0000EE"/>
                </w:rPr>
                <w:t>CAPITALIZATION</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2"/>
          </w:tcPr>
          <w:p>
            <w:pPr>
              <w:spacing w:after="0" w:line="194" w:lineRule="exact"/>
              <w:rPr>
                <w:rFonts w:ascii="Times New Roman" w:cs="Times New Roman" w:eastAsia="Times New Roman" w:hAnsi="Times New Roman"/>
                <w:sz w:val="18"/>
                <w:szCs w:val="18"/>
                <w:color w:val="0000EE"/>
              </w:rPr>
            </w:pPr>
            <w:hyperlink w:anchor="page377">
              <w:r>
                <w:rPr>
                  <w:rFonts w:ascii="Times New Roman" w:cs="Times New Roman" w:eastAsia="Times New Roman" w:hAnsi="Times New Roman"/>
                  <w:sz w:val="18"/>
                  <w:szCs w:val="18"/>
                  <w:color w:val="0000EE"/>
                </w:rPr>
                <w:t>UNDERWRITING</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2"/>
          </w:tcPr>
          <w:p>
            <w:pPr>
              <w:spacing w:after="0" w:line="194" w:lineRule="exact"/>
              <w:rPr>
                <w:rFonts w:ascii="Times New Roman" w:cs="Times New Roman" w:eastAsia="Times New Roman" w:hAnsi="Times New Roman"/>
                <w:sz w:val="18"/>
                <w:szCs w:val="18"/>
                <w:color w:val="0000EE"/>
              </w:rPr>
            </w:pPr>
            <w:hyperlink w:anchor="page380">
              <w:r>
                <w:rPr>
                  <w:rFonts w:ascii="Times New Roman" w:cs="Times New Roman" w:eastAsia="Times New Roman" w:hAnsi="Times New Roman"/>
                  <w:sz w:val="18"/>
                  <w:szCs w:val="18"/>
                  <w:color w:val="0000EE"/>
                </w:rPr>
                <w:t>LEGAL MATTERS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18"/>
        </w:trPr>
        <w:tc>
          <w:tcPr>
            <w:tcW w:w="1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940" w:type="dxa"/>
            <w:vAlign w:val="bottom"/>
            <w:gridSpan w:val="12"/>
          </w:tcPr>
          <w:p>
            <w:pPr>
              <w:spacing w:after="0" w:line="194" w:lineRule="exact"/>
              <w:rPr>
                <w:rFonts w:ascii="Times New Roman" w:cs="Times New Roman" w:eastAsia="Times New Roman" w:hAnsi="Times New Roman"/>
                <w:sz w:val="18"/>
                <w:szCs w:val="18"/>
                <w:color w:val="0000EE"/>
              </w:rPr>
            </w:pPr>
            <w:hyperlink w:anchor="page381">
              <w:r>
                <w:rPr>
                  <w:rFonts w:ascii="Times New Roman" w:cs="Times New Roman" w:eastAsia="Times New Roman" w:hAnsi="Times New Roman"/>
                  <w:sz w:val="18"/>
                  <w:szCs w:val="18"/>
                  <w:color w:val="0000EE"/>
                </w:rPr>
                <w:t>FINANCIAL STATEMENTS</w:t>
              </w:r>
            </w:hyperlink>
          </w:p>
        </w:tc>
        <w:tc>
          <w:tcPr>
            <w:tcW w:w="4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S-</w:t>
            </w:r>
          </w:p>
        </w:tc>
        <w:tc>
          <w:tcPr>
            <w:tcW w:w="0" w:type="dxa"/>
            <w:vAlign w:val="bottom"/>
          </w:tcPr>
          <w:p>
            <w:pPr>
              <w:spacing w:after="0"/>
              <w:rPr>
                <w:sz w:val="1"/>
                <w:szCs w:val="1"/>
                <w:color w:val="auto"/>
              </w:rPr>
            </w:pPr>
          </w:p>
        </w:tc>
      </w:tr>
      <w:tr>
        <w:trPr>
          <w:trHeight w:val="237"/>
        </w:trPr>
        <w:tc>
          <w:tcPr>
            <w:tcW w:w="1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7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Page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table of contents from base prospectus.]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455" w:right="239" w:bottom="1440" w:gutter="0" w:footer="0" w:header="0"/>
        </w:sectPr>
      </w:pPr>
    </w:p>
    <w:bookmarkStart w:id="359" w:name="page360"/>
    <w:bookmarkEnd w:id="3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67" w:lineRule="exact"/>
        <w:rPr>
          <w:sz w:val="20"/>
          <w:szCs w:val="20"/>
          <w:color w:val="auto"/>
        </w:rPr>
      </w:pPr>
    </w:p>
    <w:p>
      <w:pPr>
        <w:ind w:left="900" w:right="240" w:hanging="325"/>
        <w:spacing w:after="0" w:line="282" w:lineRule="auto"/>
        <w:tabs>
          <w:tab w:leader="none" w:pos="9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ind w:left="900" w:right="40" w:hanging="325"/>
        <w:spacing w:after="0" w:line="313" w:lineRule="auto"/>
        <w:tabs>
          <w:tab w:leader="none" w:pos="90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and the accompanying prospectus.</w:t>
      </w:r>
    </w:p>
    <w:p>
      <w:pPr>
        <w:spacing w:after="0" w:line="162"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456" w:right="239" w:bottom="1440" w:gutter="0" w:footer="0" w:header="0"/>
        </w:sectPr>
      </w:pPr>
    </w:p>
    <w:bookmarkStart w:id="360" w:name="page361"/>
    <w:bookmarkEnd w:id="3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in this prospectus supplement and the accompanying prospectus.</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prospectus supplement and the accompanying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180"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74" w:lineRule="exact"/>
        <w:rPr>
          <w:sz w:val="20"/>
          <w:szCs w:val="20"/>
          <w:color w:val="auto"/>
        </w:rPr>
      </w:pPr>
    </w:p>
    <w:p>
      <w:pPr>
        <w:ind w:right="3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w:t>
      </w:r>
    </w:p>
    <w:p>
      <w:pPr>
        <w:spacing w:after="0" w:line="27"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18"/>
          <w:szCs w:val="18"/>
          <w:color w:val="auto"/>
        </w:rPr>
        <w:t>,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00"/>
          </w:cols>
          <w:pgMar w:left="240" w:top="455" w:right="259" w:bottom="1440" w:gutter="0" w:footer="0" w:header="0"/>
        </w:sectPr>
      </w:pPr>
    </w:p>
    <w:bookmarkStart w:id="361" w:name="page362"/>
    <w:bookmarkEnd w:id="36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Table of Contents</w:t>
              </w:r>
            </w:hyperlink>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515"/>
        </w:trPr>
        <w:tc>
          <w:tcPr>
            <w:tcW w:w="11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include secured loans, and, to a lesser extent, secured corporate bonds, with a secondary priority behind first-lien debt. Based on fair value as of</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  , our portfolio consisted of</w:t>
            </w:r>
          </w:p>
        </w:tc>
        <w:tc>
          <w:tcPr>
            <w:tcW w:w="140" w:type="dxa"/>
            <w:vAlign w:val="bottom"/>
          </w:tcPr>
          <w:p>
            <w:pPr>
              <w:spacing w:after="0"/>
              <w:rPr>
                <w:sz w:val="18"/>
                <w:szCs w:val="18"/>
                <w:color w:val="auto"/>
              </w:rPr>
            </w:pPr>
          </w:p>
        </w:tc>
        <w:tc>
          <w:tcPr>
            <w:tcW w:w="2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first-lien debt investments,</w:t>
            </w:r>
          </w:p>
        </w:tc>
        <w:tc>
          <w:tcPr>
            <w:tcW w:w="2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second-lien debt investments,</w:t>
            </w: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mezzanine debt investments and</w:t>
            </w: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equity</w:t>
            </w:r>
          </w:p>
        </w:tc>
        <w:tc>
          <w:tcPr>
            <w:tcW w:w="340" w:type="dxa"/>
            <w:vAlign w:val="bottom"/>
          </w:tcPr>
          <w:p>
            <w:pPr>
              <w:spacing w:after="0"/>
              <w:rPr>
                <w:sz w:val="18"/>
                <w:szCs w:val="18"/>
                <w:color w:val="auto"/>
              </w:rPr>
            </w:pPr>
          </w:p>
        </w:tc>
      </w:tr>
      <w:tr>
        <w:trPr>
          <w:trHeight w:val="216"/>
        </w:trPr>
        <w:tc>
          <w:tcPr>
            <w:tcW w:w="4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investments. Approximately  % of our investments as of</w:t>
            </w:r>
          </w:p>
        </w:tc>
        <w:tc>
          <w:tcPr>
            <w:tcW w:w="662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 20   are floating rate in nature, subject to interest rate floors, which we believe helps act</w:t>
            </w:r>
          </w:p>
        </w:tc>
      </w:tr>
      <w:tr>
        <w:trPr>
          <w:trHeight w:val="234"/>
        </w:trPr>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a portfolio-wide hedge against inflation.</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1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w:t>
            </w:r>
          </w:p>
        </w:tc>
        <w:tc>
          <w:tcPr>
            <w:tcW w:w="140" w:type="dxa"/>
            <w:vAlign w:val="bottom"/>
          </w:tcPr>
          <w:p>
            <w:pPr>
              <w:spacing w:after="0"/>
              <w:rPr>
                <w:sz w:val="24"/>
                <w:szCs w:val="24"/>
                <w:color w:val="auto"/>
              </w:rPr>
            </w:pPr>
          </w:p>
        </w:tc>
        <w:tc>
          <w:tcPr>
            <w:tcW w:w="34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20   , our portfolio was invested across</w:t>
            </w:r>
          </w:p>
        </w:tc>
        <w:tc>
          <w:tcPr>
            <w:tcW w:w="628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different industries. The largest industries in our portfolio, based on fair value as of</w:t>
            </w:r>
          </w:p>
        </w:tc>
        <w:tc>
          <w:tcPr>
            <w:tcW w:w="340" w:type="dxa"/>
            <w:vAlign w:val="bottom"/>
          </w:tcPr>
          <w:p>
            <w:pPr>
              <w:spacing w:after="0"/>
              <w:rPr>
                <w:sz w:val="24"/>
                <w:szCs w:val="24"/>
                <w:color w:val="auto"/>
              </w:rPr>
            </w:pPr>
          </w:p>
        </w:tc>
      </w:tr>
      <w:tr>
        <w:trPr>
          <w:trHeight w:val="216"/>
        </w:trPr>
        <w:tc>
          <w:tcPr>
            <w:tcW w:w="23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20  , were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and</w:t>
            </w:r>
          </w:p>
        </w:tc>
        <w:tc>
          <w:tcPr>
            <w:tcW w:w="320" w:type="dxa"/>
            <w:vAlign w:val="bottom"/>
          </w:tcPr>
          <w:p>
            <w:pPr>
              <w:spacing w:after="0"/>
              <w:rPr>
                <w:sz w:val="18"/>
                <w:szCs w:val="18"/>
                <w:color w:val="auto"/>
              </w:rPr>
            </w:pPr>
          </w:p>
        </w:tc>
        <w:tc>
          <w:tcPr>
            <w:tcW w:w="42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 which represented, as a percentage of our portfolio,</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and   %, respectively. We expect</w:t>
            </w:r>
          </w:p>
        </w:tc>
      </w:tr>
      <w:tr>
        <w:trPr>
          <w:trHeight w:val="234"/>
        </w:trPr>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that no single investment will represent more than</w:t>
            </w:r>
          </w:p>
        </w:tc>
        <w:tc>
          <w:tcPr>
            <w:tcW w:w="45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of our total investment portfolio, based on fair value.</w:t>
            </w: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1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w:t>
            </w:r>
          </w:p>
        </w:tc>
        <w:tc>
          <w:tcPr>
            <w:tcW w:w="140" w:type="dxa"/>
            <w:vAlign w:val="bottom"/>
          </w:tcPr>
          <w:p>
            <w:pPr>
              <w:spacing w:after="0"/>
              <w:rPr>
                <w:sz w:val="24"/>
                <w:szCs w:val="24"/>
                <w:color w:val="auto"/>
              </w:rPr>
            </w:pPr>
          </w:p>
        </w:tc>
        <w:tc>
          <w:tcPr>
            <w:tcW w:w="26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20   , we had investments in</w:t>
            </w:r>
          </w:p>
        </w:tc>
        <w:tc>
          <w:tcPr>
            <w:tcW w:w="4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portfolio companies with an aggregate fair value of $</w:t>
            </w:r>
          </w:p>
        </w:tc>
        <w:tc>
          <w:tcPr>
            <w:tcW w:w="2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million. For the months ended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20  , we made new investment commitments of $</w:t>
            </w:r>
          </w:p>
        </w:tc>
        <w:tc>
          <w:tcPr>
            <w:tcW w:w="32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 $</w:t>
            </w:r>
          </w:p>
        </w:tc>
        <w:tc>
          <w:tcPr>
            <w:tcW w:w="1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million in</w:t>
            </w: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new portfolio companies and $</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million in</w:t>
            </w:r>
          </w:p>
        </w:tc>
        <w:tc>
          <w:tcPr>
            <w:tcW w:w="1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existing</w:t>
            </w:r>
          </w:p>
        </w:tc>
        <w:tc>
          <w:tcPr>
            <w:tcW w:w="340" w:type="dxa"/>
            <w:vAlign w:val="bottom"/>
          </w:tcPr>
          <w:p>
            <w:pPr>
              <w:spacing w:after="0"/>
              <w:rPr>
                <w:sz w:val="18"/>
                <w:szCs w:val="18"/>
                <w:color w:val="auto"/>
              </w:rPr>
            </w:pPr>
          </w:p>
        </w:tc>
      </w:tr>
      <w:tr>
        <w:trPr>
          <w:trHeight w:val="216"/>
        </w:trPr>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portfolio companies. For this period, we had $</w:t>
            </w:r>
          </w:p>
        </w:tc>
        <w:tc>
          <w:tcPr>
            <w:tcW w:w="73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 resulting in net portfolio growth of $</w:t>
            </w:r>
          </w:p>
        </w:tc>
        <w:tc>
          <w:tcPr>
            <w:tcW w:w="340" w:type="dxa"/>
            <w:vAlign w:val="bottom"/>
          </w:tcPr>
          <w:p>
            <w:pPr>
              <w:spacing w:after="0"/>
              <w:rPr>
                <w:sz w:val="18"/>
                <w:szCs w:val="18"/>
                <w:color w:val="auto"/>
              </w:rPr>
            </w:pPr>
          </w:p>
        </w:tc>
      </w:tr>
      <w:tr>
        <w:trPr>
          <w:trHeight w:val="234"/>
        </w:trPr>
        <w:tc>
          <w:tcPr>
            <w:tcW w:w="3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million aggregate principal amount.</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23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As of December 31, 20</w:t>
            </w: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 we had investments in</w:t>
            </w:r>
          </w:p>
        </w:tc>
        <w:tc>
          <w:tcPr>
            <w:tcW w:w="4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portfolio companies with an aggregate fair value of $</w:t>
            </w:r>
          </w:p>
        </w:tc>
        <w:tc>
          <w:tcPr>
            <w:tcW w:w="28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million. For the year ended</w:t>
            </w:r>
          </w:p>
        </w:tc>
        <w:tc>
          <w:tcPr>
            <w:tcW w:w="340" w:type="dxa"/>
            <w:vAlign w:val="bottom"/>
          </w:tcPr>
          <w:p>
            <w:pPr>
              <w:spacing w:after="0"/>
              <w:rPr>
                <w:sz w:val="24"/>
                <w:szCs w:val="24"/>
                <w:color w:val="auto"/>
              </w:rPr>
            </w:pPr>
          </w:p>
        </w:tc>
      </w:tr>
      <w:tr>
        <w:trPr>
          <w:trHeight w:val="216"/>
        </w:trPr>
        <w:tc>
          <w:tcPr>
            <w:tcW w:w="4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December 31, 20  , we made new investment commitments of $</w:t>
            </w: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million, $</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in</w:t>
            </w:r>
          </w:p>
        </w:tc>
        <w:tc>
          <w:tcPr>
            <w:tcW w:w="2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new portfolio companies and $</w:t>
            </w: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million in</w:t>
            </w:r>
          </w:p>
        </w:tc>
        <w:tc>
          <w:tcPr>
            <w:tcW w:w="340" w:type="dxa"/>
            <w:vAlign w:val="bottom"/>
          </w:tcPr>
          <w:p>
            <w:pPr>
              <w:spacing w:after="0"/>
              <w:rPr>
                <w:sz w:val="18"/>
                <w:szCs w:val="18"/>
                <w:color w:val="auto"/>
              </w:rPr>
            </w:pPr>
          </w:p>
        </w:tc>
      </w:tr>
      <w:tr>
        <w:trPr>
          <w:trHeight w:val="216"/>
        </w:trPr>
        <w:tc>
          <w:tcPr>
            <w:tcW w:w="4800" w:type="dxa"/>
            <w:vAlign w:val="bottom"/>
            <w:gridSpan w:val="7"/>
          </w:tcPr>
          <w:p>
            <w:pPr>
              <w:jc w:val="center"/>
              <w:ind w:left="150"/>
              <w:spacing w:after="0"/>
              <w:rPr>
                <w:sz w:val="20"/>
                <w:szCs w:val="20"/>
                <w:color w:val="auto"/>
              </w:rPr>
            </w:pPr>
            <w:r>
              <w:rPr>
                <w:rFonts w:ascii="Times New Roman" w:cs="Times New Roman" w:eastAsia="Times New Roman" w:hAnsi="Times New Roman"/>
                <w:sz w:val="18"/>
                <w:szCs w:val="18"/>
                <w:color w:val="auto"/>
              </w:rPr>
              <w:t>existing portfolio companies. For this period, we had $</w:t>
            </w:r>
          </w:p>
        </w:tc>
        <w:tc>
          <w:tcPr>
            <w:tcW w:w="62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 resulting in net portfolio</w:t>
            </w:r>
          </w:p>
        </w:tc>
        <w:tc>
          <w:tcPr>
            <w:tcW w:w="34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growth of $</w:t>
            </w:r>
          </w:p>
        </w:tc>
        <w:tc>
          <w:tcPr>
            <w:tcW w:w="280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color w:val="auto"/>
                <w:w w:val="99"/>
              </w:rPr>
              <w:t>million aggregate principal amount.</w:t>
            </w: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37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Since we began investing in 2011 through</w:t>
            </w:r>
          </w:p>
        </w:tc>
        <w:tc>
          <w:tcPr>
            <w:tcW w:w="320" w:type="dxa"/>
            <w:vAlign w:val="bottom"/>
          </w:tcPr>
          <w:p>
            <w:pPr>
              <w:spacing w:after="0"/>
              <w:rPr>
                <w:sz w:val="24"/>
                <w:szCs w:val="24"/>
                <w:color w:val="auto"/>
              </w:rPr>
            </w:pPr>
          </w:p>
        </w:tc>
        <w:tc>
          <w:tcPr>
            <w:tcW w:w="7400" w:type="dxa"/>
            <w:vAlign w:val="bottom"/>
            <w:gridSpan w:val="8"/>
          </w:tcPr>
          <w:p>
            <w:pPr>
              <w:ind w:left="240"/>
              <w:spacing w:after="0"/>
              <w:rPr>
                <w:sz w:val="20"/>
                <w:szCs w:val="20"/>
                <w:color w:val="auto"/>
              </w:rPr>
            </w:pPr>
            <w:r>
              <w:rPr>
                <w:rFonts w:ascii="Times New Roman" w:cs="Times New Roman" w:eastAsia="Times New Roman" w:hAnsi="Times New Roman"/>
                <w:sz w:val="18"/>
                <w:szCs w:val="18"/>
                <w:color w:val="auto"/>
              </w:rPr>
              <w:t>, 20  , our exited investments have resulted in an aggregate cash flow realized gross internal rate</w:t>
            </w:r>
          </w:p>
        </w:tc>
      </w:tr>
      <w:tr>
        <w:trPr>
          <w:trHeight w:val="216"/>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return to us of approximately</w:t>
            </w:r>
          </w:p>
        </w:tc>
        <w:tc>
          <w:tcPr>
            <w:tcW w:w="140" w:type="dxa"/>
            <w:vAlign w:val="bottom"/>
          </w:tcPr>
          <w:p>
            <w:pPr>
              <w:spacing w:after="0"/>
              <w:rPr>
                <w:sz w:val="18"/>
                <w:szCs w:val="18"/>
                <w:color w:val="auto"/>
              </w:rPr>
            </w:pPr>
          </w:p>
        </w:tc>
        <w:tc>
          <w:tcPr>
            <w:tcW w:w="35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(based on cash invested of approximately $</w:t>
            </w:r>
          </w:p>
        </w:tc>
        <w:tc>
          <w:tcPr>
            <w:tcW w:w="50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million and total proceeds from these exited investments of</w:t>
            </w:r>
          </w:p>
        </w:tc>
        <w:tc>
          <w:tcPr>
            <w:tcW w:w="34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w:t>
            </w:r>
          </w:p>
        </w:tc>
        <w:tc>
          <w:tcPr>
            <w:tcW w:w="140" w:type="dxa"/>
            <w:vAlign w:val="bottom"/>
          </w:tcPr>
          <w:p>
            <w:pPr>
              <w:spacing w:after="0"/>
              <w:rPr>
                <w:sz w:val="20"/>
                <w:szCs w:val="20"/>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million).</w:t>
            </w:r>
          </w:p>
        </w:tc>
        <w:tc>
          <w:tcPr>
            <w:tcW w:w="140" w:type="dxa"/>
            <w:vAlign w:val="bottom"/>
          </w:tcPr>
          <w:p>
            <w:pPr>
              <w:spacing w:after="0"/>
              <w:rPr>
                <w:sz w:val="20"/>
                <w:szCs w:val="20"/>
                <w:color w:val="auto"/>
              </w:rPr>
            </w:pPr>
          </w:p>
        </w:tc>
        <w:tc>
          <w:tcPr>
            <w:tcW w:w="896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percent of these exited investments resulted in an aggregate cash flow realized gross internal rate of return to us of 10% or</w:t>
            </w:r>
          </w:p>
        </w:tc>
      </w:tr>
    </w:tbl>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420"/>
          </w:cols>
          <w:pgMar w:left="240" w:top="446" w:right="239" w:bottom="1440" w:gutter="0" w:footer="0" w:header="0"/>
        </w:sectPr>
      </w:pPr>
    </w:p>
    <w:bookmarkStart w:id="362" w:name="page363"/>
    <w:bookmarkEnd w:id="3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by our investment review committee, or the Investment Review Committee, which includes senior personnel of TSSP and TPG.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TSSP, which encompasses TPG Specialty Lending, TPG Opportunities Partners and TPG Institutional Credit Partners, is TPG’s special situations and</w:t>
      </w:r>
    </w:p>
    <w:p>
      <w:pPr>
        <w:spacing w:after="0" w:line="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credit platform. TSSP had over $ billion of assets under management as of , 20 . TSSP has extensive experience with highly complex, global public and private investments executed through primary originations, secondary market purchases and restructurings, and has a team of investment and operating professionals. of these personnel are dedicated to our business, including investment professionals. The TSSP members of the Investment Review Committee are Joshua Easterly, Michael Fishman, Alan Waxman and David Stiepleman.</w:t>
      </w:r>
    </w:p>
    <w:p>
      <w:pPr>
        <w:spacing w:after="0" w:line="186" w:lineRule="exact"/>
        <w:rPr>
          <w:sz w:val="20"/>
          <w:szCs w:val="20"/>
          <w:color w:val="auto"/>
        </w:rPr>
      </w:pPr>
    </w:p>
    <w:p>
      <w:pPr>
        <w:ind w:left="460"/>
        <w:spacing w:after="0"/>
        <w:tabs>
          <w:tab w:leader="none" w:pos="5880" w:val="left"/>
          <w:tab w:leader="none" w:pos="9620" w:val="left"/>
          <w:tab w:leader="none" w:pos="10080" w:val="left"/>
        </w:tabs>
        <w:rPr>
          <w:sz w:val="20"/>
          <w:szCs w:val="20"/>
          <w:color w:val="auto"/>
        </w:rPr>
      </w:pPr>
      <w:r>
        <w:rPr>
          <w:rFonts w:ascii="Times New Roman" w:cs="Times New Roman" w:eastAsia="Times New Roman" w:hAnsi="Times New Roman"/>
          <w:sz w:val="18"/>
          <w:szCs w:val="18"/>
          <w:color w:val="auto"/>
        </w:rPr>
        <w:t>TPG is a leading global private investment firm founded in 1992 with</w:t>
      </w:r>
      <w:r>
        <w:rPr>
          <w:sz w:val="20"/>
          <w:szCs w:val="20"/>
          <w:color w:val="auto"/>
        </w:rPr>
        <w:tab/>
      </w:r>
      <w:r>
        <w:rPr>
          <w:rFonts w:ascii="Times New Roman" w:cs="Times New Roman" w:eastAsia="Times New Roman" w:hAnsi="Times New Roman"/>
          <w:sz w:val="18"/>
          <w:szCs w:val="18"/>
          <w:color w:val="auto"/>
        </w:rPr>
        <w:t>billion of assets under management,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and offices in</w:t>
      </w:r>
    </w:p>
    <w:p>
      <w:pPr>
        <w:spacing w:after="0" w:line="2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w:t>
      </w:r>
    </w:p>
    <w:p>
      <w:pPr>
        <w:spacing w:after="0" w:line="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growth investments, joint ventures and restructurings, and has a team of professionals. The TPG members of the Investment Review Committee are TPG co-founders, David Bonderman and James Coulter, and TPG Senior Partners, Jonathan Coslet and James Gates.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of the Adviser consists primarily of senior executives of TSSP and TPG. TSSP and TPG executives, including members of our</w:t>
      </w:r>
    </w:p>
    <w:p>
      <w:pPr>
        <w:spacing w:after="0" w:line="27" w:lineRule="exact"/>
        <w:rPr>
          <w:sz w:val="20"/>
          <w:szCs w:val="20"/>
          <w:color w:val="auto"/>
        </w:rPr>
      </w:pPr>
    </w:p>
    <w:p>
      <w:pPr>
        <w:spacing w:after="0"/>
        <w:tabs>
          <w:tab w:leader="none" w:pos="9240" w:val="left"/>
          <w:tab w:leader="none" w:pos="9700" w:val="left"/>
        </w:tabs>
        <w:rPr>
          <w:sz w:val="20"/>
          <w:szCs w:val="20"/>
          <w:color w:val="auto"/>
        </w:rPr>
      </w:pPr>
      <w:r>
        <w:rPr>
          <w:rFonts w:ascii="Times New Roman" w:cs="Times New Roman" w:eastAsia="Times New Roman" w:hAnsi="Times New Roman"/>
          <w:sz w:val="18"/>
          <w:szCs w:val="18"/>
          <w:color w:val="auto"/>
        </w:rPr>
        <w:t>Investment Review Committee and certain of our other senior personnel, own a significant stake in the Adviser.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our Adviser owned</w:t>
      </w:r>
    </w:p>
    <w:p>
      <w:pPr>
        <w:spacing w:after="0" w:line="9" w:lineRule="exact"/>
        <w:rPr>
          <w:sz w:val="20"/>
          <w:szCs w:val="20"/>
          <w:color w:val="auto"/>
        </w:rPr>
      </w:pPr>
    </w:p>
    <w:p>
      <w:pPr>
        <w:ind w:right="40" w:firstLine="188"/>
        <w:spacing w:after="0" w:line="261" w:lineRule="auto"/>
        <w:tabs>
          <w:tab w:leader="none" w:pos="3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common stock. See “Management,” “Related-Party Transactions and Certain Relationships” and “Control Persons and Principal Stockholders” in the accompanying prospectus.</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380"/>
          </w:cols>
          <w:pgMar w:left="240" w:top="455" w:right="279" w:bottom="1440" w:gutter="0" w:footer="0" w:header="0"/>
        </w:sectPr>
      </w:pPr>
    </w:p>
    <w:bookmarkStart w:id="363" w:name="page364"/>
    <w:bookmarkEnd w:id="3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SPECIFIC TERMS OF OUR WARRANTS AND THE OFFERING</w:t>
      </w:r>
    </w:p>
    <w:p>
      <w:pPr>
        <w:spacing w:after="0" w:line="22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our warrants that we are offering pursuant to this prospectus supplement and supplements the accompanying prospectus that is attached to the back of this prospectus supplement. This section outlines the specific legal and financial terms of our warrants. You should read this section together with the more general description of our warrants in this prospectus supplement under the heading “Description of Our Warrants” and in the accompanying prospectus under the heading “Description of Our Warrants” before investing in our warrants. Capitalized terms used in this prospectus supplement and not otherwise defined shall have the meanings ascribed to them in the accompanying prospectus.</w:t>
      </w:r>
    </w:p>
    <w:p>
      <w:pPr>
        <w:spacing w:after="0" w:line="200" w:lineRule="exact"/>
        <w:rPr>
          <w:sz w:val="20"/>
          <w:szCs w:val="20"/>
          <w:color w:val="auto"/>
        </w:rPr>
      </w:pP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[Insert material terms of warrants in tabular form to the extent required to be disclosed by applicable law or regulation.]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80"/>
          </w:cols>
          <w:pgMar w:left="240" w:top="455" w:right="479" w:bottom="1440" w:gutter="0" w:footer="0" w:header="0"/>
        </w:sectPr>
      </w:pPr>
    </w:p>
    <w:bookmarkStart w:id="364" w:name="page365"/>
    <w:bookmarkEnd w:id="3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exercise your warrants, you may be unable to sell any [type of security] you purchase at a profit.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public trading market price of our [type of security] may decline after you elect to exercise your warrants. If that occurs, you will have committed to buy [type of security] at a price above the prevailing market price and you will have an immediate unrealized loss. Moreover, we cannot assure you that following the exercise of warrants you will be able to sell your [type of security] at a price equal to or greater than the exercise price.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exercise price is not necessarily an indication of our value.</w:t>
      </w:r>
    </w:p>
    <w:p>
      <w:pPr>
        <w:spacing w:after="0" w:line="121" w:lineRule="exact"/>
        <w:rPr>
          <w:sz w:val="20"/>
          <w:szCs w:val="20"/>
          <w:color w:val="auto"/>
        </w:rPr>
      </w:pPr>
    </w:p>
    <w:p>
      <w:pPr>
        <w:ind w:right="640" w:firstLine="456"/>
        <w:spacing w:after="0" w:line="266" w:lineRule="auto"/>
        <w:rPr>
          <w:sz w:val="20"/>
          <w:szCs w:val="20"/>
          <w:color w:val="auto"/>
        </w:rPr>
      </w:pPr>
      <w:r>
        <w:rPr>
          <w:rFonts w:ascii="Times New Roman" w:cs="Times New Roman" w:eastAsia="Times New Roman" w:hAnsi="Times New Roman"/>
          <w:sz w:val="18"/>
          <w:szCs w:val="18"/>
          <w:color w:val="auto"/>
        </w:rPr>
        <w:t>The exercise price of the warrants does not necessarily bear any relationship to any established criteria for valuation of business development companies. You should not consider the exercise price an indication of our value or any assurance of future value. After the date of this prospectus supplement, our [type of security] may trade at prices above or below the subscription price.]</w:t>
      </w:r>
    </w:p>
    <w:p>
      <w:pPr>
        <w:spacing w:after="0" w:line="176" w:lineRule="exact"/>
        <w:rPr>
          <w:sz w:val="20"/>
          <w:szCs w:val="20"/>
          <w:color w:val="auto"/>
        </w:rPr>
      </w:pPr>
    </w:p>
    <w:p>
      <w:pPr>
        <w:jc w:val="center"/>
        <w:ind w:left="560" w:right="140"/>
        <w:spacing w:after="0" w:line="454" w:lineRule="auto"/>
        <w:rPr>
          <w:sz w:val="20"/>
          <w:szCs w:val="20"/>
          <w:color w:val="auto"/>
        </w:rPr>
      </w:pPr>
      <w:r>
        <w:rPr>
          <w:rFonts w:ascii="Times New Roman" w:cs="Times New Roman" w:eastAsia="Times New Roman" w:hAnsi="Times New Roman"/>
          <w:sz w:val="18"/>
          <w:szCs w:val="18"/>
          <w:color w:val="auto"/>
        </w:rPr>
        <w:t>[Insert any additional relevant risk factors not included in the base prospectus to the extent required to be disclosed by applicable law or regulation.] S-8</w:t>
      </w:r>
    </w:p>
    <w:p>
      <w:pPr>
        <w:sectPr>
          <w:pgSz w:w="11900" w:h="16838" w:orient="portrait"/>
          <w:cols w:equalWidth="0" w:num="1">
            <w:col w:w="11280"/>
          </w:cols>
          <w:pgMar w:left="240" w:top="456" w:right="379" w:bottom="1440" w:gutter="0" w:footer="0" w:header="0"/>
        </w:sectPr>
      </w:pPr>
    </w:p>
    <w:bookmarkStart w:id="365" w:name="page366"/>
    <w:bookmarkEnd w:id="3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[FEES AND EXPENSES (2)</w:t>
      </w:r>
    </w:p>
    <w:p>
      <w:pPr>
        <w:spacing w:after="0" w:line="229" w:lineRule="exact"/>
        <w:rPr>
          <w:sz w:val="20"/>
          <w:szCs w:val="20"/>
          <w:color w:val="auto"/>
        </w:rPr>
      </w:pPr>
    </w:p>
    <w:p>
      <w:pPr>
        <w:ind w:right="300" w:firstLine="456"/>
        <w:spacing w:after="0" w:line="270" w:lineRule="auto"/>
        <w:rPr>
          <w:sz w:val="20"/>
          <w:szCs w:val="20"/>
          <w:color w:val="auto"/>
        </w:rPr>
      </w:pPr>
      <w:r>
        <w:rPr>
          <w:rFonts w:ascii="Times New Roman" w:cs="Times New Roman" w:eastAsia="Times New Roman" w:hAnsi="Times New Roman"/>
          <w:sz w:val="17"/>
          <w:szCs w:val="17"/>
          <w:color w:val="auto"/>
        </w:rPr>
        <w:t>The following table is intended to assist you in understanding the costs and expenses that an investor in our common stock will bear directly or indirectly, based on the assumptions set forth below. We caution you that some of the percentages indicated in the table below are estimates and may vary. The following table should not be considered a representation of our future expenses. Actual expenses may be greater or less than shown. The expenses shown in the table under “estimated annual expenses” are based on estimated amounts for our current fiscal year. In addition, the expenses in the table are</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based on the assumption that we borrow amounts under our credit facilities and debt securities in an amount so that our total borrowings are x our total net assets. Our leverage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table or the accompanying prospectus contains a reference to fees or expenses paid by “us,” the “Company” or “TPG Specialty Lending,” or says that “we” will pay fees or expenses, stockholders will indirectly bear these fees or expenses as investors in TPG Specialty Lending, Inc.</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-116840</wp:posOffset>
            </wp:positionV>
            <wp:extent cx="6663690" cy="1371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Sales load</w:t>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Dividend reinvestment plan expenses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371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0"/>
        <w:spacing w:after="0" w:line="183" w:lineRule="auto"/>
        <w:rPr>
          <w:sz w:val="20"/>
          <w:szCs w:val="20"/>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28"/>
          <w:szCs w:val="28"/>
          <w:color w:val="auto"/>
          <w:vertAlign w:val="superscript"/>
        </w:rPr>
        <w:t>)</w:t>
      </w:r>
    </w:p>
    <w:p>
      <w:pPr>
        <w:ind w:left="260"/>
        <w:spacing w:after="0" w:line="181" w:lineRule="auto"/>
        <w:rPr>
          <w:sz w:val="20"/>
          <w:szCs w:val="20"/>
          <w:color w:val="auto"/>
        </w:rPr>
      </w:pPr>
      <w:r>
        <w:rPr>
          <w:rFonts w:ascii="Times New Roman" w:cs="Times New Roman" w:eastAsia="Times New Roman" w:hAnsi="Times New Roman"/>
          <w:sz w:val="13"/>
          <w:szCs w:val="13"/>
          <w:color w:val="auto"/>
        </w:rPr>
        <w:t>(2</w:t>
      </w:r>
      <w:r>
        <w:rPr>
          <w:rFonts w:ascii="Times New Roman" w:cs="Times New Roman" w:eastAsia="Times New Roman" w:hAnsi="Times New Roman"/>
          <w:sz w:val="25"/>
          <w:szCs w:val="25"/>
          <w:color w:val="auto"/>
          <w:vertAlign w:val="superscript"/>
        </w:rPr>
        <w:t>)</w:t>
      </w: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5"/>
          <w:szCs w:val="15"/>
          <w:color w:val="auto"/>
        </w:rPr>
        <w:t>(3)</w:t>
      </w:r>
    </w:p>
    <w:p>
      <w:pPr>
        <w:spacing w:after="0" w:line="225" w:lineRule="exact"/>
        <w:rPr>
          <w:sz w:val="20"/>
          <w:szCs w:val="20"/>
          <w:color w:val="auto"/>
        </w:rPr>
      </w:pPr>
    </w:p>
    <w:p>
      <w:pPr>
        <w:sectPr>
          <w:pgSz w:w="11900" w:h="16838" w:orient="portrait"/>
          <w:cols w:equalWidth="0" w:num="2">
            <w:col w:w="9440" w:space="720"/>
            <w:col w:w="1240"/>
          </w:cols>
          <w:pgMar w:left="240" w:top="455" w:right="259" w:bottom="1440" w:gutter="0" w:footer="0" w:header="0"/>
          <w:type w:val="continuous"/>
        </w:sectPr>
      </w:pPr>
    </w:p>
    <w:tbl>
      <w:tblPr>
        <w:tblLayout w:type="fixed"/>
        <w:tblInd w:w="460" w:type="dxa"/>
        <w:tblCellMar>
          <w:top w:w="0" w:type="dxa"/>
          <w:left w:w="0" w:type="dxa"/>
          <w:bottom w:w="0" w:type="dxa"/>
          <w:right w:w="0" w:type="dxa"/>
        </w:tblCellMar>
      </w:tblPr>
      <w:tr>
        <w:trPr>
          <w:trHeight w:val="21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4560" w:type="dxa"/>
            <w:vAlign w:val="bottom"/>
          </w:tcPr>
          <w:p>
            <w:pPr>
              <w:spacing w:after="0"/>
              <w:rPr>
                <w:sz w:val="18"/>
                <w:szCs w:val="18"/>
                <w:color w:val="auto"/>
              </w:rPr>
            </w:pPr>
          </w:p>
        </w:tc>
        <w:tc>
          <w:tcPr>
            <w:tcW w:w="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(4)</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 (</w:t>
            </w:r>
          </w:p>
        </w:tc>
        <w:tc>
          <w:tcPr>
            <w:tcW w:w="4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of net investment income and capital gains)</w:t>
            </w:r>
          </w:p>
        </w:tc>
        <w:tc>
          <w:tcPr>
            <w:tcW w:w="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(5)</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4560" w:type="dxa"/>
            <w:vAlign w:val="bottom"/>
          </w:tcPr>
          <w:p>
            <w:pPr>
              <w:spacing w:after="0"/>
              <w:rPr>
                <w:sz w:val="18"/>
                <w:szCs w:val="18"/>
                <w:color w:val="auto"/>
              </w:rPr>
            </w:pPr>
          </w:p>
        </w:tc>
        <w:tc>
          <w:tcPr>
            <w:tcW w:w="8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45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(7)(8)</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4560" w:type="dxa"/>
            <w:vAlign w:val="bottom"/>
          </w:tcPr>
          <w:p>
            <w:pPr>
              <w:spacing w:after="0"/>
              <w:rPr>
                <w:sz w:val="19"/>
                <w:szCs w:val="19"/>
                <w:color w:val="auto"/>
              </w:rPr>
            </w:pPr>
          </w:p>
        </w:tc>
        <w:tc>
          <w:tcPr>
            <w:tcW w:w="4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w w:val="91"/>
              </w:rPr>
              <w:t>(8)</w:t>
            </w:r>
          </w:p>
        </w:tc>
      </w:tr>
      <w:tr>
        <w:trPr>
          <w:trHeight w:val="20"/>
        </w:trPr>
        <w:tc>
          <w:tcPr>
            <w:tcW w:w="50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load (underwriting discount) with respect to the shares sold in this offering, which is a one-time fee paid to the underwriters, is the only sales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load paid in connection with this offering.</w:t>
      </w:r>
    </w:p>
    <w:p>
      <w:pPr>
        <w:spacing w:after="0" w:line="9" w:lineRule="exact"/>
        <w:rPr>
          <w:sz w:val="20"/>
          <w:szCs w:val="20"/>
          <w:color w:val="auto"/>
        </w:rPr>
      </w:pPr>
    </w:p>
    <w:p>
      <w:pPr>
        <w:spacing w:after="0"/>
        <w:tabs>
          <w:tab w:leader="none" w:pos="440" w:val="left"/>
          <w:tab w:leader="none" w:pos="5420" w:val="left"/>
        </w:tabs>
        <w:rPr>
          <w:sz w:val="20"/>
          <w:szCs w:val="20"/>
          <w:color w:val="auto"/>
        </w:rPr>
      </w:pPr>
      <w:r>
        <w:rPr>
          <w:rFonts w:ascii="Times New Roman" w:cs="Times New Roman" w:eastAsia="Times New Roman" w:hAnsi="Times New Roman"/>
          <w:sz w:val="18"/>
          <w:szCs w:val="18"/>
          <w:color w:val="auto"/>
        </w:rPr>
        <w:t>(2)</w:t>
        <w:tab/>
        <w:t>Amount reflects estimated offering expenses of approximately $</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ind w:left="460" w:right="640" w:hanging="452"/>
        <w:spacing w:after="0" w:line="250" w:lineRule="auto"/>
        <w:tabs>
          <w:tab w:leader="none" w:pos="4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For additional information, see “Dividend Reinvestment Plan” in the accompanying prospectus.</w:t>
      </w:r>
    </w:p>
    <w:p>
      <w:pPr>
        <w:spacing w:after="0" w:line="1" w:lineRule="exact"/>
        <w:rPr>
          <w:sz w:val="20"/>
          <w:szCs w:val="20"/>
          <w:color w:val="auto"/>
        </w:rPr>
      </w:pPr>
    </w:p>
    <w:p>
      <w:pPr>
        <w:ind w:left="460" w:right="160" w:hanging="459"/>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(4)</w:t>
        <w:tab/>
        <w:t>The Management Fee is % of our gross assets (including cash and cash equivalents and assets purchased with borrowed amounts). We may from time to time decide it is appropriate to change the terms of our Investment Advisory Agreement. Under the 1940 Act, any material change to our Investment Advisory Agreement (as defined in the accompanying prospectus) must be submitted to stockholders for approval. See “Management and Other Agreements—Investment Advisory Agreement; Administration Agreement; License Agreement” in the accompanying prospectus.</w:t>
      </w:r>
    </w:p>
    <w:p>
      <w:pPr>
        <w:spacing w:after="0" w:line="51"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bears to our net assets attributable to common stock (rather than our gross assets). The estimate of our Management Fee referenced in the table is based on our gross assets (including cash</w:t>
      </w:r>
    </w:p>
    <w:tbl>
      <w:tblPr>
        <w:tblLayout w:type="fixed"/>
        <w:tblInd w:w="460" w:type="dxa"/>
        <w:tblCellMar>
          <w:top w:w="0" w:type="dxa"/>
          <w:left w:w="0" w:type="dxa"/>
          <w:bottom w:w="0" w:type="dxa"/>
          <w:right w:w="0" w:type="dxa"/>
        </w:tblCellMar>
      </w:tblPr>
      <w:tr>
        <w:trPr>
          <w:trHeight w:val="218"/>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and cash equivalents and assets purchased with borrowed money) and our net assets attributable to common stock as of</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r>
    </w:tbl>
    <w:p>
      <w:pPr>
        <w:ind w:left="460" w:hanging="452"/>
        <w:spacing w:after="0"/>
        <w:tabs>
          <w:tab w:leader="none" w:pos="4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capital gains and interest income that could result in the payment of an Incentive Fee to the Adviser in the twelve months after the date of</w:t>
      </w:r>
    </w:p>
    <w:p>
      <w:pPr>
        <w:spacing w:after="0" w:line="7" w:lineRule="exact"/>
        <w:rPr>
          <w:sz w:val="20"/>
          <w:szCs w:val="20"/>
          <w:color w:val="auto"/>
        </w:rPr>
      </w:pPr>
    </w:p>
    <w:p>
      <w:pPr>
        <w:ind w:left="460"/>
        <w:spacing w:after="0"/>
        <w:tabs>
          <w:tab w:leader="none" w:pos="10580" w:val="left"/>
          <w:tab w:leader="none" w:pos="11040" w:val="left"/>
        </w:tabs>
        <w:rPr>
          <w:sz w:val="20"/>
          <w:szCs w:val="20"/>
          <w:color w:val="auto"/>
        </w:rPr>
      </w:pPr>
      <w:r>
        <w:rPr>
          <w:rFonts w:ascii="Times New Roman" w:cs="Times New Roman" w:eastAsia="Times New Roman" w:hAnsi="Times New Roman"/>
          <w:sz w:val="18"/>
          <w:szCs w:val="18"/>
          <w:color w:val="auto"/>
        </w:rPr>
        <w:t>this prospectus supplement. The Incentive Fee payable in the example below is based upon our actual results for the quarter ended</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and</w:t>
      </w:r>
    </w:p>
    <w:p>
      <w:pPr>
        <w:spacing w:after="0" w:line="9" w:lineRule="exact"/>
        <w:rPr>
          <w:sz w:val="20"/>
          <w:szCs w:val="20"/>
          <w:color w:val="auto"/>
        </w:rPr>
      </w:pPr>
    </w:p>
    <w:p>
      <w:pPr>
        <w:ind w:left="460"/>
        <w:spacing w:after="0"/>
        <w:tabs>
          <w:tab w:leader="none" w:pos="3200" w:val="left"/>
        </w:tabs>
        <w:rPr>
          <w:sz w:val="20"/>
          <w:szCs w:val="20"/>
          <w:color w:val="auto"/>
        </w:rPr>
      </w:pPr>
      <w:r>
        <w:rPr>
          <w:rFonts w:ascii="Times New Roman" w:cs="Times New Roman" w:eastAsia="Times New Roman" w:hAnsi="Times New Roman"/>
          <w:sz w:val="18"/>
          <w:szCs w:val="18"/>
          <w:color w:val="auto"/>
        </w:rPr>
        <w:t>assumes that the Incentive Fee is</w:t>
      </w:r>
      <w:r>
        <w:rPr>
          <w:sz w:val="20"/>
          <w:szCs w:val="20"/>
          <w:color w:val="auto"/>
        </w:rPr>
        <w:tab/>
      </w:r>
      <w:r>
        <w:rPr>
          <w:rFonts w:ascii="Times New Roman" w:cs="Times New Roman" w:eastAsia="Times New Roman" w:hAnsi="Times New Roman"/>
          <w:sz w:val="17"/>
          <w:szCs w:val="17"/>
          <w:color w:val="auto"/>
        </w:rPr>
        <w:t>% for all relevant periods. However, the Incentive Fee payable to the Adviser is based on our performance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not be paid unless we achieve certain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89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(2)Include this section if warrants are for the purchase of common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400"/>
          </w:cols>
          <w:pgMar w:left="240" w:top="455" w:right="259" w:bottom="1440" w:gutter="0" w:footer="0" w:header="0"/>
          <w:type w:val="continuous"/>
        </w:sectPr>
      </w:pPr>
    </w:p>
    <w:bookmarkStart w:id="366" w:name="page367"/>
    <w:bookmarkEnd w:id="36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Table of Contents</w:t>
              </w:r>
            </w:hyperlink>
          </w:p>
        </w:tc>
        <w:tc>
          <w:tcPr>
            <w:tcW w:w="2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534"/>
        </w:trPr>
        <w:tc>
          <w:tcPr>
            <w:tcW w:w="3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Incentive Fee consists of two parts:</w:t>
            </w:r>
          </w:p>
        </w:tc>
        <w:tc>
          <w:tcPr>
            <w:tcW w:w="11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2"/>
        </w:trPr>
        <w:tc>
          <w:tcPr>
            <w:tcW w:w="108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quarterly “hurdle rate” until the Adviser has received</w:t>
            </w:r>
          </w:p>
        </w:tc>
        <w:tc>
          <w:tcPr>
            <w:tcW w:w="6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of the total pre-Incentive Fee net investment income for that quarter and, for pre-Incentive</w:t>
            </w:r>
          </w:p>
        </w:tc>
      </w:tr>
      <w:tr>
        <w:trPr>
          <w:trHeight w:val="234"/>
        </w:trPr>
        <w:tc>
          <w:tcPr>
            <w:tcW w:w="3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Fee net investment income in excess of</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quarterly,</w:t>
            </w:r>
          </w:p>
        </w:tc>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of all remaining pre-Incentive Fee net investment income for that quarter.</w:t>
            </w:r>
          </w:p>
        </w:tc>
        <w:tc>
          <w:tcPr>
            <w:tcW w:w="540" w:type="dxa"/>
            <w:vAlign w:val="bottom"/>
          </w:tcPr>
          <w:p>
            <w:pPr>
              <w:spacing w:after="0"/>
              <w:rPr>
                <w:sz w:val="20"/>
                <w:szCs w:val="20"/>
                <w:color w:val="auto"/>
              </w:rPr>
            </w:pPr>
          </w:p>
        </w:tc>
      </w:tr>
    </w:tbl>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20"/>
        <w:spacing w:after="0" w:line="276" w:lineRule="auto"/>
        <w:rPr>
          <w:sz w:val="20"/>
          <w:szCs w:val="20"/>
          <w:color w:val="auto"/>
        </w:rPr>
      </w:pPr>
      <w:r>
        <w:rPr>
          <w:rFonts w:ascii="Times New Roman" w:cs="Times New Roman" w:eastAsia="Times New Roman" w:hAnsi="Times New Roman"/>
          <w:sz w:val="17"/>
          <w:szCs w:val="17"/>
          <w:color w:val="auto"/>
        </w:rPr>
        <w:t>The second part is determined and payable in arrears as of the end of each calendar year in an amount equal to a weighted percentage of our realized capital gains, if any, on a cumulative basis as between our inception to March 31, 2014 (the end of the quarter in which our IPO was completed) at 15%</w:t>
      </w:r>
    </w:p>
    <w:p>
      <w:pPr>
        <w:spacing w:after="0" w:line="1" w:lineRule="exact"/>
        <w:rPr>
          <w:sz w:val="20"/>
          <w:szCs w:val="20"/>
          <w:color w:val="auto"/>
        </w:rPr>
      </w:pPr>
    </w:p>
    <w:p>
      <w:pPr>
        <w:jc w:val="both"/>
        <w:ind w:left="460" w:right="80"/>
        <w:spacing w:after="0" w:line="250" w:lineRule="auto"/>
        <w:rPr>
          <w:sz w:val="20"/>
          <w:szCs w:val="20"/>
          <w:color w:val="auto"/>
        </w:rPr>
      </w:pPr>
      <w:r>
        <w:rPr>
          <w:rFonts w:ascii="Times New Roman" w:cs="Times New Roman" w:eastAsia="Times New Roman" w:hAnsi="Times New Roman"/>
          <w:sz w:val="18"/>
          <w:szCs w:val="18"/>
          <w:color w:val="auto"/>
        </w:rPr>
        <w:t>and thereafter at %, less cumulative realized capital losses, unrealized capital depreciation and net of the aggregate amount of any previously paid capital gains Incentive Fee for prior periods. We accrue, but do not pay, a capital gains Incentive Fee with respect to unrealized appreciation because a capital gains Incentive Fee would be owed to the Adviser if we were to sell the relevant investments and realize a capital gain.</w:t>
      </w:r>
    </w:p>
    <w:p>
      <w:pPr>
        <w:spacing w:after="0" w:line="1" w:lineRule="exact"/>
        <w:rPr>
          <w:sz w:val="20"/>
          <w:szCs w:val="20"/>
          <w:color w:val="auto"/>
        </w:rPr>
      </w:pPr>
    </w:p>
    <w:p>
      <w:pPr>
        <w:ind w:left="460" w:right="240"/>
        <w:spacing w:after="0" w:line="250" w:lineRule="auto"/>
        <w:rPr>
          <w:sz w:val="20"/>
          <w:szCs w:val="20"/>
          <w:color w:val="auto"/>
        </w:rPr>
      </w:pPr>
      <w:r>
        <w:rPr>
          <w:rFonts w:ascii="Times New Roman" w:cs="Times New Roman" w:eastAsia="Times New Roman" w:hAnsi="Times New Roman"/>
          <w:sz w:val="18"/>
          <w:szCs w:val="18"/>
          <w:color w:val="auto"/>
        </w:rPr>
        <w:t>See “Management and Other Agreements—Investment Advisory Agreement; Administration Agreement; License Agreement” in the accompanying prospectus.</w:t>
      </w:r>
    </w:p>
    <w:p>
      <w:pPr>
        <w:spacing w:after="0" w:line="1" w:lineRule="exact"/>
        <w:rPr>
          <w:sz w:val="20"/>
          <w:szCs w:val="20"/>
          <w:color w:val="auto"/>
        </w:rPr>
      </w:pPr>
    </w:p>
    <w:p>
      <w:pPr>
        <w:ind w:left="460" w:hanging="452"/>
        <w:spacing w:after="0"/>
        <w:tabs>
          <w:tab w:leader="none" w:pos="46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represents an estimate of our annualized interest expenses, based on our interest expense for the quarter ended</w:t>
      </w:r>
    </w:p>
    <w:p>
      <w:pPr>
        <w:spacing w:after="0" w:line="9" w:lineRule="exact"/>
        <w:rPr>
          <w:rFonts w:ascii="Times New Roman" w:cs="Times New Roman" w:eastAsia="Times New Roman" w:hAnsi="Times New Roman"/>
          <w:sz w:val="18"/>
          <w:szCs w:val="18"/>
          <w:color w:val="auto"/>
        </w:rPr>
      </w:pPr>
    </w:p>
    <w:p>
      <w:pPr>
        <w:ind w:left="460" w:right="240" w:firstLine="714"/>
        <w:spacing w:after="0" w:line="250" w:lineRule="auto"/>
        <w:tabs>
          <w:tab w:leader="none" w:pos="127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 under our credit facilities and debt securities based on assumed total borrowings outstanding equal to x our total net assets (on a weighted average basis annually).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1" w:lineRule="exact"/>
        <w:rPr>
          <w:rFonts w:ascii="Times New Roman" w:cs="Times New Roman" w:eastAsia="Times New Roman" w:hAnsi="Times New Roman"/>
          <w:sz w:val="18"/>
          <w:szCs w:val="18"/>
          <w:color w:val="auto"/>
        </w:rPr>
      </w:pPr>
    </w:p>
    <w:p>
      <w:pPr>
        <w:ind w:left="460" w:right="260" w:hanging="452"/>
        <w:spacing w:after="0" w:line="265" w:lineRule="auto"/>
        <w:tabs>
          <w:tab w:leader="none" w:pos="46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our overhead expenses, such as payments under the Administration Agreement (as defined in the accompanying prospectus) for certain expenses incurred by the Adviser. See “Management and Other Agreements—Investment Advisory Agreement; Administration Agreement; License</w:t>
      </w:r>
    </w:p>
    <w:p>
      <w:pPr>
        <w:ind w:left="460"/>
        <w:spacing w:after="0"/>
        <w:rPr>
          <w:sz w:val="20"/>
          <w:szCs w:val="20"/>
          <w:color w:val="auto"/>
        </w:rPr>
      </w:pPr>
      <w:r>
        <w:rPr>
          <w:rFonts w:ascii="Times New Roman" w:cs="Times New Roman" w:eastAsia="Times New Roman" w:hAnsi="Times New Roman"/>
          <w:sz w:val="18"/>
          <w:szCs w:val="18"/>
          <w:color w:val="auto"/>
        </w:rPr>
        <w:t>Agreement” in the accompanying prospectus. We based these expenses on estimated amounts for the current fiscal year by annualizing expenses from</w:t>
      </w:r>
    </w:p>
    <w:p>
      <w:pPr>
        <w:spacing w:after="0" w:line="9" w:lineRule="exact"/>
        <w:rPr>
          <w:sz w:val="20"/>
          <w:szCs w:val="20"/>
          <w:color w:val="auto"/>
        </w:rPr>
      </w:pPr>
    </w:p>
    <w:p>
      <w:pPr>
        <w:ind w:left="460"/>
        <w:spacing w:after="0"/>
        <w:tabs>
          <w:tab w:leader="none" w:pos="1460" w:val="left"/>
          <w:tab w:leader="none" w:pos="2680" w:val="left"/>
          <w:tab w:leader="none" w:pos="3120" w:val="left"/>
        </w:tabs>
        <w:rPr>
          <w:sz w:val="20"/>
          <w:szCs w:val="20"/>
          <w:color w:val="auto"/>
        </w:rPr>
      </w:pP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ending</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ind w:left="460" w:hanging="452"/>
        <w:spacing w:after="0"/>
        <w:tabs>
          <w:tab w:leader="none" w:pos="4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for all relevant periods. Transaction expenses are not included in the following example.</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5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59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w:t>
            </w:r>
          </w:p>
        </w:tc>
        <w:tc>
          <w:tcPr>
            <w:tcW w:w="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assuming a 5% annual return from realized capital gains</w:t>
            </w:r>
          </w:p>
        </w:tc>
        <w:tc>
          <w:tcPr>
            <w:tcW w:w="9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400"/>
          </w:cols>
          <w:pgMar w:left="240" w:top="445" w:right="259" w:bottom="1440" w:gutter="0" w:footer="0" w:header="0"/>
        </w:sectPr>
      </w:pPr>
    </w:p>
    <w:bookmarkStart w:id="367" w:name="page368"/>
    <w:bookmarkEnd w:id="3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w:t>
      </w:r>
    </w:p>
    <w:p>
      <w:pPr>
        <w:spacing w:after="0" w:line="176" w:lineRule="exact"/>
        <w:rPr>
          <w:sz w:val="20"/>
          <w:szCs w:val="20"/>
          <w:color w:val="auto"/>
        </w:rPr>
      </w:pPr>
    </w:p>
    <w:p>
      <w:pPr>
        <w:ind w:right="5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380"/>
          </w:cols>
          <w:pgMar w:left="240" w:top="455" w:right="279" w:bottom="1440" w:gutter="0" w:footer="0" w:header="0"/>
        </w:sectPr>
      </w:pPr>
    </w:p>
    <w:bookmarkStart w:id="368" w:name="page369"/>
    <w:bookmarkEnd w:id="3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SELECTED FINANCIAL DATA AND OTHER INFORMATION</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4"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 derived</w:t>
      </w:r>
    </w:p>
    <w:p>
      <w:pPr>
        <w:spacing w:after="0" w:line="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selected consolidated financial data for the ended , 20 and , 20 from our unaudited interim consolidated financial statements and related notes, which are included elsewhere in this prospectus supplement or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340"/>
          </w:cols>
          <w:pgMar w:left="240" w:top="455" w:right="319" w:bottom="1440" w:gutter="0" w:footer="0" w:header="0"/>
        </w:sectPr>
      </w:pPr>
    </w:p>
    <w:bookmarkStart w:id="369" w:name="page370"/>
    <w:bookmarkEnd w:id="369"/>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4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260" w:type="dxa"/>
            <w:vAlign w:val="bottom"/>
            <w:gridSpan w:val="2"/>
          </w:tcPr>
          <w:p>
            <w:pPr>
              <w:ind w:left="34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4"/>
        </w:trPr>
        <w:tc>
          <w:tcPr>
            <w:tcW w:w="55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the sale of</w:t>
            </w:r>
          </w:p>
        </w:tc>
        <w:tc>
          <w:tcPr>
            <w:tcW w:w="39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warrants in this offering will be approximately $</w:t>
            </w: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(or</w:t>
            </w:r>
          </w:p>
        </w:tc>
        <w:tc>
          <w:tcPr>
            <w:tcW w:w="940" w:type="dxa"/>
            <w:vAlign w:val="bottom"/>
          </w:tcPr>
          <w:p>
            <w:pPr>
              <w:spacing w:after="0"/>
              <w:rPr>
                <w:sz w:val="24"/>
                <w:szCs w:val="24"/>
                <w:color w:val="auto"/>
              </w:rPr>
            </w:pPr>
          </w:p>
        </w:tc>
      </w:tr>
      <w:tr>
        <w:trPr>
          <w:trHeight w:val="216"/>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w:t>
            </w:r>
          </w:p>
        </w:tc>
        <w:tc>
          <w:tcPr>
            <w:tcW w:w="90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million if the underwriters fully exercise their over-allotment option), in each case assuming a public offering price of $</w:t>
            </w:r>
          </w:p>
        </w:tc>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after deducting the underwriting discounts and commissions of $</w:t>
            </w:r>
          </w:p>
        </w:tc>
        <w:tc>
          <w:tcPr>
            <w:tcW w:w="2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3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million if the underwriters fully exercise their</w:t>
            </w:r>
          </w:p>
        </w:tc>
      </w:tr>
      <w:tr>
        <w:trPr>
          <w:trHeight w:val="234"/>
        </w:trPr>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over-allotment option) payable by us and estimated offering expenses of approximately $</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million payable by us.</w:t>
            </w: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420"/>
          </w:cols>
          <w:pgMar w:left="240" w:top="446" w:right="239" w:bottom="1440" w:gutter="0" w:footer="0" w:header="0"/>
        </w:sectPr>
      </w:pPr>
    </w:p>
    <w:bookmarkStart w:id="370" w:name="page371"/>
    <w:bookmarkEnd w:id="3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our warrants that we are offering pursuant to this prospectus supplement and the accompanying prospectus. This section outlines the specific legal and financial terms of our warrants. You should read this section together with the more general description of our warrants in the accompanying prospectus under the heading “Description of Our Warrants” before investing in our warrants. This summary is not necessarily complete and is subject to and entirely qualified by reference to [insert relevant documents].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material terms of our warrants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340"/>
          </w:cols>
          <w:pgMar w:left="240" w:top="455" w:right="319" w:bottom="1440" w:gutter="0" w:footer="0" w:header="0"/>
        </w:sectPr>
      </w:pPr>
    </w:p>
    <w:bookmarkStart w:id="371" w:name="page372"/>
    <w:bookmarkEnd w:id="3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PRICE RANGE OF COMMON STOCK AND DISTRIBUTIONS (3)</w:t>
      </w:r>
    </w:p>
    <w:p>
      <w:pPr>
        <w:spacing w:after="0" w:line="22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It is not possible to predict whether our common stock offered hereby will trade at, above or below net asset value. See “Risk Factors—Risks Related to Offerings Pursuant to This Prospectus” in the accompanying prospectus.</w:t>
      </w:r>
    </w:p>
    <w:p>
      <w:pPr>
        <w:spacing w:after="0" w:line="162"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each fiscal quarter since our initial public offering, the net asset value per share of our common stock, the range of high and low closing sales prices of our common stock, the closing sales price as a premium (discount) to net asset value and the dividends or distributions</w:t>
      </w:r>
    </w:p>
    <w:tbl>
      <w:tblPr>
        <w:tblLayout w:type="fixed"/>
        <w:tblInd w:w="0" w:type="dxa"/>
        <w:tblCellMar>
          <w:top w:w="0" w:type="dxa"/>
          <w:left w:w="0" w:type="dxa"/>
          <w:bottom w:w="0" w:type="dxa"/>
          <w:right w:w="0" w:type="dxa"/>
        </w:tblCellMar>
      </w:tblP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declared by us. On</w:t>
            </w:r>
          </w:p>
        </w:tc>
        <w:tc>
          <w:tcPr>
            <w:tcW w:w="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96"/>
              </w:rPr>
              <w:t>, 20</w:t>
            </w:r>
          </w:p>
        </w:tc>
        <w:tc>
          <w:tcPr>
            <w:tcW w:w="5940" w:type="dxa"/>
            <w:vAlign w:val="bottom"/>
            <w:gridSpan w:val="9"/>
          </w:tcPr>
          <w:p>
            <w:pPr>
              <w:jc w:val="right"/>
              <w:ind w:right="28"/>
              <w:spacing w:after="0" w:line="198" w:lineRule="exact"/>
              <w:rPr>
                <w:sz w:val="20"/>
                <w:szCs w:val="20"/>
                <w:color w:val="auto"/>
              </w:rPr>
            </w:pPr>
            <w:r>
              <w:rPr>
                <w:rFonts w:ascii="Times New Roman" w:cs="Times New Roman" w:eastAsia="Times New Roman" w:hAnsi="Times New Roman"/>
                <w:sz w:val="18"/>
                <w:szCs w:val="18"/>
                <w:color w:val="auto"/>
              </w:rPr>
              <w:t>, the last reported closing sales price of our common stock on the NYSE was $</w:t>
            </w:r>
          </w:p>
        </w:tc>
        <w:tc>
          <w:tcPr>
            <w:tcW w:w="3040" w:type="dxa"/>
            <w:vAlign w:val="bottom"/>
            <w:gridSpan w:val="9"/>
          </w:tcPr>
          <w:p>
            <w:pPr>
              <w:ind w:left="300"/>
              <w:spacing w:after="0" w:line="198" w:lineRule="exact"/>
              <w:rPr>
                <w:sz w:val="20"/>
                <w:szCs w:val="20"/>
                <w:color w:val="auto"/>
              </w:rPr>
            </w:pPr>
            <w:r>
              <w:rPr>
                <w:rFonts w:ascii="Times New Roman" w:cs="Times New Roman" w:eastAsia="Times New Roman" w:hAnsi="Times New Roman"/>
                <w:sz w:val="18"/>
                <w:szCs w:val="18"/>
                <w:color w:val="auto"/>
              </w:rPr>
              <w:t>per share, which represented a</w:t>
            </w:r>
          </w:p>
        </w:tc>
        <w:tc>
          <w:tcPr>
            <w:tcW w:w="0" w:type="dxa"/>
            <w:vAlign w:val="bottom"/>
          </w:tcPr>
          <w:p>
            <w:pPr>
              <w:spacing w:after="0"/>
              <w:rPr>
                <w:sz w:val="1"/>
                <w:szCs w:val="1"/>
                <w:color w:val="auto"/>
              </w:rPr>
            </w:pPr>
          </w:p>
        </w:tc>
      </w:tr>
      <w:tr>
        <w:trPr>
          <w:trHeight w:val="234"/>
        </w:trPr>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[premium][discount] of approximately</w:t>
            </w:r>
          </w:p>
        </w:tc>
        <w:tc>
          <w:tcPr>
            <w:tcW w:w="3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to the net asset value per share reported by us as of</w:t>
            </w:r>
          </w:p>
        </w:tc>
        <w:tc>
          <w:tcPr>
            <w:tcW w:w="520" w:type="dxa"/>
            <w:vAlign w:val="bottom"/>
          </w:tcPr>
          <w:p>
            <w:pPr>
              <w:spacing w:after="0"/>
              <w:rPr>
                <w:sz w:val="20"/>
                <w:szCs w:val="20"/>
                <w:color w:val="auto"/>
              </w:rPr>
            </w:pPr>
          </w:p>
        </w:tc>
        <w:tc>
          <w:tcPr>
            <w:tcW w:w="9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 20   .</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4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420" w:type="dxa"/>
            <w:vAlign w:val="bottom"/>
          </w:tcPr>
          <w:p>
            <w:pPr>
              <w:spacing w:after="0"/>
              <w:rPr>
                <w:sz w:val="8"/>
                <w:szCs w:val="8"/>
                <w:color w:val="auto"/>
              </w:rPr>
            </w:pPr>
          </w:p>
        </w:tc>
        <w:tc>
          <w:tcPr>
            <w:tcW w:w="5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Sales</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95"/>
        </w:trPr>
        <w:tc>
          <w:tcPr>
            <w:tcW w:w="2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420" w:type="dxa"/>
            <w:vAlign w:val="bottom"/>
          </w:tcPr>
          <w:p>
            <w:pPr>
              <w:spacing w:after="0"/>
              <w:rPr>
                <w:sz w:val="8"/>
                <w:szCs w:val="8"/>
                <w:color w:val="auto"/>
              </w:rPr>
            </w:pPr>
          </w:p>
        </w:tc>
        <w:tc>
          <w:tcPr>
            <w:tcW w:w="5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3"/>
            <w:vMerge w:val="restart"/>
          </w:tcPr>
          <w:p>
            <w:pPr>
              <w:jc w:val="right"/>
              <w:ind w:right="348"/>
              <w:spacing w:after="0" w:line="153" w:lineRule="exact"/>
              <w:rPr>
                <w:sz w:val="20"/>
                <w:szCs w:val="20"/>
                <w:color w:val="auto"/>
              </w:rPr>
            </w:pPr>
            <w:r>
              <w:rPr>
                <w:rFonts w:ascii="Times New Roman" w:cs="Times New Roman" w:eastAsia="Times New Roman" w:hAnsi="Times New Roman"/>
                <w:sz w:val="14"/>
                <w:szCs w:val="14"/>
                <w:b w:val="1"/>
                <w:bCs w:val="1"/>
                <w:color w:val="auto"/>
              </w:rPr>
              <w:t>Price Range</w:t>
            </w:r>
          </w:p>
        </w:tc>
        <w:tc>
          <w:tcPr>
            <w:tcW w:w="3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restart"/>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Per</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2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gridSpan w:val="2"/>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42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12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00" w:type="dxa"/>
            <w:vAlign w:val="bottom"/>
          </w:tcPr>
          <w:p>
            <w:pPr>
              <w:spacing w:after="0"/>
              <w:rPr>
                <w:sz w:val="15"/>
                <w:szCs w:val="15"/>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Low</w:t>
            </w:r>
          </w:p>
        </w:tc>
        <w:tc>
          <w:tcPr>
            <w:tcW w:w="32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Value(2)</w:t>
            </w:r>
          </w:p>
        </w:tc>
        <w:tc>
          <w:tcPr>
            <w:tcW w:w="4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Share(3)</w:t>
            </w:r>
          </w:p>
        </w:tc>
        <w:tc>
          <w:tcPr>
            <w:tcW w:w="0" w:type="dxa"/>
            <w:vAlign w:val="bottom"/>
          </w:tcPr>
          <w:p>
            <w:pPr>
              <w:spacing w:after="0"/>
              <w:rPr>
                <w:sz w:val="1"/>
                <w:szCs w:val="1"/>
                <w:color w:val="auto"/>
              </w:rPr>
            </w:pPr>
          </w:p>
        </w:tc>
      </w:tr>
      <w:tr>
        <w:trPr>
          <w:trHeight w:val="196"/>
        </w:trPr>
        <w:tc>
          <w:tcPr>
            <w:tcW w:w="24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w:t>
            </w:r>
          </w:p>
        </w:tc>
        <w:tc>
          <w:tcPr>
            <w:tcW w:w="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First Quarter (beginning</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5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8"/>
                <w:szCs w:val="18"/>
                <w:color w:val="auto"/>
              </w:rPr>
            </w:pPr>
          </w:p>
        </w:tc>
        <w:tc>
          <w:tcPr>
            <w:tcW w:w="9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gridSpan w:val="2"/>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8"/>
                <w:szCs w:val="18"/>
                <w:color w:val="auto"/>
              </w:rPr>
            </w:pPr>
          </w:p>
        </w:tc>
        <w:tc>
          <w:tcPr>
            <w:tcW w:w="9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gridSpan w:val="2"/>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8"/>
                <w:szCs w:val="18"/>
                <w:color w:val="auto"/>
              </w:rPr>
            </w:pPr>
          </w:p>
        </w:tc>
        <w:tc>
          <w:tcPr>
            <w:tcW w:w="9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80" w:type="dxa"/>
            <w:vAlign w:val="bottom"/>
            <w:gridSpan w:val="2"/>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20"/>
                <w:szCs w:val="20"/>
                <w:color w:val="auto"/>
              </w:rPr>
            </w:pPr>
          </w:p>
        </w:tc>
        <w:tc>
          <w:tcPr>
            <w:tcW w:w="94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w:t>
            </w:r>
          </w:p>
        </w:tc>
        <w:tc>
          <w:tcPr>
            <w:tcW w:w="7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0" w:right="60" w:hanging="452"/>
        <w:spacing w:after="0" w:line="261" w:lineRule="auto"/>
        <w:tabs>
          <w:tab w:leader="none" w:pos="4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hanging="452"/>
        <w:spacing w:after="0"/>
        <w:tabs>
          <w:tab w:leader="none" w:pos="4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 or distribution declared in the relevant quarter.</w:t>
      </w:r>
    </w:p>
    <w:p>
      <w:pPr>
        <w:spacing w:after="0" w:line="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Net asset value has not yet been calculated for this period.]</w:t>
      </w:r>
    </w:p>
    <w:p>
      <w:pPr>
        <w:spacing w:after="0" w:line="207" w:lineRule="exact"/>
        <w:rPr>
          <w:sz w:val="20"/>
          <w:szCs w:val="20"/>
          <w:color w:val="auto"/>
        </w:rPr>
      </w:pPr>
    </w:p>
    <w:p>
      <w:pPr>
        <w:ind w:right="440" w:firstLine="456"/>
        <w:spacing w:after="0" w:line="313"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ectPr>
          <w:pgSz w:w="11900" w:h="16838" w:orient="portrait"/>
          <w:cols w:equalWidth="0" w:num="1">
            <w:col w:w="11420"/>
          </w:cols>
          <w:pgMar w:left="240" w:top="455" w:right="239" w:bottom="1440" w:gutter="0" w:footer="0" w:header="0"/>
        </w:sectPr>
      </w:pPr>
    </w:p>
    <w:p>
      <w:pPr>
        <w:spacing w:after="0" w:line="138" w:lineRule="exact"/>
        <w:rPr>
          <w:sz w:val="20"/>
          <w:szCs w:val="20"/>
          <w:color w:val="auto"/>
        </w:rPr>
      </w:pPr>
    </w:p>
    <w:p>
      <w:pPr>
        <w:ind w:left="720" w:hanging="263"/>
        <w:spacing w:after="0" w:line="261" w:lineRule="auto"/>
        <w:rPr>
          <w:sz w:val="20"/>
          <w:szCs w:val="20"/>
          <w:color w:val="auto"/>
        </w:rPr>
      </w:pPr>
      <w:r>
        <w:rPr>
          <w:rFonts w:ascii="Times New Roman" w:cs="Times New Roman" w:eastAsia="Times New Roman" w:hAnsi="Times New Roman"/>
          <w:sz w:val="18"/>
          <w:szCs w:val="18"/>
          <w:color w:val="auto"/>
        </w:rPr>
        <w:t>[On</w:t>
      </w:r>
      <w:r>
        <w:rPr>
          <w:sz w:val="20"/>
          <w:szCs w:val="20"/>
          <w:color w:val="auto"/>
        </w:rPr>
        <w:t xml:space="preserve"> </w:t>
      </w:r>
      <w:r>
        <w:rPr>
          <w:rFonts w:ascii="Times New Roman" w:cs="Times New Roman" w:eastAsia="Times New Roman" w:hAnsi="Times New Roman"/>
          <w:sz w:val="18"/>
          <w:szCs w:val="18"/>
          <w:color w:val="auto"/>
        </w:rPr>
        <w:t>, 20 , our Board declared a dividend of $ , 20 . The dividend is expected to be paid on or about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3020" w:val="left"/>
          <w:tab w:leader="none" w:pos="3500" w:val="left"/>
        </w:tabs>
        <w:rPr>
          <w:sz w:val="20"/>
          <w:szCs w:val="20"/>
          <w:color w:val="auto"/>
        </w:rPr>
      </w:pPr>
      <w:r>
        <w:rPr>
          <w:rFonts w:ascii="Times New Roman" w:cs="Times New Roman" w:eastAsia="Times New Roman" w:hAnsi="Times New Roman"/>
          <w:sz w:val="18"/>
          <w:szCs w:val="18"/>
          <w:color w:val="auto"/>
        </w:rPr>
        <w:t>per share for the quarter ending</w:t>
      </w:r>
      <w:r>
        <w:rPr>
          <w:sz w:val="20"/>
          <w:szCs w:val="20"/>
          <w:color w:val="auto"/>
        </w:rPr>
        <w:tab/>
      </w:r>
      <w:r>
        <w:rPr>
          <w:rFonts w:ascii="Times New Roman" w:cs="Times New Roman" w:eastAsia="Times New Roman" w:hAnsi="Times New Roman"/>
          <w:sz w:val="18"/>
          <w:szCs w:val="18"/>
          <w:color w:val="auto"/>
        </w:rPr>
        <w:t>, 20</w:t>
        <w:tab/>
        <w:t>to stockholders of record as of</w:t>
      </w:r>
    </w:p>
    <w:p>
      <w:pPr>
        <w:spacing w:after="0" w:line="27" w:lineRule="exact"/>
        <w:rPr>
          <w:sz w:val="20"/>
          <w:szCs w:val="20"/>
          <w:color w:val="auto"/>
        </w:rPr>
      </w:pPr>
    </w:p>
    <w:p>
      <w:pPr>
        <w:ind w:left="500"/>
        <w:spacing w:after="0"/>
        <w:tabs>
          <w:tab w:leader="none" w:pos="920" w:val="left"/>
        </w:tabs>
        <w:rPr>
          <w:sz w:val="20"/>
          <w:szCs w:val="20"/>
          <w:color w:val="auto"/>
        </w:rPr>
      </w:pP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We anticipate that this dividend will be paid from income generated</w:t>
      </w:r>
    </w:p>
    <w:p>
      <w:pPr>
        <w:spacing w:after="0" w:line="9" w:lineRule="exact"/>
        <w:rPr>
          <w:sz w:val="20"/>
          <w:szCs w:val="20"/>
          <w:color w:val="auto"/>
        </w:rPr>
      </w:pPr>
    </w:p>
    <w:p>
      <w:pPr>
        <w:sectPr>
          <w:pgSz w:w="11900" w:h="16838" w:orient="portrait"/>
          <w:cols w:equalWidth="0" w:num="2">
            <w:col w:w="4700" w:space="260"/>
            <w:col w:w="6460"/>
          </w:cols>
          <w:pgMar w:left="240" w:top="455"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primarily by interest earned on our 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(3)Include this section if warrants are for the purchase of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S-15</w:t>
      </w:r>
    </w:p>
    <w:p>
      <w:pPr>
        <w:sectPr>
          <w:pgSz w:w="11900" w:h="16838" w:orient="portrait"/>
          <w:cols w:equalWidth="0" w:num="1">
            <w:col w:w="11420"/>
          </w:cols>
          <w:pgMar w:left="240" w:top="455" w:right="239" w:bottom="1440" w:gutter="0" w:footer="0" w:header="0"/>
          <w:type w:val="continuous"/>
        </w:sectPr>
      </w:pPr>
    </w:p>
    <w:bookmarkStart w:id="372" w:name="page373"/>
    <w:bookmarkEnd w:id="3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w:t>
            </w:r>
          </w:p>
        </w:tc>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ended</w:t>
            </w:r>
          </w:p>
        </w:tc>
        <w:tc>
          <w:tcPr>
            <w:tcW w:w="280" w:type="dxa"/>
            <w:vAlign w:val="bottom"/>
          </w:tcPr>
          <w:p>
            <w:pPr>
              <w:spacing w:after="0"/>
              <w:rPr>
                <w:sz w:val="20"/>
                <w:szCs w:val="20"/>
                <w:color w:val="auto"/>
              </w:rPr>
            </w:pPr>
          </w:p>
        </w:tc>
        <w:tc>
          <w:tcPr>
            <w:tcW w:w="444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auto"/>
              </w:rPr>
              <w:t>, 20   and the years ended December 31, 20   and 20 :</w:t>
            </w: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 20</w:t>
            </w: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440" w:type="dxa"/>
            <w:vAlign w:val="bottom"/>
          </w:tcPr>
          <w:p>
            <w:pPr>
              <w:spacing w:after="0"/>
              <w:rPr>
                <w:sz w:val="10"/>
                <w:szCs w:val="10"/>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2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 20</w:t>
            </w:r>
          </w:p>
        </w:tc>
        <w:tc>
          <w:tcPr>
            <w:tcW w:w="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52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gridSpan w:val="2"/>
          </w:tcPr>
          <w:p>
            <w:pPr>
              <w:jc w:val="right"/>
              <w:ind w:right="52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6"/>
              </w:rPr>
              <w:t>, 20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gridSpan w:val="3"/>
          </w:tcPr>
          <w:p>
            <w:pPr>
              <w:jc w:val="center"/>
              <w:ind w:left="194"/>
              <w:spacing w:after="0"/>
              <w:rPr>
                <w:sz w:val="20"/>
                <w:szCs w:val="20"/>
                <w:color w:val="auto"/>
              </w:rPr>
            </w:pPr>
            <w:r>
              <w:rPr>
                <w:rFonts w:ascii="Times New Roman" w:cs="Times New Roman" w:eastAsia="Times New Roman" w:hAnsi="Times New Roman"/>
                <w:sz w:val="18"/>
                <w:szCs w:val="18"/>
                <w:color w:val="auto"/>
                <w:w w:val="96"/>
              </w:rPr>
              <w:t>, 20</w:t>
            </w:r>
          </w:p>
        </w:tc>
        <w:tc>
          <w:tcPr>
            <w:tcW w:w="140" w:type="dxa"/>
            <w:vAlign w:val="bottom"/>
          </w:tcPr>
          <w:p>
            <w:pPr>
              <w:spacing w:after="0"/>
              <w:rPr>
                <w:sz w:val="18"/>
                <w:szCs w:val="18"/>
                <w:color w:val="auto"/>
              </w:rPr>
            </w:pPr>
          </w:p>
        </w:tc>
        <w:tc>
          <w:tcPr>
            <w:tcW w:w="16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 20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6"/>
              </w:rPr>
              <w:t>, 20</w:t>
            </w:r>
          </w:p>
        </w:tc>
        <w:tc>
          <w:tcPr>
            <w:tcW w:w="14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gridSpan w:val="3"/>
          </w:tcPr>
          <w:p>
            <w:pPr>
              <w:jc w:val="center"/>
              <w:ind w:left="194"/>
              <w:spacing w:after="0"/>
              <w:rPr>
                <w:sz w:val="20"/>
                <w:szCs w:val="20"/>
                <w:color w:val="auto"/>
              </w:rPr>
            </w:pPr>
            <w:r>
              <w:rPr>
                <w:rFonts w:ascii="Times New Roman" w:cs="Times New Roman" w:eastAsia="Times New Roman" w:hAnsi="Times New Roman"/>
                <w:sz w:val="18"/>
                <w:szCs w:val="18"/>
                <w:color w:val="auto"/>
                <w:w w:val="96"/>
              </w:rPr>
              <w:t>, 20</w:t>
            </w:r>
          </w:p>
        </w:tc>
        <w:tc>
          <w:tcPr>
            <w:tcW w:w="140" w:type="dxa"/>
            <w:vAlign w:val="bottom"/>
          </w:tcPr>
          <w:p>
            <w:pPr>
              <w:spacing w:after="0"/>
              <w:rPr>
                <w:sz w:val="19"/>
                <w:szCs w:val="19"/>
                <w:color w:val="auto"/>
              </w:rPr>
            </w:pPr>
          </w:p>
        </w:tc>
        <w:tc>
          <w:tcPr>
            <w:tcW w:w="16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 20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7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244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2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6"/>
              </w:rPr>
              <w:t>, 20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gridSpan w:val="3"/>
          </w:tcPr>
          <w:p>
            <w:pPr>
              <w:jc w:val="center"/>
              <w:ind w:left="194"/>
              <w:spacing w:after="0"/>
              <w:rPr>
                <w:sz w:val="20"/>
                <w:szCs w:val="20"/>
                <w:color w:val="auto"/>
              </w:rPr>
            </w:pPr>
            <w:r>
              <w:rPr>
                <w:rFonts w:ascii="Times New Roman" w:cs="Times New Roman" w:eastAsia="Times New Roman" w:hAnsi="Times New Roman"/>
                <w:sz w:val="18"/>
                <w:szCs w:val="18"/>
                <w:color w:val="auto"/>
                <w:w w:val="96"/>
              </w:rPr>
              <w:t>, 20</w:t>
            </w:r>
          </w:p>
        </w:tc>
        <w:tc>
          <w:tcPr>
            <w:tcW w:w="140" w:type="dxa"/>
            <w:vAlign w:val="bottom"/>
          </w:tcPr>
          <w:p>
            <w:pPr>
              <w:spacing w:after="0"/>
              <w:rPr>
                <w:sz w:val="18"/>
                <w:szCs w:val="18"/>
                <w:color w:val="auto"/>
              </w:rPr>
            </w:pPr>
          </w:p>
        </w:tc>
        <w:tc>
          <w:tcPr>
            <w:tcW w:w="16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 20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center"/>
              <w:ind w:left="194"/>
              <w:spacing w:after="0"/>
              <w:rPr>
                <w:sz w:val="20"/>
                <w:szCs w:val="20"/>
                <w:color w:val="auto"/>
              </w:rPr>
            </w:pPr>
            <w:r>
              <w:rPr>
                <w:rFonts w:ascii="Times New Roman" w:cs="Times New Roman" w:eastAsia="Times New Roman" w:hAnsi="Times New Roman"/>
                <w:sz w:val="18"/>
                <w:szCs w:val="18"/>
                <w:color w:val="auto"/>
                <w:w w:val="96"/>
              </w:rPr>
              <w:t>, 20</w:t>
            </w:r>
          </w:p>
        </w:tc>
        <w:tc>
          <w:tcPr>
            <w:tcW w:w="140" w:type="dxa"/>
            <w:vAlign w:val="bottom"/>
            <w:shd w:val="clear" w:color="auto" w:fill="CCEEFF"/>
          </w:tcPr>
          <w:p>
            <w:pPr>
              <w:spacing w:after="0"/>
              <w:rPr>
                <w:sz w:val="18"/>
                <w:szCs w:val="18"/>
                <w:color w:val="auto"/>
              </w:rPr>
            </w:pPr>
          </w:p>
        </w:tc>
        <w:tc>
          <w:tcPr>
            <w:tcW w:w="16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1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gridSpan w:val="3"/>
          </w:tcPr>
          <w:p>
            <w:pPr>
              <w:jc w:val="center"/>
              <w:ind w:left="194"/>
              <w:spacing w:after="0"/>
              <w:rPr>
                <w:sz w:val="20"/>
                <w:szCs w:val="20"/>
                <w:color w:val="auto"/>
              </w:rPr>
            </w:pPr>
            <w:r>
              <w:rPr>
                <w:rFonts w:ascii="Times New Roman" w:cs="Times New Roman" w:eastAsia="Times New Roman" w:hAnsi="Times New Roman"/>
                <w:sz w:val="18"/>
                <w:szCs w:val="18"/>
                <w:color w:val="auto"/>
                <w:w w:val="96"/>
              </w:rPr>
              <w:t>, 20</w:t>
            </w:r>
          </w:p>
        </w:tc>
        <w:tc>
          <w:tcPr>
            <w:tcW w:w="140" w:type="dxa"/>
            <w:vAlign w:val="bottom"/>
          </w:tcPr>
          <w:p>
            <w:pPr>
              <w:spacing w:after="0"/>
              <w:rPr>
                <w:sz w:val="19"/>
                <w:szCs w:val="19"/>
                <w:color w:val="auto"/>
              </w:rPr>
            </w:pPr>
          </w:p>
        </w:tc>
        <w:tc>
          <w:tcPr>
            <w:tcW w:w="16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 20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6"/>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00" w:type="dxa"/>
            <w:vAlign w:val="bottom"/>
            <w:gridSpan w:val="1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dividends declared during the</w:t>
            </w:r>
          </w:p>
        </w:tc>
        <w:tc>
          <w:tcPr>
            <w:tcW w:w="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ended</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20</w:t>
            </w:r>
          </w:p>
        </w:tc>
        <w:tc>
          <w:tcPr>
            <w:tcW w:w="6120" w:type="dxa"/>
            <w:vAlign w:val="bottom"/>
            <w:gridSpan w:val="16"/>
          </w:tcPr>
          <w:p>
            <w:pPr>
              <w:ind w:left="120"/>
              <w:spacing w:after="0"/>
              <w:rPr>
                <w:sz w:val="20"/>
                <w:szCs w:val="20"/>
                <w:color w:val="auto"/>
              </w:rPr>
            </w:pPr>
            <w:r>
              <w:rPr>
                <w:rFonts w:ascii="Times New Roman" w:cs="Times New Roman" w:eastAsia="Times New Roman" w:hAnsi="Times New Roman"/>
                <w:sz w:val="18"/>
                <w:szCs w:val="18"/>
                <w:color w:val="auto"/>
                <w:w w:val="99"/>
              </w:rPr>
              <w:t>were derived from net investment income determined on a tax basis. The dividends</w:t>
            </w:r>
          </w:p>
        </w:tc>
        <w:tc>
          <w:tcPr>
            <w:tcW w:w="0" w:type="dxa"/>
            <w:vAlign w:val="bottom"/>
          </w:tcPr>
          <w:p>
            <w:pPr>
              <w:spacing w:after="0"/>
              <w:rPr>
                <w:sz w:val="1"/>
                <w:szCs w:val="1"/>
                <w:color w:val="auto"/>
              </w:rPr>
            </w:pPr>
          </w:p>
        </w:tc>
      </w:tr>
    </w:tbl>
    <w:p>
      <w:pPr>
        <w:ind w:right="720"/>
        <w:spacing w:after="0" w:line="261" w:lineRule="auto"/>
        <w:rPr>
          <w:sz w:val="20"/>
          <w:szCs w:val="20"/>
          <w:color w:val="auto"/>
        </w:rPr>
      </w:pPr>
      <w:r>
        <w:rPr>
          <w:rFonts w:ascii="Times New Roman" w:cs="Times New Roman" w:eastAsia="Times New Roman" w:hAnsi="Times New Roman"/>
          <w:sz w:val="18"/>
          <w:szCs w:val="18"/>
          <w:color w:val="auto"/>
        </w:rPr>
        <w:t>declared during the years ended December 31, 20 and December 31, 20 , were derived from net investment income and long-term capital gains, determined on a tax basis.</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To be treated as a regulated investment company under Subchapter M of the Internal Revenue Code of 1986, as amended,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 of the amount by which our distributions for a calendar year are less than the sum of:</w:t>
      </w:r>
    </w:p>
    <w:p>
      <w:pPr>
        <w:spacing w:after="0" w:line="89" w:lineRule="exact"/>
        <w:rPr>
          <w:sz w:val="20"/>
          <w:szCs w:val="20"/>
          <w:color w:val="auto"/>
        </w:rPr>
      </w:pPr>
    </w:p>
    <w:p>
      <w:pPr>
        <w:ind w:left="900" w:hanging="325"/>
        <w:spacing w:after="0"/>
        <w:tabs>
          <w:tab w:leader="none" w:pos="9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900" w:right="760" w:hanging="325"/>
        <w:spacing w:after="0" w:line="282" w:lineRule="auto"/>
        <w:tabs>
          <w:tab w:leader="none" w:pos="9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380"/>
          </w:cols>
          <w:pgMar w:left="240" w:top="455" w:right="279" w:bottom="1440" w:gutter="0" w:footer="0" w:header="0"/>
        </w:sectPr>
      </w:pPr>
    </w:p>
    <w:bookmarkStart w:id="373" w:name="page374"/>
    <w:bookmarkEnd w:id="3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small portion of income and capital gains for the</w:t>
      </w:r>
    </w:p>
    <w:p>
      <w:pPr>
        <w:spacing w:after="0" w:line="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calendar years ended December 31, 20 and 20 and the ended , 20 for purposes of additional liquidity and we recorded a net expense of $ , $ and $ , respectively, for U.S. federal excise tax as a result.] We cannot assure you that we will achieve results that will permit the payment</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the accompanying prospectus.</w:t>
      </w:r>
    </w:p>
    <w:p>
      <w:pPr>
        <w:spacing w:after="0" w:line="18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common stockholders. If this happens, our common stockholders will be treated for U.S. federal income tax purposes as if they had received an actual distribution of the net capital gains that we retain and they reinvested the net after-tax proceeds in us. In this situation, our common stockholders would be eligible to claim a tax credit (or, in certain circumstances, a tax refund) equal to their allocable share of the tax we paid on the capital gains deemed distributed to them. See “Material U.S. Federal Income Tax Considerations” in the accompanying prospectus. We cannot assure you that we will achieve results that will permit us to pay any cash distributions or that will not be limited in our ability to pay dividends under the asset coverage test applicable to us under the 1940 Act.</w:t>
      </w:r>
    </w:p>
    <w:p>
      <w:pPr>
        <w:spacing w:after="0" w:line="185"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Unless our common stockholders elect to receive your dividends in cash, we intend to make such distributions in additional shares of our common stock under our dividend reinvestment plan. Any fractional shares will be paid in cash. Investors participating in our dividend reinvestment plan will be treated as receiving cash equal to the amount of the distribution, net of applicable withholding taxes, and investing the amount of such net cash in additional shares of our common stock. Although distributions paid in the form of additional shares of our common stock will generally be subject to U.S. federal income taxes in the same manner as cash distributions, investors participating in our dividend reinvestment plan will not receive any corresponding cash distributions with which to pay any such applicable taxes. If our common stockholders hold shares of our common stock in the name of a broker or financial intermediary, our common stockholders should contact such broker or financial intermediary regarding their election to receive distributions in cash in lieu of shares of our common stock. Any dividends reinvested through the issuance of shares through our dividend reinvestment plan will increase our assets on which the Management Fee and the Incentive Fee are determined and paid to the Adviser. See “Dividend Reinvestment Plan” in the accompanying prospectus.]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420"/>
          </w:cols>
          <w:pgMar w:left="240" w:top="455" w:right="239" w:bottom="1440" w:gutter="0" w:footer="0" w:header="0"/>
        </w:sectPr>
      </w:pPr>
    </w:p>
    <w:bookmarkStart w:id="374" w:name="page375"/>
    <w:bookmarkEnd w:id="3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this prospectus supplement and the accompanying prospectus for a discussion of the uncertainties, risks and assumptions associated with these statements.</w:t>
      </w:r>
    </w:p>
    <w:p>
      <w:pPr>
        <w:spacing w:after="0" w:line="18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380"/>
          </w:cols>
          <w:pgMar w:left="240" w:top="455" w:right="279"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Table of Contents</w:t>
              </w:r>
            </w:hyperlink>
          </w:p>
        </w:tc>
        <w:tc>
          <w:tcPr>
            <w:tcW w:w="760" w:type="dxa"/>
            <w:vAlign w:val="bottom"/>
          </w:tcPr>
          <w:p>
            <w:pPr>
              <w:spacing w:after="0"/>
              <w:rPr>
                <w:sz w:val="17"/>
                <w:szCs w:val="17"/>
                <w:color w:val="auto"/>
              </w:rPr>
            </w:pPr>
          </w:p>
        </w:tc>
        <w:tc>
          <w:tcPr>
            <w:tcW w:w="44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CAPITALIZATION(4)</w:t>
            </w:r>
          </w:p>
        </w:tc>
        <w:tc>
          <w:tcPr>
            <w:tcW w:w="4400" w:type="dxa"/>
            <w:vAlign w:val="bottom"/>
          </w:tcPr>
          <w:p>
            <w:pPr>
              <w:spacing w:after="0"/>
              <w:rPr>
                <w:sz w:val="24"/>
                <w:szCs w:val="24"/>
                <w:color w:val="auto"/>
              </w:rPr>
            </w:pPr>
          </w:p>
        </w:tc>
      </w:tr>
      <w:tr>
        <w:trPr>
          <w:trHeight w:val="432"/>
        </w:trPr>
        <w:tc>
          <w:tcPr>
            <w:tcW w:w="6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(a) our actual consolidated capitalization at</w:t>
            </w: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20</w:t>
            </w: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and (b) our pro forma consolidated capitalization to reflect</w:t>
            </w:r>
          </w:p>
        </w:tc>
      </w:tr>
    </w:tbl>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effects of the sale of our warrants in this offering (assuming that the underwriters do not exercise their over-allotment option) assuming a public offering</w:t>
      </w:r>
    </w:p>
    <w:p>
      <w:pPr>
        <w:spacing w:after="0" w:line="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price of $ per warrant, after deducting the underwriting discounts and commissions and estimated offering expenses payable by us. You should read this table together with “Use of Proceeds” and our most recent balance sheet included elsewhere in this prospectus supplement or the accompanying prospectus.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3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 20</w:t>
            </w:r>
          </w:p>
        </w:tc>
        <w:tc>
          <w:tcPr>
            <w:tcW w:w="100" w:type="dxa"/>
            <w:vAlign w:val="bottom"/>
          </w:tcPr>
          <w:p>
            <w:pPr>
              <w:spacing w:after="0"/>
              <w:rPr>
                <w:sz w:val="13"/>
                <w:szCs w:val="13"/>
                <w:color w:val="auto"/>
              </w:rPr>
            </w:pPr>
          </w:p>
        </w:tc>
      </w:tr>
      <w:tr>
        <w:trPr>
          <w:trHeight w:val="149"/>
        </w:trPr>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(unaudited, dollar amounts</w:t>
            </w:r>
          </w:p>
        </w:tc>
      </w:tr>
      <w:tr>
        <w:trPr>
          <w:trHeight w:val="173"/>
        </w:trPr>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1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42"/>
        </w:trPr>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0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r>
      <w:tr>
        <w:trPr>
          <w:trHeight w:val="210"/>
        </w:trPr>
        <w:tc>
          <w:tcPr>
            <w:tcW w:w="2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 Debt outstanding as of period reported]</w:t>
            </w:r>
          </w:p>
        </w:tc>
        <w:tc>
          <w:tcPr>
            <w:tcW w:w="10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w:t>
            </w:r>
          </w:p>
        </w:tc>
        <w:tc>
          <w:tcPr>
            <w:tcW w:w="1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106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402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shares issued and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20" w:type="dxa"/>
            <w:vAlign w:val="bottom"/>
            <w:gridSpan w:val="2"/>
          </w:tcPr>
          <w:p>
            <w:pPr>
              <w:jc w:val="right"/>
              <w:ind w:right="5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r>
      <w:tr>
        <w:trPr>
          <w:trHeight w:val="198"/>
        </w:trPr>
        <w:tc>
          <w:tcPr>
            <w:tcW w:w="2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w:t>
            </w:r>
          </w:p>
        </w:tc>
        <w:tc>
          <w:tcPr>
            <w:tcW w:w="17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106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402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shares issued, respectively;</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and</w:t>
            </w:r>
          </w:p>
        </w:tc>
        <w:tc>
          <w:tcPr>
            <w:tcW w:w="30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10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[gain][loss] on investments and foreign currency transactions</w:t>
            </w: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20" w:type="dxa"/>
            <w:vAlign w:val="bottom"/>
            <w:gridSpan w:val="2"/>
          </w:tcPr>
          <w:p>
            <w:pPr>
              <w:jc w:val="right"/>
              <w:ind w:right="5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ind w:right="5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jc w:val="right"/>
        <w:ind w:right="5380"/>
        <w:spacing w:after="0" w:line="454" w:lineRule="auto"/>
        <w:rPr>
          <w:sz w:val="20"/>
          <w:szCs w:val="20"/>
          <w:color w:val="auto"/>
        </w:rPr>
      </w:pPr>
      <w:r>
        <w:rPr>
          <w:rFonts w:ascii="Times New Roman" w:cs="Times New Roman" w:eastAsia="Times New Roman" w:hAnsi="Times New Roman"/>
          <w:sz w:val="18"/>
          <w:szCs w:val="18"/>
          <w:color w:val="auto"/>
        </w:rPr>
        <w:t>(4)Add to Capitalization table the securities underlying the warrants, if applicable. S-19</w:t>
      </w:r>
    </w:p>
    <w:p>
      <w:pPr>
        <w:sectPr>
          <w:pgSz w:w="11900" w:h="16838" w:orient="portrait"/>
          <w:cols w:equalWidth="0" w:num="1">
            <w:col w:w="11320"/>
          </w:cols>
          <w:pgMar w:left="240" w:top="445" w:right="339" w:bottom="1440" w:gutter="0" w:footer="0" w:header="0"/>
        </w:sectPr>
      </w:pPr>
    </w:p>
    <w:bookmarkStart w:id="376" w:name="page377"/>
    <w:bookmarkEnd w:id="3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firstLine="464"/>
        <w:spacing w:after="0" w:line="266" w:lineRule="auto"/>
        <w:tabs>
          <w:tab w:leader="none" w:pos="105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are acting as representatives of each of the underwriters named below. Subject to the terms and conditions set forth in a purchase agreement among us and the underwriters, we have agreed to sell to the underwriters, and each of the underwriters has agreed, severally and not jointly, to purchase from us, the number of warrants set forth opposite its name below.</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w:t>
            </w:r>
          </w:p>
        </w:tc>
        <w:tc>
          <w:tcPr>
            <w:tcW w:w="3820" w:type="dxa"/>
            <w:vAlign w:val="bottom"/>
          </w:tcPr>
          <w:p>
            <w:pPr>
              <w:jc w:val="center"/>
              <w:ind w:left="30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3920" w:type="dxa"/>
            <w:vAlign w:val="bottom"/>
            <w:vMerge w:val="continue"/>
          </w:tcPr>
          <w:p>
            <w:pPr>
              <w:spacing w:after="0"/>
              <w:rPr>
                <w:sz w:val="15"/>
                <w:szCs w:val="15"/>
                <w:color w:val="auto"/>
              </w:rPr>
            </w:pPr>
          </w:p>
        </w:tc>
        <w:tc>
          <w:tcPr>
            <w:tcW w:w="3820" w:type="dxa"/>
            <w:vAlign w:val="bottom"/>
          </w:tcPr>
          <w:p>
            <w:pPr>
              <w:jc w:val="center"/>
              <w:ind w:left="3088"/>
              <w:spacing w:after="0"/>
              <w:rPr>
                <w:sz w:val="20"/>
                <w:szCs w:val="20"/>
                <w:color w:val="auto"/>
              </w:rPr>
            </w:pPr>
            <w:r>
              <w:rPr>
                <w:rFonts w:ascii="Times New Roman" w:cs="Times New Roman" w:eastAsia="Times New Roman" w:hAnsi="Times New Roman"/>
                <w:sz w:val="14"/>
                <w:szCs w:val="14"/>
                <w:b w:val="1"/>
                <w:bCs w:val="1"/>
                <w:u w:val="single" w:color="auto"/>
                <w:color w:val="auto"/>
                <w:w w:val="99"/>
              </w:rPr>
              <w:t>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5"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purchase agreement, the underwriters have agreed, severally and not jointly, to purchase all of the warrants sold under the purchase agreement if any of these warrants are purchased. If an underwriter defaults, the purchase agreement provides that the purchase commitments of the nondefaulting underwriters may be increased or the purchase agreement may be terminated.</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warrants, subject to prior sale, when, as and if issued to and accepted by them, subject to approval of legal matters by their counsel, including the validity of the warrants,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warrants to the public at the public offering price set forth on the</w:t>
      </w:r>
    </w:p>
    <w:p>
      <w:pPr>
        <w:spacing w:after="0" w:line="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cover page of this prospectus and to dealers at that price less a concession not in excess of $ per warrant. After the initial offering, the public offering price, concession or any other term of the offering may be changed.</w:t>
      </w:r>
    </w:p>
    <w:p>
      <w:pPr>
        <w:spacing w:after="0" w:line="18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Warrant</w:t>
            </w:r>
          </w:p>
        </w:tc>
        <w:tc>
          <w:tcPr>
            <w:tcW w:w="56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196"/>
        </w:trPr>
        <w:tc>
          <w:tcPr>
            <w:tcW w:w="920" w:type="dxa"/>
            <w:vAlign w:val="bottom"/>
          </w:tcPr>
          <w:p>
            <w:pPr>
              <w:spacing w:after="0"/>
              <w:rPr>
                <w:sz w:val="17"/>
                <w:szCs w:val="17"/>
                <w:color w:val="auto"/>
              </w:rPr>
            </w:pPr>
          </w:p>
        </w:tc>
        <w:tc>
          <w:tcPr>
            <w:tcW w:w="2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Public offering price</w:t>
            </w:r>
          </w:p>
        </w:tc>
        <w:tc>
          <w:tcPr>
            <w:tcW w:w="18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432"/>
        </w:trPr>
        <w:tc>
          <w:tcPr>
            <w:tcW w:w="702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w:t>
            </w:r>
          </w:p>
        </w:tc>
        <w:tc>
          <w:tcPr>
            <w:tcW w:w="26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and are payable by us.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40"/>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tc>
        <w:tc>
          <w:tcPr>
            <w:tcW w:w="1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6"/>
        </w:trPr>
        <w:tc>
          <w:tcPr>
            <w:tcW w:w="53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We have granted an option to the underwriters to purchase up to</w:t>
            </w:r>
          </w:p>
        </w:tc>
        <w:tc>
          <w:tcPr>
            <w:tcW w:w="5940" w:type="dxa"/>
            <w:vAlign w:val="bottom"/>
            <w:gridSpan w:val="8"/>
          </w:tcPr>
          <w:p>
            <w:pPr>
              <w:ind w:left="300"/>
              <w:spacing w:after="0"/>
              <w:rPr>
                <w:sz w:val="20"/>
                <w:szCs w:val="20"/>
                <w:color w:val="auto"/>
              </w:rPr>
            </w:pPr>
            <w:r>
              <w:rPr>
                <w:rFonts w:ascii="Times New Roman" w:cs="Times New Roman" w:eastAsia="Times New Roman" w:hAnsi="Times New Roman"/>
                <w:sz w:val="18"/>
                <w:szCs w:val="18"/>
                <w:color w:val="auto"/>
                <w:w w:val="99"/>
              </w:rPr>
              <w:t>additional warrants at the public offering price, less the underwriting discount.</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underwriters may exercise this option for</w:t>
            </w:r>
          </w:p>
        </w:tc>
        <w:tc>
          <w:tcPr>
            <w:tcW w:w="780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days from the date of this prospectus supplement solely to cover any over-allotments. If the underwriters</w:t>
            </w:r>
          </w:p>
        </w:tc>
      </w:tr>
    </w:tbl>
    <w:p>
      <w:pPr>
        <w:ind w:right="800"/>
        <w:spacing w:after="0" w:line="261" w:lineRule="auto"/>
        <w:rPr>
          <w:sz w:val="20"/>
          <w:szCs w:val="20"/>
          <w:color w:val="auto"/>
        </w:rPr>
      </w:pPr>
      <w:r>
        <w:rPr>
          <w:rFonts w:ascii="Times New Roman" w:cs="Times New Roman" w:eastAsia="Times New Roman" w:hAnsi="Times New Roman"/>
          <w:sz w:val="18"/>
          <w:szCs w:val="18"/>
          <w:color w:val="auto"/>
        </w:rPr>
        <w:t>exercise this option, each will be obligated, subject to conditions contained in the purchase agreement, to purchase a number of additional warrants proportionate to that underwriter’s initial amount reflected in the above table.]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400"/>
          </w:cols>
          <w:pgMar w:left="240" w:top="456" w:right="25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4">
              <w:r>
                <w:rPr>
                  <w:rFonts w:ascii="Times New Roman" w:cs="Times New Roman" w:eastAsia="Times New Roman" w:hAnsi="Times New Roman"/>
                  <w:sz w:val="18"/>
                  <w:szCs w:val="18"/>
                  <w:b w:val="1"/>
                  <w:bCs w:val="1"/>
                  <w:color w:val="0000EE"/>
                  <w:w w:val="97"/>
                </w:rPr>
                <w:t>Table of Contents</w:t>
              </w:r>
            </w:hyperlink>
          </w:p>
        </w:tc>
        <w:tc>
          <w:tcPr>
            <w:tcW w:w="2340" w:type="dxa"/>
            <w:vAlign w:val="bottom"/>
          </w:tcPr>
          <w:p>
            <w:pPr>
              <w:spacing w:after="0"/>
              <w:rPr>
                <w:sz w:val="17"/>
                <w:szCs w:val="17"/>
                <w:color w:val="auto"/>
              </w:rPr>
            </w:pPr>
          </w:p>
        </w:tc>
        <w:tc>
          <w:tcPr>
            <w:tcW w:w="7380" w:type="dxa"/>
            <w:vAlign w:val="bottom"/>
          </w:tcPr>
          <w:p>
            <w:pPr>
              <w:spacing w:after="0"/>
              <w:rPr>
                <w:sz w:val="17"/>
                <w:szCs w:val="17"/>
                <w:color w:val="auto"/>
              </w:rPr>
            </w:pPr>
          </w:p>
        </w:tc>
      </w:tr>
      <w:tr>
        <w:trPr>
          <w:trHeight w:val="534"/>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tc>
        <w:tc>
          <w:tcPr>
            <w:tcW w:w="7380" w:type="dxa"/>
            <w:vAlign w:val="bottom"/>
          </w:tcPr>
          <w:p>
            <w:pPr>
              <w:spacing w:after="0"/>
              <w:rPr>
                <w:sz w:val="24"/>
                <w:szCs w:val="24"/>
                <w:color w:val="auto"/>
              </w:rPr>
            </w:pPr>
          </w:p>
        </w:tc>
      </w:tr>
      <w:tr>
        <w:trPr>
          <w:trHeight w:val="306"/>
        </w:trPr>
        <w:tc>
          <w:tcPr>
            <w:tcW w:w="320" w:type="dxa"/>
            <w:vAlign w:val="bottom"/>
          </w:tcPr>
          <w:p>
            <w:pPr>
              <w:spacing w:after="0"/>
              <w:rPr>
                <w:sz w:val="24"/>
                <w:szCs w:val="24"/>
                <w:color w:val="auto"/>
              </w:rPr>
            </w:pPr>
          </w:p>
        </w:tc>
        <w:tc>
          <w:tcPr>
            <w:tcW w:w="10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 have agreed, with exceptions, not to sell or transfer any warrants or [type of security] for   days after the date of this prospectus supplement</w:t>
            </w:r>
          </w:p>
        </w:tc>
      </w:tr>
      <w:tr>
        <w:trPr>
          <w:trHeight w:val="234"/>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without first obtaining the written consent of [</w:t>
            </w:r>
          </w:p>
        </w:tc>
        <w:tc>
          <w:tcPr>
            <w:tcW w:w="7380" w:type="dxa"/>
            <w:vAlign w:val="bottom"/>
          </w:tcPr>
          <w:p>
            <w:pPr>
              <w:jc w:val="right"/>
              <w:ind w:right="6770"/>
              <w:spacing w:after="0"/>
              <w:rPr>
                <w:sz w:val="20"/>
                <w:szCs w:val="20"/>
                <w:color w:val="auto"/>
              </w:rPr>
            </w:pPr>
            <w:r>
              <w:rPr>
                <w:rFonts w:ascii="Times New Roman" w:cs="Times New Roman" w:eastAsia="Times New Roman" w:hAnsi="Times New Roman"/>
                <w:sz w:val="18"/>
                <w:szCs w:val="18"/>
                <w:color w:val="auto"/>
              </w:rPr>
              <w:t>].]</w:t>
            </w:r>
          </w:p>
        </w:tc>
      </w:tr>
      <w:tr>
        <w:trPr>
          <w:trHeight w:val="540"/>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7380" w:type="dxa"/>
            <w:vAlign w:val="bottom"/>
          </w:tcPr>
          <w:p>
            <w:pPr>
              <w:spacing w:after="0"/>
              <w:rPr>
                <w:sz w:val="24"/>
                <w:szCs w:val="24"/>
                <w:color w:val="auto"/>
              </w:rPr>
            </w:pPr>
          </w:p>
        </w:tc>
      </w:tr>
      <w:tr>
        <w:trPr>
          <w:trHeight w:val="324"/>
        </w:trPr>
        <w:tc>
          <w:tcPr>
            <w:tcW w:w="320" w:type="dxa"/>
            <w:vAlign w:val="bottom"/>
          </w:tcPr>
          <w:p>
            <w:pPr>
              <w:spacing w:after="0"/>
              <w:rPr>
                <w:sz w:val="24"/>
                <w:szCs w:val="24"/>
                <w:color w:val="auto"/>
              </w:rPr>
            </w:pPr>
          </w:p>
        </w:tc>
        <w:tc>
          <w:tcPr>
            <w:tcW w:w="10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[Our [type of security] is listed on the under the symbol “TSLX.”]</w:t>
            </w:r>
          </w:p>
        </w:tc>
      </w:tr>
      <w:tr>
        <w:trPr>
          <w:trHeight w:val="414"/>
        </w:trPr>
        <w:tc>
          <w:tcPr>
            <w:tcW w:w="320" w:type="dxa"/>
            <w:vAlign w:val="bottom"/>
          </w:tcPr>
          <w:p>
            <w:pPr>
              <w:spacing w:after="0"/>
              <w:rPr>
                <w:sz w:val="24"/>
                <w:szCs w:val="24"/>
                <w:color w:val="auto"/>
              </w:rPr>
            </w:pPr>
          </w:p>
        </w:tc>
        <w:tc>
          <w:tcPr>
            <w:tcW w:w="10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[Our warrants are a new issue of securities with no established trading market. We intend to list our warrants on . We expect trading in our warrants</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on</w:t>
            </w:r>
          </w:p>
        </w:tc>
        <w:tc>
          <w:tcPr>
            <w:tcW w:w="107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 begin within   days after the original issue date. Currently there is no public market for our warrants.</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have been advised by the underwriters that they presently intend to make a market in our warrants after completion of the offering as permitted by applicable laws and regulations. The underwriters are not obligated, however, to make a market in our warrants and any such market making may be discontinued at any time in the sole discretion of the underwriters without any notice. Accordingly, no assurance can be given as to the liquidity of, or development of a public trading market for, our warrants. If any active public trading market for our warrants does not develop, the market price and liquidity of our warrants may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Until the distribution of the warrants is completed, SEC rules may limit underwriters and selling group members from bidding for and purchasing our warrants or [type of security]. However, the representatives may engage in transactions that stabilize the price of the warrants, such as bids or purchases to peg, fix or maintain that price.</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warrants in the open market. These transactions may include short sales, purchases on the open market to cover positions created by short sales and stabilizing transactions. Short sales involve the sale by the underwriters of a greater number of warrants than they are required to purchase in the offering. “Covered” short sales are sales made in an amount not greater than the underwriters’ over-allotment option described above. The underwriters may close out any covered short position by either exercising their over-allotment option or purchasing warrants in the open market. In determining the source of warrants to close out the covered short position, the underwriters will consider, among other things, the price of warrants available for purchase in the open market as compared to the price at which they may purchase warrants through the over-allotment option. “Naked” short sales are sales in excess of the over-allotment option. The underwriters must close out any naked short position by purchasing warrants in the open market. A naked short position is more likely to be created if the underwriters are concerned that there may be downward pressure on the price of our warrants in the open market after pricing that could adversely affect investors who purchase in the offering. Stabilizing transactions consist of various bids for or purchases of warrants made by the underwriters in the open market prior to the completion of the offering.</w:t>
      </w:r>
    </w:p>
    <w:p>
      <w:pPr>
        <w:spacing w:after="0" w:line="18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warrants or preventing or retarding a decline in the market price of our warrants. As a result, the price of our warrants may be higher than</w:t>
      </w:r>
    </w:p>
    <w:p>
      <w:pPr>
        <w:ind w:right="400"/>
        <w:spacing w:after="0" w:line="261" w:lineRule="auto"/>
        <w:rPr>
          <w:sz w:val="20"/>
          <w:szCs w:val="20"/>
          <w:color w:val="auto"/>
        </w:rPr>
      </w:pPr>
      <w:r>
        <w:rPr>
          <w:rFonts w:ascii="Times New Roman" w:cs="Times New Roman" w:eastAsia="Times New Roman" w:hAnsi="Times New Roman"/>
          <w:sz w:val="18"/>
          <w:szCs w:val="18"/>
          <w:color w:val="auto"/>
        </w:rPr>
        <w:t>the price that might otherwise exist in the open market. The underwriters may conduct these transactions on , in the over-the-counter market or otherwise.</w:t>
      </w:r>
    </w:p>
    <w:p>
      <w:pPr>
        <w:spacing w:after="0" w:line="180"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warrants. In addition, neither we nor any of the underwriters make any representation that the representatives will engage in these transactions or that these transactions, once commenced, will not be discontinued without notice.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420"/>
          </w:cols>
          <w:pgMar w:left="240" w:top="445" w:right="239" w:bottom="1440" w:gutter="0" w:footer="0" w:header="0"/>
        </w:sectPr>
      </w:pPr>
    </w:p>
    <w:bookmarkStart w:id="378" w:name="page379"/>
    <w:bookmarkEnd w:id="3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any other specific transactions and compensation related thereto to the extent required to be disclosed by applicable law or regulation.]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if underwriters receiving proceeds of offering, if required by FINRA.]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[Insert principal business addresses of underwriters.]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[Insert applicable legends for jurisdictions in which offers and sales may be made.]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340"/>
          </w:cols>
          <w:pgMar w:left="240" w:top="455" w:right="319" w:bottom="1440" w:gutter="0" w:footer="0" w:header="0"/>
        </w:sectPr>
      </w:pPr>
    </w:p>
    <w:bookmarkStart w:id="379" w:name="page380"/>
    <w:bookmarkEnd w:id="3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line="1" w:lineRule="exact"/>
        <w:rPr>
          <w:sz w:val="20"/>
          <w:szCs w:val="20"/>
          <w:color w:val="auto"/>
        </w:rPr>
      </w:pPr>
    </w:p>
    <w:p>
      <w:pPr>
        <w:spacing w:after="0"/>
        <w:tabs>
          <w:tab w:leader="none" w:pos="10680" w:val="left"/>
        </w:tabs>
        <w:rPr>
          <w:sz w:val="20"/>
          <w:szCs w:val="20"/>
          <w:color w:val="auto"/>
        </w:rPr>
      </w:pPr>
      <w:r>
        <w:rPr>
          <w:rFonts w:ascii="Times New Roman" w:cs="Times New Roman" w:eastAsia="Times New Roman" w:hAnsi="Times New Roman"/>
          <w:sz w:val="18"/>
          <w:szCs w:val="18"/>
          <w:color w:val="auto"/>
        </w:rPr>
        <w:t>Hamilton LLP also represents the Adviser. Certain legal matters in connection with the offering will be passed upon for the underwriters by [</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0" w:hanging="592"/>
        <w:spacing w:after="0"/>
        <w:tabs>
          <w:tab w:leader="none" w:pos="6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40"/>
          </w:cols>
          <w:pgMar w:left="240" w:top="455" w:right="519" w:bottom="1440" w:gutter="0" w:footer="0" w:header="0"/>
        </w:sectPr>
      </w:pPr>
    </w:p>
    <w:bookmarkStart w:id="380" w:name="page381"/>
    <w:bookmarkEnd w:id="3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financial statements and notes thereto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400"/>
          </w:cols>
          <w:pgMar w:left="240" w:top="455" w:right="259" w:bottom="1440" w:gutter="0" w:footer="0" w:header="0"/>
        </w:sectPr>
      </w:pPr>
    </w:p>
    <w:bookmarkStart w:id="381" w:name="page382"/>
    <w:bookmarkEnd w:id="38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26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1278890</wp:posOffset>
            </wp:positionV>
            <wp:extent cx="1346200" cy="660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880"/>
        <w:spacing w:after="0"/>
        <w:tabs>
          <w:tab w:leader="none" w:pos="6680" w:val="left"/>
        </w:tabs>
        <w:rPr>
          <w:sz w:val="20"/>
          <w:szCs w:val="20"/>
          <w:color w:val="auto"/>
        </w:rPr>
      </w:pPr>
      <w:r>
        <w:rPr>
          <w:rFonts w:ascii="Times New Roman" w:cs="Times New Roman" w:eastAsia="Times New Roman" w:hAnsi="Times New Roman"/>
          <w:sz w:val="25"/>
          <w:szCs w:val="25"/>
          <w:color w:val="auto"/>
        </w:rPr>
        <w:t>Warrants to Purchase Up to</w:t>
      </w:r>
      <w:r>
        <w:rPr>
          <w:sz w:val="20"/>
          <w:szCs w:val="20"/>
          <w:color w:val="auto"/>
        </w:rPr>
        <w:tab/>
      </w:r>
      <w:r>
        <w:rPr>
          <w:rFonts w:ascii="Times New Roman" w:cs="Times New Roman" w:eastAsia="Times New Roman" w:hAnsi="Times New Roman"/>
          <w:sz w:val="25"/>
          <w:szCs w:val="25"/>
          <w:color w:val="auto"/>
        </w:rPr>
        <w:t>[Type of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1041400</wp:posOffset>
            </wp:positionV>
            <wp:extent cx="151765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9"/>
          <w:szCs w:val="29"/>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1003935</wp:posOffset>
            </wp:positionV>
            <wp:extent cx="72466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1063625</wp:posOffset>
            </wp:positionV>
            <wp:extent cx="7246620" cy="260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6" w:right="1440" w:bottom="1440" w:gutter="0" w:footer="0" w:header="0"/>
          <w:type w:val="continuous"/>
        </w:sectPr>
      </w:pPr>
    </w:p>
    <w:bookmarkStart w:id="382" w:name="page383"/>
    <w:bookmarkEnd w:id="382"/>
    <w:p>
      <w:pPr>
        <w:ind w:left="10480"/>
        <w:spacing w:after="0"/>
        <w:rPr>
          <w:sz w:val="20"/>
          <w:szCs w:val="20"/>
          <w:color w:val="auto"/>
        </w:rPr>
      </w:pPr>
      <w:r>
        <w:rPr>
          <w:rFonts w:ascii="Times New Roman" w:cs="Times New Roman" w:eastAsia="Times New Roman" w:hAnsi="Times New Roman"/>
          <w:sz w:val="18"/>
          <w:szCs w:val="18"/>
          <w:b w:val="1"/>
          <w:bCs w:val="1"/>
          <w:color w:val="auto"/>
        </w:rPr>
        <w:t>Exhibit 99.6</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prospectus supplement is not complete and may be changed. [A registration statement relating to these securities has been filed with and declared effective by the Securities and Exchange Commission.] This prospectus supplement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w:t>
      </w:r>
    </w:p>
    <w:p>
      <w:pPr>
        <w:spacing w:after="0" w:line="117" w:lineRule="exact"/>
        <w:rPr>
          <w:sz w:val="20"/>
          <w:szCs w:val="20"/>
          <w:color w:val="auto"/>
        </w:rPr>
      </w:pPr>
    </w:p>
    <w:tbl>
      <w:tblPr>
        <w:tblLayout w:type="fixed"/>
        <w:tblInd w:w="358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DE1A1E"/>
              </w:rPr>
              <w:t>Preliminary Prospectus Supplement dated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DE1A1E"/>
              </w:rPr>
              <w:t>, 20</w:t>
            </w:r>
          </w:p>
        </w:tc>
      </w:tr>
    </w:tbl>
    <w:p>
      <w:pPr>
        <w:spacing w:after="0" w:line="90" w:lineRule="exact"/>
        <w:rPr>
          <w:sz w:val="20"/>
          <w:szCs w:val="20"/>
          <w:color w:val="auto"/>
        </w:rPr>
      </w:pPr>
    </w:p>
    <w:p>
      <w:pPr>
        <w:ind w:right="640" w:firstLine="645"/>
        <w:spacing w:after="0" w:line="373" w:lineRule="auto"/>
        <w:rPr>
          <w:sz w:val="20"/>
          <w:szCs w:val="20"/>
          <w:color w:val="auto"/>
        </w:rPr>
      </w:pPr>
      <w:r>
        <w:rPr>
          <w:rFonts w:ascii="Times New Roman" w:cs="Times New Roman" w:eastAsia="Times New Roman" w:hAnsi="Times New Roman"/>
          <w:sz w:val="18"/>
          <w:szCs w:val="18"/>
          <w:color w:val="auto"/>
        </w:rPr>
        <w:t xml:space="preserve">[FORM OF PRELIMINARY PROSPECTUS SUPPLEMENT TO BE USED IN CONJUNCTION WITH FUTURE UNIT OFFERINGS](1) </w:t>
      </w:r>
      <w:r>
        <w:rPr>
          <w:rFonts w:ascii="Times New Roman" w:cs="Times New Roman" w:eastAsia="Times New Roman" w:hAnsi="Times New Roman"/>
          <w:sz w:val="18"/>
          <w:szCs w:val="18"/>
          <w:b w:val="1"/>
          <w:bCs w:val="1"/>
          <w:u w:val="single" w:color="auto"/>
          <w:color w:val="auto"/>
        </w:rPr>
        <w:t>PROSPECTUS SUPPLEMENT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154305</wp:posOffset>
            </wp:positionV>
            <wp:extent cx="1346200" cy="660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TPG Specialty Lending, Inc.</w:t>
      </w:r>
    </w:p>
    <w:p>
      <w:pPr>
        <w:spacing w:after="0" w:line="8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 [Title to be Specified]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ind w:right="280" w:firstLine="342"/>
        <w:spacing w:after="0" w:line="262" w:lineRule="auto"/>
        <w:rPr>
          <w:sz w:val="20"/>
          <w:szCs w:val="20"/>
          <w:color w:val="auto"/>
        </w:rPr>
      </w:pPr>
      <w:r>
        <w:rPr>
          <w:rFonts w:ascii="Times New Roman" w:cs="Times New Roman" w:eastAsia="Times New Roman" w:hAnsi="Times New Roman"/>
          <w:sz w:val="14"/>
          <w:szCs w:val="14"/>
          <w:color w:val="auto"/>
        </w:rPr>
        <w:t>We are offering for sale our % [title to be specified] units (the “Units”). Each Unit has a stated amount of $ . [Insert information regarding securities comprising unit to the extent required to be disclosed by applicable law or regulation].</w:t>
      </w:r>
    </w:p>
    <w:p>
      <w:pPr>
        <w:spacing w:after="0" w:line="54" w:lineRule="exact"/>
        <w:rPr>
          <w:sz w:val="20"/>
          <w:szCs w:val="20"/>
          <w:color w:val="auto"/>
        </w:rPr>
      </w:pPr>
    </w:p>
    <w:p>
      <w:pPr>
        <w:ind w:right="360" w:firstLine="342"/>
        <w:spacing w:after="0" w:line="262" w:lineRule="auto"/>
        <w:rPr>
          <w:sz w:val="20"/>
          <w:szCs w:val="20"/>
          <w:color w:val="auto"/>
        </w:rPr>
      </w:pPr>
      <w:r>
        <w:rPr>
          <w:rFonts w:ascii="Times New Roman" w:cs="Times New Roman" w:eastAsia="Times New Roman" w:hAnsi="Times New Roman"/>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loans and investments in corporate bonds and equity securities.</w:t>
      </w:r>
    </w:p>
    <w:p>
      <w:pPr>
        <w:spacing w:after="0" w:line="54" w:lineRule="exact"/>
        <w:rPr>
          <w:sz w:val="20"/>
          <w:szCs w:val="20"/>
          <w:color w:val="auto"/>
        </w:rPr>
      </w:pPr>
    </w:p>
    <w:p>
      <w:pPr>
        <w:ind w:right="220" w:firstLine="342"/>
        <w:spacing w:after="0" w:line="262" w:lineRule="auto"/>
        <w:rPr>
          <w:sz w:val="20"/>
          <w:szCs w:val="20"/>
          <w:color w:val="auto"/>
        </w:rPr>
      </w:pPr>
      <w:r>
        <w:rPr>
          <w:rFonts w:ascii="Times New Roman" w:cs="Times New Roman" w:eastAsia="Times New Roman" w:hAnsi="Times New Roman"/>
          <w:sz w:val="14"/>
          <w:szCs w:val="14"/>
          <w:color w:val="auto"/>
        </w:rPr>
        <w:t>As of , 20 , our investment portfolio consisted of investments in portfolio companies with an aggregate fair value of $ million. We intend to continue to pursue an investment strategy focused on direct origination of loans to middle-market companies principally domiciled in the United States.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TSL Advisers, LLC, or the Adviser, acts as our investment adviser and administrator. We and the</w:t>
      </w:r>
    </w:p>
    <w:p>
      <w:pPr>
        <w:spacing w:after="0" w:line="4" w:lineRule="exact"/>
        <w:rPr>
          <w:sz w:val="20"/>
          <w:szCs w:val="20"/>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Adviser are part of the TPG Special Situations Partners platform, which had over $ billion of assets under management as of , 20 . TPG Special Situations Partners is the special situations and credit platform of TPG, a leading global private investment firm founded in 1992 with over $ billion of assets under management as of , 20 .</w:t>
      </w:r>
    </w:p>
    <w:p>
      <w:pPr>
        <w:spacing w:after="0" w:line="69" w:lineRule="exact"/>
        <w:rPr>
          <w:sz w:val="20"/>
          <w:szCs w:val="20"/>
          <w:color w:val="auto"/>
        </w:rPr>
      </w:pPr>
    </w:p>
    <w:p>
      <w:pPr>
        <w:ind w:right="60" w:firstLine="342"/>
        <w:spacing w:after="0" w:line="236" w:lineRule="auto"/>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69" w:lineRule="exact"/>
        <w:rPr>
          <w:sz w:val="20"/>
          <w:szCs w:val="20"/>
          <w:color w:val="auto"/>
        </w:rPr>
      </w:pPr>
    </w:p>
    <w:p>
      <w:pPr>
        <w:ind w:right="200" w:firstLine="342"/>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69" w:lineRule="exact"/>
        <w:rPr>
          <w:sz w:val="20"/>
          <w:szCs w:val="20"/>
          <w:color w:val="auto"/>
        </w:rPr>
      </w:pPr>
    </w:p>
    <w:p>
      <w:pPr>
        <w:ind w:right="100" w:firstLine="456"/>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the Units involves risks that are described in the “</w:t>
      </w:r>
      <w:hyperlink w:anchor="page390">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b w:val="1"/>
          <w:bCs w:val="1"/>
          <w:color w:val="auto"/>
        </w:rPr>
        <w:t>” section beginning on page S-8 of this prospectus supplement and on page [ ] of the accompanying prospectus[, including the risk of leverage].</w:t>
      </w:r>
    </w:p>
    <w:p>
      <w:pPr>
        <w:spacing w:after="0" w:line="47" w:lineRule="exact"/>
        <w:rPr>
          <w:sz w:val="20"/>
          <w:szCs w:val="20"/>
          <w:color w:val="auto"/>
        </w:rPr>
      </w:pPr>
    </w:p>
    <w:p>
      <w:pPr>
        <w:ind w:right="20" w:firstLine="342"/>
        <w:spacing w:after="0" w:line="231"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before investing and keep each for future reference. This prospectus supplement and accompanying prospectus contain important information about us that a prospective investor ought to know before investing in our securities. Information required to be included in a Statement of Additional Information may be found in this prospectus supplement and the accompanying prospectus. We also file periodic and current reports, proxy statements and other information about us with the Securities and Exchange Commission. This information is available free of charge by contacting us at 345 California Street, Suite 3300, San Francisco, CA 94104, calling us at (817) 871-4000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5"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520" w:type="dxa"/>
            <w:vAlign w:val="bottom"/>
          </w:tcPr>
          <w:p>
            <w:pPr>
              <w:spacing w:after="0"/>
              <w:rPr>
                <w:sz w:val="15"/>
                <w:szCs w:val="15"/>
                <w:color w:val="auto"/>
              </w:rPr>
            </w:pP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Public offering price</w:t>
            </w:r>
          </w:p>
        </w:tc>
        <w:tc>
          <w:tcPr>
            <w:tcW w:w="3020" w:type="dxa"/>
            <w:vAlign w:val="bottom"/>
            <w:gridSpan w:val="2"/>
            <w:shd w:val="clear" w:color="auto" w:fill="CCEEFF"/>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 (sales load)</w:t>
            </w:r>
          </w:p>
        </w:tc>
        <w:tc>
          <w:tcPr>
            <w:tcW w:w="3020" w:type="dxa"/>
            <w:vAlign w:val="bottom"/>
            <w:gridSpan w:val="2"/>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to us, before expenses</w:t>
            </w:r>
            <w:r>
              <w:rPr>
                <w:rFonts w:ascii="Times New Roman" w:cs="Times New Roman" w:eastAsia="Times New Roman" w:hAnsi="Times New Roman"/>
                <w:sz w:val="12"/>
                <w:szCs w:val="12"/>
                <w:color w:val="auto"/>
              </w:rPr>
              <w:t>(1)</w:t>
            </w:r>
          </w:p>
        </w:tc>
        <w:tc>
          <w:tcPr>
            <w:tcW w:w="3020" w:type="dxa"/>
            <w:vAlign w:val="bottom"/>
            <w:gridSpan w:val="2"/>
            <w:shd w:val="clear" w:color="auto" w:fill="CCEEFF"/>
          </w:tcPr>
          <w:p>
            <w:pPr>
              <w:jc w:val="right"/>
              <w:ind w:right="5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  Before deducting expenses payable by us related to this offering, estimated at $</w:t>
            </w:r>
          </w:p>
        </w:tc>
        <w:tc>
          <w:tcPr>
            <w:tcW w:w="26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 which represents approximately $</w:t>
            </w:r>
          </w:p>
        </w:tc>
        <w:tc>
          <w:tcPr>
            <w:tcW w:w="3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per Unit.</w:t>
            </w:r>
          </w:p>
        </w:tc>
        <w:tc>
          <w:tcPr>
            <w:tcW w:w="160" w:type="dxa"/>
            <w:vAlign w:val="bottom"/>
          </w:tcPr>
          <w:p>
            <w:pPr>
              <w:spacing w:after="0"/>
              <w:rPr>
                <w:sz w:val="16"/>
                <w:szCs w:val="16"/>
                <w:color w:val="auto"/>
              </w:rPr>
            </w:pPr>
          </w:p>
        </w:tc>
      </w:tr>
      <w:tr>
        <w:trPr>
          <w:trHeight w:val="217"/>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underwriters may also purchase up to an additional</w:t>
            </w:r>
          </w:p>
        </w:tc>
        <w:tc>
          <w:tcPr>
            <w:tcW w:w="7820" w:type="dxa"/>
            <w:vAlign w:val="bottom"/>
            <w:gridSpan w:val="6"/>
          </w:tcPr>
          <w:p>
            <w:pPr>
              <w:jc w:val="center"/>
              <w:ind w:left="168"/>
              <w:spacing w:after="0"/>
              <w:rPr>
                <w:sz w:val="20"/>
                <w:szCs w:val="20"/>
                <w:color w:val="auto"/>
              </w:rPr>
            </w:pPr>
            <w:r>
              <w:rPr>
                <w:rFonts w:ascii="Times New Roman" w:cs="Times New Roman" w:eastAsia="Times New Roman" w:hAnsi="Times New Roman"/>
                <w:sz w:val="14"/>
                <w:szCs w:val="14"/>
                <w:color w:val="auto"/>
              </w:rPr>
              <w:t>Units from us at the public offering price, less the underwriting discount, within   days of the date of this prospectus supplement to</w:t>
            </w:r>
          </w:p>
        </w:tc>
      </w:tr>
      <w:tr>
        <w:trPr>
          <w:trHeight w:val="149"/>
        </w:trPr>
        <w:tc>
          <w:tcPr>
            <w:tcW w:w="69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cover over-allotments, if any. If the underwriters exercise this option in full, the total public offering price will be $</w:t>
            </w:r>
          </w:p>
        </w:tc>
        <w:tc>
          <w:tcPr>
            <w:tcW w:w="42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 the total underwriting discount (sales load) paid by us will be $</w:t>
            </w: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and total proceeds, before expenses, will be $</w:t>
            </w:r>
          </w:p>
        </w:tc>
        <w:tc>
          <w:tcPr>
            <w:tcW w:w="6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5"/>
        </w:trPr>
        <w:tc>
          <w:tcPr>
            <w:tcW w:w="111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Neither the Securities and Exchange Commission, or SEC, nor any state securities commission has approved or disapproved of these securities or determined if this prospectus</w:t>
            </w:r>
          </w:p>
        </w:tc>
        <w:tc>
          <w:tcPr>
            <w:tcW w:w="160" w:type="dxa"/>
            <w:vAlign w:val="bottom"/>
          </w:tcPr>
          <w:p>
            <w:pPr>
              <w:spacing w:after="0"/>
              <w:rPr>
                <w:sz w:val="18"/>
                <w:szCs w:val="18"/>
                <w:color w:val="auto"/>
              </w:rPr>
            </w:pPr>
          </w:p>
        </w:tc>
      </w:tr>
      <w:tr>
        <w:trPr>
          <w:trHeight w:val="190"/>
        </w:trPr>
        <w:tc>
          <w:tcPr>
            <w:tcW w:w="77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supplement or the accompanying prospectus is truthful or complete. Any representation to the contrary is a criminal offense.</w:t>
            </w:r>
          </w:p>
        </w:tc>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7"/>
        </w:trPr>
        <w:tc>
          <w:tcPr>
            <w:tcW w:w="690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The Units will be ready for delivery [in book-entry form through The Depository Trust Company] on or about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   .</w:t>
            </w:r>
          </w:p>
        </w:tc>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3"/>
        </w:trPr>
        <w:tc>
          <w:tcPr>
            <w:tcW w:w="2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0" w:type="dxa"/>
            <w:vAlign w:val="bottom"/>
            <w:tcBorders>
              <w:bottom w:val="single" w:sz="8" w:color="auto"/>
            </w:tcBorders>
            <w:gridSpan w:val="2"/>
          </w:tcPr>
          <w:p>
            <w:pPr>
              <w:spacing w:after="0"/>
              <w:rPr>
                <w:sz w:val="18"/>
                <w:szCs w:val="18"/>
                <w:color w:val="auto"/>
              </w:rPr>
            </w:pPr>
          </w:p>
        </w:tc>
        <w:tc>
          <w:tcPr>
            <w:tcW w:w="8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67"/>
        </w:trPr>
        <w:tc>
          <w:tcPr>
            <w:tcW w:w="28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w:t>
            </w: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 20   .</w:t>
            </w:r>
          </w:p>
        </w:tc>
        <w:tc>
          <w:tcPr>
            <w:tcW w:w="336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89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1" w:lineRule="exact"/>
        <w:rPr>
          <w:sz w:val="20"/>
          <w:szCs w:val="20"/>
          <w:color w:val="auto"/>
        </w:rPr>
      </w:pPr>
    </w:p>
    <w:p>
      <w:pPr>
        <w:ind w:left="340" w:hanging="332"/>
        <w:spacing w:after="0"/>
        <w:tabs>
          <w:tab w:leader="none" w:pos="34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sections outlined in this form of prospectus supplement, each prospectus supplement actually used in connection with an offering conducted pursuant to the registration statement to which this form of prospectus supplement is attached will be updated to include such other information as may then be required to be disclosed therein pursuant to applicable law or regulation as in effect as of the date of each such prospectus supplement, including, without limitation, information particular to the terms of each security offered thereby and any related risk factors or tax considerations pertaining thereto. This form of prospectus supplement is intended only to provide a rough approximation of the nature and type of disclosure that may appear in any actual prospectus supplement used for the purposes of offering securities pursuant to the registration statement to which this form of prospectus supplement is attached, and is not intended to and does not contain all of the information that would appear is any such actual prospectus supplement, and should not be used or relied upon in connection with any offer or sale of securities.</w:t>
      </w:r>
    </w:p>
    <w:p>
      <w:pPr>
        <w:sectPr>
          <w:pgSz w:w="11900" w:h="16838" w:orient="portrait"/>
          <w:cols w:equalWidth="0" w:num="1">
            <w:col w:w="11420"/>
          </w:cols>
          <w:pgMar w:left="240" w:top="117" w:right="239" w:bottom="1440" w:gutter="0" w:footer="0" w:header="0"/>
        </w:sectPr>
      </w:pPr>
    </w:p>
    <w:bookmarkStart w:id="383" w:name="page384"/>
    <w:bookmarkEnd w:id="383"/>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have not, and the underwriters have not, authorized anyone to give you any information other than in this prospectus supplement and the accompanying prospectus,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is accurate only as of the date on the front cover of this prospectus supplement and the accompanying prospectus, as applicable. Our business, financial condition, results of operations and prospects may have changed since that date. We will update these documents to reflect material changes only as required by law.</w:t>
      </w:r>
    </w:p>
    <w:p>
      <w:pPr>
        <w:spacing w:after="0" w:line="40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920" w:type="dxa"/>
            <w:vAlign w:val="bottom"/>
            <w:gridSpan w:val="13"/>
            <w:vMerge w:val="restart"/>
          </w:tcPr>
          <w:p>
            <w:pPr>
              <w:spacing w:after="0"/>
              <w:rPr>
                <w:rFonts w:ascii="Times New Roman" w:cs="Times New Roman" w:eastAsia="Times New Roman" w:hAnsi="Times New Roman"/>
                <w:sz w:val="18"/>
                <w:szCs w:val="18"/>
                <w:color w:val="0000EE"/>
              </w:rPr>
            </w:pPr>
            <w:hyperlink w:anchor="page385">
              <w:r>
                <w:rPr>
                  <w:rFonts w:ascii="Times New Roman" w:cs="Times New Roman" w:eastAsia="Times New Roman" w:hAnsi="Times New Roman"/>
                  <w:sz w:val="18"/>
                  <w:szCs w:val="18"/>
                  <w:color w:val="0000EE"/>
                </w:rPr>
                <w:t>SPECIAL NOTE REGARDING FORWARD-LOOKING STATEMENTS</w:t>
              </w:r>
            </w:hyperlink>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20" w:type="dxa"/>
            <w:vAlign w:val="bottom"/>
            <w:gridSpan w:val="13"/>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386">
              <w:r>
                <w:rPr>
                  <w:rFonts w:ascii="Times New Roman" w:cs="Times New Roman" w:eastAsia="Times New Roman" w:hAnsi="Times New Roman"/>
                  <w:sz w:val="18"/>
                  <w:szCs w:val="18"/>
                  <w:color w:val="0000EE"/>
                </w:rPr>
                <w:t>THE COMPANY</w:t>
              </w:r>
            </w:hyperlink>
          </w:p>
        </w:tc>
        <w:tc>
          <w:tcPr>
            <w:tcW w:w="5580" w:type="dxa"/>
            <w:vAlign w:val="bottom"/>
            <w:gridSpan w:val="2"/>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389">
              <w:r>
                <w:rPr>
                  <w:rFonts w:ascii="Times New Roman" w:cs="Times New Roman" w:eastAsia="Times New Roman" w:hAnsi="Times New Roman"/>
                  <w:sz w:val="18"/>
                  <w:szCs w:val="18"/>
                  <w:color w:val="0000EE"/>
                </w:rPr>
                <w:t>SPECIFIC TERMS OF THE UNITS AND THE OFFERING</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90">
              <w:r>
                <w:rPr>
                  <w:rFonts w:ascii="Times New Roman" w:cs="Times New Roman" w:eastAsia="Times New Roman" w:hAnsi="Times New Roman"/>
                  <w:sz w:val="18"/>
                  <w:szCs w:val="18"/>
                  <w:color w:val="0000EE"/>
                  <w:w w:val="97"/>
                </w:rPr>
                <w:t>RISK FACTORS</w:t>
              </w:r>
            </w:hyperlink>
          </w:p>
        </w:tc>
        <w:tc>
          <w:tcPr>
            <w:tcW w:w="3140" w:type="dxa"/>
            <w:vAlign w:val="bottom"/>
            <w:tcBorders>
              <w:top w:val="single" w:sz="8" w:color="0000EE"/>
            </w:tcBorders>
            <w:gridSpan w:val="7"/>
          </w:tcPr>
          <w:p>
            <w:pPr>
              <w:spacing w:after="0"/>
              <w:rPr>
                <w:sz w:val="17"/>
                <w:szCs w:val="17"/>
                <w:color w:val="auto"/>
              </w:rPr>
            </w:pPr>
          </w:p>
        </w:tc>
        <w:tc>
          <w:tcPr>
            <w:tcW w:w="65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391">
              <w:r>
                <w:rPr>
                  <w:rFonts w:ascii="Times New Roman" w:cs="Times New Roman" w:eastAsia="Times New Roman" w:hAnsi="Times New Roman"/>
                  <w:sz w:val="18"/>
                  <w:szCs w:val="18"/>
                  <w:color w:val="0000EE"/>
                  <w:w w:val="98"/>
                </w:rPr>
                <w:t>SELECTED FINANCIAL DATA AND OTHER INFORMATION</w:t>
              </w:r>
            </w:hyperlink>
          </w:p>
        </w:tc>
        <w:tc>
          <w:tcPr>
            <w:tcW w:w="612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392">
              <w:r>
                <w:rPr>
                  <w:rFonts w:ascii="Times New Roman" w:cs="Times New Roman" w:eastAsia="Times New Roman" w:hAnsi="Times New Roman"/>
                  <w:sz w:val="18"/>
                  <w:szCs w:val="18"/>
                  <w:color w:val="0000EE"/>
                </w:rPr>
                <w:t>USE OF PROCEEDS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393">
              <w:r>
                <w:rPr>
                  <w:rFonts w:ascii="Times New Roman" w:cs="Times New Roman" w:eastAsia="Times New Roman" w:hAnsi="Times New Roman"/>
                  <w:sz w:val="18"/>
                  <w:szCs w:val="18"/>
                  <w:color w:val="0000EE"/>
                </w:rPr>
                <w:t>DESCRIPTION OF THE UNITS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394">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395">
              <w:r>
                <w:rPr>
                  <w:rFonts w:ascii="Times New Roman" w:cs="Times New Roman" w:eastAsia="Times New Roman" w:hAnsi="Times New Roman"/>
                  <w:sz w:val="18"/>
                  <w:szCs w:val="18"/>
                  <w:color w:val="0000EE"/>
                </w:rPr>
                <w:t>UNITED STATES FEDERAL INCOME TAX CONSEQUENCES</w:t>
              </w:r>
            </w:hyperlink>
          </w:p>
        </w:tc>
        <w:tc>
          <w:tcPr>
            <w:tcW w:w="20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396">
              <w:r>
                <w:rPr>
                  <w:rFonts w:ascii="Times New Roman" w:cs="Times New Roman" w:eastAsia="Times New Roman" w:hAnsi="Times New Roman"/>
                  <w:sz w:val="18"/>
                  <w:szCs w:val="18"/>
                  <w:color w:val="0000EE"/>
                  <w:w w:val="97"/>
                </w:rPr>
                <w:t>CAPITALIZATION</w:t>
              </w:r>
            </w:hyperlink>
          </w:p>
        </w:tc>
        <w:tc>
          <w:tcPr>
            <w:tcW w:w="3340" w:type="dxa"/>
            <w:vAlign w:val="bottom"/>
            <w:tcBorders>
              <w:top w:val="single" w:sz="8" w:color="0000EE"/>
            </w:tcBorders>
            <w:gridSpan w:val="6"/>
          </w:tcPr>
          <w:p>
            <w:pPr>
              <w:spacing w:after="0"/>
              <w:rPr>
                <w:sz w:val="17"/>
                <w:szCs w:val="17"/>
                <w:color w:val="auto"/>
              </w:rPr>
            </w:pPr>
          </w:p>
        </w:tc>
        <w:tc>
          <w:tcPr>
            <w:tcW w:w="610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97">
              <w:r>
                <w:rPr>
                  <w:rFonts w:ascii="Times New Roman" w:cs="Times New Roman" w:eastAsia="Times New Roman" w:hAnsi="Times New Roman"/>
                  <w:sz w:val="18"/>
                  <w:szCs w:val="18"/>
                  <w:color w:val="0000EE"/>
                  <w:w w:val="98"/>
                </w:rPr>
                <w:t>UNDERWRITING</w:t>
              </w:r>
            </w:hyperlink>
          </w:p>
        </w:tc>
        <w:tc>
          <w:tcPr>
            <w:tcW w:w="952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0920" w:type="dxa"/>
            <w:vAlign w:val="bottom"/>
            <w:gridSpan w:val="13"/>
          </w:tcPr>
          <w:p>
            <w:pPr>
              <w:spacing w:after="0" w:line="196" w:lineRule="exact"/>
              <w:rPr>
                <w:rFonts w:ascii="Times New Roman" w:cs="Times New Roman" w:eastAsia="Times New Roman" w:hAnsi="Times New Roman"/>
                <w:sz w:val="18"/>
                <w:szCs w:val="18"/>
                <w:color w:val="0000EE"/>
              </w:rPr>
            </w:pPr>
            <w:hyperlink w:anchor="page400">
              <w:r>
                <w:rPr>
                  <w:rFonts w:ascii="Times New Roman" w:cs="Times New Roman" w:eastAsia="Times New Roman" w:hAnsi="Times New Roman"/>
                  <w:sz w:val="18"/>
                  <w:szCs w:val="18"/>
                  <w:color w:val="0000EE"/>
                </w:rPr>
                <w:t>LEGAL MATTERS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7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401">
              <w:r>
                <w:rPr>
                  <w:rFonts w:ascii="Times New Roman" w:cs="Times New Roman" w:eastAsia="Times New Roman" w:hAnsi="Times New Roman"/>
                  <w:sz w:val="18"/>
                  <w:szCs w:val="18"/>
                  <w:color w:val="0000EE"/>
                  <w:w w:val="97"/>
                </w:rPr>
                <w:t>FINANCIAL STATEMENTS</w:t>
              </w:r>
            </w:hyperlink>
          </w:p>
        </w:tc>
        <w:tc>
          <w:tcPr>
            <w:tcW w:w="87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371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[Insert table of contents from base prospectus.]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420"/>
          </w:cols>
          <w:pgMar w:left="240" w:top="270" w:right="239" w:bottom="1440" w:gutter="0" w:footer="0" w:header="0"/>
        </w:sectPr>
      </w:pPr>
    </w:p>
    <w:bookmarkStart w:id="384" w:name="page385"/>
    <w:bookmarkEnd w:id="3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and the accompanying prospectus, the following factors, among others, could cause actual results to differ materially from forward-looking statements or historical performance:</w:t>
      </w:r>
    </w:p>
    <w:p>
      <w:pPr>
        <w:spacing w:after="0" w:line="67" w:lineRule="exact"/>
        <w:rPr>
          <w:sz w:val="20"/>
          <w:szCs w:val="20"/>
          <w:color w:val="auto"/>
        </w:rPr>
      </w:pPr>
    </w:p>
    <w:p>
      <w:pPr>
        <w:ind w:left="900" w:right="240" w:hanging="325"/>
        <w:spacing w:after="0" w:line="282" w:lineRule="auto"/>
        <w:tabs>
          <w:tab w:leader="none" w:pos="9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ind w:left="900" w:right="40" w:hanging="325"/>
        <w:spacing w:after="0" w:line="313" w:lineRule="auto"/>
        <w:tabs>
          <w:tab w:leader="none" w:pos="900"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and the accompanying prospectus.</w:t>
      </w:r>
    </w:p>
    <w:p>
      <w:pPr>
        <w:spacing w:after="0" w:line="162"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and elsewhere in this prospectus supplement and the accompanying prospectus. You should not place undue reliance on these forward-looking statements, which apply only as of the date of this prospectus supplement. We do not undertake any obligation to update or revise any forward-looking statements or any other information contained herein, except as required by applicable law. You should understand that, under Sections 27A(b)(2)(B) and (D) of the Securities Act of 1933, as amended, or the Securities Act, and Section 21E(b)(2)(B) and (D) of the Securities Exchange Act of 1934, as amended, or the Exchange Act, the “safe harbor” provisions of the Private Securities Litigation Reform Act of 1995 do not apply to statements made in connection with any offering of securities pursuant to this prospectus supplement or the accompanying prospectus.</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420"/>
          </w:cols>
          <w:pgMar w:left="240" w:top="266" w:right="239" w:bottom="1440" w:gutter="0" w:footer="0" w:header="0"/>
        </w:sectPr>
      </w:pPr>
    </w:p>
    <w:bookmarkStart w:id="385" w:name="page386"/>
    <w:bookmarkEnd w:id="38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w:t>
      </w:r>
    </w:p>
    <w:p>
      <w:pPr>
        <w:spacing w:after="0" w:line="227"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contained elsewhere in this prospectus supplement and the accompanying prospectus. It is not complete and may not contain all of the information that you may want to consider. You should read this entire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in this prospectus supplement and the accompanying prospectus.</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prospectus supplement and the accompanying prospectus, except where the context suggests otherwise, the terms “TSL,” “we,” “us,” “our,” the “Company,” and the “Registrant” refer to TPG Specialty Lending, Inc., a Delaware corporation, and its consolidated subsidiaries. The term “Adviser” refers to TSL Advisers, LLC, a Delaware limited liability company. The term “TSSP” refers to TPG Special Situations Partners, LLC. The term “TPG” refers to TPG Global, LLC and its affiliates.</w:t>
      </w:r>
    </w:p>
    <w:p>
      <w:pPr>
        <w:spacing w:after="0" w:line="180"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74" w:lineRule="exact"/>
        <w:rPr>
          <w:sz w:val="20"/>
          <w:szCs w:val="20"/>
          <w:color w:val="auto"/>
        </w:rPr>
      </w:pPr>
    </w:p>
    <w:p>
      <w:pPr>
        <w:ind w:right="3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Unless indicated otherwise or the context suggests otherwise, all information in this prospectus supplement and the accompanying prospectus gives effect to our stock split in the form of a stock dividend on December 5, 2013.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w:t>
      </w:r>
    </w:p>
    <w:p>
      <w:pPr>
        <w:spacing w:after="0" w:line="27"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through , 20 , we have originated billion aggregate principal amount of investments and retained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w:t>
      </w:r>
    </w:p>
    <w:p>
      <w:pPr>
        <w:spacing w:after="0" w:line="19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conducting our investment activities, we believe that we benefit from the significant scale and resources of our Adviser and its affiliates. We have operated our business as a BDC since we began our investment activities in July 2011, and we are currently one of the largest BDCs by total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invest in first-lien debt, second-lien debt, mezzanine debt and equity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400"/>
          </w:cols>
          <w:pgMar w:left="240" w:top="265" w:right="25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16"/>
        </w:trPr>
        <w:tc>
          <w:tcPr>
            <w:tcW w:w="110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include secured loans, and, to a lesser extent, secured corporate bonds, with a secondary priority behind first-lien debt. Based on fair value as of</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   , our portfolio consisted of</w:t>
            </w:r>
          </w:p>
        </w:tc>
        <w:tc>
          <w:tcPr>
            <w:tcW w:w="25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first-lien debt investments,</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 second-lien debt investments,</w:t>
            </w: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mezzanine debt investments and</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equity</w:t>
            </w:r>
          </w:p>
        </w:tc>
        <w:tc>
          <w:tcPr>
            <w:tcW w:w="380" w:type="dxa"/>
            <w:vAlign w:val="bottom"/>
          </w:tcPr>
          <w:p>
            <w:pPr>
              <w:spacing w:after="0"/>
              <w:rPr>
                <w:sz w:val="18"/>
                <w:szCs w:val="18"/>
                <w:color w:val="auto"/>
              </w:rPr>
            </w:pPr>
          </w:p>
        </w:tc>
      </w:tr>
      <w:tr>
        <w:trPr>
          <w:trHeight w:val="216"/>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 Approximately</w:t>
            </w:r>
          </w:p>
        </w:tc>
        <w:tc>
          <w:tcPr>
            <w:tcW w:w="21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 of our investments as of</w:t>
            </w:r>
          </w:p>
        </w:tc>
        <w:tc>
          <w:tcPr>
            <w:tcW w:w="620" w:type="dxa"/>
            <w:vAlign w:val="bottom"/>
          </w:tcPr>
          <w:p>
            <w:pPr>
              <w:spacing w:after="0"/>
              <w:rPr>
                <w:sz w:val="18"/>
                <w:szCs w:val="18"/>
                <w:color w:val="auto"/>
              </w:rPr>
            </w:pPr>
          </w:p>
        </w:tc>
        <w:tc>
          <w:tcPr>
            <w:tcW w:w="6540" w:type="dxa"/>
            <w:vAlign w:val="bottom"/>
            <w:gridSpan w:val="7"/>
          </w:tcPr>
          <w:p>
            <w:pPr>
              <w:jc w:val="right"/>
              <w:ind w:right="90"/>
              <w:spacing w:after="0"/>
              <w:rPr>
                <w:sz w:val="20"/>
                <w:szCs w:val="20"/>
                <w:color w:val="auto"/>
              </w:rPr>
            </w:pPr>
            <w:r>
              <w:rPr>
                <w:rFonts w:ascii="Times New Roman" w:cs="Times New Roman" w:eastAsia="Times New Roman" w:hAnsi="Times New Roman"/>
                <w:sz w:val="18"/>
                <w:szCs w:val="18"/>
                <w:color w:val="auto"/>
              </w:rPr>
              <w:t>, 20   are floating rate in nature, subject to interest rate floors, which we believe helps</w:t>
            </w:r>
          </w:p>
        </w:tc>
      </w:tr>
      <w:tr>
        <w:trPr>
          <w:trHeight w:val="234"/>
        </w:trPr>
        <w:tc>
          <w:tcPr>
            <w:tcW w:w="4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act as a portfolio-wide hedge against inflation.</w:t>
            </w: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4"/>
        </w:trPr>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As of</w:t>
            </w:r>
          </w:p>
        </w:tc>
        <w:tc>
          <w:tcPr>
            <w:tcW w:w="340" w:type="dxa"/>
            <w:vAlign w:val="bottom"/>
          </w:tcPr>
          <w:p>
            <w:pPr>
              <w:spacing w:after="0"/>
              <w:rPr>
                <w:sz w:val="24"/>
                <w:szCs w:val="24"/>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20</w:t>
            </w:r>
          </w:p>
        </w:tc>
        <w:tc>
          <w:tcPr>
            <w:tcW w:w="2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our portfolio was invested across</w:t>
            </w:r>
          </w:p>
        </w:tc>
        <w:tc>
          <w:tcPr>
            <w:tcW w:w="6540" w:type="dxa"/>
            <w:vAlign w:val="bottom"/>
            <w:gridSpan w:val="7"/>
          </w:tcPr>
          <w:p>
            <w:pPr>
              <w:jc w:val="right"/>
              <w:ind w:right="150"/>
              <w:spacing w:after="0"/>
              <w:rPr>
                <w:sz w:val="20"/>
                <w:szCs w:val="20"/>
                <w:color w:val="auto"/>
              </w:rPr>
            </w:pPr>
            <w:r>
              <w:rPr>
                <w:rFonts w:ascii="Times New Roman" w:cs="Times New Roman" w:eastAsia="Times New Roman" w:hAnsi="Times New Roman"/>
                <w:sz w:val="18"/>
                <w:szCs w:val="18"/>
                <w:color w:val="auto"/>
              </w:rPr>
              <w:t>different industries. The largest industries in our portfolio, based on fair value as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were</w:t>
            </w: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and</w:t>
            </w:r>
          </w:p>
        </w:tc>
        <w:tc>
          <w:tcPr>
            <w:tcW w:w="422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 which represented, as a percentage of our portfolio,</w:t>
            </w:r>
          </w:p>
        </w:tc>
        <w:tc>
          <w:tcPr>
            <w:tcW w:w="29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 and   %, respectively. We</w:t>
            </w:r>
          </w:p>
        </w:tc>
      </w:tr>
      <w:tr>
        <w:trPr>
          <w:trHeight w:val="234"/>
        </w:trPr>
        <w:tc>
          <w:tcPr>
            <w:tcW w:w="4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expect that no single investment will represent more than</w:t>
            </w:r>
          </w:p>
        </w:tc>
        <w:tc>
          <w:tcPr>
            <w:tcW w:w="42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of our total investment portfolio, based on fair value.</w:t>
            </w:r>
          </w:p>
        </w:tc>
        <w:tc>
          <w:tcPr>
            <w:tcW w:w="1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4"/>
        </w:trPr>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As of</w:t>
            </w:r>
          </w:p>
        </w:tc>
        <w:tc>
          <w:tcPr>
            <w:tcW w:w="340" w:type="dxa"/>
            <w:vAlign w:val="bottom"/>
          </w:tcPr>
          <w:p>
            <w:pPr>
              <w:spacing w:after="0"/>
              <w:rPr>
                <w:sz w:val="24"/>
                <w:szCs w:val="24"/>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20</w:t>
            </w:r>
          </w:p>
        </w:tc>
        <w:tc>
          <w:tcPr>
            <w:tcW w:w="2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we had investments in</w:t>
            </w:r>
          </w:p>
        </w:tc>
        <w:tc>
          <w:tcPr>
            <w:tcW w:w="422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9"/>
              </w:rPr>
              <w:t>portfolio companies with an aggregate fair value of $</w:t>
            </w:r>
          </w:p>
        </w:tc>
        <w:tc>
          <w:tcPr>
            <w:tcW w:w="2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million. For the months</w:t>
            </w:r>
          </w:p>
        </w:tc>
        <w:tc>
          <w:tcPr>
            <w:tcW w:w="380" w:type="dxa"/>
            <w:vAlign w:val="bottom"/>
          </w:tcPr>
          <w:p>
            <w:pPr>
              <w:spacing w:after="0"/>
              <w:rPr>
                <w:sz w:val="24"/>
                <w:szCs w:val="24"/>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ended</w:t>
            </w:r>
          </w:p>
        </w:tc>
        <w:tc>
          <w:tcPr>
            <w:tcW w:w="340" w:type="dxa"/>
            <w:vAlign w:val="bottom"/>
          </w:tcPr>
          <w:p>
            <w:pPr>
              <w:spacing w:after="0"/>
              <w:rPr>
                <w:sz w:val="18"/>
                <w:szCs w:val="18"/>
                <w:color w:val="auto"/>
              </w:rPr>
            </w:pPr>
          </w:p>
        </w:tc>
        <w:tc>
          <w:tcPr>
            <w:tcW w:w="4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20   , we made new investment commitments of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million, $</w:t>
            </w:r>
          </w:p>
        </w:tc>
        <w:tc>
          <w:tcPr>
            <w:tcW w:w="19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million in</w:t>
            </w:r>
          </w:p>
        </w:tc>
        <w:tc>
          <w:tcPr>
            <w:tcW w:w="25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new portfolio companies and</w:t>
            </w:r>
          </w:p>
        </w:tc>
        <w:tc>
          <w:tcPr>
            <w:tcW w:w="380" w:type="dxa"/>
            <w:vAlign w:val="bottom"/>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w w:val="96"/>
              </w:rPr>
              <w:t>million in</w:t>
            </w:r>
          </w:p>
        </w:tc>
        <w:tc>
          <w:tcPr>
            <w:tcW w:w="240" w:type="dxa"/>
            <w:vAlign w:val="bottom"/>
          </w:tcPr>
          <w:p>
            <w:pPr>
              <w:spacing w:after="0"/>
              <w:rPr>
                <w:sz w:val="18"/>
                <w:szCs w:val="18"/>
                <w:color w:val="auto"/>
              </w:rPr>
            </w:pPr>
          </w:p>
        </w:tc>
        <w:tc>
          <w:tcPr>
            <w:tcW w:w="4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existing portfolio companies. For this period, we had $</w:t>
            </w:r>
          </w:p>
        </w:tc>
        <w:tc>
          <w:tcPr>
            <w:tcW w:w="4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w:t>
            </w:r>
          </w:p>
        </w:tc>
      </w:tr>
      <w:tr>
        <w:trPr>
          <w:trHeight w:val="234"/>
        </w:trPr>
        <w:tc>
          <w:tcPr>
            <w:tcW w:w="2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resulting in net portfolio growth of $</w:t>
            </w:r>
          </w:p>
        </w:tc>
        <w:tc>
          <w:tcPr>
            <w:tcW w:w="384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million aggregate principal amount.</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4"/>
        </w:trPr>
        <w:tc>
          <w:tcPr>
            <w:tcW w:w="21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As of December 31,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   , we had investments in</w:t>
            </w:r>
          </w:p>
        </w:tc>
        <w:tc>
          <w:tcPr>
            <w:tcW w:w="52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portfolio companies with an aggregate fair value of $</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million. For the</w:t>
            </w:r>
          </w:p>
        </w:tc>
      </w:tr>
      <w:tr>
        <w:trPr>
          <w:trHeight w:val="216"/>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ended December 31, 20</w:t>
            </w:r>
          </w:p>
        </w:tc>
        <w:tc>
          <w:tcPr>
            <w:tcW w:w="354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 we made new investment commitments of $</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million, $</w:t>
            </w: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million in</w:t>
            </w:r>
          </w:p>
        </w:tc>
        <w:tc>
          <w:tcPr>
            <w:tcW w:w="29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new portfolio companies and $</w:t>
            </w:r>
          </w:p>
        </w:tc>
      </w:tr>
      <w:tr>
        <w:trPr>
          <w:trHeight w:val="216"/>
        </w:trPr>
        <w:tc>
          <w:tcPr>
            <w:tcW w:w="21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million in</w:t>
            </w:r>
          </w:p>
        </w:tc>
        <w:tc>
          <w:tcPr>
            <w:tcW w:w="4420" w:type="dxa"/>
            <w:vAlign w:val="bottom"/>
            <w:gridSpan w:val="6"/>
          </w:tcPr>
          <w:p>
            <w:pPr>
              <w:jc w:val="center"/>
              <w:ind w:right="190"/>
              <w:spacing w:after="0"/>
              <w:rPr>
                <w:sz w:val="20"/>
                <w:szCs w:val="20"/>
                <w:color w:val="auto"/>
              </w:rPr>
            </w:pPr>
            <w:r>
              <w:rPr>
                <w:rFonts w:ascii="Times New Roman" w:cs="Times New Roman" w:eastAsia="Times New Roman" w:hAnsi="Times New Roman"/>
                <w:sz w:val="18"/>
                <w:szCs w:val="18"/>
                <w:color w:val="auto"/>
                <w:w w:val="99"/>
              </w:rPr>
              <w:t>existing portfolio companies. For this period, we had $</w:t>
            </w:r>
          </w:p>
        </w:tc>
        <w:tc>
          <w:tcPr>
            <w:tcW w:w="486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million aggregate principal amount in exits and repayments,</w:t>
            </w:r>
          </w:p>
        </w:tc>
      </w:tr>
      <w:tr>
        <w:trPr>
          <w:trHeight w:val="234"/>
        </w:trPr>
        <w:tc>
          <w:tcPr>
            <w:tcW w:w="2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resulting in net portfolio growth of $</w:t>
            </w:r>
          </w:p>
        </w:tc>
        <w:tc>
          <w:tcPr>
            <w:tcW w:w="3840" w:type="dxa"/>
            <w:vAlign w:val="bottom"/>
            <w:gridSpan w:val="4"/>
          </w:tcPr>
          <w:p>
            <w:pPr>
              <w:ind w:left="740"/>
              <w:spacing w:after="0"/>
              <w:rPr>
                <w:sz w:val="20"/>
                <w:szCs w:val="20"/>
                <w:color w:val="auto"/>
              </w:rPr>
            </w:pPr>
            <w:r>
              <w:rPr>
                <w:rFonts w:ascii="Times New Roman" w:cs="Times New Roman" w:eastAsia="Times New Roman" w:hAnsi="Times New Roman"/>
                <w:sz w:val="18"/>
                <w:szCs w:val="18"/>
                <w:color w:val="auto"/>
              </w:rPr>
              <w:t>million aggregate principal amount.</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14"/>
        </w:trPr>
        <w:tc>
          <w:tcPr>
            <w:tcW w:w="422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Since we began investing in 2011 through</w:t>
            </w:r>
          </w:p>
        </w:tc>
        <w:tc>
          <w:tcPr>
            <w:tcW w:w="71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20   , our exited investments have resulted in an aggregate cash flow realized gross internal rate</w:t>
            </w:r>
          </w:p>
        </w:tc>
      </w:tr>
      <w:tr>
        <w:trPr>
          <w:trHeight w:val="216"/>
        </w:trPr>
        <w:tc>
          <w:tcPr>
            <w:tcW w:w="2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return to us of approximately</w:t>
            </w:r>
          </w:p>
        </w:tc>
        <w:tc>
          <w:tcPr>
            <w:tcW w:w="4180" w:type="dxa"/>
            <w:vAlign w:val="bottom"/>
            <w:gridSpan w:val="5"/>
          </w:tcPr>
          <w:p>
            <w:pPr>
              <w:jc w:val="center"/>
              <w:ind w:right="410"/>
              <w:spacing w:after="0"/>
              <w:rPr>
                <w:sz w:val="20"/>
                <w:szCs w:val="20"/>
                <w:color w:val="auto"/>
              </w:rPr>
            </w:pPr>
            <w:r>
              <w:rPr>
                <w:rFonts w:ascii="Times New Roman" w:cs="Times New Roman" w:eastAsia="Times New Roman" w:hAnsi="Times New Roman"/>
                <w:sz w:val="18"/>
                <w:szCs w:val="18"/>
                <w:color w:val="auto"/>
              </w:rPr>
              <w:t>% (based on cash invested of approximately $</w:t>
            </w:r>
          </w:p>
        </w:tc>
        <w:tc>
          <w:tcPr>
            <w:tcW w:w="44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million and total proceeds from these exited investments of</w:t>
            </w:r>
          </w:p>
        </w:tc>
        <w:tc>
          <w:tcPr>
            <w:tcW w:w="380" w:type="dxa"/>
            <w:vAlign w:val="bottom"/>
          </w:tcPr>
          <w:p>
            <w:pPr>
              <w:spacing w:after="0"/>
              <w:rPr>
                <w:sz w:val="18"/>
                <w:szCs w:val="18"/>
                <w:color w:val="auto"/>
              </w:rPr>
            </w:pPr>
          </w:p>
        </w:tc>
      </w:tr>
      <w:tr>
        <w:trPr>
          <w:trHeight w:val="23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approximately $</w:t>
            </w: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million).</w:t>
            </w:r>
          </w:p>
        </w:tc>
        <w:tc>
          <w:tcPr>
            <w:tcW w:w="87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percent of these exited investments resulted in an aggregate cash flow realized gross internal rate of return to us</w:t>
            </w:r>
          </w:p>
        </w:tc>
      </w:tr>
    </w:tbl>
    <w:p>
      <w:pPr>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in the accompanying prospectus for more information on these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Adviser sources and manages our portfolio through a dedicated team of investment professionals predominately focused on us, which we refer to as our Investment Team.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380"/>
          </w:cols>
          <w:pgMar w:left="240" w:top="270" w:right="27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by our investment review committee, or the Investment Review Committee, which includes senior personnel of TSSP and TPG.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TSSP, which encompasses TPG Specialty Lending, TPG Opportunities Partners and TPG Institutional Credit Partners, is TPG’s special situations and</w:t>
      </w:r>
    </w:p>
    <w:p>
      <w:pPr>
        <w:spacing w:after="0" w:line="2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credit platform. TSSP had over $ billion of assets under management as of , 20 . TSSP has extensive experience with highly complex, global public and private investments executed through primary originations, secondary market purchases and restructurings, and has a team of investment and operating professionals. of these personnel are dedicated to our business, including investment professionals. The TSSP members of the Investment Review Committee are Joshua Easterly, Michael Fishman, Alan Waxman and David Stiepleman.</w:t>
      </w:r>
    </w:p>
    <w:p>
      <w:pPr>
        <w:spacing w:after="0" w:line="186" w:lineRule="exact"/>
        <w:rPr>
          <w:sz w:val="20"/>
          <w:szCs w:val="20"/>
          <w:color w:val="auto"/>
        </w:rPr>
      </w:pPr>
    </w:p>
    <w:p>
      <w:pPr>
        <w:ind w:left="460"/>
        <w:spacing w:after="0"/>
        <w:tabs>
          <w:tab w:leader="none" w:pos="5880" w:val="left"/>
          <w:tab w:leader="none" w:pos="9440" w:val="left"/>
          <w:tab w:leader="none" w:pos="10080" w:val="left"/>
        </w:tabs>
        <w:rPr>
          <w:sz w:val="20"/>
          <w:szCs w:val="20"/>
          <w:color w:val="auto"/>
        </w:rPr>
      </w:pPr>
      <w:r>
        <w:rPr>
          <w:rFonts w:ascii="Times New Roman" w:cs="Times New Roman" w:eastAsia="Times New Roman" w:hAnsi="Times New Roman"/>
          <w:sz w:val="18"/>
          <w:szCs w:val="18"/>
          <w:color w:val="auto"/>
        </w:rPr>
        <w:t>TPG is a leading global private investment firm founded in 1992 with</w:t>
      </w:r>
      <w:r>
        <w:rPr>
          <w:sz w:val="20"/>
          <w:szCs w:val="20"/>
          <w:color w:val="auto"/>
        </w:rPr>
        <w:tab/>
      </w:r>
      <w:r>
        <w:rPr>
          <w:rFonts w:ascii="Times New Roman" w:cs="Times New Roman" w:eastAsia="Times New Roman" w:hAnsi="Times New Roman"/>
          <w:sz w:val="18"/>
          <w:szCs w:val="18"/>
          <w:color w:val="auto"/>
        </w:rPr>
        <w:t>billion of assets under management,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and offices in</w:t>
      </w:r>
    </w:p>
    <w:p>
      <w:pPr>
        <w:spacing w:after="0" w:line="2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w:t>
      </w:r>
    </w:p>
    <w:p>
      <w:pPr>
        <w:spacing w:after="0" w:line="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growth investments, joint ventures and restructurings, and has a team of professionals. The TPG members of the Investment Review Committee are TPG co-founders, David Bonderman and James Coulter, and TPG Senior Partners, Jonathan Coslet and James Gates.</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 of the Adviser consists primarily of senior executives of TSSP and TPG. TSSP and TPG executives, including members of our</w:t>
      </w:r>
    </w:p>
    <w:p>
      <w:pPr>
        <w:spacing w:after="0" w:line="27" w:lineRule="exact"/>
        <w:rPr>
          <w:sz w:val="20"/>
          <w:szCs w:val="20"/>
          <w:color w:val="auto"/>
        </w:rPr>
      </w:pPr>
    </w:p>
    <w:p>
      <w:pPr>
        <w:spacing w:after="0"/>
        <w:tabs>
          <w:tab w:leader="none" w:pos="9020" w:val="left"/>
          <w:tab w:leader="none" w:pos="9640" w:val="left"/>
        </w:tabs>
        <w:rPr>
          <w:sz w:val="20"/>
          <w:szCs w:val="20"/>
          <w:color w:val="auto"/>
        </w:rPr>
      </w:pPr>
      <w:r>
        <w:rPr>
          <w:rFonts w:ascii="Times New Roman" w:cs="Times New Roman" w:eastAsia="Times New Roman" w:hAnsi="Times New Roman"/>
          <w:sz w:val="18"/>
          <w:szCs w:val="18"/>
          <w:color w:val="auto"/>
        </w:rPr>
        <w:t>Investment Review Committee and certain of our other senior personnel, own a significant stake in the Adviser. As of</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our Adviser owned</w:t>
      </w:r>
    </w:p>
    <w:p>
      <w:pPr>
        <w:spacing w:after="0" w:line="9" w:lineRule="exact"/>
        <w:rPr>
          <w:sz w:val="20"/>
          <w:szCs w:val="20"/>
          <w:color w:val="auto"/>
        </w:rPr>
      </w:pPr>
    </w:p>
    <w:p>
      <w:pPr>
        <w:ind w:right="20" w:firstLine="188"/>
        <w:spacing w:after="0" w:line="261" w:lineRule="auto"/>
        <w:tabs>
          <w:tab w:leader="none" w:pos="37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our common stock. See “Management,” “Related-Party Transactions and Certain Relationships” and “Control Persons and Principal Stockholders” in the accompanying prospectus.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Adviser has entered into an agreement with Goldman, Sachs &amp; Co., which we refer to as the 10b5-1 Plan, in accordance with Rules 10b5-1 and 10b-18 under the Securities Exchange Act of 1934, as amended, or the Exchange Act, under which Goldman, Sachs &amp; Co., as agent for the Adviser, will buy up to $25 million in the aggregate of our common stock, subject to certain conditions, during the period beginning April 24, 2014 and ending on the earlier of the date on which all the capital committed to the 10b5-1 Plan has been exhausted or December 31, 2014. See “Related-Party Transactions and Certain Relationships” in the accompanying prospectus.]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description of recent developments at time of offering]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360"/>
          </w:cols>
          <w:pgMar w:left="240" w:top="269" w:right="299" w:bottom="1440" w:gutter="0" w:footer="0" w:header="0"/>
        </w:sectPr>
      </w:pPr>
    </w:p>
    <w:bookmarkStart w:id="388" w:name="page389"/>
    <w:bookmarkEnd w:id="38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TERMS OF THE UNITS AND THE OFFERING</w:t>
      </w:r>
    </w:p>
    <w:p>
      <w:pPr>
        <w:spacing w:after="0" w:line="2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the Units that we are offering pursuant to this prospectus supplement and supplements the accompanying prospectus that is attached to the back of this prospectus supplement. This section outlines the specific legal and financial terms of the Units. You should read this section together with the more general description of the Units in this prospectus supplement under the heading “Description of the Units” and in the accompanying prospectus under the heading “Description of Our Units” before investing in the Units. Capitalized terms used in this prospectus supplement and not otherwise defined shall have the meanings ascribed to them in the accompanying prospectus.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material terms of the Units in tabular form to the extent required to be disclosed by applicable law or regulation.]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20"/>
          </w:cols>
          <w:pgMar w:left="240" w:top="266" w:right="439" w:bottom="1440" w:gutter="0" w:footer="0" w:header="0"/>
        </w:sectPr>
      </w:pPr>
    </w:p>
    <w:bookmarkStart w:id="389" w:name="page390"/>
    <w:bookmarkEnd w:id="38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risk factors applicable to the Units and any additional relevant risk factors not included in the base prospectus to the extent required to be disclosed by applicable law or regulation.]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340"/>
          </w:cols>
          <w:pgMar w:left="240" w:top="266" w:right="319" w:bottom="1440" w:gutter="0" w:footer="0" w:header="0"/>
        </w:sectPr>
      </w:pPr>
    </w:p>
    <w:bookmarkStart w:id="390" w:name="page391"/>
    <w:bookmarkEnd w:id="39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FINANCIAL DATA AND OTHER INFORMATION</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entitled “Management’s Discussion and Analysis of Financial Condition and Results of Operations” and the consolidated financial statements, related notes and other financial information included in this prospectus supplement or the accompanying prospectus. The selected financial data in this section is not intended to replace the consolidated financial statements and is qualified in its entirety by the consolidated financial statements and related notes included in this prospectus supplement or the accompanying prospectus.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derived the selected consolidated financial data for the years ended December 31, 20 , December 31, 20 and December 31, 20 from our audited consolidated financial statements and related notes, which are included elsewhere in this prospectus supplement or the accompanying prospectus. We</w:t>
      </w:r>
    </w:p>
    <w:p>
      <w:pPr>
        <w:ind w:right="520"/>
        <w:spacing w:after="0" w:line="261" w:lineRule="auto"/>
        <w:rPr>
          <w:sz w:val="20"/>
          <w:szCs w:val="20"/>
          <w:color w:val="auto"/>
        </w:rPr>
      </w:pPr>
      <w:r>
        <w:rPr>
          <w:rFonts w:ascii="Times New Roman" w:cs="Times New Roman" w:eastAsia="Times New Roman" w:hAnsi="Times New Roman"/>
          <w:sz w:val="18"/>
          <w:szCs w:val="18"/>
          <w:color w:val="auto"/>
        </w:rPr>
        <w:t>derived the selected consolidated financial data for the ended , 20 and , 20 from our unaudited interim consolidated financial statements and related notes, which are included elsewhere in this prospectus supplement or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Selected Financial Data and Other Information reflecting most recently filed financials prior to the offering.]</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340"/>
          </w:cols>
          <w:pgMar w:left="240" w:top="266" w:right="319" w:bottom="1440" w:gutter="0" w:footer="0" w:header="0"/>
        </w:sectPr>
      </w:pPr>
    </w:p>
    <w:bookmarkStart w:id="391" w:name="page392"/>
    <w:bookmarkEnd w:id="39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we will receive from the sale of Units in this offering will be approximately $ million (or approximately $ million if the underwriters fully exercise their over-allotment option), in each case assuming a public offering price of $ per Unit, after deducting the underwriting discounts and commissions of $ million (or approximately $ million if the underwriters fully exercise their over-allotment option) payable by us and estimated offering expenses of approximately $ million payable by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 use of proceeds and include any other relevant information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240" w:top="266" w:right="419" w:bottom="1440" w:gutter="0" w:footer="0" w:header="0"/>
        </w:sectPr>
      </w:pPr>
    </w:p>
    <w:bookmarkStart w:id="392" w:name="page393"/>
    <w:bookmarkEnd w:id="39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THE UNITS</w:t>
      </w:r>
    </w:p>
    <w:p>
      <w:pPr>
        <w:spacing w:after="0" w:line="22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This prospectus supplement sets forth certain terms of the Units that we are offering pursuant to this prospectus supplement and the accompanying prospectus. This section outlines the specific legal and financial terms of the Units. You should read this section together with the more general description of the Units in the accompanying prospectus under the heading “Description of Our Units” before investing in the Units. This summary is not necessarily complete and is subject to and entirely qualified by reference to [insert relevant documents].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material terms of the Units to the extent required to be disclosed by applicable law or regulation.]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360"/>
          </w:cols>
          <w:pgMar w:left="240" w:top="265" w:right="299" w:bottom="1440" w:gutter="0" w:footer="0" w:header="0"/>
        </w:sectPr>
      </w:pPr>
    </w:p>
    <w:bookmarkStart w:id="393" w:name="page394"/>
    <w:bookmarkEnd w:id="3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MANAGEMENT’S DISCUSSION AND ANALYSIS OF FINANCIAL CONDITION AND RESULTS OF OPERATIONS</w:t>
      </w:r>
    </w:p>
    <w:p>
      <w:pPr>
        <w:spacing w:after="0" w:line="22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supplement or the accompanying prospectus. The information in this section contains forward-looking statements that involve risks and uncertainties. Please see “Risk Factors” and “Special Note Regarding Forward-Looking Statements” in this prospectus supplement and the accompanying prospectus for a discussion of the uncertainties, risks and assumptions associated with these statements.</w:t>
      </w:r>
    </w:p>
    <w:p>
      <w:pPr>
        <w:spacing w:after="0" w:line="18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[Insert Management’s Discussion and Analysis of Financial Condition and Results of Operations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380"/>
          </w:cols>
          <w:pgMar w:left="240" w:top="266" w:right="279" w:bottom="1440" w:gutter="0" w:footer="0" w:header="0"/>
        </w:sectPr>
      </w:pPr>
    </w:p>
    <w:bookmarkStart w:id="394" w:name="page395"/>
    <w:bookmarkEnd w:id="394"/>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UNITED STATES FEDERAL INCOME TAX CONSEQUENCES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disclosure regarding federal income tax consequences of an investment in the Units to the extent required to be disclosed by applicable law or regulation.]</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740"/>
          </w:cols>
          <w:pgMar w:left="240" w:top="266" w:right="919" w:bottom="1440" w:gutter="0" w:footer="0" w:header="0"/>
        </w:sectPr>
      </w:pPr>
    </w:p>
    <w:bookmarkStart w:id="395" w:name="page396"/>
    <w:bookmarkEnd w:id="3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CAPITALIZATION</w:t>
      </w:r>
      <w:r>
        <w:rPr>
          <w:rFonts w:ascii="Times New Roman" w:cs="Times New Roman" w:eastAsia="Times New Roman" w:hAnsi="Times New Roman"/>
          <w:sz w:val="18"/>
          <w:szCs w:val="18"/>
          <w:color w:val="auto"/>
        </w:rPr>
        <w:t>(2)</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our actual consolidated capitalization at , 20 and (b) our pro forma consolidated capitalization to reflect the effects of the sale of the Units in this offering (assuming that the underwriters do not exercise their over-allotment option) assuming a public offering price</w:t>
      </w:r>
    </w:p>
    <w:p>
      <w:pPr>
        <w:ind w:right="320"/>
        <w:spacing w:after="0" w:line="261" w:lineRule="auto"/>
        <w:rPr>
          <w:sz w:val="20"/>
          <w:szCs w:val="20"/>
          <w:color w:val="auto"/>
        </w:rPr>
      </w:pPr>
      <w:r>
        <w:rPr>
          <w:rFonts w:ascii="Times New Roman" w:cs="Times New Roman" w:eastAsia="Times New Roman" w:hAnsi="Times New Roman"/>
          <w:sz w:val="18"/>
          <w:szCs w:val="18"/>
          <w:color w:val="auto"/>
        </w:rPr>
        <w:t>of $ per Unit, after deducting the underwriting discounts and commissions and estimated offering expenses payable by us. You should read this table together with “Use of Proceeds” and our most recent balance sheet included elsewhere in this prospectus supplement or the accompanying prospectus.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20</w:t>
            </w:r>
          </w:p>
        </w:tc>
        <w:tc>
          <w:tcPr>
            <w:tcW w:w="100" w:type="dxa"/>
            <w:vAlign w:val="bottom"/>
          </w:tcPr>
          <w:p>
            <w:pPr>
              <w:spacing w:after="0"/>
              <w:rPr>
                <w:sz w:val="13"/>
                <w:szCs w:val="13"/>
                <w:color w:val="auto"/>
              </w:rPr>
            </w:pPr>
          </w:p>
        </w:tc>
      </w:tr>
      <w:tr>
        <w:trPr>
          <w:trHeight w:val="149"/>
        </w:trPr>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(unaudited, dollar amounts</w:t>
            </w:r>
          </w:p>
        </w:tc>
      </w:tr>
      <w:tr>
        <w:trPr>
          <w:trHeight w:val="173"/>
        </w:trPr>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1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42"/>
        </w:trPr>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0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78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00" w:type="dxa"/>
            <w:vAlign w:val="bottom"/>
          </w:tcPr>
          <w:p>
            <w:pPr>
              <w:spacing w:after="0"/>
              <w:rPr>
                <w:sz w:val="12"/>
                <w:szCs w:val="12"/>
                <w:color w:val="auto"/>
              </w:rPr>
            </w:pPr>
          </w:p>
        </w:tc>
      </w:tr>
      <w:tr>
        <w:trPr>
          <w:trHeight w:val="210"/>
        </w:trPr>
        <w:tc>
          <w:tcPr>
            <w:tcW w:w="2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 Debt outstanding as of period reported]</w:t>
            </w:r>
          </w:p>
        </w:tc>
        <w:tc>
          <w:tcPr>
            <w:tcW w:w="10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8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$0.01 par value;</w:t>
            </w:r>
          </w:p>
        </w:tc>
        <w:tc>
          <w:tcPr>
            <w:tcW w:w="1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106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4020" w:type="dxa"/>
            <w:vAlign w:val="bottom"/>
            <w:gridSpan w:val="3"/>
          </w:tcPr>
          <w:p>
            <w:pPr>
              <w:ind w:left="80"/>
              <w:spacing w:after="0" w:line="198" w:lineRule="exact"/>
              <w:rPr>
                <w:sz w:val="20"/>
                <w:szCs w:val="20"/>
                <w:color w:val="auto"/>
              </w:rPr>
            </w:pPr>
            <w:r>
              <w:rPr>
                <w:rFonts w:ascii="Times New Roman" w:cs="Times New Roman" w:eastAsia="Times New Roman" w:hAnsi="Times New Roman"/>
                <w:sz w:val="18"/>
                <w:szCs w:val="18"/>
                <w:color w:val="auto"/>
              </w:rPr>
              <w:t>shares issued and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20" w:type="dxa"/>
            <w:vAlign w:val="bottom"/>
            <w:gridSpan w:val="2"/>
          </w:tcPr>
          <w:p>
            <w:pPr>
              <w:jc w:val="right"/>
              <w:ind w:right="5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198"/>
        </w:trPr>
        <w:tc>
          <w:tcPr>
            <w:tcW w:w="28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w:t>
            </w:r>
          </w:p>
        </w:tc>
        <w:tc>
          <w:tcPr>
            <w:tcW w:w="17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shares authorized;</w:t>
            </w:r>
          </w:p>
        </w:tc>
        <w:tc>
          <w:tcPr>
            <w:tcW w:w="106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and</w:t>
            </w:r>
          </w:p>
        </w:tc>
        <w:tc>
          <w:tcPr>
            <w:tcW w:w="4020" w:type="dxa"/>
            <w:vAlign w:val="bottom"/>
            <w:gridSpan w:val="3"/>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shares issued, respectively;</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and</w:t>
            </w:r>
          </w:p>
        </w:tc>
        <w:tc>
          <w:tcPr>
            <w:tcW w:w="30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outstanding, respectively</w:t>
            </w:r>
          </w:p>
        </w:tc>
        <w:tc>
          <w:tcPr>
            <w:tcW w:w="106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[gain][loss] on investments and foreign currency transactions</w:t>
            </w:r>
          </w:p>
        </w:tc>
        <w:tc>
          <w:tcPr>
            <w:tcW w:w="2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20" w:type="dxa"/>
            <w:vAlign w:val="bottom"/>
            <w:gridSpan w:val="2"/>
          </w:tcPr>
          <w:p>
            <w:pPr>
              <w:jc w:val="right"/>
              <w:ind w:right="5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ind w:right="54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Capitalization table securities comprising the Unit.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400"/>
          </w:cols>
          <w:pgMar w:left="240" w:top="266" w:right="259" w:bottom="1440" w:gutter="0" w:footer="0" w:header="0"/>
        </w:sectPr>
      </w:pPr>
    </w:p>
    <w:bookmarkStart w:id="396" w:name="page397"/>
    <w:bookmarkEnd w:id="3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UNDERWRITING</w:t>
      </w:r>
    </w:p>
    <w:p>
      <w:pPr>
        <w:spacing w:after="0" w:line="229" w:lineRule="exact"/>
        <w:rPr>
          <w:sz w:val="20"/>
          <w:szCs w:val="20"/>
          <w:color w:val="auto"/>
        </w:rPr>
      </w:pPr>
    </w:p>
    <w:p>
      <w:pPr>
        <w:jc w:val="both"/>
        <w:ind w:firstLine="464"/>
        <w:spacing w:after="0" w:line="266" w:lineRule="auto"/>
        <w:tabs>
          <w:tab w:leader="none" w:pos="12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are acting as representatives of each of the underwriters named below. Subject to the terms and conditions set forth in a purchase agreement among us and the underwriters, we have agreed to sell to the underwriters, and each of the underwriters has agreed, severally and not jointly, to purchase from us, the number of Units set forth opposite its name below.</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960" w:type="dxa"/>
            <w:vAlign w:val="bottom"/>
          </w:tcPr>
          <w:p>
            <w:pPr>
              <w:jc w:val="center"/>
              <w:ind w:left="62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5"/>
        </w:trPr>
        <w:tc>
          <w:tcPr>
            <w:tcW w:w="780" w:type="dxa"/>
            <w:vAlign w:val="bottom"/>
            <w:tcBorders>
              <w:bottom w:val="single" w:sz="8" w:color="auto"/>
            </w:tcBorders>
            <w:vMerge w:val="continue"/>
          </w:tcPr>
          <w:p>
            <w:pPr>
              <w:spacing w:after="0"/>
              <w:rPr>
                <w:sz w:val="13"/>
                <w:szCs w:val="13"/>
                <w:color w:val="auto"/>
              </w:rPr>
            </w:pPr>
          </w:p>
        </w:tc>
        <w:tc>
          <w:tcPr>
            <w:tcW w:w="6960" w:type="dxa"/>
            <w:vAlign w:val="bottom"/>
          </w:tcPr>
          <w:p>
            <w:pPr>
              <w:jc w:val="center"/>
              <w:ind w:left="6228"/>
              <w:spacing w:after="0" w:line="160" w:lineRule="exact"/>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1371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7"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purchase agreement, the underwriters have agreed, severally and not jointly, to purchase all of the Units sold under the purchase agreement if any of these Units are purchased. If an underwriter defaults, the purchase agreement provides that the purchase commitments of the nondefaulting underwriters may be increased or the purchase agreement may be terminated.</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underwriters are offering the Units, subject to prior sale, when, as and if issued to and accepted by them, subject to approval of legal matters by their counsel, including the validity of the Units,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Units to the public at the public offering price set forth on the</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cover page of this prospectus and to dealers at that price less a concession not in excess of $ per Unit. After the initial offering, the public offering price, concession or any other term of the offering may be changed.</w:t>
      </w:r>
    </w:p>
    <w:p>
      <w:pPr>
        <w:spacing w:after="0" w:line="18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48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196"/>
        </w:trPr>
        <w:tc>
          <w:tcPr>
            <w:tcW w:w="9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Public offering price</w:t>
            </w:r>
          </w:p>
        </w:tc>
        <w:tc>
          <w:tcPr>
            <w:tcW w:w="6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432"/>
        </w:trPr>
        <w:tc>
          <w:tcPr>
            <w:tcW w:w="71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w:t>
            </w:r>
          </w:p>
        </w:tc>
        <w:tc>
          <w:tcPr>
            <w:tcW w:w="2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and are payable by us.</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0"/>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53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 have granted an option to the underwriters to purchase up to</w:t>
            </w:r>
          </w:p>
        </w:tc>
        <w:tc>
          <w:tcPr>
            <w:tcW w:w="6040" w:type="dxa"/>
            <w:vAlign w:val="bottom"/>
            <w:gridSpan w:val="8"/>
          </w:tcPr>
          <w:p>
            <w:pPr>
              <w:ind w:left="300"/>
              <w:spacing w:after="0"/>
              <w:rPr>
                <w:sz w:val="20"/>
                <w:szCs w:val="20"/>
                <w:color w:val="auto"/>
              </w:rPr>
            </w:pPr>
            <w:r>
              <w:rPr>
                <w:rFonts w:ascii="Times New Roman" w:cs="Times New Roman" w:eastAsia="Times New Roman" w:hAnsi="Times New Roman"/>
                <w:sz w:val="18"/>
                <w:szCs w:val="18"/>
                <w:color w:val="auto"/>
                <w:w w:val="99"/>
              </w:rPr>
              <w:t>additional Units at the public offering price, less the underwriting discount. The</w:t>
            </w:r>
          </w:p>
        </w:tc>
      </w:tr>
    </w:tbl>
    <w:p>
      <w:pPr>
        <w:ind w:right="40"/>
        <w:spacing w:after="0" w:line="255" w:lineRule="auto"/>
        <w:rPr>
          <w:sz w:val="20"/>
          <w:szCs w:val="20"/>
          <w:color w:val="auto"/>
        </w:rPr>
      </w:pPr>
      <w:r>
        <w:rPr>
          <w:rFonts w:ascii="Times New Roman" w:cs="Times New Roman" w:eastAsia="Times New Roman" w:hAnsi="Times New Roman"/>
          <w:sz w:val="18"/>
          <w:szCs w:val="18"/>
          <w:color w:val="auto"/>
        </w:rPr>
        <w:t>underwriters may exercise this option for days from the date of this prospectus supplement solely to cover any over-allotments. If the underwriters exercise this option, each will be obligated, subject to conditions contained in the purchase agreement, to purchase a number of additional Units proportionate to that underwriter’s initial amount reflected in the above table.]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400"/>
          </w:cols>
          <w:pgMar w:left="240" w:top="266" w:right="25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Sales of Similar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transfer or dispose of any [insert securities comprising the Units] or file any registration statement under the Securities Act with respect to any of</w:t>
      </w:r>
    </w:p>
    <w:p>
      <w:pPr>
        <w:spacing w:after="0" w:line="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foregoing for a period of days after the date of this prospectus supplement without first obtaining the written consent of [ ]. This consent may be given at any time without public notice.]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ectPr>
          <w:pgSz w:w="11900" w:h="16838" w:orient="portrait"/>
          <w:cols w:equalWidth="0" w:num="1">
            <w:col w:w="11420"/>
          </w:cols>
          <w:pgMar w:left="240" w:top="265" w:right="239" w:bottom="1440" w:gutter="0" w:footer="0" w:header="0"/>
        </w:sect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Units are a new issue of securities with no established trading market. We intend to list the Units on</w:t>
      </w:r>
    </w:p>
    <w:p>
      <w:pPr>
        <w:spacing w:after="0" w:line="27" w:lineRule="exact"/>
        <w:rPr>
          <w:sz w:val="20"/>
          <w:szCs w:val="20"/>
          <w:color w:val="auto"/>
        </w:rPr>
      </w:pPr>
    </w:p>
    <w:p>
      <w:pPr>
        <w:ind w:left="500"/>
        <w:spacing w:after="0"/>
        <w:tabs>
          <w:tab w:leader="none" w:pos="1780" w:val="left"/>
        </w:tabs>
        <w:rPr>
          <w:sz w:val="20"/>
          <w:szCs w:val="20"/>
          <w:color w:val="auto"/>
        </w:rPr>
      </w:pPr>
      <w:r>
        <w:rPr>
          <w:rFonts w:ascii="Times New Roman" w:cs="Times New Roman" w:eastAsia="Times New Roman" w:hAnsi="Times New Roman"/>
          <w:sz w:val="18"/>
          <w:szCs w:val="18"/>
          <w:color w:val="auto"/>
        </w:rPr>
        <w:t>to begin within</w:t>
        <w:tab/>
        <w:t>days after the original issue date. Currently there is no public market for the Units.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We expect trading in the Units</w:t>
      </w:r>
    </w:p>
    <w:p>
      <w:pPr>
        <w:spacing w:after="0" w:line="445" w:lineRule="exact"/>
        <w:rPr>
          <w:sz w:val="20"/>
          <w:szCs w:val="20"/>
          <w:color w:val="auto"/>
        </w:rPr>
      </w:pPr>
    </w:p>
    <w:p>
      <w:pPr>
        <w:sectPr>
          <w:pgSz w:w="11900" w:h="16838" w:orient="portrait"/>
          <w:cols w:equalWidth="0" w:num="3">
            <w:col w:w="180" w:space="280"/>
            <w:col w:w="7740" w:space="360"/>
            <w:col w:w="2860"/>
          </w:cols>
          <w:pgMar w:left="240" w:top="265" w:right="239" w:bottom="1440" w:gutter="0" w:footer="0" w:header="0"/>
          <w:type w:val="continuous"/>
        </w:sectPr>
      </w:pPr>
    </w:p>
    <w:p>
      <w:pPr>
        <w:spacing w:after="0" w:line="7"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have been advised by the underwriters that they presently intend to make a market in the Units after completion of the offering as permitted by applicable laws and regulations. The underwriters are not obligated, however, to make a market in the Units and any such market-making may be discontinued at any time in the sole discretion of the underwriters without any notice. Accordingly, no assurance can be given as to the liquidity of, or development of a public trading market for, the Units. If any active public trading market for the Units does not develop, the market price and liquidity of the Units may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Until the distribution of the Units is completed, SEC rules may limit underwriters and selling group members from bidding for and purchasing our Units. However, the representatives may engage in transactions that stabilize the price of the Units, such as bids or purchases to peg, fix or maintain that price.</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Units in the open market. These transactions may include short sales, purchases on the open market to cover positions created by short sales and stabilizing transactions. Short sales involve the sale by the underwriters of a greater number of Units than they are required to purchase in the offering. “Covered” short sales are sales made in an amount not greater than the underwriters’ over-allotment option described above. The underwriters may close out any covered short position by either exercising their over-allotment option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over-allotment option. “Naked” short sales are sales in excess of the over-allotment option.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the offering. Stabilizing transactions consist of various bids for or purchases of Units made by the underwriters in the open market prior to the completion of the offering.</w:t>
      </w:r>
    </w:p>
    <w:p>
      <w:pPr>
        <w:spacing w:after="0" w:line="18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w:t>
      </w:r>
    </w:p>
    <w:p>
      <w:pPr>
        <w:spacing w:after="0"/>
        <w:tabs>
          <w:tab w:leader="none" w:pos="7840" w:val="left"/>
        </w:tabs>
        <w:rPr>
          <w:sz w:val="20"/>
          <w:szCs w:val="20"/>
          <w:color w:val="auto"/>
        </w:rPr>
      </w:pPr>
      <w:r>
        <w:rPr>
          <w:rFonts w:ascii="Times New Roman" w:cs="Times New Roman" w:eastAsia="Times New Roman" w:hAnsi="Times New Roman"/>
          <w:sz w:val="18"/>
          <w:szCs w:val="18"/>
          <w:color w:val="auto"/>
        </w:rPr>
        <w:t>that might otherwise exist in the open market. The underwriters may conduct these transactions on</w:t>
      </w:r>
      <w:r>
        <w:rPr>
          <w:sz w:val="20"/>
          <w:szCs w:val="20"/>
          <w:color w:val="auto"/>
        </w:rPr>
        <w:tab/>
      </w:r>
      <w:r>
        <w:rPr>
          <w:rFonts w:ascii="Times New Roman" w:cs="Times New Roman" w:eastAsia="Times New Roman" w:hAnsi="Times New Roman"/>
          <w:sz w:val="18"/>
          <w:szCs w:val="18"/>
          <w:color w:val="auto"/>
        </w:rPr>
        <w:t>, in the over-the-counter market or otherwise.</w:t>
      </w:r>
    </w:p>
    <w:p>
      <w:pPr>
        <w:spacing w:after="0" w:line="207"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Units. In addition, neither we nor any of the underwriters make any representation that the representatives will engage in these transactions or that these transactions, once commenced, will not be discontinued without notice.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420"/>
          </w:cols>
          <w:pgMar w:left="240" w:top="265" w:right="239" w:bottom="1440" w:gutter="0" w:footer="0" w:header="0"/>
          <w:type w:val="continuous"/>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Relationships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any other specific transactions and compensation related thereto to the extent required to be disclosed by applicable law or regulation.]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[Describe if underwriters receiving proceeds of offering, if required by FINRA.]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[Insert principal business addresses of underwriters.]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[Insert applicable legends for jurisdictions in which offers and sales may be made.]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340"/>
          </w:cols>
          <w:pgMar w:left="240" w:top="265" w:right="319" w:bottom="1440" w:gutter="0" w:footer="0" w:header="0"/>
        </w:sectPr>
      </w:pPr>
    </w:p>
    <w:bookmarkStart w:id="399" w:name="page400"/>
    <w:bookmarkEnd w:id="399"/>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MATTERS</w:t>
      </w:r>
    </w:p>
    <w:p>
      <w:pPr>
        <w:spacing w:after="0" w:line="229"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Certain legal matters in connection with the offering will be passed upon for us by Cleary Gottlieb Steen &amp; Hamilton LLP, New York, New York. In addition, Sutherland Asbill &amp; Brennan LLP and Morris, Nichols, Arsht &amp; Tunnell LLP will pass on certain legal matters for us. Cleary Gottlieb Steen &amp;</w:t>
      </w:r>
    </w:p>
    <w:p>
      <w:pPr>
        <w:spacing w:after="0" w:line="1" w:lineRule="exact"/>
        <w:rPr>
          <w:sz w:val="20"/>
          <w:szCs w:val="20"/>
          <w:color w:val="auto"/>
        </w:rPr>
      </w:pPr>
    </w:p>
    <w:p>
      <w:pPr>
        <w:spacing w:after="0"/>
        <w:tabs>
          <w:tab w:leader="none" w:pos="10860" w:val="left"/>
        </w:tabs>
        <w:rPr>
          <w:sz w:val="20"/>
          <w:szCs w:val="20"/>
          <w:color w:val="auto"/>
        </w:rPr>
      </w:pPr>
      <w:r>
        <w:rPr>
          <w:rFonts w:ascii="Times New Roman" w:cs="Times New Roman" w:eastAsia="Times New Roman" w:hAnsi="Times New Roman"/>
          <w:sz w:val="18"/>
          <w:szCs w:val="18"/>
          <w:color w:val="auto"/>
        </w:rPr>
        <w:t>Hamilton LLP also represents the Adviser. Certain legal matters in connection with the offering will be passed upon for the underwriters by [</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80" w:hanging="772"/>
        <w:spacing w:after="0"/>
        <w:tabs>
          <w:tab w:leader="none" w:pos="7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40"/>
          </w:cols>
          <w:pgMar w:left="240" w:top="266" w:right="519" w:bottom="1440" w:gutter="0" w:footer="0" w:header="0"/>
        </w:sectPr>
      </w:pPr>
    </w:p>
    <w:bookmarkStart w:id="400" w:name="page401"/>
    <w:bookmarkEnd w:id="4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[Insert financial statements and notes thereto from most recently filed Quarterly Report on Form 10-Q or Annual Report on Form 10-K, as applicable, prior to the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400"/>
          </w:cols>
          <w:pgMar w:left="240" w:top="266" w:right="259" w:bottom="1440" w:gutter="0" w:footer="0" w:header="0"/>
        </w:sectPr>
      </w:pPr>
    </w:p>
    <w:bookmarkStart w:id="401" w:name="page402"/>
    <w:bookmarkEnd w:id="4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3107690</wp:posOffset>
            </wp:positionH>
            <wp:positionV relativeFrom="page">
              <wp:posOffset>1238250</wp:posOffset>
            </wp:positionV>
            <wp:extent cx="1346200" cy="660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8"/>
          <w:szCs w:val="28"/>
          <w:color w:val="auto"/>
        </w:rPr>
        <w:t>% [Title to be Specified]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1059180</wp:posOffset>
            </wp:positionV>
            <wp:extent cx="151765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243840</wp:posOffset>
            </wp:positionV>
            <wp:extent cx="151765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color w:val="auto"/>
        </w:rPr>
        <w:t>[Underwriters]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977900</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1038225</wp:posOffset>
            </wp:positionV>
            <wp:extent cx="7246620" cy="260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2" w:name="page403"/>
    <w:bookmarkEnd w:id="4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19894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June 23,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CORRESPONDENCE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L. Greene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20549-7553</w:t>
      </w:r>
    </w:p>
    <w:p>
      <w:pPr>
        <w:spacing w:after="0" w:line="230"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TPG Specialty Lending, Inc.</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Registration Statement on Form N-2</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Filed on June 23, 2014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Greene:</w:t>
      </w:r>
    </w:p>
    <w:p>
      <w:pPr>
        <w:spacing w:after="0" w:line="22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behalf of TPG Specialty Lending,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hereby respectfully request that the staff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afford the Company’s shelf registration statement on Form N-2, filed pursuant to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with the Commission on June 23, 2014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 selective review in accordance with Securities Act Release No. 6510 (February 15, 1984).</w:t>
      </w:r>
    </w:p>
    <w:p>
      <w:pPr>
        <w:spacing w:after="0" w:line="18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disclosure contained in the Registration Statement contains no material changes from the disclosure included in the Company’s registration statement on Form N-2 (File No. 333-193986 (the “</w:t>
      </w:r>
      <w:r>
        <w:rPr>
          <w:rFonts w:ascii="Times New Roman" w:cs="Times New Roman" w:eastAsia="Times New Roman" w:hAnsi="Times New Roman"/>
          <w:sz w:val="18"/>
          <w:szCs w:val="18"/>
          <w:u w:val="single" w:color="auto"/>
          <w:color w:val="auto"/>
        </w:rPr>
        <w:t>Prior Registration Statement</w:t>
      </w:r>
      <w:r>
        <w:rPr>
          <w:rFonts w:ascii="Times New Roman" w:cs="Times New Roman" w:eastAsia="Times New Roman" w:hAnsi="Times New Roman"/>
          <w:sz w:val="18"/>
          <w:szCs w:val="18"/>
          <w:color w:val="auto"/>
        </w:rPr>
        <w:t>”), initially filed with the Commission on February 18, 2014 and declared effective, as amended, on March 20, 2014, which Prior Registration Statement related to the initial public offering of the Company’s common stock, except for (i) revisions reflecting material developments relating to the Company since the effective date of the Prior Registration Statement, (ii) information specific to the terms and manner of sale of certain types of securities that may be offered on a delayed or continuous basis, in accordance with Rule 415 under the Securities Act, pursuant to the Registration Statement, and (iii) the inclusion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147955</wp:posOffset>
            </wp:positionV>
            <wp:extent cx="5831840" cy="685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831840" cy="6858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Larry L. Greene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financial statements and related financial data for the period ended March 31, 2014, together with disclosure relating thereto.</w:t>
      </w:r>
    </w:p>
    <w:p>
      <w:pPr>
        <w:spacing w:after="0" w:line="225" w:lineRule="exact"/>
        <w:rPr>
          <w:sz w:val="20"/>
          <w:szCs w:val="20"/>
          <w:color w:val="auto"/>
        </w:rPr>
      </w:pPr>
    </w:p>
    <w:p>
      <w:pPr>
        <w:ind w:left="5220"/>
        <w:spacing w:after="0"/>
        <w:tabs>
          <w:tab w:leader="none" w:pos="564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If you have any questions or additional comments concerning the foregoing, please contact Adam Fleisher at (212) 225-2286, Helena Grannis at (212) 225-2376 or Rebecca Tabb at (212) 225-2555.</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Adam E. Fleisher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Adam E. Fleisher</w:t>
      </w:r>
    </w:p>
    <w:p>
      <w:pPr>
        <w:spacing w:after="0" w:line="234" w:lineRule="exact"/>
        <w:rPr>
          <w:sz w:val="20"/>
          <w:szCs w:val="20"/>
          <w:color w:val="auto"/>
        </w:rPr>
      </w:pPr>
    </w:p>
    <w:p>
      <w:pPr>
        <w:ind w:left="460" w:hanging="452"/>
        <w:spacing w:after="0"/>
        <w:tabs>
          <w:tab w:leader="none" w:pos="4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Porter</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David Stiepleman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Jennifer Mello</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Michael A. Gerstenzang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Helena K. Grannis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Rebecca Tabb</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Cleary Gottlieb Steen &amp; Hamilton LLP</w:t>
      </w:r>
    </w:p>
    <w:sectPr>
      <w:pgSz w:w="11900" w:h="16838" w:orient="portrait"/>
      <w:cols w:equalWidth="0" w:num="1">
        <w:col w:w="11320"/>
      </w:cols>
      <w:pgMar w:left="240" w:top="2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E21BB2"/>
    <w:multiLevelType w:val="hybridMultilevel"/>
    <w:lvl w:ilvl="0">
      <w:lvlJc w:val="left"/>
      <w:lvlText w:val="☐"/>
      <w:numFmt w:val="bullet"/>
      <w:start w:val="1"/>
    </w:lvl>
  </w:abstractNum>
  <w:abstractNum w:abstractNumId="1">
    <w:nsid w:val="75E0858A"/>
    <w:multiLevelType w:val="hybridMultilevel"/>
    <w:lvl w:ilvl="0">
      <w:lvlJc w:val="left"/>
      <w:lvlText w:val="(%1)"/>
      <w:numFmt w:val="decimal"/>
      <w:start w:val="1"/>
    </w:lvl>
  </w:abstractNum>
  <w:abstractNum w:abstractNumId="2">
    <w:nsid w:val="57A61A29"/>
    <w:multiLevelType w:val="hybridMultilevel"/>
    <w:lvl w:ilvl="0">
      <w:lvlJc w:val="left"/>
      <w:lvlText w:val="•"/>
      <w:numFmt w:val="bullet"/>
      <w:start w:val="1"/>
    </w:lvl>
    <w:lvl w:ilvl="1">
      <w:lvlJc w:val="left"/>
      <w:lvlText w:val="•"/>
      <w:numFmt w:val="bullet"/>
      <w:start w:val="1"/>
    </w:lvl>
  </w:abstractNum>
  <w:abstractNum w:abstractNumId="3">
    <w:nsid w:val="5399C654"/>
    <w:multiLevelType w:val="hybridMultilevel"/>
    <w:lvl w:ilvl="0">
      <w:lvlJc w:val="left"/>
      <w:lvlText w:val="•"/>
      <w:numFmt w:val="bullet"/>
      <w:start w:val="1"/>
    </w:lvl>
  </w:abstractNum>
  <w:abstractNum w:abstractNumId="4">
    <w:nsid w:val="20EE1348"/>
    <w:multiLevelType w:val="hybridMultilevel"/>
    <w:lvl w:ilvl="0">
      <w:lvlJc w:val="left"/>
      <w:lvlText w:val="•"/>
      <w:numFmt w:val="bullet"/>
      <w:start w:val="1"/>
    </w:lvl>
  </w:abstractNum>
  <w:abstractNum w:abstractNumId="5">
    <w:nsid w:val="4427069A"/>
    <w:multiLevelType w:val="hybridMultilevel"/>
    <w:lvl w:ilvl="0">
      <w:lvlJc w:val="left"/>
      <w:lvlText w:val="•"/>
      <w:numFmt w:val="bullet"/>
      <w:start w:val="1"/>
    </w:lvl>
  </w:abstractNum>
  <w:abstractNum w:abstractNumId="6">
    <w:nsid w:val="B37E80A"/>
    <w:multiLevelType w:val="hybridMultilevel"/>
    <w:lvl w:ilvl="0">
      <w:lvlJc w:val="left"/>
      <w:lvlText w:val="•"/>
      <w:numFmt w:val="bullet"/>
      <w:start w:val="1"/>
    </w:lvl>
  </w:abstractNum>
  <w:abstractNum w:abstractNumId="7">
    <w:nsid w:val="2157F6BC"/>
    <w:multiLevelType w:val="hybridMultilevel"/>
    <w:lvl w:ilvl="0">
      <w:lvlJc w:val="left"/>
      <w:lvlText w:val="•"/>
      <w:numFmt w:val="bullet"/>
      <w:start w:val="1"/>
    </w:lvl>
  </w:abstractNum>
  <w:abstractNum w:abstractNumId="8">
    <w:nsid w:val="704E1DD5"/>
    <w:multiLevelType w:val="hybridMultilevel"/>
    <w:lvl w:ilvl="0">
      <w:lvlJc w:val="left"/>
      <w:lvlText w:val="•"/>
      <w:numFmt w:val="bullet"/>
      <w:start w:val="1"/>
    </w:lvl>
  </w:abstractNum>
  <w:abstractNum w:abstractNumId="9">
    <w:nsid w:val="57D2F10E"/>
    <w:multiLevelType w:val="hybridMultilevel"/>
    <w:lvl w:ilvl="0">
      <w:lvlJc w:val="left"/>
      <w:lvlText w:val="(%1)"/>
      <w:numFmt w:val="decimal"/>
      <w:start w:val="1"/>
    </w:lvl>
  </w:abstractNum>
  <w:abstractNum w:abstractNumId="10">
    <w:nsid w:val="BFFAE18"/>
    <w:multiLevelType w:val="hybridMultilevel"/>
    <w:lvl w:ilvl="0">
      <w:lvlJc w:val="left"/>
      <w:lvlText w:val="(%1)"/>
      <w:numFmt w:val="decimal"/>
      <w:start w:val="6"/>
    </w:lvl>
  </w:abstractNum>
  <w:abstractNum w:abstractNumId="11">
    <w:nsid w:val="E3E47A8"/>
    <w:multiLevelType w:val="hybridMultilevel"/>
    <w:lvl w:ilvl="0">
      <w:lvlJc w:val="left"/>
      <w:lvlText w:val="(%1)"/>
      <w:numFmt w:val="decimal"/>
      <w:start w:val="1"/>
    </w:lvl>
  </w:abstractNum>
  <w:abstractNum w:abstractNumId="12">
    <w:nsid w:val="2E48F044"/>
    <w:multiLevelType w:val="hybridMultilevel"/>
    <w:lvl w:ilvl="0">
      <w:lvlJc w:val="left"/>
      <w:lvlText w:val="(%1)"/>
      <w:numFmt w:val="decimal"/>
      <w:start w:val="1"/>
    </w:lvl>
  </w:abstractNum>
  <w:abstractNum w:abstractNumId="13">
    <w:nsid w:val="49D0FEAC"/>
    <w:multiLevelType w:val="hybridMultilevel"/>
    <w:lvl w:ilvl="0">
      <w:lvlJc w:val="left"/>
      <w:lvlText w:val="(%1)"/>
      <w:numFmt w:val="decimal"/>
      <w:start w:val="1"/>
    </w:lvl>
  </w:abstractNum>
  <w:abstractNum w:abstractNumId="14">
    <w:nsid w:val="4BEE5A5B"/>
    <w:multiLevelType w:val="hybridMultilevel"/>
    <w:lvl w:ilvl="0">
      <w:lvlJc w:val="left"/>
      <w:lvlText w:val="•"/>
      <w:numFmt w:val="bullet"/>
      <w:start w:val="1"/>
    </w:lvl>
    <w:lvl w:ilvl="1">
      <w:lvlJc w:val="left"/>
      <w:lvlText w:val="•"/>
      <w:numFmt w:val="bullet"/>
      <w:start w:val="1"/>
    </w:lvl>
  </w:abstractNum>
  <w:abstractNum w:abstractNumId="15">
    <w:nsid w:val="5551B9F3"/>
    <w:multiLevelType w:val="hybridMultilevel"/>
    <w:lvl w:ilvl="0">
      <w:lvlJc w:val="left"/>
      <w:lvlText w:val="•"/>
      <w:numFmt w:val="bullet"/>
      <w:start w:val="1"/>
    </w:lvl>
  </w:abstractNum>
  <w:abstractNum w:abstractNumId="16">
    <w:nsid w:val="24F6AB8E"/>
    <w:multiLevelType w:val="hybridMultilevel"/>
    <w:lvl w:ilvl="0">
      <w:lvlJc w:val="left"/>
      <w:lvlText w:val="•"/>
      <w:numFmt w:val="bullet"/>
      <w:start w:val="1"/>
    </w:lvl>
  </w:abstractNum>
  <w:abstractNum w:abstractNumId="17">
    <w:nsid w:val="634C574C"/>
    <w:multiLevelType w:val="hybridMultilevel"/>
    <w:lvl w:ilvl="0">
      <w:lvlJc w:val="left"/>
      <w:lvlText w:val="•"/>
      <w:numFmt w:val="bullet"/>
      <w:start w:val="1"/>
    </w:lvl>
  </w:abstractNum>
  <w:abstractNum w:abstractNumId="18">
    <w:nsid w:val="24E99DD7"/>
    <w:multiLevelType w:val="hybridMultilevel"/>
    <w:lvl w:ilvl="0">
      <w:lvlJc w:val="left"/>
      <w:lvlText w:val="•"/>
      <w:numFmt w:val="bullet"/>
      <w:start w:val="1"/>
    </w:lvl>
  </w:abstractNum>
  <w:abstractNum w:abstractNumId="19">
    <w:nsid w:val="2A31B62D"/>
    <w:multiLevelType w:val="hybridMultilevel"/>
    <w:lvl w:ilvl="0">
      <w:lvlJc w:val="left"/>
      <w:lvlText w:val="•"/>
      <w:numFmt w:val="bullet"/>
      <w:start w:val="1"/>
    </w:lvl>
  </w:abstractNum>
  <w:abstractNum w:abstractNumId="20">
    <w:nsid w:val="1849C29B"/>
    <w:multiLevelType w:val="hybridMultilevel"/>
    <w:lvl w:ilvl="0">
      <w:lvlJc w:val="left"/>
      <w:lvlText w:val="•"/>
      <w:numFmt w:val="bullet"/>
      <w:start w:val="1"/>
    </w:lvl>
  </w:abstractNum>
  <w:abstractNum w:abstractNumId="21">
    <w:nsid w:val="7DFF9D09"/>
    <w:multiLevelType w:val="hybridMultilevel"/>
    <w:lvl w:ilvl="0">
      <w:lvlJc w:val="left"/>
      <w:lvlText w:val="•"/>
      <w:numFmt w:val="bullet"/>
      <w:start w:val="1"/>
    </w:lvl>
  </w:abstractNum>
  <w:abstractNum w:abstractNumId="22">
    <w:nsid w:val="754342"/>
    <w:multiLevelType w:val="hybridMultilevel"/>
    <w:lvl w:ilvl="0">
      <w:lvlJc w:val="left"/>
      <w:lvlText w:val="•"/>
      <w:numFmt w:val="bullet"/>
      <w:start w:val="1"/>
    </w:lvl>
  </w:abstractNum>
  <w:abstractNum w:abstractNumId="23">
    <w:nsid w:val="69E7F3E5"/>
    <w:multiLevelType w:val="hybridMultilevel"/>
    <w:lvl w:ilvl="0">
      <w:lvlJc w:val="left"/>
      <w:lvlText w:val="•"/>
      <w:numFmt w:val="bullet"/>
      <w:start w:val="1"/>
    </w:lvl>
  </w:abstractNum>
  <w:abstractNum w:abstractNumId="24">
    <w:nsid w:val="2A6DE806"/>
    <w:multiLevelType w:val="hybridMultilevel"/>
    <w:lvl w:ilvl="0">
      <w:lvlJc w:val="left"/>
      <w:lvlText w:val="•"/>
      <w:numFmt w:val="bullet"/>
      <w:start w:val="1"/>
    </w:lvl>
  </w:abstractNum>
  <w:abstractNum w:abstractNumId="25">
    <w:nsid w:val="1816F8C4"/>
    <w:multiLevelType w:val="hybridMultilevel"/>
    <w:lvl w:ilvl="0">
      <w:lvlJc w:val="left"/>
      <w:lvlText w:val="•"/>
      <w:numFmt w:val="bullet"/>
      <w:start w:val="1"/>
    </w:lvl>
  </w:abstractNum>
  <w:abstractNum w:abstractNumId="26">
    <w:nsid w:val="37DF2233"/>
    <w:multiLevelType w:val="hybridMultilevel"/>
    <w:lvl w:ilvl="0">
      <w:lvlJc w:val="left"/>
      <w:lvlText w:val="(%1)"/>
      <w:numFmt w:val="decimal"/>
      <w:start w:val="1"/>
    </w:lvl>
  </w:abstractNum>
  <w:abstractNum w:abstractNumId="27">
    <w:nsid w:val="7AB49DAF"/>
    <w:multiLevelType w:val="hybridMultilevel"/>
    <w:lvl w:ilvl="0">
      <w:lvlJc w:val="left"/>
      <w:lvlText w:val="*"/>
      <w:numFmt w:val="bullet"/>
      <w:start w:val="1"/>
    </w:lvl>
  </w:abstractNum>
  <w:abstractNum w:abstractNumId="28">
    <w:nsid w:val="759F82CD"/>
    <w:multiLevelType w:val="hybridMultilevel"/>
    <w:lvl w:ilvl="0">
      <w:lvlJc w:val="left"/>
      <w:lvlText w:val="(%1)"/>
      <w:numFmt w:val="decimal"/>
      <w:start w:val="1"/>
    </w:lvl>
  </w:abstractNum>
  <w:abstractNum w:abstractNumId="29">
    <w:nsid w:val="61E74EA3"/>
    <w:multiLevelType w:val="hybridMultilevel"/>
    <w:lvl w:ilvl="0">
      <w:lvlJc w:val="left"/>
      <w:lvlText w:val="(%1)"/>
      <w:numFmt w:val="decimal"/>
      <w:start w:val="1"/>
    </w:lvl>
  </w:abstractNum>
  <w:abstractNum w:abstractNumId="30">
    <w:nsid w:val="597B4D84"/>
    <w:multiLevelType w:val="hybridMultilevel"/>
    <w:lvl w:ilvl="0">
      <w:lvlJc w:val="left"/>
      <w:lvlText w:val="•"/>
      <w:numFmt w:val="bullet"/>
      <w:start w:val="1"/>
    </w:lvl>
  </w:abstractNum>
  <w:abstractNum w:abstractNumId="31">
    <w:nsid w:val="F819E7F"/>
    <w:multiLevelType w:val="hybridMultilevel"/>
    <w:lvl w:ilvl="0">
      <w:lvlJc w:val="left"/>
      <w:lvlText w:val="•"/>
      <w:numFmt w:val="bullet"/>
      <w:start w:val="1"/>
    </w:lvl>
  </w:abstractNum>
  <w:abstractNum w:abstractNumId="32">
    <w:nsid w:val="57C7D42D"/>
    <w:multiLevelType w:val="hybridMultilevel"/>
    <w:lvl w:ilvl="0">
      <w:lvlJc w:val="left"/>
      <w:lvlText w:val="•"/>
      <w:numFmt w:val="bullet"/>
      <w:start w:val="1"/>
    </w:lvl>
  </w:abstractNum>
  <w:abstractNum w:abstractNumId="33">
    <w:nsid w:val="312167AD"/>
    <w:multiLevelType w:val="hybridMultilevel"/>
    <w:lvl w:ilvl="0">
      <w:lvlJc w:val="left"/>
      <w:lvlText w:val="•"/>
      <w:numFmt w:val="bullet"/>
      <w:start w:val="1"/>
    </w:lvl>
  </w:abstractNum>
  <w:abstractNum w:abstractNumId="34">
    <w:nsid w:val="631B64D4"/>
    <w:multiLevelType w:val="hybridMultilevel"/>
    <w:lvl w:ilvl="0">
      <w:lvlJc w:val="left"/>
      <w:lvlText w:val="(%1)"/>
      <w:numFmt w:val="decimal"/>
      <w:start w:val="1"/>
    </w:lvl>
  </w:abstractNum>
  <w:abstractNum w:abstractNumId="35">
    <w:nsid w:val="78B5E776"/>
    <w:multiLevelType w:val="hybridMultilevel"/>
    <w:lvl w:ilvl="0">
      <w:lvlJc w:val="left"/>
      <w:lvlText w:val="•"/>
      <w:numFmt w:val="bullet"/>
      <w:start w:val="1"/>
    </w:lvl>
  </w:abstractNum>
  <w:abstractNum w:abstractNumId="36">
    <w:nsid w:val="75486E47"/>
    <w:multiLevelType w:val="hybridMultilevel"/>
    <w:lvl w:ilvl="0">
      <w:lvlJc w:val="left"/>
      <w:lvlText w:val="•"/>
      <w:numFmt w:val="bullet"/>
      <w:start w:val="1"/>
    </w:lvl>
  </w:abstractNum>
  <w:abstractNum w:abstractNumId="37">
    <w:nsid w:val="6E534CDE"/>
    <w:multiLevelType w:val="hybridMultilevel"/>
    <w:lvl w:ilvl="0">
      <w:lvlJc w:val="left"/>
      <w:lvlText w:val="•"/>
      <w:numFmt w:val="bullet"/>
      <w:start w:val="1"/>
    </w:lvl>
  </w:abstractNum>
  <w:abstractNum w:abstractNumId="38">
    <w:nsid w:val="1A0DDE32"/>
    <w:multiLevelType w:val="hybridMultilevel"/>
    <w:lvl w:ilvl="0">
      <w:lvlJc w:val="left"/>
      <w:lvlText w:val="•"/>
      <w:numFmt w:val="bullet"/>
      <w:start w:val="1"/>
    </w:lvl>
  </w:abstractNum>
  <w:abstractNum w:abstractNumId="39">
    <w:nsid w:val="65968C1C"/>
    <w:multiLevelType w:val="hybridMultilevel"/>
    <w:lvl w:ilvl="0">
      <w:lvlJc w:val="left"/>
      <w:lvlText w:val="(%1)"/>
      <w:numFmt w:val="decimal"/>
      <w:start w:val="1"/>
    </w:lvl>
  </w:abstractNum>
  <w:abstractNum w:abstractNumId="40">
    <w:nsid w:val="46263DEC"/>
    <w:multiLevelType w:val="hybridMultilevel"/>
    <w:lvl w:ilvl="0">
      <w:lvlJc w:val="left"/>
      <w:lvlText w:val="•"/>
      <w:numFmt w:val="bullet"/>
      <w:start w:val="1"/>
    </w:lvl>
    <w:lvl w:ilvl="1">
      <w:lvlJc w:val="left"/>
      <w:lvlText w:val="•"/>
      <w:numFmt w:val="bullet"/>
      <w:start w:val="1"/>
    </w:lvl>
  </w:abstractNum>
  <w:abstractNum w:abstractNumId="41">
    <w:nsid w:val="260D8C4A"/>
    <w:multiLevelType w:val="hybridMultilevel"/>
    <w:lvl w:ilvl="0">
      <w:lvlJc w:val="left"/>
      <w:lvlText w:val="•"/>
      <w:numFmt w:val="bullet"/>
      <w:start w:val="1"/>
    </w:lvl>
  </w:abstractNum>
  <w:abstractNum w:abstractNumId="42">
    <w:nsid w:val="73D4D3C4"/>
    <w:multiLevelType w:val="hybridMultilevel"/>
    <w:lvl w:ilvl="0">
      <w:lvlJc w:val="left"/>
      <w:lvlText w:val="•"/>
      <w:numFmt w:val="bullet"/>
      <w:start w:val="1"/>
    </w:lvl>
  </w:abstractNum>
  <w:abstractNum w:abstractNumId="43">
    <w:nsid w:val="746F2E30"/>
    <w:multiLevelType w:val="hybridMultilevel"/>
    <w:lvl w:ilvl="0">
      <w:lvlJc w:val="left"/>
      <w:lvlText w:val="•"/>
      <w:numFmt w:val="bullet"/>
      <w:start w:val="1"/>
    </w:lvl>
  </w:abstractNum>
  <w:abstractNum w:abstractNumId="44">
    <w:nsid w:val="6FDE8AF6"/>
    <w:multiLevelType w:val="hybridMultilevel"/>
    <w:lvl w:ilvl="0">
      <w:lvlJc w:val="left"/>
      <w:lvlText w:val="(%1)"/>
      <w:numFmt w:val="decimal"/>
      <w:start w:val="1"/>
    </w:lvl>
  </w:abstractNum>
  <w:abstractNum w:abstractNumId="45">
    <w:nsid w:val="3FC32E20"/>
    <w:multiLevelType w:val="hybridMultilevel"/>
    <w:lvl w:ilvl="0">
      <w:lvlJc w:val="left"/>
      <w:lvlText w:val="(%1)"/>
      <w:numFmt w:val="decimal"/>
      <w:start w:val="1"/>
    </w:lvl>
  </w:abstractNum>
  <w:abstractNum w:abstractNumId="46">
    <w:nsid w:val="49C0E823"/>
    <w:multiLevelType w:val="hybridMultilevel"/>
    <w:lvl w:ilvl="0">
      <w:lvlJc w:val="left"/>
      <w:lvlText w:val="•"/>
      <w:numFmt w:val="bullet"/>
      <w:start w:val="1"/>
    </w:lvl>
  </w:abstractNum>
  <w:abstractNum w:abstractNumId="47">
    <w:nsid w:val="14D53685"/>
    <w:multiLevelType w:val="hybridMultilevel"/>
    <w:lvl w:ilvl="0">
      <w:lvlJc w:val="left"/>
      <w:lvlText w:val="•"/>
      <w:numFmt w:val="bullet"/>
      <w:start w:val="1"/>
    </w:lvl>
  </w:abstractNum>
  <w:abstractNum w:abstractNumId="48">
    <w:nsid w:val="230F856C"/>
    <w:multiLevelType w:val="hybridMultilevel"/>
    <w:lvl w:ilvl="0">
      <w:lvlJc w:val="left"/>
      <w:lvlText w:val="•"/>
      <w:numFmt w:val="bullet"/>
      <w:start w:val="1"/>
    </w:lvl>
  </w:abstractNum>
  <w:abstractNum w:abstractNumId="49">
    <w:nsid w:val="6EAA85FB"/>
    <w:multiLevelType w:val="hybridMultilevel"/>
    <w:lvl w:ilvl="0">
      <w:lvlJc w:val="left"/>
      <w:lvlText w:val="•"/>
      <w:numFmt w:val="bullet"/>
      <w:start w:val="1"/>
    </w:lvl>
  </w:abstractNum>
  <w:abstractNum w:abstractNumId="50">
    <w:nsid w:val="3F06ECB2"/>
    <w:multiLevelType w:val="hybridMultilevel"/>
    <w:lvl w:ilvl="0">
      <w:lvlJc w:val="left"/>
      <w:lvlText w:val="•"/>
      <w:numFmt w:val="bullet"/>
      <w:start w:val="1"/>
    </w:lvl>
  </w:abstractNum>
  <w:abstractNum w:abstractNumId="51">
    <w:nsid w:val="3B594807"/>
    <w:multiLevelType w:val="hybridMultilevel"/>
    <w:lvl w:ilvl="0">
      <w:lvlJc w:val="left"/>
      <w:lvlText w:val="•"/>
      <w:numFmt w:val="bullet"/>
      <w:start w:val="1"/>
    </w:lvl>
  </w:abstractNum>
  <w:abstractNum w:abstractNumId="52">
    <w:nsid w:val="6CAA2304"/>
    <w:multiLevelType w:val="hybridMultilevel"/>
    <w:lvl w:ilvl="0">
      <w:lvlJc w:val="left"/>
      <w:lvlText w:val="•"/>
      <w:numFmt w:val="bullet"/>
      <w:start w:val="1"/>
    </w:lvl>
  </w:abstractNum>
  <w:abstractNum w:abstractNumId="53">
    <w:nsid w:val="3F7C2FF4"/>
    <w:multiLevelType w:val="hybridMultilevel"/>
    <w:lvl w:ilvl="0">
      <w:lvlJc w:val="left"/>
      <w:lvlText w:val="(%1)"/>
      <w:numFmt w:val="decimal"/>
      <w:start w:val="1"/>
    </w:lvl>
  </w:abstractNum>
  <w:abstractNum w:abstractNumId="54">
    <w:nsid w:val="25413BEC"/>
    <w:multiLevelType w:val="hybridMultilevel"/>
    <w:lvl w:ilvl="0">
      <w:lvlJc w:val="left"/>
      <w:lvlText w:val="•"/>
      <w:numFmt w:val="bullet"/>
      <w:start w:val="1"/>
    </w:lvl>
    <w:lvl w:ilvl="1">
      <w:lvlJc w:val="left"/>
      <w:lvlText w:val="•"/>
      <w:numFmt w:val="bullet"/>
      <w:start w:val="1"/>
    </w:lvl>
  </w:abstractNum>
  <w:abstractNum w:abstractNumId="55">
    <w:nsid w:val="17180B0B"/>
    <w:multiLevelType w:val="hybridMultilevel"/>
    <w:lvl w:ilvl="0">
      <w:lvlJc w:val="left"/>
      <w:lvlText w:val="•"/>
      <w:numFmt w:val="bullet"/>
      <w:start w:val="1"/>
    </w:lvl>
  </w:abstractNum>
  <w:abstractNum w:abstractNumId="56">
    <w:nsid w:val="579328B9"/>
    <w:multiLevelType w:val="hybridMultilevel"/>
    <w:lvl w:ilvl="0">
      <w:lvlJc w:val="left"/>
      <w:lvlText w:val="•"/>
      <w:numFmt w:val="bullet"/>
      <w:start w:val="1"/>
    </w:lvl>
  </w:abstractNum>
  <w:abstractNum w:abstractNumId="57">
    <w:nsid w:val="5D205E20"/>
    <w:multiLevelType w:val="hybridMultilevel"/>
    <w:lvl w:ilvl="0">
      <w:lvlJc w:val="left"/>
      <w:lvlText w:val="•"/>
      <w:numFmt w:val="bullet"/>
      <w:start w:val="1"/>
    </w:lvl>
  </w:abstractNum>
  <w:abstractNum w:abstractNumId="58">
    <w:nsid w:val="11CCA8BA"/>
    <w:multiLevelType w:val="hybridMultilevel"/>
    <w:lvl w:ilvl="0">
      <w:lvlJc w:val="left"/>
      <w:lvlText w:val="•"/>
      <w:numFmt w:val="bullet"/>
      <w:start w:val="1"/>
    </w:lvl>
  </w:abstractNum>
  <w:abstractNum w:abstractNumId="59">
    <w:nsid w:val="4D32AB86"/>
    <w:multiLevelType w:val="hybridMultilevel"/>
    <w:lvl w:ilvl="0">
      <w:lvlJc w:val="left"/>
      <w:lvlText w:val="•"/>
      <w:numFmt w:val="bullet"/>
      <w:start w:val="1"/>
    </w:lvl>
  </w:abstractNum>
  <w:abstractNum w:abstractNumId="60">
    <w:nsid w:val="3F07ACC3"/>
    <w:multiLevelType w:val="hybridMultilevel"/>
    <w:lvl w:ilvl="0">
      <w:lvlJc w:val="left"/>
      <w:lvlText w:val="•"/>
      <w:numFmt w:val="bullet"/>
      <w:start w:val="1"/>
    </w:lvl>
  </w:abstractNum>
  <w:abstractNum w:abstractNumId="61">
    <w:nsid w:val="6B47F63E"/>
    <w:multiLevelType w:val="hybridMultilevel"/>
    <w:lvl w:ilvl="0">
      <w:lvlJc w:val="left"/>
      <w:lvlText w:val="•"/>
      <w:numFmt w:val="bullet"/>
      <w:start w:val="1"/>
    </w:lvl>
  </w:abstractNum>
  <w:abstractNum w:abstractNumId="62">
    <w:nsid w:val="5CB44A05"/>
    <w:multiLevelType w:val="hybridMultilevel"/>
    <w:lvl w:ilvl="0">
      <w:lvlJc w:val="left"/>
      <w:lvlText w:val="•"/>
      <w:numFmt w:val="bullet"/>
      <w:start w:val="1"/>
    </w:lvl>
  </w:abstractNum>
  <w:abstractNum w:abstractNumId="63">
    <w:nsid w:val="16CF80F1"/>
    <w:multiLevelType w:val="hybridMultilevel"/>
    <w:lvl w:ilvl="0">
      <w:lvlJc w:val="left"/>
      <w:lvlText w:val="•"/>
      <w:numFmt w:val="bullet"/>
      <w:start w:val="1"/>
    </w:lvl>
    <w:lvl w:ilvl="1">
      <w:lvlJc w:val="left"/>
      <w:lvlText w:val="¡"/>
      <w:numFmt w:val="bullet"/>
      <w:start w:val="1"/>
    </w:lvl>
  </w:abstractNum>
  <w:abstractNum w:abstractNumId="64">
    <w:nsid w:val="1C695DEC"/>
    <w:multiLevelType w:val="hybridMultilevel"/>
    <w:lvl w:ilvl="0">
      <w:lvlJc w:val="left"/>
      <w:lvlText w:val="•"/>
      <w:numFmt w:val="bullet"/>
      <w:start w:val="1"/>
    </w:lvl>
    <w:lvl w:ilvl="1">
      <w:lvlJc w:val="left"/>
      <w:lvlText w:val="¡"/>
      <w:numFmt w:val="bullet"/>
      <w:start w:val="1"/>
    </w:lvl>
  </w:abstractNum>
  <w:abstractNum w:abstractNumId="65">
    <w:nsid w:val="3FCFAED9"/>
    <w:multiLevelType w:val="hybridMultilevel"/>
    <w:lvl w:ilvl="0">
      <w:lvlJc w:val="left"/>
      <w:lvlText w:val="•"/>
      <w:numFmt w:val="bullet"/>
      <w:start w:val="1"/>
    </w:lvl>
  </w:abstractNum>
  <w:abstractNum w:abstractNumId="66">
    <w:nsid w:val="F856867"/>
    <w:multiLevelType w:val="hybridMultilevel"/>
    <w:lvl w:ilvl="0">
      <w:lvlJc w:val="left"/>
      <w:lvlText w:val="(%1)"/>
      <w:numFmt w:val="decimal"/>
      <w:start w:val="1"/>
    </w:lvl>
  </w:abstractNum>
  <w:abstractNum w:abstractNumId="67">
    <w:nsid w:val="11B1CC33"/>
    <w:multiLevelType w:val="hybridMultilevel"/>
    <w:lvl w:ilvl="0">
      <w:lvlJc w:val="left"/>
      <w:lvlText w:val="(%1)"/>
      <w:numFmt w:val="decimal"/>
      <w:start w:val="1"/>
    </w:lvl>
  </w:abstractNum>
  <w:abstractNum w:abstractNumId="68">
    <w:nsid w:val="2E22FBB7"/>
    <w:multiLevelType w:val="hybridMultilevel"/>
    <w:lvl w:ilvl="0">
      <w:lvlJc w:val="left"/>
      <w:lvlText w:val="(%1)"/>
      <w:numFmt w:val="decimal"/>
      <w:start w:val="1"/>
    </w:lvl>
  </w:abstractNum>
  <w:abstractNum w:abstractNumId="69">
    <w:nsid w:val="29934699"/>
    <w:multiLevelType w:val="hybridMultilevel"/>
    <w:lvl w:ilvl="0">
      <w:lvlJc w:val="left"/>
      <w:lvlText w:val="(%1)"/>
      <w:numFmt w:val="decimal"/>
      <w:start w:val="2"/>
    </w:lvl>
  </w:abstractNum>
  <w:abstractNum w:abstractNumId="70">
    <w:nsid w:val="77485850"/>
    <w:multiLevelType w:val="hybridMultilevel"/>
    <w:lvl w:ilvl="0">
      <w:lvlJc w:val="left"/>
      <w:lvlText w:val="•"/>
      <w:numFmt w:val="bullet"/>
      <w:start w:val="1"/>
    </w:lvl>
  </w:abstractNum>
  <w:abstractNum w:abstractNumId="71">
    <w:nsid w:val="744939A3"/>
    <w:multiLevelType w:val="hybridMultilevel"/>
    <w:lvl w:ilvl="0">
      <w:lvlJc w:val="left"/>
      <w:lvlText w:val="•"/>
      <w:numFmt w:val="bullet"/>
      <w:start w:val="1"/>
    </w:lvl>
  </w:abstractNum>
  <w:abstractNum w:abstractNumId="72">
    <w:nsid w:val="4FA0D2E3"/>
    <w:multiLevelType w:val="hybridMultilevel"/>
    <w:lvl w:ilvl="0">
      <w:lvlJc w:val="left"/>
      <w:lvlText w:val="•"/>
      <w:numFmt w:val="bullet"/>
      <w:start w:val="1"/>
    </w:lvl>
  </w:abstractNum>
  <w:abstractNum w:abstractNumId="73">
    <w:nsid w:val="6B1D2C14"/>
    <w:multiLevelType w:val="hybridMultilevel"/>
    <w:lvl w:ilvl="0">
      <w:lvlJc w:val="left"/>
      <w:lvlText w:val="•"/>
      <w:numFmt w:val="bullet"/>
      <w:start w:val="1"/>
    </w:lvl>
  </w:abstractNum>
  <w:abstractNum w:abstractNumId="74">
    <w:nsid w:val="68B867D3"/>
    <w:multiLevelType w:val="hybridMultilevel"/>
    <w:lvl w:ilvl="0">
      <w:lvlJc w:val="left"/>
      <w:lvlText w:val="•"/>
      <w:numFmt w:val="bullet"/>
      <w:start w:val="1"/>
    </w:lvl>
  </w:abstractNum>
  <w:abstractNum w:abstractNumId="75">
    <w:nsid w:val="3F7F5DD9"/>
    <w:multiLevelType w:val="hybridMultilevel"/>
    <w:lvl w:ilvl="0">
      <w:lvlJc w:val="left"/>
      <w:lvlText w:val="•"/>
      <w:numFmt w:val="bullet"/>
      <w:start w:val="1"/>
    </w:lvl>
  </w:abstractNum>
  <w:abstractNum w:abstractNumId="76">
    <w:nsid w:val="2AE05A34"/>
    <w:multiLevelType w:val="hybridMultilevel"/>
    <w:lvl w:ilvl="0">
      <w:lvlJc w:val="left"/>
      <w:lvlText w:val="•"/>
      <w:numFmt w:val="bullet"/>
      <w:start w:val="1"/>
    </w:lvl>
  </w:abstractNum>
  <w:abstractNum w:abstractNumId="77">
    <w:nsid w:val="32794FF7"/>
    <w:multiLevelType w:val="hybridMultilevel"/>
    <w:lvl w:ilvl="0">
      <w:lvlJc w:val="left"/>
      <w:lvlText w:val="•"/>
      <w:numFmt w:val="bullet"/>
      <w:start w:val="1"/>
    </w:lvl>
  </w:abstractNum>
  <w:abstractNum w:abstractNumId="78">
    <w:nsid w:val="5454945E"/>
    <w:multiLevelType w:val="hybridMultilevel"/>
    <w:lvl w:ilvl="0">
      <w:lvlJc w:val="left"/>
      <w:lvlText w:val="•"/>
      <w:numFmt w:val="bullet"/>
      <w:start w:val="1"/>
    </w:lvl>
  </w:abstractNum>
  <w:abstractNum w:abstractNumId="79">
    <w:nsid w:val="4DEFDFA0"/>
    <w:multiLevelType w:val="hybridMultilevel"/>
    <w:lvl w:ilvl="0">
      <w:lvlJc w:val="left"/>
      <w:lvlText w:val="•"/>
      <w:numFmt w:val="bullet"/>
      <w:start w:val="1"/>
    </w:lvl>
  </w:abstractNum>
  <w:abstractNum w:abstractNumId="80">
    <w:nsid w:val="2123D5F2"/>
    <w:multiLevelType w:val="hybridMultilevel"/>
    <w:lvl w:ilvl="0">
      <w:lvlJc w:val="left"/>
      <w:lvlText w:val="•"/>
      <w:numFmt w:val="bullet"/>
      <w:start w:val="1"/>
    </w:lvl>
  </w:abstractNum>
  <w:abstractNum w:abstractNumId="81">
    <w:nsid w:val="135B8110"/>
    <w:multiLevelType w:val="hybridMultilevel"/>
    <w:lvl w:ilvl="0">
      <w:lvlJc w:val="left"/>
      <w:lvlText w:val="(%1)"/>
      <w:numFmt w:val="lowerRoman"/>
      <w:start w:val="1"/>
    </w:lvl>
  </w:abstractNum>
  <w:abstractNum w:abstractNumId="82">
    <w:nsid w:val="94927A8"/>
    <w:multiLevelType w:val="hybridMultilevel"/>
    <w:lvl w:ilvl="0">
      <w:lvlJc w:val="left"/>
      <w:lvlText w:val="(%1)"/>
      <w:numFmt w:val="lowerRoman"/>
      <w:start w:val="2"/>
    </w:lvl>
  </w:abstractNum>
  <w:abstractNum w:abstractNumId="83">
    <w:nsid w:val="DCDF8F6"/>
    <w:multiLevelType w:val="hybridMultilevel"/>
    <w:lvl w:ilvl="0">
      <w:lvlJc w:val="left"/>
      <w:lvlText w:val="•"/>
      <w:numFmt w:val="bullet"/>
      <w:start w:val="1"/>
    </w:lvl>
  </w:abstractNum>
  <w:abstractNum w:abstractNumId="84">
    <w:nsid w:val="52D7B105"/>
    <w:multiLevelType w:val="hybridMultilevel"/>
    <w:lvl w:ilvl="0">
      <w:lvlJc w:val="left"/>
      <w:lvlText w:val="•"/>
      <w:numFmt w:val="bullet"/>
      <w:start w:val="1"/>
    </w:lvl>
  </w:abstractNum>
  <w:abstractNum w:abstractNumId="85">
    <w:nsid w:val="2E8A6394"/>
    <w:multiLevelType w:val="hybridMultilevel"/>
    <w:lvl w:ilvl="0">
      <w:lvlJc w:val="left"/>
      <w:lvlText w:val="="/>
      <w:numFmt w:val="bullet"/>
      <w:start w:val="1"/>
    </w:lvl>
  </w:abstractNum>
  <w:abstractNum w:abstractNumId="86">
    <w:nsid w:val="24E60401"/>
    <w:multiLevelType w:val="hybridMultilevel"/>
    <w:lvl w:ilvl="0">
      <w:lvlJc w:val="left"/>
      <w:lvlText w:val="(%1)"/>
      <w:numFmt w:val="decimal"/>
    </w:lvl>
    <w:lvl w:ilvl="1">
      <w:lvlJc w:val="left"/>
      <w:lvlText w:val="="/>
      <w:numFmt w:val="bullet"/>
      <w:start w:val="1"/>
    </w:lvl>
  </w:abstractNum>
  <w:abstractNum w:abstractNumId="87">
    <w:nsid w:val="2A6AD9BE"/>
    <w:multiLevelType w:val="hybridMultilevel"/>
    <w:lvl w:ilvl="0">
      <w:lvlJc w:val="left"/>
      <w:lvlText w:val="(*)"/>
      <w:numFmt w:val="bullet"/>
      <w:start w:val="1"/>
    </w:lvl>
  </w:abstractNum>
  <w:abstractNum w:abstractNumId="88">
    <w:nsid w:val="BAAC1B4"/>
    <w:multiLevelType w:val="hybridMultilevel"/>
    <w:lvl w:ilvl="0">
      <w:lvlJc w:val="left"/>
      <w:lvlText w:val="•"/>
      <w:numFmt w:val="bullet"/>
      <w:start w:val="1"/>
    </w:lvl>
  </w:abstractNum>
  <w:abstractNum w:abstractNumId="89">
    <w:nsid w:val="36B2ACBC"/>
    <w:multiLevelType w:val="hybridMultilevel"/>
    <w:lvl w:ilvl="0">
      <w:lvlJc w:val="left"/>
      <w:lvlText w:val="•"/>
      <w:numFmt w:val="bullet"/>
      <w:start w:val="1"/>
    </w:lvl>
  </w:abstractNum>
  <w:abstractNum w:abstractNumId="90">
    <w:nsid w:val="779D8544"/>
    <w:multiLevelType w:val="hybridMultilevel"/>
    <w:lvl w:ilvl="0">
      <w:lvlJc w:val="left"/>
      <w:lvlText w:val="•"/>
      <w:numFmt w:val="bullet"/>
      <w:start w:val="1"/>
    </w:lvl>
  </w:abstractNum>
  <w:abstractNum w:abstractNumId="91">
    <w:nsid w:val="4AB26E78"/>
    <w:multiLevelType w:val="hybridMultilevel"/>
    <w:lvl w:ilvl="0">
      <w:lvlJc w:val="left"/>
      <w:lvlText w:val="•"/>
      <w:numFmt w:val="bullet"/>
      <w:start w:val="1"/>
    </w:lvl>
  </w:abstractNum>
  <w:abstractNum w:abstractNumId="92">
    <w:nsid w:val="21FAA2FA"/>
    <w:multiLevelType w:val="hybridMultilevel"/>
    <w:lvl w:ilvl="0">
      <w:lvlJc w:val="left"/>
      <w:lvlText w:val="•"/>
      <w:numFmt w:val="bullet"/>
      <w:start w:val="1"/>
    </w:lvl>
  </w:abstractNum>
  <w:abstractNum w:abstractNumId="93">
    <w:nsid w:val="5451CF49"/>
    <w:multiLevelType w:val="hybridMultilevel"/>
    <w:lvl w:ilvl="0">
      <w:lvlJc w:val="left"/>
      <w:lvlText w:val="•"/>
      <w:numFmt w:val="bullet"/>
      <w:start w:val="1"/>
    </w:lvl>
  </w:abstractNum>
  <w:abstractNum w:abstractNumId="94">
    <w:nsid w:val="6181EF69"/>
    <w:multiLevelType w:val="hybridMultilevel"/>
    <w:lvl w:ilvl="0">
      <w:lvlJc w:val="left"/>
      <w:lvlText w:val="•"/>
      <w:numFmt w:val="bullet"/>
      <w:start w:val="1"/>
    </w:lvl>
  </w:abstractNum>
  <w:abstractNum w:abstractNumId="95">
    <w:nsid w:val="3E6400E6"/>
    <w:multiLevelType w:val="hybridMultilevel"/>
    <w:lvl w:ilvl="0">
      <w:lvlJc w:val="left"/>
      <w:lvlText w:val="•"/>
      <w:numFmt w:val="bullet"/>
      <w:start w:val="1"/>
    </w:lvl>
  </w:abstractNum>
  <w:abstractNum w:abstractNumId="96">
    <w:nsid w:val="14217E23"/>
    <w:multiLevelType w:val="hybridMultilevel"/>
    <w:lvl w:ilvl="0">
      <w:lvlJc w:val="left"/>
      <w:lvlText w:val="•"/>
      <w:numFmt w:val="bullet"/>
      <w:start w:val="1"/>
    </w:lvl>
  </w:abstractNum>
  <w:abstractNum w:abstractNumId="97">
    <w:nsid w:val="710757D0"/>
    <w:multiLevelType w:val="hybridMultilevel"/>
    <w:lvl w:ilvl="0">
      <w:lvlJc w:val="left"/>
      <w:lvlText w:val="•"/>
      <w:numFmt w:val="bullet"/>
      <w:start w:val="1"/>
    </w:lvl>
  </w:abstractNum>
  <w:abstractNum w:abstractNumId="98">
    <w:nsid w:val="5015CD1A"/>
    <w:multiLevelType w:val="hybridMultilevel"/>
    <w:lvl w:ilvl="0">
      <w:lvlJc w:val="left"/>
      <w:lvlText w:val="•"/>
      <w:numFmt w:val="bullet"/>
      <w:start w:val="1"/>
    </w:lvl>
  </w:abstractNum>
  <w:abstractNum w:abstractNumId="99">
    <w:nsid w:val="424479DA"/>
    <w:multiLevelType w:val="hybridMultilevel"/>
    <w:lvl w:ilvl="0">
      <w:lvlJc w:val="left"/>
      <w:lvlText w:val="*"/>
      <w:numFmt w:val="bullet"/>
      <w:start w:val="1"/>
    </w:lvl>
  </w:abstractNum>
  <w:abstractNum w:abstractNumId="100">
    <w:nsid w:val="1A9A9E69"/>
    <w:multiLevelType w:val="hybridMultilevel"/>
    <w:lvl w:ilvl="0">
      <w:lvlJc w:val="left"/>
      <w:lvlText w:val="(%1)"/>
      <w:numFmt w:val="decimal"/>
      <w:start w:val="1"/>
    </w:lvl>
  </w:abstractNum>
  <w:abstractNum w:abstractNumId="101">
    <w:nsid w:val="475E256A"/>
    <w:multiLevelType w:val="hybridMultilevel"/>
    <w:lvl w:ilvl="0">
      <w:lvlJc w:val="left"/>
      <w:lvlText w:val="(%1)"/>
      <w:numFmt w:val="decimal"/>
      <w:start w:val="2"/>
    </w:lvl>
  </w:abstractNum>
  <w:abstractNum w:abstractNumId="102">
    <w:nsid w:val="368DB37E"/>
    <w:multiLevelType w:val="hybridMultilevel"/>
    <w:lvl w:ilvl="0">
      <w:lvlJc w:val="left"/>
      <w:lvlText w:val="(%1)"/>
      <w:numFmt w:val="decimal"/>
      <w:start w:val="8"/>
    </w:lvl>
  </w:abstractNum>
  <w:abstractNum w:abstractNumId="103">
    <w:nsid w:val="6A3B714C"/>
    <w:multiLevelType w:val="hybridMultilevel"/>
    <w:lvl w:ilvl="0">
      <w:lvlJc w:val="left"/>
      <w:lvlText w:val="(%1)"/>
      <w:numFmt w:val="decimal"/>
      <w:start w:val="1"/>
    </w:lvl>
  </w:abstractNum>
  <w:abstractNum w:abstractNumId="104">
    <w:nsid w:val="327B517E"/>
    <w:multiLevelType w:val="hybridMultilevel"/>
    <w:lvl w:ilvl="0">
      <w:lvlJc w:val="left"/>
      <w:lvlText w:val="•"/>
      <w:numFmt w:val="bullet"/>
      <w:start w:val="1"/>
    </w:lvl>
  </w:abstractNum>
  <w:abstractNum w:abstractNumId="105">
    <w:nsid w:val="1F461B51"/>
    <w:multiLevelType w:val="hybridMultilevel"/>
    <w:lvl w:ilvl="0">
      <w:lvlJc w:val="left"/>
      <w:lvlText w:val="•"/>
      <w:numFmt w:val="bullet"/>
      <w:start w:val="1"/>
    </w:lvl>
  </w:abstractNum>
  <w:abstractNum w:abstractNumId="106">
    <w:nsid w:val="29BACF25"/>
    <w:multiLevelType w:val="hybridMultilevel"/>
    <w:lvl w:ilvl="0">
      <w:lvlJc w:val="left"/>
      <w:lvlText w:val="•"/>
      <w:numFmt w:val="bullet"/>
      <w:start w:val="1"/>
    </w:lvl>
  </w:abstractNum>
  <w:abstractNum w:abstractNumId="107">
    <w:nsid w:val="5D5BABB3"/>
    <w:multiLevelType w:val="hybridMultilevel"/>
    <w:lvl w:ilvl="0">
      <w:lvlJc w:val="left"/>
      <w:lvlText w:val="•"/>
      <w:numFmt w:val="bullet"/>
      <w:start w:val="1"/>
    </w:lvl>
  </w:abstractNum>
  <w:abstractNum w:abstractNumId="108">
    <w:nsid w:val="51BF6B48"/>
    <w:multiLevelType w:val="hybridMultilevel"/>
    <w:lvl w:ilvl="0">
      <w:lvlJc w:val="left"/>
      <w:lvlText w:val="•"/>
      <w:numFmt w:val="bullet"/>
      <w:start w:val="1"/>
    </w:lvl>
  </w:abstractNum>
  <w:abstractNum w:abstractNumId="109">
    <w:nsid w:val="7E0F6384"/>
    <w:multiLevelType w:val="hybridMultilevel"/>
    <w:lvl w:ilvl="0">
      <w:lvlJc w:val="left"/>
      <w:lvlText w:val="•"/>
      <w:numFmt w:val="bullet"/>
      <w:start w:val="1"/>
    </w:lvl>
  </w:abstractNum>
  <w:abstractNum w:abstractNumId="110">
    <w:nsid w:val="2B4B8B53"/>
    <w:multiLevelType w:val="hybridMultilevel"/>
    <w:lvl w:ilvl="0">
      <w:lvlJc w:val="left"/>
      <w:lvlText w:val="•"/>
      <w:numFmt w:val="bullet"/>
      <w:start w:val="1"/>
    </w:lvl>
  </w:abstractNum>
  <w:abstractNum w:abstractNumId="111">
    <w:nsid w:val="72E3413A"/>
    <w:multiLevelType w:val="hybridMultilevel"/>
    <w:lvl w:ilvl="0">
      <w:lvlJc w:val="left"/>
      <w:lvlText w:val="•"/>
      <w:numFmt w:val="bullet"/>
      <w:start w:val="1"/>
    </w:lvl>
  </w:abstractNum>
  <w:abstractNum w:abstractNumId="112">
    <w:nsid w:val="116AE494"/>
    <w:multiLevelType w:val="hybridMultilevel"/>
    <w:lvl w:ilvl="0">
      <w:lvlJc w:val="left"/>
      <w:lvlText w:val="(%1)"/>
      <w:numFmt w:val="lowerRoman"/>
      <w:start w:val="1"/>
    </w:lvl>
  </w:abstractNum>
  <w:abstractNum w:abstractNumId="113">
    <w:nsid w:val="3494B2FB"/>
    <w:multiLevelType w:val="hybridMultilevel"/>
    <w:lvl w:ilvl="0">
      <w:lvlJc w:val="left"/>
      <w:lvlText w:val="•"/>
      <w:numFmt w:val="bullet"/>
      <w:start w:val="1"/>
    </w:lvl>
  </w:abstractNum>
  <w:abstractNum w:abstractNumId="114">
    <w:nsid w:val="B13A31"/>
    <w:multiLevelType w:val="hybridMultilevel"/>
    <w:lvl w:ilvl="0">
      <w:lvlJc w:val="left"/>
      <w:lvlText w:val="•"/>
      <w:numFmt w:val="bullet"/>
      <w:start w:val="1"/>
    </w:lvl>
  </w:abstractNum>
  <w:abstractNum w:abstractNumId="115">
    <w:nsid w:val="64429599"/>
    <w:multiLevelType w:val="hybridMultilevel"/>
    <w:lvl w:ilvl="0">
      <w:lvlJc w:val="left"/>
      <w:lvlText w:val="•"/>
      <w:numFmt w:val="bullet"/>
      <w:start w:val="1"/>
    </w:lvl>
  </w:abstractNum>
  <w:abstractNum w:abstractNumId="116">
    <w:nsid w:val="631F1690"/>
    <w:multiLevelType w:val="hybridMultilevel"/>
    <w:lvl w:ilvl="0">
      <w:lvlJc w:val="left"/>
      <w:lvlText w:val="•"/>
      <w:numFmt w:val="bullet"/>
      <w:start w:val="1"/>
    </w:lvl>
  </w:abstractNum>
  <w:abstractNum w:abstractNumId="117">
    <w:nsid w:val="25973E32"/>
    <w:multiLevelType w:val="hybridMultilevel"/>
    <w:lvl w:ilvl="0">
      <w:lvlJc w:val="left"/>
      <w:lvlText w:val="•"/>
      <w:numFmt w:val="bullet"/>
      <w:start w:val="1"/>
    </w:lvl>
  </w:abstractNum>
  <w:abstractNum w:abstractNumId="118">
    <w:nsid w:val="EAD6F57"/>
    <w:multiLevelType w:val="hybridMultilevel"/>
    <w:lvl w:ilvl="0">
      <w:lvlJc w:val="left"/>
      <w:lvlText w:val="•"/>
      <w:numFmt w:val="bullet"/>
      <w:start w:val="1"/>
    </w:lvl>
  </w:abstractNum>
  <w:abstractNum w:abstractNumId="119">
    <w:nsid w:val="6EC9D844"/>
    <w:multiLevelType w:val="hybridMultilevel"/>
    <w:lvl w:ilvl="0">
      <w:lvlJc w:val="left"/>
      <w:lvlText w:val="•"/>
      <w:numFmt w:val="bullet"/>
      <w:start w:val="1"/>
    </w:lvl>
  </w:abstractNum>
  <w:abstractNum w:abstractNumId="120">
    <w:nsid w:val="5C49EAEE"/>
    <w:multiLevelType w:val="hybridMultilevel"/>
    <w:lvl w:ilvl="0">
      <w:lvlJc w:val="left"/>
      <w:lvlText w:val="•"/>
      <w:numFmt w:val="bullet"/>
      <w:start w:val="1"/>
    </w:lvl>
  </w:abstractNum>
  <w:abstractNum w:abstractNumId="121">
    <w:nsid w:val="64AF49B"/>
    <w:multiLevelType w:val="hybridMultilevel"/>
    <w:lvl w:ilvl="0">
      <w:lvlJc w:val="left"/>
      <w:lvlText w:val="•"/>
      <w:numFmt w:val="bullet"/>
      <w:start w:val="1"/>
    </w:lvl>
  </w:abstractNum>
  <w:abstractNum w:abstractNumId="122">
    <w:nsid w:val="397C46BC"/>
    <w:multiLevelType w:val="hybridMultilevel"/>
    <w:lvl w:ilvl="0">
      <w:lvlJc w:val="left"/>
      <w:lvlText w:val="•"/>
      <w:numFmt w:val="bullet"/>
      <w:start w:val="1"/>
    </w:lvl>
  </w:abstractNum>
  <w:abstractNum w:abstractNumId="123">
    <w:nsid w:val="7E448DE9"/>
    <w:multiLevelType w:val="hybridMultilevel"/>
    <w:lvl w:ilvl="0">
      <w:lvlJc w:val="left"/>
      <w:lvlText w:val="•"/>
      <w:numFmt w:val="bullet"/>
      <w:start w:val="1"/>
    </w:lvl>
  </w:abstractNum>
  <w:abstractNum w:abstractNumId="124">
    <w:nsid w:val="5A9CC3E5"/>
    <w:multiLevelType w:val="hybridMultilevel"/>
    <w:lvl w:ilvl="0">
      <w:lvlJc w:val="left"/>
      <w:lvlText w:val="•"/>
      <w:numFmt w:val="bullet"/>
      <w:start w:val="1"/>
    </w:lvl>
  </w:abstractNum>
  <w:abstractNum w:abstractNumId="125">
    <w:nsid w:val="1AFE3625"/>
    <w:multiLevelType w:val="hybridMultilevel"/>
    <w:lvl w:ilvl="0">
      <w:lvlJc w:val="left"/>
      <w:lvlText w:val="•"/>
      <w:numFmt w:val="bullet"/>
      <w:start w:val="1"/>
    </w:lvl>
  </w:abstractNum>
  <w:abstractNum w:abstractNumId="126">
    <w:nsid w:val="3CA88ECF"/>
    <w:multiLevelType w:val="hybridMultilevel"/>
    <w:lvl w:ilvl="0">
      <w:lvlJc w:val="left"/>
      <w:lvlText w:val="•"/>
      <w:numFmt w:val="bullet"/>
      <w:start w:val="1"/>
    </w:lvl>
  </w:abstractNum>
  <w:abstractNum w:abstractNumId="127">
    <w:nsid w:val="6EBE4208"/>
    <w:multiLevelType w:val="hybridMultilevel"/>
    <w:lvl w:ilvl="0">
      <w:lvlJc w:val="left"/>
      <w:lvlText w:val="•"/>
      <w:numFmt w:val="bullet"/>
      <w:start w:val="1"/>
    </w:lvl>
  </w:abstractNum>
  <w:abstractNum w:abstractNumId="128">
    <w:nsid w:val="C058DF5"/>
    <w:multiLevelType w:val="hybridMultilevel"/>
    <w:lvl w:ilvl="0">
      <w:lvlJc w:val="left"/>
      <w:lvlText w:val="•"/>
      <w:numFmt w:val="bullet"/>
      <w:start w:val="1"/>
    </w:lvl>
  </w:abstractNum>
  <w:abstractNum w:abstractNumId="129">
    <w:nsid w:val="CBE5BE9"/>
    <w:multiLevelType w:val="hybridMultilevel"/>
    <w:lvl w:ilvl="0">
      <w:lvlJc w:val="left"/>
      <w:lvlText w:val="•"/>
      <w:numFmt w:val="bullet"/>
      <w:start w:val="1"/>
    </w:lvl>
  </w:abstractNum>
  <w:abstractNum w:abstractNumId="130">
    <w:nsid w:val="3102BBE2"/>
    <w:multiLevelType w:val="hybridMultilevel"/>
    <w:lvl w:ilvl="0">
      <w:lvlJc w:val="left"/>
      <w:lvlText w:val="•"/>
      <w:numFmt w:val="bullet"/>
      <w:start w:val="1"/>
    </w:lvl>
  </w:abstractNum>
  <w:abstractNum w:abstractNumId="131">
    <w:nsid w:val="26A02C5E"/>
    <w:multiLevelType w:val="hybridMultilevel"/>
    <w:lvl w:ilvl="0">
      <w:lvlJc w:val="left"/>
      <w:lvlText w:val="•"/>
      <w:numFmt w:val="bullet"/>
      <w:start w:val="1"/>
    </w:lvl>
  </w:abstractNum>
  <w:abstractNum w:abstractNumId="132">
    <w:nsid w:val="541C8153"/>
    <w:multiLevelType w:val="hybridMultilevel"/>
    <w:lvl w:ilvl="0">
      <w:lvlJc w:val="left"/>
      <w:lvlText w:val="•"/>
      <w:numFmt w:val="bullet"/>
      <w:start w:val="1"/>
    </w:lvl>
  </w:abstractNum>
  <w:abstractNum w:abstractNumId="133">
    <w:nsid w:val="67906F60"/>
    <w:multiLevelType w:val="hybridMultilevel"/>
    <w:lvl w:ilvl="0">
      <w:lvlJc w:val="left"/>
      <w:lvlText w:val="•"/>
      <w:numFmt w:val="bullet"/>
      <w:start w:val="1"/>
    </w:lvl>
  </w:abstractNum>
  <w:abstractNum w:abstractNumId="134">
    <w:nsid w:val="10DB9DAA"/>
    <w:multiLevelType w:val="hybridMultilevel"/>
    <w:lvl w:ilvl="0">
      <w:lvlJc w:val="left"/>
      <w:lvlText w:val="•"/>
      <w:numFmt w:val="bullet"/>
      <w:start w:val="1"/>
    </w:lvl>
  </w:abstractNum>
  <w:abstractNum w:abstractNumId="135">
    <w:nsid w:val="697D2D2"/>
    <w:multiLevelType w:val="hybridMultilevel"/>
    <w:lvl w:ilvl="0">
      <w:lvlJc w:val="left"/>
      <w:lvlText w:val="•"/>
      <w:numFmt w:val="bullet"/>
      <w:start w:val="1"/>
    </w:lvl>
  </w:abstractNum>
  <w:abstractNum w:abstractNumId="136">
    <w:nsid w:val="6D68AB2"/>
    <w:multiLevelType w:val="hybridMultilevel"/>
    <w:lvl w:ilvl="0">
      <w:lvlJc w:val="left"/>
      <w:lvlText w:val="•"/>
      <w:numFmt w:val="bullet"/>
      <w:start w:val="1"/>
    </w:lvl>
  </w:abstractNum>
  <w:abstractNum w:abstractNumId="137">
    <w:nsid w:val="3A966CD0"/>
    <w:multiLevelType w:val="hybridMultilevel"/>
    <w:lvl w:ilvl="0">
      <w:lvlJc w:val="left"/>
      <w:lvlText w:val="•"/>
      <w:numFmt w:val="bullet"/>
      <w:start w:val="1"/>
    </w:lvl>
    <w:lvl w:ilvl="1">
      <w:lvlJc w:val="left"/>
      <w:lvlText w:val="¡"/>
      <w:numFmt w:val="bullet"/>
      <w:start w:val="1"/>
    </w:lvl>
  </w:abstractNum>
  <w:abstractNum w:abstractNumId="138">
    <w:nsid w:val="63F37E85"/>
    <w:multiLevelType w:val="hybridMultilevel"/>
    <w:lvl w:ilvl="0">
      <w:lvlJc w:val="left"/>
      <w:lvlText w:val="•"/>
      <w:numFmt w:val="bullet"/>
      <w:start w:val="1"/>
    </w:lvl>
  </w:abstractNum>
  <w:abstractNum w:abstractNumId="139">
    <w:nsid w:val="5895F5FA"/>
    <w:multiLevelType w:val="hybridMultilevel"/>
    <w:lvl w:ilvl="0">
      <w:lvlJc w:val="left"/>
      <w:lvlText w:val="•"/>
      <w:numFmt w:val="bullet"/>
      <w:start w:val="1"/>
    </w:lvl>
  </w:abstractNum>
  <w:abstractNum w:abstractNumId="140">
    <w:nsid w:val="38A5D054"/>
    <w:multiLevelType w:val="hybridMultilevel"/>
    <w:lvl w:ilvl="0">
      <w:lvlJc w:val="left"/>
      <w:lvlText w:val="•"/>
      <w:numFmt w:val="bullet"/>
      <w:start w:val="1"/>
    </w:lvl>
  </w:abstractNum>
  <w:abstractNum w:abstractNumId="141">
    <w:nsid w:val="F3F09D8"/>
    <w:multiLevelType w:val="hybridMultilevel"/>
    <w:lvl w:ilvl="0">
      <w:lvlJc w:val="left"/>
      <w:lvlText w:val="(%1)"/>
      <w:numFmt w:val="decimal"/>
      <w:start w:val="1"/>
    </w:lvl>
  </w:abstractNum>
  <w:abstractNum w:abstractNumId="142">
    <w:nsid w:val="4B793735"/>
    <w:multiLevelType w:val="hybridMultilevel"/>
    <w:lvl w:ilvl="0">
      <w:lvlJc w:val="left"/>
      <w:lvlText w:val="(%1)"/>
      <w:numFmt w:val="decimal"/>
      <w:start w:val="1"/>
    </w:lvl>
  </w:abstractNum>
  <w:abstractNum w:abstractNumId="143">
    <w:nsid w:val="4A10B4E8"/>
    <w:multiLevelType w:val="hybridMultilevel"/>
    <w:lvl w:ilvl="0">
      <w:lvlJc w:val="left"/>
      <w:lvlText w:val="(%1)"/>
      <w:numFmt w:val="decimal"/>
      <w:start w:val="1"/>
    </w:lvl>
  </w:abstractNum>
  <w:abstractNum w:abstractNumId="144">
    <w:nsid w:val="43D3BCD4"/>
    <w:multiLevelType w:val="hybridMultilevel"/>
    <w:lvl w:ilvl="0">
      <w:lvlJc w:val="left"/>
      <w:lvlText w:val="(%1)"/>
      <w:numFmt w:val="decimal"/>
      <w:start w:val="3"/>
    </w:lvl>
  </w:abstractNum>
  <w:abstractNum w:abstractNumId="145">
    <w:nsid w:val="4C2A7166"/>
    <w:multiLevelType w:val="hybridMultilevel"/>
    <w:lvl w:ilvl="0">
      <w:lvlJc w:val="left"/>
      <w:lvlText w:val="(%1)"/>
      <w:numFmt w:val="decimal"/>
      <w:start w:val="1"/>
    </w:lvl>
  </w:abstractNum>
  <w:abstractNum w:abstractNumId="146">
    <w:nsid w:val="2E534A82"/>
    <w:multiLevelType w:val="hybridMultilevel"/>
    <w:lvl w:ilvl="0">
      <w:lvlJc w:val="left"/>
      <w:lvlText w:val="•"/>
      <w:numFmt w:val="bullet"/>
      <w:start w:val="1"/>
    </w:lvl>
  </w:abstractNum>
  <w:abstractNum w:abstractNumId="147">
    <w:nsid w:val="26F2D364"/>
    <w:multiLevelType w:val="hybridMultilevel"/>
    <w:lvl w:ilvl="0">
      <w:lvlJc w:val="left"/>
      <w:lvlText w:val="•"/>
      <w:numFmt w:val="bullet"/>
      <w:start w:val="1"/>
    </w:lvl>
  </w:abstractNum>
  <w:abstractNum w:abstractNumId="148">
    <w:nsid w:val="71C1AF98"/>
    <w:multiLevelType w:val="hybridMultilevel"/>
    <w:lvl w:ilvl="0">
      <w:lvlJc w:val="left"/>
      <w:lvlText w:val="•"/>
      <w:numFmt w:val="bullet"/>
      <w:start w:val="1"/>
    </w:lvl>
  </w:abstractNum>
  <w:abstractNum w:abstractNumId="149">
    <w:nsid w:val="3D00B9D9"/>
    <w:multiLevelType w:val="hybridMultilevel"/>
    <w:lvl w:ilvl="0">
      <w:lvlJc w:val="left"/>
      <w:lvlText w:val="(%1)"/>
      <w:numFmt w:val="lowerRoman"/>
      <w:start w:val="1"/>
    </w:lvl>
  </w:abstractNum>
  <w:abstractNum w:abstractNumId="150">
    <w:nsid w:val="15BCABA8"/>
    <w:multiLevelType w:val="hybridMultilevel"/>
    <w:lvl w:ilvl="0">
      <w:lvlJc w:val="left"/>
      <w:lvlText w:val="(%1)"/>
      <w:numFmt w:val="lowerRoman"/>
      <w:start w:val="2"/>
    </w:lvl>
  </w:abstractNum>
  <w:abstractNum w:abstractNumId="151">
    <w:nsid w:val="4E0B9A87"/>
    <w:multiLevelType w:val="hybridMultilevel"/>
    <w:lvl w:ilvl="0">
      <w:lvlJc w:val="left"/>
      <w:lvlText w:val="(%1)"/>
      <w:numFmt w:val="decimal"/>
      <w:start w:val="1"/>
    </w:lvl>
  </w:abstractNum>
  <w:abstractNum w:abstractNumId="152">
    <w:nsid w:val="434BAE75"/>
    <w:multiLevelType w:val="hybridMultilevel"/>
    <w:lvl w:ilvl="0">
      <w:lvlJc w:val="left"/>
      <w:lvlText w:val="(%1)"/>
      <w:numFmt w:val="decimal"/>
      <w:start w:val="1"/>
    </w:lvl>
  </w:abstractNum>
  <w:abstractNum w:abstractNumId="153">
    <w:nsid w:val="4F38F265"/>
    <w:multiLevelType w:val="hybridMultilevel"/>
    <w:lvl w:ilvl="0">
      <w:lvlJc w:val="left"/>
      <w:lvlText w:val="(%1)"/>
      <w:numFmt w:val="decimal"/>
      <w:start w:val="1"/>
    </w:lvl>
  </w:abstractNum>
  <w:abstractNum w:abstractNumId="154">
    <w:nsid w:val="4C502870"/>
    <w:multiLevelType w:val="hybridMultilevel"/>
    <w:lvl w:ilvl="0">
      <w:lvlJc w:val="left"/>
      <w:lvlText w:val="•"/>
      <w:numFmt w:val="bullet"/>
      <w:start w:val="1"/>
    </w:lvl>
    <w:lvl w:ilvl="1">
      <w:lvlJc w:val="left"/>
      <w:lvlText w:val="•"/>
      <w:numFmt w:val="bullet"/>
      <w:start w:val="1"/>
    </w:lvl>
  </w:abstractNum>
  <w:abstractNum w:abstractNumId="155">
    <w:nsid w:val="1DE8725A"/>
    <w:multiLevelType w:val="hybridMultilevel"/>
    <w:lvl w:ilvl="0">
      <w:lvlJc w:val="left"/>
      <w:lvlText w:val="•"/>
      <w:numFmt w:val="bullet"/>
      <w:start w:val="1"/>
    </w:lvl>
  </w:abstractNum>
  <w:abstractNum w:abstractNumId="156">
    <w:nsid w:val="6A37288A"/>
    <w:multiLevelType w:val="hybridMultilevel"/>
    <w:lvl w:ilvl="0">
      <w:lvlJc w:val="left"/>
      <w:lvlText w:val="•"/>
      <w:numFmt w:val="bullet"/>
      <w:start w:val="1"/>
    </w:lvl>
  </w:abstractNum>
  <w:abstractNum w:abstractNumId="157">
    <w:nsid w:val="8F8B73F"/>
    <w:multiLevelType w:val="hybridMultilevel"/>
    <w:lvl w:ilvl="0">
      <w:lvlJc w:val="left"/>
      <w:lvlText w:val="(%1)"/>
      <w:numFmt w:val="decimal"/>
      <w:start w:val="1"/>
    </w:lvl>
  </w:abstractNum>
  <w:abstractNum w:abstractNumId="158">
    <w:nsid w:val="CA6B462"/>
    <w:multiLevelType w:val="hybridMultilevel"/>
    <w:lvl w:ilvl="0">
      <w:lvlJc w:val="left"/>
      <w:lvlText w:val="(%1)"/>
      <w:numFmt w:val="decimal"/>
      <w:start w:val="1"/>
    </w:lvl>
  </w:abstractNum>
  <w:abstractNum w:abstractNumId="159">
    <w:nsid w:val="763CB680"/>
    <w:multiLevelType w:val="hybridMultilevel"/>
    <w:lvl w:ilvl="0">
      <w:lvlJc w:val="left"/>
      <w:lvlText w:val="(%1)"/>
      <w:numFmt w:val="decimal"/>
      <w:start w:val="1"/>
    </w:lvl>
  </w:abstractNum>
  <w:abstractNum w:abstractNumId="160">
    <w:nsid w:val="15B71329"/>
    <w:multiLevelType w:val="hybridMultilevel"/>
    <w:lvl w:ilvl="0">
      <w:lvlJc w:val="left"/>
      <w:lvlText w:val="(%1)"/>
      <w:numFmt w:val="decimal"/>
      <w:start w:val="1"/>
    </w:lvl>
  </w:abstractNum>
  <w:abstractNum w:abstractNumId="161">
    <w:nsid w:val="3DA97044"/>
    <w:multiLevelType w:val="hybridMultilevel"/>
    <w:lvl w:ilvl="0">
      <w:lvlJc w:val="left"/>
      <w:lvlText w:val="(%1)"/>
      <w:numFmt w:val="decimal"/>
      <w:start w:val="1"/>
    </w:lvl>
  </w:abstractNum>
  <w:abstractNum w:abstractNumId="162">
    <w:nsid w:val="1CDCE2DE"/>
    <w:multiLevelType w:val="hybridMultilevel"/>
    <w:lvl w:ilvl="0">
      <w:lvlJc w:val="left"/>
      <w:lvlText w:val="(%1)"/>
      <w:numFmt w:val="decimal"/>
      <w:start w:val="1"/>
    </w:lvl>
  </w:abstractNum>
  <w:abstractNum w:abstractNumId="163">
    <w:nsid w:val="69D3947C"/>
    <w:multiLevelType w:val="hybridMultilevel"/>
    <w:lvl w:ilvl="0">
      <w:lvlJc w:val="left"/>
      <w:lvlText w:val="(%1)"/>
      <w:numFmt w:val="decimal"/>
      <w:start w:val="1"/>
    </w:lvl>
  </w:abstractNum>
  <w:abstractNum w:abstractNumId="164">
    <w:nsid w:val="2539DFA5"/>
    <w:multiLevelType w:val="hybridMultilevel"/>
    <w:lvl w:ilvl="0">
      <w:lvlJc w:val="left"/>
      <w:lvlText w:val="(%1)"/>
      <w:numFmt w:val="decimal"/>
      <w:start w:val="1"/>
    </w:lvl>
  </w:abstractNum>
  <w:abstractNum w:abstractNumId="165">
    <w:nsid w:val="2DB88089"/>
    <w:multiLevelType w:val="hybridMultilevel"/>
    <w:lvl w:ilvl="0">
      <w:lvlJc w:val="left"/>
      <w:lvlText w:val="(%1)"/>
      <w:numFmt w:val="decimal"/>
      <w:start w:val="1"/>
    </w:lvl>
  </w:abstractNum>
  <w:abstractNum w:abstractNumId="166">
    <w:nsid w:val="706B674E"/>
    <w:multiLevelType w:val="hybridMultilevel"/>
    <w:lvl w:ilvl="0">
      <w:lvlJc w:val="left"/>
      <w:lvlText w:val="(%1)"/>
      <w:numFmt w:val="decimal"/>
      <w:start w:val="1"/>
    </w:lvl>
  </w:abstractNum>
  <w:abstractNum w:abstractNumId="167">
    <w:nsid w:val="2C106A57"/>
    <w:multiLevelType w:val="hybridMultilevel"/>
    <w:lvl w:ilvl="0">
      <w:lvlJc w:val="left"/>
      <w:lvlText w:val="(%1)"/>
      <w:numFmt w:val="decimal"/>
      <w:start w:val="3"/>
    </w:lvl>
  </w:abstractNum>
  <w:abstractNum w:abstractNumId="168">
    <w:nsid w:val="684EED59"/>
    <w:multiLevelType w:val="hybridMultilevel"/>
    <w:lvl w:ilvl="0">
      <w:lvlJc w:val="left"/>
      <w:lvlText w:val="(%1)"/>
      <w:numFmt w:val="decimal"/>
      <w:start w:val="1"/>
    </w:lvl>
  </w:abstractNum>
  <w:abstractNum w:abstractNumId="169">
    <w:nsid w:val="545EE5D3"/>
    <w:multiLevelType w:val="hybridMultilevel"/>
    <w:lvl w:ilvl="0">
      <w:lvlJc w:val="left"/>
      <w:lvlText w:val="•"/>
      <w:numFmt w:val="bullet"/>
      <w:start w:val="1"/>
    </w:lvl>
  </w:abstractNum>
  <w:abstractNum w:abstractNumId="170">
    <w:nsid w:val="4A66051"/>
    <w:multiLevelType w:val="hybridMultilevel"/>
    <w:lvl w:ilvl="0">
      <w:lvlJc w:val="left"/>
      <w:lvlText w:val="•"/>
      <w:numFmt w:val="bullet"/>
      <w:start w:val="1"/>
    </w:lvl>
  </w:abstractNum>
  <w:abstractNum w:abstractNumId="171">
    <w:nsid w:val="20F4BDAD"/>
    <w:multiLevelType w:val="hybridMultilevel"/>
    <w:lvl w:ilvl="0">
      <w:lvlJc w:val="left"/>
      <w:lvlText w:val="•"/>
      <w:numFmt w:val="bullet"/>
      <w:start w:val="1"/>
    </w:lvl>
  </w:abstractNum>
  <w:abstractNum w:abstractNumId="172">
    <w:nsid w:val="639DEFAC"/>
    <w:multiLevelType w:val="hybridMultilevel"/>
    <w:lvl w:ilvl="0">
      <w:lvlJc w:val="left"/>
      <w:lvlText w:val="•"/>
      <w:numFmt w:val="bullet"/>
      <w:start w:val="1"/>
    </w:lvl>
  </w:abstractNum>
  <w:abstractNum w:abstractNumId="173">
    <w:nsid w:val="501F9786"/>
    <w:multiLevelType w:val="hybridMultilevel"/>
    <w:lvl w:ilvl="0">
      <w:lvlJc w:val="left"/>
      <w:lvlText w:val="(%1)"/>
      <w:numFmt w:val="lowerRoman"/>
      <w:start w:val="1"/>
    </w:lvl>
  </w:abstractNum>
  <w:abstractNum w:abstractNumId="174">
    <w:nsid w:val="6B057295"/>
    <w:multiLevelType w:val="hybridMultilevel"/>
    <w:lvl w:ilvl="0">
      <w:lvlJc w:val="left"/>
      <w:lvlText w:val="(%1)"/>
      <w:numFmt w:val="lowerRoman"/>
      <w:start w:val="2"/>
    </w:lvl>
  </w:abstractNum>
  <w:abstractNum w:abstractNumId="175">
    <w:nsid w:val="2771AC80"/>
    <w:multiLevelType w:val="hybridMultilevel"/>
    <w:lvl w:ilvl="0">
      <w:lvlJc w:val="left"/>
      <w:lvlText w:val="•"/>
      <w:numFmt w:val="bullet"/>
      <w:start w:val="1"/>
    </w:lvl>
  </w:abstractNum>
  <w:abstractNum w:abstractNumId="176">
    <w:nsid w:val="1C4A08EC"/>
    <w:multiLevelType w:val="hybridMultilevel"/>
    <w:lvl w:ilvl="0">
      <w:lvlJc w:val="left"/>
      <w:lvlText w:val="(%1)"/>
      <w:numFmt w:val="decimal"/>
      <w:start w:val="1"/>
    </w:lvl>
  </w:abstractNum>
  <w:abstractNum w:abstractNumId="177">
    <w:nsid w:val="1958BD17"/>
    <w:multiLevelType w:val="hybridMultilevel"/>
    <w:lvl w:ilvl="0">
      <w:lvlJc w:val="left"/>
      <w:lvlText w:val="(%1)"/>
      <w:numFmt w:val="decimal"/>
      <w:start w:val="1"/>
    </w:lvl>
  </w:abstractNum>
  <w:abstractNum w:abstractNumId="178">
    <w:nsid w:val="4E647FE4"/>
    <w:multiLevelType w:val="hybridMultilevel"/>
    <w:lvl w:ilvl="0">
      <w:lvlJc w:val="left"/>
      <w:lvlText w:val="(%1)"/>
      <w:numFmt w:val="decimal"/>
      <w:start w:val="1"/>
    </w:lvl>
  </w:abstractNum>
  <w:abstractNum w:abstractNumId="179">
    <w:nsid w:val="E0BB885"/>
    <w:multiLevelType w:val="hybridMultilevel"/>
    <w:lvl w:ilvl="0">
      <w:lvlJc w:val="left"/>
      <w:lvlText w:val="•"/>
      <w:numFmt w:val="bullet"/>
      <w:start w:val="1"/>
    </w:lvl>
    <w:lvl w:ilvl="1">
      <w:lvlJc w:val="left"/>
      <w:lvlText w:val="•"/>
      <w:numFmt w:val="bullet"/>
      <w:start w:val="1"/>
    </w:lvl>
  </w:abstractNum>
  <w:abstractNum w:abstractNumId="180">
    <w:nsid w:val="565976F1"/>
    <w:multiLevelType w:val="hybridMultilevel"/>
    <w:lvl w:ilvl="0">
      <w:lvlJc w:val="left"/>
      <w:lvlText w:val="•"/>
      <w:numFmt w:val="bullet"/>
      <w:start w:val="1"/>
    </w:lvl>
  </w:abstractNum>
  <w:abstractNum w:abstractNumId="181">
    <w:nsid w:val="64212B8C"/>
    <w:multiLevelType w:val="hybridMultilevel"/>
    <w:lvl w:ilvl="0">
      <w:lvlJc w:val="left"/>
      <w:lvlText w:val="•"/>
      <w:numFmt w:val="bullet"/>
      <w:start w:val="1"/>
    </w:lvl>
  </w:abstractNum>
  <w:abstractNum w:abstractNumId="182">
    <w:nsid w:val="5C17530C"/>
    <w:multiLevelType w:val="hybridMultilevel"/>
    <w:lvl w:ilvl="0">
      <w:lvlJc w:val="left"/>
      <w:lvlText w:val="(%1)"/>
      <w:numFmt w:val="decimal"/>
      <w:start w:val="1"/>
    </w:lvl>
  </w:abstractNum>
  <w:abstractNum w:abstractNumId="183">
    <w:nsid w:val="19A52566"/>
    <w:multiLevelType w:val="hybridMultilevel"/>
    <w:lvl w:ilvl="0">
      <w:lvlJc w:val="left"/>
      <w:lvlText w:val="(%1)"/>
      <w:numFmt w:val="decimal"/>
      <w:start w:val="1"/>
    </w:lvl>
  </w:abstractNum>
  <w:abstractNum w:abstractNumId="184">
    <w:nsid w:val="335A1DF1"/>
    <w:multiLevelType w:val="hybridMultilevel"/>
    <w:lvl w:ilvl="0">
      <w:lvlJc w:val="left"/>
      <w:lvlText w:val="(%1)"/>
      <w:numFmt w:val="decimal"/>
      <w:start w:val="1"/>
    </w:lvl>
  </w:abstractNum>
  <w:abstractNum w:abstractNumId="185">
    <w:nsid w:val="28677B7C"/>
    <w:multiLevelType w:val="hybridMultilevel"/>
    <w:lvl w:ilvl="0">
      <w:lvlJc w:val="left"/>
      <w:lvlText w:val="(%1)"/>
      <w:numFmt w:val="decimal"/>
      <w:start w:val="1"/>
    </w:lvl>
  </w:abstractNum>
  <w:abstractNum w:abstractNumId="186">
    <w:nsid w:val="378D97C0"/>
    <w:multiLevelType w:val="hybridMultilevel"/>
    <w:lvl w:ilvl="0">
      <w:lvlJc w:val="left"/>
      <w:lvlText w:val="(%1)"/>
      <w:numFmt w:val="decimal"/>
      <w:start w:val="1"/>
    </w:lvl>
  </w:abstractNum>
  <w:abstractNum w:abstractNumId="187">
    <w:nsid w:val="1D91467C"/>
    <w:multiLevelType w:val="hybridMultilevel"/>
    <w:lvl w:ilvl="0">
      <w:lvlJc w:val="left"/>
      <w:lvlText w:val="(%1)"/>
      <w:numFmt w:val="lowerLetter"/>
      <w:start w:val="2"/>
    </w:lvl>
  </w:abstractNum>
  <w:abstractNum w:abstractNumId="188">
    <w:nsid w:val="316032BB"/>
    <w:multiLevelType w:val="hybridMultilevel"/>
    <w:lvl w:ilvl="0">
      <w:lvlJc w:val="left"/>
      <w:lvlText w:val="(%1)"/>
      <w:numFmt w:val="lowerLetter"/>
      <w:start w:val="5"/>
    </w:lvl>
  </w:abstractNum>
  <w:abstractNum w:abstractNumId="189">
    <w:nsid w:val="44344C22"/>
    <w:multiLevelType w:val="hybridMultilevel"/>
    <w:lvl w:ilvl="0">
      <w:lvlJc w:val="left"/>
      <w:lvlText w:val="(%1)"/>
      <w:numFmt w:val="lowerLetter"/>
      <w:start w:val="9"/>
    </w:lvl>
  </w:abstractNum>
  <w:abstractNum w:abstractNumId="190">
    <w:nsid w:val="13CDFCFC"/>
    <w:multiLevelType w:val="hybridMultilevel"/>
    <w:lvl w:ilvl="0">
      <w:lvlJc w:val="left"/>
      <w:lvlText w:val="(%1)"/>
      <w:numFmt w:val="lowerLetter"/>
      <w:start w:val="12"/>
    </w:lvl>
  </w:abstractNum>
  <w:abstractNum w:abstractNumId="191">
    <w:nsid w:val="471745E4"/>
    <w:multiLevelType w:val="hybridMultilevel"/>
    <w:lvl w:ilvl="0">
      <w:lvlJc w:val="left"/>
      <w:lvlText w:val="(%1)"/>
      <w:numFmt w:val="lowerLetter"/>
      <w:start w:val="15"/>
    </w:lvl>
  </w:abstractNum>
  <w:abstractNum w:abstractNumId="192">
    <w:nsid w:val="1DDBC66"/>
    <w:multiLevelType w:val="hybridMultilevel"/>
    <w:lvl w:ilvl="0">
      <w:lvlJc w:val="left"/>
      <w:lvlText w:val="(%1)"/>
      <w:numFmt w:val="decimal"/>
      <w:start w:val="1"/>
    </w:lvl>
  </w:abstractNum>
  <w:abstractNum w:abstractNumId="193">
    <w:nsid w:val="30AADFDA"/>
    <w:multiLevelType w:val="hybridMultilevel"/>
    <w:lvl w:ilvl="0">
      <w:lvlJc w:val="left"/>
      <w:lvlText w:val="(%1)"/>
      <w:numFmt w:val="decimal"/>
      <w:start w:val="1"/>
    </w:lvl>
  </w:abstractNum>
  <w:abstractNum w:abstractNumId="194">
    <w:nsid w:val="30EADA61"/>
    <w:multiLevelType w:val="hybridMultilevel"/>
    <w:lvl w:ilvl="0">
      <w:lvlJc w:val="left"/>
      <w:lvlText w:val="(%1)"/>
      <w:numFmt w:val="decimal"/>
      <w:start w:val="1"/>
    </w:lvl>
  </w:abstractNum>
  <w:abstractNum w:abstractNumId="195">
    <w:nsid w:val="27179C0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6">
    <w:nsid w:val="5E63606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97">
    <w:nsid w:val="215641A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8">
    <w:nsid w:val="53280662"/>
    <w:multiLevelType w:val="hybridMultilevel"/>
    <w:lvl w:ilvl="0">
      <w:lvlJc w:val="left"/>
      <w:lvlText w:val="$"/>
      <w:numFmt w:val="bullet"/>
      <w:start w:val="1"/>
    </w:lvl>
  </w:abstractNum>
  <w:abstractNum w:abstractNumId="199">
    <w:nsid w:val="46B24DBC"/>
    <w:multiLevelType w:val="hybridMultilevel"/>
    <w:lvl w:ilvl="0">
      <w:lvlJc w:val="left"/>
      <w:lvlText w:val="(%1)"/>
      <w:numFmt w:val="decimal"/>
      <w:start w:val="1"/>
    </w:lvl>
  </w:abstractNum>
  <w:abstractNum w:abstractNumId="200">
    <w:nsid w:val="75B52783"/>
    <w:multiLevelType w:val="hybridMultilevel"/>
    <w:lvl w:ilvl="0">
      <w:lvlJc w:val="left"/>
      <w:lvlText w:val="•"/>
      <w:numFmt w:val="bullet"/>
      <w:start w:val="1"/>
    </w:lvl>
  </w:abstractNum>
  <w:abstractNum w:abstractNumId="201">
    <w:nsid w:val="57CE66B4"/>
    <w:multiLevelType w:val="hybridMultilevel"/>
    <w:lvl w:ilvl="0">
      <w:lvlJc w:val="left"/>
      <w:lvlText w:val="%"/>
      <w:numFmt w:val="bullet"/>
      <w:start w:val="1"/>
    </w:lvl>
  </w:abstractNum>
  <w:abstractNum w:abstractNumId="202">
    <w:nsid w:val="67A70B69"/>
    <w:multiLevelType w:val="hybridMultilevel"/>
    <w:lvl w:ilvl="0">
      <w:lvlJc w:val="left"/>
      <w:lvlText w:val="(%1)"/>
      <w:numFmt w:val="decimal"/>
      <w:start w:val="1"/>
    </w:lvl>
  </w:abstractNum>
  <w:abstractNum w:abstractNumId="203">
    <w:nsid w:val="5953172F"/>
    <w:multiLevelType w:val="hybridMultilevel"/>
    <w:lvl w:ilvl="0">
      <w:lvlJc w:val="left"/>
      <w:lvlText w:val="(%1)"/>
      <w:numFmt w:val="decimal"/>
      <w:start w:val="3"/>
    </w:lvl>
  </w:abstractNum>
  <w:abstractNum w:abstractNumId="204">
    <w:nsid w:val="27EDFE3A"/>
    <w:multiLevelType w:val="hybridMultilevel"/>
    <w:lvl w:ilvl="0">
      <w:lvlJc w:val="left"/>
      <w:lvlText w:val="(%1)"/>
      <w:numFmt w:val="decimal"/>
      <w:start w:val="5"/>
    </w:lvl>
  </w:abstractNum>
  <w:abstractNum w:abstractNumId="205">
    <w:nsid w:val="52AC7DFF"/>
    <w:multiLevelType w:val="hybridMultilevel"/>
    <w:lvl w:ilvl="0">
      <w:lvlJc w:val="left"/>
      <w:lvlText w:val="(%1)"/>
      <w:numFmt w:val="decimal"/>
      <w:start w:val="6"/>
    </w:lvl>
    <w:lvl w:ilvl="1">
      <w:lvlJc w:val="left"/>
      <w:lvlText w:val=","/>
      <w:numFmt w:val="bullet"/>
      <w:start w:val="1"/>
    </w:lvl>
  </w:abstractNum>
  <w:abstractNum w:abstractNumId="206">
    <w:nsid w:val="C4C3AF"/>
    <w:multiLevelType w:val="hybridMultilevel"/>
    <w:lvl w:ilvl="0">
      <w:lvlJc w:val="left"/>
      <w:lvlText w:val="(%1)"/>
      <w:numFmt w:val="decimal"/>
      <w:start w:val="8"/>
    </w:lvl>
  </w:abstractNum>
  <w:abstractNum w:abstractNumId="207">
    <w:nsid w:val="44380727"/>
    <w:multiLevelType w:val="hybridMultilevel"/>
    <w:lvl w:ilvl="0">
      <w:lvlJc w:val="left"/>
      <w:lvlText w:val="(%1)"/>
      <w:numFmt w:val="decimal"/>
      <w:start w:val="1"/>
    </w:lvl>
  </w:abstractNum>
  <w:abstractNum w:abstractNumId="208">
    <w:nsid w:val="6C053B16"/>
    <w:multiLevelType w:val="hybridMultilevel"/>
    <w:lvl w:ilvl="0">
      <w:lvlJc w:val="left"/>
      <w:lvlText w:val="•"/>
      <w:numFmt w:val="bullet"/>
      <w:start w:val="1"/>
    </w:lvl>
  </w:abstractNum>
  <w:abstractNum w:abstractNumId="209">
    <w:nsid w:val="4F294393"/>
    <w:multiLevelType w:val="hybridMultilevel"/>
    <w:lvl w:ilvl="0">
      <w:lvlJc w:val="left"/>
      <w:lvlText w:val="["/>
      <w:numFmt w:val="bullet"/>
      <w:start w:val="1"/>
    </w:lvl>
  </w:abstractNum>
  <w:abstractNum w:abstractNumId="210">
    <w:nsid w:val="5243BFAC"/>
    <w:multiLevelType w:val="hybridMultilevel"/>
    <w:lvl w:ilvl="0">
      <w:lvlJc w:val="left"/>
      <w:lvlText w:val="•"/>
      <w:numFmt w:val="bullet"/>
      <w:start w:val="1"/>
    </w:lvl>
  </w:abstractNum>
  <w:abstractNum w:abstractNumId="211">
    <w:nsid w:val="425EB207"/>
    <w:multiLevelType w:val="hybridMultilevel"/>
    <w:lvl w:ilvl="0">
      <w:lvlJc w:val="left"/>
      <w:lvlText w:val="["/>
      <w:numFmt w:val="bullet"/>
      <w:start w:val="1"/>
    </w:lvl>
  </w:abstractNum>
  <w:abstractNum w:abstractNumId="212">
    <w:nsid w:val="334A6F1F"/>
    <w:multiLevelType w:val="hybridMultilevel"/>
    <w:lvl w:ilvl="0">
      <w:lvlJc w:val="left"/>
      <w:lvlText w:val="(%1)"/>
      <w:numFmt w:val="decimal"/>
      <w:start w:val="1"/>
    </w:lvl>
  </w:abstractNum>
  <w:abstractNum w:abstractNumId="213">
    <w:nsid w:val="2E5B12B8"/>
    <w:multiLevelType w:val="hybridMultilevel"/>
    <w:lvl w:ilvl="0">
      <w:lvlJc w:val="left"/>
      <w:lvlText w:val="•"/>
      <w:numFmt w:val="bullet"/>
      <w:start w:val="1"/>
    </w:lvl>
  </w:abstractNum>
  <w:abstractNum w:abstractNumId="214">
    <w:nsid w:val="5C03D76D"/>
    <w:multiLevelType w:val="hybridMultilevel"/>
    <w:lvl w:ilvl="0">
      <w:lvlJc w:val="left"/>
      <w:lvlText w:val="["/>
      <w:numFmt w:val="bullet"/>
      <w:start w:val="1"/>
    </w:lvl>
  </w:abstractNum>
  <w:abstractNum w:abstractNumId="215">
    <w:nsid w:val="66A48D11"/>
    <w:multiLevelType w:val="hybridMultilevel"/>
    <w:lvl w:ilvl="0">
      <w:lvlJc w:val="left"/>
      <w:lvlText w:val="["/>
      <w:numFmt w:val="bullet"/>
      <w:start w:val="1"/>
    </w:lvl>
  </w:abstractNum>
  <w:abstractNum w:abstractNumId="216">
    <w:nsid w:val="56C28E34"/>
    <w:multiLevelType w:val="hybridMultilevel"/>
    <w:lvl w:ilvl="0">
      <w:lvlJc w:val="left"/>
      <w:lvlText w:val="(%1)"/>
      <w:numFmt w:val="decimal"/>
      <w:start w:val="1"/>
    </w:lvl>
  </w:abstractNum>
  <w:abstractNum w:abstractNumId="217">
    <w:nsid w:val="13916F2D"/>
    <w:multiLevelType w:val="hybridMultilevel"/>
    <w:lvl w:ilvl="0">
      <w:lvlJc w:val="left"/>
      <w:lvlText w:val="•"/>
      <w:numFmt w:val="bullet"/>
      <w:start w:val="1"/>
    </w:lvl>
  </w:abstractNum>
  <w:abstractNum w:abstractNumId="218">
    <w:nsid w:val="435D38D"/>
    <w:multiLevelType w:val="hybridMultilevel"/>
    <w:lvl w:ilvl="0">
      <w:lvlJc w:val="left"/>
      <w:lvlText w:val="$"/>
      <w:numFmt w:val="bullet"/>
      <w:start w:val="1"/>
    </w:lvl>
  </w:abstractNum>
  <w:abstractNum w:abstractNumId="219">
    <w:nsid w:val="822C0EF"/>
    <w:multiLevelType w:val="hybridMultilevel"/>
    <w:lvl w:ilvl="0">
      <w:lvlJc w:val="left"/>
      <w:lvlText w:val="["/>
      <w:numFmt w:val="bullet"/>
      <w:start w:val="1"/>
    </w:lvl>
  </w:abstractNum>
  <w:abstractNum w:abstractNumId="220">
    <w:nsid w:val="57C5BB4F"/>
    <w:multiLevelType w:val="hybridMultilevel"/>
    <w:lvl w:ilvl="0">
      <w:lvlJc w:val="left"/>
      <w:lvlText w:val="["/>
      <w:numFmt w:val="bullet"/>
      <w:start w:val="1"/>
    </w:lvl>
  </w:abstractNum>
  <w:abstractNum w:abstractNumId="221">
    <w:nsid w:val="1803D089"/>
    <w:multiLevelType w:val="hybridMultilevel"/>
    <w:lvl w:ilvl="0">
      <w:lvlJc w:val="left"/>
      <w:lvlText w:val="(%1)"/>
      <w:numFmt w:val="decimal"/>
      <w:start w:val="1"/>
    </w:lvl>
  </w:abstractNum>
  <w:abstractNum w:abstractNumId="222">
    <w:nsid w:val="4F3A06D4"/>
    <w:multiLevelType w:val="hybridMultilevel"/>
    <w:lvl w:ilvl="0">
      <w:lvlJc w:val="left"/>
      <w:lvlText w:val="•"/>
      <w:numFmt w:val="bullet"/>
      <w:start w:val="1"/>
    </w:lvl>
  </w:abstractNum>
  <w:abstractNum w:abstractNumId="223">
    <w:nsid w:val="59A377B6"/>
    <w:multiLevelType w:val="hybridMultilevel"/>
    <w:lvl w:ilvl="0">
      <w:lvlJc w:val="left"/>
      <w:lvlText w:val="$"/>
      <w:numFmt w:val="bullet"/>
      <w:start w:val="1"/>
    </w:lvl>
  </w:abstractNum>
  <w:abstractNum w:abstractNumId="224">
    <w:nsid w:val="48AEB063"/>
    <w:multiLevelType w:val="hybridMultilevel"/>
    <w:lvl w:ilvl="0">
      <w:lvlJc w:val="left"/>
      <w:lvlText w:val="$"/>
      <w:numFmt w:val="bullet"/>
      <w:start w:val="1"/>
    </w:lvl>
  </w:abstractNum>
  <w:abstractNum w:abstractNumId="225">
    <w:nsid w:val="24E135"/>
    <w:multiLevelType w:val="hybridMultilevel"/>
    <w:lvl w:ilvl="0">
      <w:lvlJc w:val="left"/>
      <w:lvlText w:val="(%1)"/>
      <w:numFmt w:val="decimal"/>
      <w:start w:val="1"/>
    </w:lvl>
  </w:abstractNum>
  <w:abstractNum w:abstractNumId="226">
    <w:nsid w:val="BB13C1"/>
    <w:multiLevelType w:val="hybridMultilevel"/>
    <w:lvl w:ilvl="0">
      <w:lvlJc w:val="left"/>
      <w:lvlText w:val="(%1)"/>
      <w:numFmt w:val="decimal"/>
      <w:start w:val="3"/>
    </w:lvl>
  </w:abstractNum>
  <w:abstractNum w:abstractNumId="227">
    <w:nsid w:val="271210C7"/>
    <w:multiLevelType w:val="hybridMultilevel"/>
    <w:lvl w:ilvl="0">
      <w:lvlJc w:val="left"/>
      <w:lvlText w:val="(%1)"/>
      <w:numFmt w:val="decimal"/>
      <w:start w:val="5"/>
    </w:lvl>
  </w:abstractNum>
  <w:abstractNum w:abstractNumId="228">
    <w:nsid w:val="217B22E4"/>
    <w:multiLevelType w:val="hybridMultilevel"/>
    <w:lvl w:ilvl="0">
      <w:lvlJc w:val="left"/>
      <w:lvlText w:val="(%1)"/>
      <w:numFmt w:val="decimal"/>
      <w:start w:val="6"/>
    </w:lvl>
    <w:lvl w:ilvl="1">
      <w:lvlJc w:val="left"/>
      <w:lvlText w:val=","/>
      <w:numFmt w:val="bullet"/>
      <w:start w:val="1"/>
    </w:lvl>
  </w:abstractNum>
  <w:abstractNum w:abstractNumId="229">
    <w:nsid w:val="53E31A24"/>
    <w:multiLevelType w:val="hybridMultilevel"/>
    <w:lvl w:ilvl="0">
      <w:lvlJc w:val="left"/>
      <w:lvlText w:val="(%1)"/>
      <w:numFmt w:val="decimal"/>
      <w:start w:val="8"/>
    </w:lvl>
  </w:abstractNum>
  <w:abstractNum w:abstractNumId="230">
    <w:nsid w:val="6DC45E83"/>
    <w:multiLevelType w:val="hybridMultilevel"/>
    <w:lvl w:ilvl="0">
      <w:lvlJc w:val="left"/>
      <w:lvlText w:val="["/>
      <w:numFmt w:val="bullet"/>
      <w:start w:val="1"/>
    </w:lvl>
  </w:abstractNum>
  <w:abstractNum w:abstractNumId="231">
    <w:nsid w:val="17304A67"/>
    <w:multiLevelType w:val="hybridMultilevel"/>
    <w:lvl w:ilvl="0">
      <w:lvlJc w:val="left"/>
      <w:lvlText w:val="["/>
      <w:numFmt w:val="bullet"/>
      <w:start w:val="1"/>
    </w:lvl>
  </w:abstractNum>
  <w:abstractNum w:abstractNumId="232">
    <w:nsid w:val="2BB180D8"/>
    <w:multiLevelType w:val="hybridMultilevel"/>
    <w:lvl w:ilvl="0">
      <w:lvlJc w:val="left"/>
      <w:lvlText w:val="(%1)"/>
      <w:numFmt w:val="decimal"/>
      <w:start w:val="1"/>
    </w:lvl>
  </w:abstractNum>
  <w:abstractNum w:abstractNumId="233">
    <w:nsid w:val="556B69ED"/>
    <w:multiLevelType w:val="hybridMultilevel"/>
    <w:lvl w:ilvl="0">
      <w:lvlJc w:val="left"/>
      <w:lvlText w:val="(%1)"/>
      <w:numFmt w:val="lowerRoman"/>
      <w:start w:val="1"/>
    </w:lvl>
  </w:abstractNum>
  <w:abstractNum w:abstractNumId="234">
    <w:nsid w:val="70836196"/>
    <w:multiLevelType w:val="hybridMultilevel"/>
    <w:lvl w:ilvl="0">
      <w:lvlJc w:val="left"/>
      <w:lvlText w:val="["/>
      <w:numFmt w:val="bullet"/>
      <w:start w:val="1"/>
    </w:lvl>
  </w:abstractNum>
  <w:abstractNum w:abstractNumId="235">
    <w:nsid w:val="539F7F12"/>
    <w:multiLevelType w:val="hybridMultilevel"/>
    <w:lvl w:ilvl="0">
      <w:lvlJc w:val="left"/>
      <w:lvlText w:val="["/>
      <w:numFmt w:val="bullet"/>
      <w:start w:val="1"/>
    </w:lvl>
  </w:abstractNum>
  <w:abstractNum w:abstractNumId="236">
    <w:nsid w:val="2817E7EC"/>
    <w:multiLevelType w:val="hybridMultilevel"/>
    <w:lvl w:ilvl="0">
      <w:lvlJc w:val="left"/>
      <w:lvlText w:val="(%1)"/>
      <w:numFmt w:val="decimal"/>
      <w:start w:val="1"/>
    </w:lvl>
  </w:abstractNum>
  <w:abstractNum w:abstractNumId="237">
    <w:nsid w:val="71482545"/>
    <w:multiLevelType w:val="hybridMultilevel"/>
    <w:lvl w:ilvl="0">
      <w:lvlJc w:val="left"/>
      <w:lvlText w:val="•"/>
      <w:numFmt w:val="bullet"/>
      <w:start w:val="1"/>
    </w:lvl>
  </w:abstractNum>
  <w:abstractNum w:abstractNumId="238">
    <w:nsid w:val="17D78639"/>
    <w:multiLevelType w:val="hybridMultilevel"/>
    <w:lvl w:ilvl="0">
      <w:lvlJc w:val="left"/>
      <w:lvlText w:val="$"/>
      <w:numFmt w:val="bullet"/>
      <w:start w:val="1"/>
    </w:lvl>
  </w:abstractNum>
  <w:abstractNum w:abstractNumId="239">
    <w:nsid w:val="141D2302"/>
    <w:multiLevelType w:val="hybridMultilevel"/>
    <w:lvl w:ilvl="0">
      <w:lvlJc w:val="left"/>
      <w:lvlText w:val="["/>
      <w:numFmt w:val="bullet"/>
      <w:start w:val="1"/>
    </w:lvl>
  </w:abstractNum>
  <w:abstractNum w:abstractNumId="240">
    <w:nsid w:val="407168D8"/>
    <w:multiLevelType w:val="hybridMultilevel"/>
    <w:lvl w:ilvl="0">
      <w:lvlJc w:val="left"/>
      <w:lvlText w:val="(%1)"/>
      <w:numFmt w:val="decimal"/>
      <w:start w:val="1"/>
    </w:lvl>
  </w:abstractNum>
  <w:abstractNum w:abstractNumId="241">
    <w:nsid w:val="6A1B45E5"/>
    <w:multiLevelType w:val="hybridMultilevel"/>
    <w:lvl w:ilvl="0">
      <w:lvlJc w:val="left"/>
      <w:lvlText w:val="•"/>
      <w:numFmt w:val="bullet"/>
      <w:start w:val="1"/>
    </w:lvl>
  </w:abstractNum>
  <w:abstractNum w:abstractNumId="242">
    <w:nsid w:val="567BD50A"/>
    <w:multiLevelType w:val="hybridMultilevel"/>
    <w:lvl w:ilvl="0">
      <w:lvlJc w:val="left"/>
      <w:lvlText w:val="%"/>
      <w:numFmt w:val="bullet"/>
      <w:start w:val="1"/>
    </w:lvl>
  </w:abstractNum>
  <w:abstractNum w:abstractNumId="243">
    <w:nsid w:val="73BBD7F8"/>
    <w:multiLevelType w:val="hybridMultilevel"/>
    <w:lvl w:ilvl="0">
      <w:lvlJc w:val="left"/>
      <w:lvlText w:val="(%1)"/>
      <w:numFmt w:val="decimal"/>
      <w:start w:val="1"/>
    </w:lvl>
  </w:abstractNum>
  <w:abstractNum w:abstractNumId="244">
    <w:nsid w:val="1876589D"/>
    <w:multiLevelType w:val="hybridMultilevel"/>
    <w:lvl w:ilvl="0">
      <w:lvlJc w:val="left"/>
      <w:lvlText w:val="(%1)"/>
      <w:numFmt w:val="decimal"/>
      <w:start w:val="3"/>
    </w:lvl>
  </w:abstractNum>
  <w:abstractNum w:abstractNumId="245">
    <w:nsid w:val="327FAC77"/>
    <w:multiLevelType w:val="hybridMultilevel"/>
    <w:lvl w:ilvl="0">
      <w:lvlJc w:val="left"/>
      <w:lvlText w:val="(%1)"/>
      <w:numFmt w:val="decimal"/>
      <w:start w:val="5"/>
    </w:lvl>
  </w:abstractNum>
  <w:abstractNum w:abstractNumId="246">
    <w:nsid w:val="5A606509"/>
    <w:multiLevelType w:val="hybridMultilevel"/>
    <w:lvl w:ilvl="0">
      <w:lvlJc w:val="left"/>
      <w:lvlText w:val="(%1)"/>
      <w:numFmt w:val="decimal"/>
      <w:start w:val="6"/>
    </w:lvl>
    <w:lvl w:ilvl="1">
      <w:lvlJc w:val="left"/>
      <w:lvlText w:val=","/>
      <w:numFmt w:val="bullet"/>
      <w:start w:val="1"/>
    </w:lvl>
  </w:abstractNum>
  <w:abstractNum w:abstractNumId="247">
    <w:nsid w:val="6F38E6D1"/>
    <w:multiLevelType w:val="hybridMultilevel"/>
    <w:lvl w:ilvl="0">
      <w:lvlJc w:val="left"/>
      <w:lvlText w:val="(%1)"/>
      <w:numFmt w:val="decimal"/>
      <w:start w:val="8"/>
    </w:lvl>
  </w:abstractNum>
  <w:abstractNum w:abstractNumId="248">
    <w:nsid w:val="46111BA5"/>
    <w:multiLevelType w:val="hybridMultilevel"/>
    <w:lvl w:ilvl="0">
      <w:lvlJc w:val="left"/>
      <w:lvlText w:val="(%1)"/>
      <w:numFmt w:val="decimal"/>
      <w:start w:val="1"/>
    </w:lvl>
  </w:abstractNum>
  <w:abstractNum w:abstractNumId="249">
    <w:nsid w:val="5E963896"/>
    <w:multiLevelType w:val="hybridMultilevel"/>
    <w:lvl w:ilvl="0">
      <w:lvlJc w:val="left"/>
      <w:lvlText w:val="•"/>
      <w:numFmt w:val="bullet"/>
      <w:start w:val="1"/>
    </w:lvl>
  </w:abstractNum>
  <w:abstractNum w:abstractNumId="250">
    <w:nsid w:val="775BA7C1"/>
    <w:multiLevelType w:val="hybridMultilevel"/>
    <w:lvl w:ilvl="0">
      <w:lvlJc w:val="left"/>
      <w:lvlText w:val="["/>
      <w:numFmt w:val="bullet"/>
      <w:start w:val="1"/>
    </w:lvl>
  </w:abstractNum>
  <w:abstractNum w:abstractNumId="251">
    <w:nsid w:val="1DD6D6F4"/>
    <w:multiLevelType w:val="hybridMultilevel"/>
    <w:lvl w:ilvl="0">
      <w:lvlJc w:val="left"/>
      <w:lvlText w:val="["/>
      <w:numFmt w:val="bullet"/>
      <w:start w:val="1"/>
    </w:lvl>
  </w:abstractNum>
  <w:abstractNum w:abstractNumId="252">
    <w:nsid w:val="769A091F"/>
    <w:multiLevelType w:val="hybridMultilevel"/>
    <w:lvl w:ilvl="0">
      <w:lvlJc w:val="left"/>
      <w:lvlText w:val="(%1)"/>
      <w:numFmt w:val="decimal"/>
      <w:start w:val="1"/>
    </w:lvl>
  </w:abstractNum>
  <w:abstractNum w:abstractNumId="253">
    <w:nsid w:val="4695AE95"/>
    <w:multiLevelType w:val="hybridMultilevel"/>
    <w:lvl w:ilvl="0">
      <w:lvlJc w:val="left"/>
      <w:lvlText w:val="•"/>
      <w:numFmt w:val="bullet"/>
      <w:start w:val="1"/>
    </w:lvl>
  </w:abstractNum>
  <w:abstractNum w:abstractNumId="254">
    <w:nsid w:val="777A4EAA"/>
    <w:multiLevelType w:val="hybridMultilevel"/>
    <w:lvl w:ilvl="0">
      <w:lvlJc w:val="left"/>
      <w:lvlText w:val="%"/>
      <w:numFmt w:val="bullet"/>
      <w:start w:val="1"/>
    </w:lvl>
  </w:abstractNum>
  <w:abstractNum w:abstractNumId="255">
    <w:nsid w:val="3F48B982"/>
    <w:multiLevelType w:val="hybridMultilevel"/>
    <w:lvl w:ilvl="0">
      <w:lvlJc w:val="left"/>
      <w:lvlText w:val="(%1)"/>
      <w:numFmt w:val="decimal"/>
      <w:start w:val="2"/>
    </w:lvl>
  </w:abstractNum>
  <w:abstractNum w:abstractNumId="256">
    <w:nsid w:val="46BA8FCA"/>
    <w:multiLevelType w:val="hybridMultilevel"/>
    <w:lvl w:ilvl="0">
      <w:lvlJc w:val="left"/>
      <w:lvlText w:val="["/>
      <w:numFmt w:val="bullet"/>
      <w:start w:val="1"/>
    </w:lvl>
  </w:abstractNum>
  <w:abstractNum w:abstractNumId="257">
    <w:nsid w:val="7835626C"/>
    <w:multiLevelType w:val="hybridMultilevel"/>
    <w:lvl w:ilvl="0">
      <w:lvlJc w:val="left"/>
      <w:lvlText w:val="["/>
      <w:numFmt w:val="bullet"/>
      <w:start w:val="1"/>
    </w:lvl>
  </w:abstractNum>
  <w:abstractNum w:abstractNumId="258">
    <w:nsid w:val="665ACA4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2019-12-08T00:20:44Z</dcterms:created>
  <dcterms:modified xsi:type="dcterms:W3CDTF">2019-12-08T00:20:44Z</dcterms:modified>
</cp:coreProperties>
</file>