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4"/>
                <w:szCs w:val="24"/>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spacing w:after="0" w:line="30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71"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4">
            <w:col w:w="1620" w:space="460"/>
            <w:col w:w="5900" w:space="720"/>
            <w:col w:w="1780" w:space="720"/>
            <w:col w:w="220"/>
          </w:cols>
          <w:pgMar w:left="240" w:top="571"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5">
            <w:col w:w="1580" w:space="500"/>
            <w:col w:w="160" w:space="80"/>
            <w:col w:w="5660" w:space="720"/>
            <w:col w:w="1980" w:space="520"/>
            <w:col w:w="220"/>
          </w:cols>
          <w:pgMar w:left="240" w:top="571" w:right="239" w:bottom="1440" w:gutter="0" w:footer="0" w:header="0"/>
          <w:type w:val="continuous"/>
        </w:sectPr>
      </w:pPr>
    </w:p>
    <w:p>
      <w:pPr>
        <w:spacing w:after="0" w:line="196" w:lineRule="exact"/>
        <w:tabs>
          <w:tab w:leader="none" w:pos="9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23" w:lineRule="exact"/>
        <w:rPr>
          <w:sz w:val="24"/>
          <w:szCs w:val="24"/>
          <w:color w:val="auto"/>
        </w:rPr>
      </w:pPr>
    </w:p>
    <w:p>
      <w:pPr>
        <w:sectPr>
          <w:pgSz w:w="11900" w:h="16838" w:orient="portrait"/>
          <w:cols w:equalWidth="0" w:num="2">
            <w:col w:w="10280" w:space="180"/>
            <w:col w:w="960"/>
          </w:cols>
          <w:pgMar w:left="240" w:top="571"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$.01 par value per share, outstanding at November 7, 2016 was 59,716,205.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916940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jc w:val="center"/>
              <w:ind w:right="436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September 30, 2016 (Unaudited) and December 31, 2015</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85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and nine months ended September 30, 2016 and 2015 (Unaudited)</w:t>
              </w:r>
            </w:hyperlink>
          </w:p>
        </w:tc>
        <w:tc>
          <w:tcPr>
            <w:tcW w:w="86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September 30, 2016 (Unaudited) and December 31, 2015</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86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Consolidated Statements of Changes in Net Assets for the nine months ended September 30, 2016 and 2015 (Unaudited)</w:t>
              </w:r>
            </w:hyperlink>
          </w:p>
        </w:tc>
        <w:tc>
          <w:tcPr>
            <w:tcW w:w="78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78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Consolidated Statements of Cash Flows for the nine months ended September 30, 2016 and 2015 (Unaudited)</w:t>
              </w:r>
            </w:hyperlink>
          </w:p>
        </w:tc>
        <w:tc>
          <w:tcPr>
            <w:tcW w:w="1560" w:type="dxa"/>
            <w:vAlign w:val="bottom"/>
            <w:gridSpan w:val="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Notes to Consolidated Financial Statements (Unaudited)</w:t>
              </w:r>
            </w:hyperlink>
          </w:p>
        </w:tc>
        <w:tc>
          <w:tcPr>
            <w:tcW w:w="5400" w:type="dxa"/>
            <w:vAlign w:val="bottom"/>
            <w:gridSpan w:val="10"/>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020" w:type="dxa"/>
            <w:vAlign w:val="bottom"/>
            <w:gridSpan w:val="7"/>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5">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66">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858"/>
        </w:trPr>
        <w:tc>
          <w:tcPr>
            <w:tcW w:w="1100" w:type="dxa"/>
            <w:vAlign w:val="bottom"/>
            <w:tcBorders>
              <w:top w:val="single" w:sz="8" w:color="0000EE"/>
            </w:tcBorders>
          </w:tcPr>
          <w:p>
            <w:pPr>
              <w:spacing w:after="0"/>
              <w:rPr>
                <w:sz w:val="24"/>
                <w:szCs w:val="24"/>
                <w:color w:val="auto"/>
              </w:rPr>
            </w:pPr>
          </w:p>
        </w:tc>
        <w:tc>
          <w:tcPr>
            <w:tcW w:w="6400" w:type="dxa"/>
            <w:vAlign w:val="bottom"/>
            <w:gridSpan w:val="14"/>
          </w:tcPr>
          <w:p>
            <w:pPr>
              <w:jc w:val="right"/>
              <w:ind w:right="1668"/>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investment activities; and</w:t>
      </w:r>
    </w:p>
    <w:p>
      <w:pPr>
        <w:spacing w:after="0" w:line="117" w:lineRule="exact"/>
        <w:rPr>
          <w:rFonts w:ascii="Arial" w:cs="Arial" w:eastAsia="Arial" w:hAnsi="Arial"/>
          <w:sz w:val="18"/>
          <w:szCs w:val="18"/>
          <w:color w:val="auto"/>
        </w:rPr>
      </w:pPr>
    </w:p>
    <w:p>
      <w:pPr>
        <w:ind w:left="520" w:right="20" w:hanging="255"/>
        <w:spacing w:after="0" w:line="259"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and in our Annual Report on Form 10-K for the year ended December 31, 2015, filed with the SEC on February 24, 2016, in our Quarterly Report for the quarter ended March 31, 2016 as filed with the SEC on May 4, 2016, in our Quarterly Report for the quarter ended June 30, 2016 as filed with the SEC on August 3, 2016, and elsewhere in our filings with the SEC.</w:t>
      </w:r>
    </w:p>
    <w:p>
      <w:pPr>
        <w:spacing w:after="0" w:line="18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$1,570,297</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$1,443,017, respectively)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1,578,148</w:t>
            </w:r>
          </w:p>
        </w:tc>
        <w:tc>
          <w:tcPr>
            <w:tcW w:w="2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1,422,211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$95,633 and $86,659,</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65,424</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63,498</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$1,665,930 and $1,529,676,</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1,643,572</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3,928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Receivable for investments sold</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1,665,220</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1,506,568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Debt (net of deferred financing costs of $8,633 and $10,365, respectively)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680,115</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642,423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payable to affiliate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Payable for investments purchased</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Payables to affiliate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724,751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59,669,593 and</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40"/>
              <w:spacing w:after="0"/>
              <w:rPr>
                <w:sz w:val="20"/>
                <w:szCs w:val="20"/>
                <w:color w:val="auto"/>
              </w:rPr>
            </w:pPr>
            <w:r>
              <w:rPr>
                <w:rFonts w:ascii="Arial" w:cs="Arial" w:eastAsia="Arial" w:hAnsi="Arial"/>
                <w:sz w:val="18"/>
                <w:szCs w:val="18"/>
                <w:color w:val="auto"/>
              </w:rPr>
              <w:t>54,166,959 shares issued, respectively; and 59,580,513 and 54,163,960 shares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2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unrealized losses</w:t>
            </w:r>
          </w:p>
        </w:tc>
        <w:tc>
          <w:tcPr>
            <w:tcW w:w="2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(5,232)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(28,380)</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gains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940,469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1,665,220</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1,506,568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September</w:t>
            </w:r>
          </w:p>
        </w:tc>
        <w:tc>
          <w:tcPr>
            <w:tcW w:w="16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September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September</w:t>
            </w:r>
          </w:p>
        </w:tc>
        <w:tc>
          <w:tcPr>
            <w:tcW w:w="16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9"/>
              </w:rPr>
              <w:t>September</w:t>
            </w:r>
          </w:p>
        </w:tc>
      </w:tr>
      <w:tr>
        <w:trPr>
          <w:trHeight w:val="171"/>
        </w:trPr>
        <w:tc>
          <w:tcPr>
            <w:tcW w:w="6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30, 2016</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30, 2015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30, 2016</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30, 2015</w:t>
            </w:r>
          </w:p>
        </w:tc>
        <w:tc>
          <w:tcPr>
            <w:tcW w:w="100" w:type="dxa"/>
            <w:vAlign w:val="bottom"/>
            <w:tcBorders>
              <w:bottom w:val="single" w:sz="8" w:color="CFF0FC"/>
            </w:tcBorders>
          </w:tcPr>
          <w:p>
            <w:pPr>
              <w:spacing w:after="0"/>
              <w:rPr>
                <w:sz w:val="14"/>
                <w:szCs w:val="14"/>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43,986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124,931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120,040</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w:t>
            </w:r>
          </w:p>
        </w:tc>
        <w:tc>
          <w:tcPr>
            <w:tcW w:w="100" w:type="dxa"/>
            <w:vAlign w:val="bottom"/>
            <w:shd w:val="clear" w:color="auto" w:fill="CFF0FC"/>
          </w:tcPr>
          <w:p>
            <w:pPr>
              <w:spacing w:after="0"/>
              <w:rPr>
                <w:sz w:val="19"/>
                <w:szCs w:val="19"/>
                <w:color w:val="auto"/>
              </w:rPr>
            </w:pPr>
          </w:p>
        </w:tc>
      </w:tr>
      <w:tr>
        <w:trPr>
          <w:trHeight w:val="209"/>
        </w:trPr>
        <w:tc>
          <w:tcPr>
            <w:tcW w:w="612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20" w:type="dxa"/>
            <w:vAlign w:val="bottom"/>
          </w:tcPr>
          <w:p>
            <w:pPr>
              <w:ind w:left="6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51,329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135,261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125,228</w:t>
            </w:r>
          </w:p>
        </w:tc>
        <w:tc>
          <w:tcPr>
            <w:tcW w:w="100" w:type="dxa"/>
            <w:vAlign w:val="bottom"/>
          </w:tcPr>
          <w:p>
            <w:pPr>
              <w:spacing w:after="0"/>
              <w:rPr>
                <w:sz w:val="20"/>
                <w:szCs w:val="20"/>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r>
      <w:tr>
        <w:trPr>
          <w:trHeight w:val="209"/>
        </w:trPr>
        <w:tc>
          <w:tcPr>
            <w:tcW w:w="6120" w:type="dxa"/>
            <w:vAlign w:val="bottom"/>
          </w:tcPr>
          <w:p>
            <w:pPr>
              <w:ind w:left="500"/>
              <w:spacing w:after="0"/>
              <w:rPr>
                <w:sz w:val="20"/>
                <w:szCs w:val="20"/>
                <w:color w:val="auto"/>
              </w:rPr>
            </w:pPr>
            <w:r>
              <w:rPr>
                <w:rFonts w:ascii="Arial" w:cs="Arial" w:eastAsia="Arial" w:hAnsi="Arial"/>
                <w:sz w:val="18"/>
                <w:szCs w:val="18"/>
                <w:color w:val="auto"/>
              </w:rPr>
              <w:t>Total investment income from controlled, affiliated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2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Borders>
              <w:bottom w:val="single" w:sz="8" w:color="CFF0FC"/>
            </w:tcBorders>
          </w:tcPr>
          <w:p>
            <w:pPr>
              <w:spacing w:after="0"/>
              <w:rPr>
                <w:sz w:val="20"/>
                <w:szCs w:val="20"/>
                <w:color w:val="auto"/>
              </w:rPr>
            </w:pPr>
          </w:p>
        </w:tc>
      </w:tr>
      <w:tr>
        <w:trPr>
          <w:trHeight w:val="223"/>
        </w:trPr>
        <w:tc>
          <w:tcPr>
            <w:tcW w:w="61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142,701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129,856</w:t>
            </w:r>
          </w:p>
        </w:tc>
        <w:tc>
          <w:tcPr>
            <w:tcW w:w="100" w:type="dxa"/>
            <w:vAlign w:val="bottom"/>
            <w:shd w:val="clear" w:color="auto" w:fill="CFF0FC"/>
          </w:tcPr>
          <w:p>
            <w:pPr>
              <w:spacing w:after="0"/>
              <w:rPr>
                <w:sz w:val="19"/>
                <w:szCs w:val="19"/>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Management fees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15,706</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Borders>
              <w:bottom w:val="single" w:sz="8" w:color="CFF0FC"/>
            </w:tcBorders>
          </w:tcPr>
          <w:p>
            <w:pPr>
              <w:spacing w:after="0"/>
              <w:rPr>
                <w:sz w:val="19"/>
                <w:szCs w:val="19"/>
                <w:color w:val="auto"/>
              </w:rPr>
            </w:pPr>
          </w:p>
        </w:tc>
      </w:tr>
      <w:tr>
        <w:trPr>
          <w:trHeight w:val="223"/>
        </w:trPr>
        <w:tc>
          <w:tcPr>
            <w:tcW w:w="6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62,167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57,004</w:t>
            </w:r>
          </w:p>
        </w:tc>
        <w:tc>
          <w:tcPr>
            <w:tcW w:w="100" w:type="dxa"/>
            <w:vAlign w:val="bottom"/>
            <w:shd w:val="clear" w:color="auto" w:fill="CFF0FC"/>
          </w:tcPr>
          <w:p>
            <w:pPr>
              <w:spacing w:after="0"/>
              <w:rPr>
                <w:sz w:val="19"/>
                <w:szCs w:val="19"/>
                <w:color w:val="auto"/>
              </w:rPr>
            </w:pPr>
          </w:p>
        </w:tc>
      </w:tr>
      <w:tr>
        <w:trPr>
          <w:trHeight w:val="223"/>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 (Note 3)</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tcPr>
          <w:p>
            <w:pPr>
              <w:spacing w:after="0"/>
              <w:rPr>
                <w:sz w:val="19"/>
                <w:szCs w:val="19"/>
                <w:color w:val="auto"/>
              </w:rPr>
            </w:pPr>
          </w:p>
        </w:tc>
      </w:tr>
      <w:tr>
        <w:trPr>
          <w:trHeight w:val="223"/>
        </w:trPr>
        <w:tc>
          <w:tcPr>
            <w:tcW w:w="61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61,821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56,900</w:t>
            </w:r>
          </w:p>
        </w:tc>
        <w:tc>
          <w:tcPr>
            <w:tcW w:w="100" w:type="dxa"/>
            <w:vAlign w:val="bottom"/>
            <w:shd w:val="clear" w:color="auto" w:fill="CFF0FC"/>
          </w:tcPr>
          <w:p>
            <w:pPr>
              <w:spacing w:after="0"/>
              <w:rPr>
                <w:sz w:val="19"/>
                <w:szCs w:val="19"/>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80,880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72,956</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71,655</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(10,191)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(1,698)</w:t>
            </w: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(6,898)</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(3,925)</w:t>
            </w: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assets and liabilities in foreign currencies</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r>
      <w:tr>
        <w:trPr>
          <w:trHeight w:val="223"/>
        </w:trPr>
        <w:tc>
          <w:tcPr>
            <w:tcW w:w="61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gains (losses)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Realized gains (losses):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(5,042)</w:t>
            </w: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Foreign currency transactions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FF0FC"/>
          </w:tcPr>
          <w:p>
            <w:pPr>
              <w:spacing w:after="0"/>
              <w:rPr>
                <w:sz w:val="19"/>
                <w:szCs w:val="19"/>
                <w:color w:val="auto"/>
              </w:rPr>
            </w:pPr>
          </w:p>
        </w:tc>
      </w:tr>
      <w:tr>
        <w:trPr>
          <w:trHeight w:val="223"/>
        </w:trPr>
        <w:tc>
          <w:tcPr>
            <w:tcW w:w="61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realized gains (losses)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FF0FC"/>
            </w:tcBorders>
          </w:tcPr>
          <w:p>
            <w:pPr>
              <w:spacing w:after="0"/>
              <w:rPr>
                <w:sz w:val="19"/>
                <w:szCs w:val="19"/>
                <w:color w:val="auto"/>
              </w:rPr>
            </w:pPr>
          </w:p>
        </w:tc>
      </w:tr>
      <w:tr>
        <w:trPr>
          <w:trHeight w:val="223"/>
        </w:trPr>
        <w:tc>
          <w:tcPr>
            <w:tcW w:w="6120" w:type="dxa"/>
            <w:vAlign w:val="bottom"/>
            <w:shd w:val="clear" w:color="auto" w:fill="CFF0FC"/>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6,304</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FF0FC"/>
          </w:tcPr>
          <w:p>
            <w:pPr>
              <w:spacing w:after="0"/>
              <w:rPr>
                <w:sz w:val="19"/>
                <w:szCs w:val="19"/>
                <w:color w:val="auto"/>
              </w:rPr>
            </w:pPr>
          </w:p>
        </w:tc>
      </w:tr>
      <w:tr>
        <w:trPr>
          <w:trHeight w:val="263"/>
        </w:trPr>
        <w:tc>
          <w:tcPr>
            <w:tcW w:w="61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36,875</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104,284</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67,910</w:t>
            </w:r>
          </w:p>
        </w:tc>
        <w:tc>
          <w:tcPr>
            <w:tcW w:w="100" w:type="dxa"/>
            <w:vAlign w:val="bottom"/>
            <w:tcBorders>
              <w:bottom w:val="single" w:sz="8" w:color="CFF0FC"/>
            </w:tcBorders>
          </w:tcPr>
          <w:p>
            <w:pPr>
              <w:spacing w:after="0"/>
              <w:rPr>
                <w:sz w:val="22"/>
                <w:szCs w:val="22"/>
                <w:color w:val="auto"/>
              </w:rPr>
            </w:pPr>
          </w:p>
        </w:tc>
      </w:tr>
      <w:tr>
        <w:trPr>
          <w:trHeight w:val="21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Weighted average shares of common stock outstanding—basic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59,523,695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54,017,302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58,229,549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53,969,423</w:t>
            </w:r>
          </w:p>
        </w:tc>
        <w:tc>
          <w:tcPr>
            <w:tcW w:w="100" w:type="dxa"/>
            <w:vAlign w:val="bottom"/>
          </w:tcPr>
          <w:p>
            <w:pPr>
              <w:spacing w:after="0"/>
              <w:rPr>
                <w:sz w:val="20"/>
                <w:szCs w:val="20"/>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Schedule of Investments as of September 30, 2016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4"/>
                <w:szCs w:val="14"/>
                <w:color w:val="auto"/>
              </w:rPr>
            </w:pPr>
          </w:p>
        </w:tc>
      </w:tr>
      <w:tr>
        <w:trPr>
          <w:trHeight w:val="17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r>
      <w:tr>
        <w:trPr>
          <w:trHeight w:val="223"/>
        </w:trPr>
        <w:tc>
          <w:tcPr>
            <w:tcW w:w="2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CFF0FC"/>
            </w:tcBorders>
            <w:shd w:val="clear" w:color="auto" w:fill="CFF0FC"/>
          </w:tcPr>
          <w:p>
            <w:pPr>
              <w:spacing w:after="0"/>
              <w:rPr>
                <w:sz w:val="19"/>
                <w:szCs w:val="19"/>
                <w:color w:val="auto"/>
              </w:rPr>
            </w:pPr>
          </w:p>
        </w:tc>
        <w:tc>
          <w:tcPr>
            <w:tcW w:w="2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($29,830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6/2017)</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29,684</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29,681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($833 par, due 6/2017)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920" w:type="dxa"/>
            <w:vAlign w:val="bottom"/>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($61,979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61,075</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($55,982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($45,000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11/2020)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11/12/2015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44,049</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44,888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($19,719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4/2019)</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19,418</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($62,031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920" w:type="dxa"/>
            <w:vAlign w:val="bottom"/>
          </w:tcPr>
          <w:p>
            <w:pPr>
              <w:jc w:val="right"/>
              <w:spacing w:after="0"/>
              <w:rPr>
                <w:sz w:val="20"/>
                <w:szCs w:val="20"/>
                <w:color w:val="auto"/>
              </w:rPr>
            </w:pPr>
            <w:r>
              <w:rPr>
                <w:rFonts w:ascii="Arial" w:cs="Arial" w:eastAsia="Arial" w:hAnsi="Arial"/>
                <w:sz w:val="18"/>
                <w:szCs w:val="18"/>
                <w:color w:val="auto"/>
              </w:rPr>
              <w:t>10/9/2015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56,717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60,170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($27,459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6/2019)</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27,085</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($28,125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8/2021)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920" w:type="dxa"/>
            <w:vAlign w:val="bottom"/>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27,240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27,300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($20,000 par,</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11.00% (incl.</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7/2021)</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3.00% PIK)</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19,513</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Qlik Technologies,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($40,500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8/2022)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9.25%</w:t>
            </w:r>
          </w:p>
        </w:tc>
        <w:tc>
          <w:tcPr>
            <w:tcW w:w="920" w:type="dxa"/>
            <w:vAlign w:val="bottom"/>
          </w:tcPr>
          <w:p>
            <w:pPr>
              <w:jc w:val="right"/>
              <w:spacing w:after="0"/>
              <w:rPr>
                <w:sz w:val="20"/>
                <w:szCs w:val="20"/>
                <w:color w:val="auto"/>
              </w:rPr>
            </w:pPr>
            <w:r>
              <w:rPr>
                <w:rFonts w:ascii="Arial" w:cs="Arial" w:eastAsia="Arial" w:hAnsi="Arial"/>
                <w:sz w:val="18"/>
                <w:szCs w:val="18"/>
                <w:color w:val="auto"/>
              </w:rPr>
              <w:t>8/22/2016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39,762</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39,791</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SailPoint Technologies,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($27,500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8/2021)</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($19,986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12/30/2014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19,697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20,152</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($29,250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3/2022)</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Tibco Software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w w:val="95"/>
              </w:rPr>
              <w:t>First-lien loan ($248 par, due 12/2020)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920" w:type="dxa"/>
            <w:vAlign w:val="bottom"/>
          </w:tcPr>
          <w:p>
            <w:pPr>
              <w:jc w:val="right"/>
              <w:spacing w:after="0"/>
              <w:rPr>
                <w:sz w:val="20"/>
                <w:szCs w:val="20"/>
                <w:color w:val="auto"/>
              </w:rPr>
            </w:pPr>
            <w:r>
              <w:rPr>
                <w:rFonts w:ascii="Arial" w:cs="Arial" w:eastAsia="Arial" w:hAnsi="Arial"/>
                <w:sz w:val="18"/>
                <w:szCs w:val="18"/>
                <w:color w:val="auto"/>
              </w:rPr>
              <w:t>1/26/2016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364,551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373,581</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(3)(10)</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($11,980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10/2019)</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r>
      <w:tr>
        <w:trPr>
          <w:trHeight w:val="230"/>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DIP loan ($3,749 par, due 11/2016)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920" w:type="dxa"/>
            <w:vAlign w:val="bottom"/>
          </w:tcPr>
          <w:p>
            <w:pPr>
              <w:jc w:val="right"/>
              <w:spacing w:after="0"/>
              <w:rPr>
                <w:sz w:val="20"/>
                <w:szCs w:val="20"/>
                <w:color w:val="auto"/>
              </w:rPr>
            </w:pPr>
            <w:r>
              <w:rPr>
                <w:rFonts w:ascii="Arial" w:cs="Arial" w:eastAsia="Arial" w:hAnsi="Arial"/>
                <w:sz w:val="18"/>
                <w:szCs w:val="18"/>
                <w:color w:val="auto"/>
              </w:rPr>
              <w:t>6/2/2016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3,758</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Education</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($45,000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8/2022)</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43,779</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Frontline Technologies Group</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($54,725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920" w:type="dxa"/>
            <w:vAlign w:val="bottom"/>
          </w:tcPr>
          <w:p>
            <w:pPr>
              <w:jc w:val="right"/>
              <w:spacing w:after="0"/>
              <w:rPr>
                <w:sz w:val="20"/>
                <w:szCs w:val="20"/>
                <w:color w:val="auto"/>
              </w:rPr>
            </w:pPr>
            <w:r>
              <w:rPr>
                <w:rFonts w:ascii="Arial" w:cs="Arial" w:eastAsia="Arial" w:hAnsi="Arial"/>
                <w:sz w:val="18"/>
                <w:szCs w:val="18"/>
                <w:color w:val="auto"/>
              </w:rPr>
              <w:t>4/1/2016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53,389</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54,315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r>
      <w:tr>
        <w:trPr>
          <w:trHeight w:val="426"/>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ind w:left="27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4"/>
                <w:szCs w:val="14"/>
                <w:color w:val="auto"/>
              </w:rPr>
            </w:pPr>
          </w:p>
        </w:tc>
      </w:tr>
      <w:tr>
        <w:trPr>
          <w:trHeight w:val="17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20" w:type="dxa"/>
            <w:vAlign w:val="bottom"/>
            <w:tcBorders>
              <w:bottom w:val="single" w:sz="8" w:color="CFF0FC"/>
            </w:tcBorders>
          </w:tcPr>
          <w:p>
            <w:pPr>
              <w:spacing w:after="0"/>
              <w:rPr>
                <w:sz w:val="14"/>
                <w:szCs w:val="14"/>
                <w:color w:val="auto"/>
              </w:rPr>
            </w:pPr>
          </w:p>
        </w:tc>
        <w:tc>
          <w:tcPr>
            <w:tcW w:w="27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Interest</w:t>
            </w:r>
          </w:p>
        </w:tc>
        <w:tc>
          <w:tcPr>
            <w:tcW w:w="2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2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97,168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98,190</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r>
      <w:tr>
        <w:trPr>
          <w:trHeight w:val="223"/>
        </w:trPr>
        <w:tc>
          <w:tcPr>
            <w:tcW w:w="2880" w:type="dxa"/>
            <w:vAlign w:val="bottom"/>
            <w:gridSpan w:val="2"/>
          </w:tcPr>
          <w:p>
            <w:pPr>
              <w:ind w:left="260"/>
              <w:spacing w:after="0"/>
              <w:rPr>
                <w:sz w:val="20"/>
                <w:szCs w:val="20"/>
                <w:color w:val="auto"/>
              </w:rPr>
            </w:pPr>
            <w:r>
              <w:rPr>
                <w:rFonts w:ascii="Arial" w:cs="Arial" w:eastAsia="Arial" w:hAnsi="Arial"/>
                <w:sz w:val="18"/>
                <w:szCs w:val="18"/>
                <w:b w:val="1"/>
                <w:bCs w:val="1"/>
                <w:color w:val="auto"/>
              </w:rPr>
              <w:t>Electronics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($63,151 par,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due 1/2019)</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1/9/2014</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62,684</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63,958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APX Group Inc.</w:t>
            </w:r>
          </w:p>
        </w:tc>
        <w:tc>
          <w:tcPr>
            <w:tcW w:w="2740" w:type="dxa"/>
            <w:vAlign w:val="bottom"/>
          </w:tcPr>
          <w:p>
            <w:pPr>
              <w:spacing w:after="0"/>
              <w:rPr>
                <w:sz w:val="20"/>
                <w:szCs w:val="20"/>
                <w:color w:val="auto"/>
              </w:rPr>
            </w:pPr>
            <w:r>
              <w:rPr>
                <w:rFonts w:ascii="Arial" w:cs="Arial" w:eastAsia="Arial" w:hAnsi="Arial"/>
                <w:sz w:val="18"/>
                <w:szCs w:val="18"/>
                <w:color w:val="auto"/>
              </w:rPr>
              <w:t>Senior notes 8.75% ($10,692 par,</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12/2020)</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12/11/2014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9,336</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74,436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23"/>
        </w:trPr>
        <w:tc>
          <w:tcPr>
            <w:tcW w:w="288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($22,500 par, due</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8/2020)</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22,051</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740" w:type="dxa"/>
            <w:vAlign w:val="bottom"/>
          </w:tcPr>
          <w:p>
            <w:pPr>
              <w:spacing w:after="0"/>
              <w:rPr>
                <w:sz w:val="20"/>
                <w:szCs w:val="20"/>
                <w:color w:val="auto"/>
              </w:rPr>
            </w:pPr>
            <w:r>
              <w:rPr>
                <w:rFonts w:ascii="Arial" w:cs="Arial" w:eastAsia="Arial" w:hAnsi="Arial"/>
                <w:sz w:val="18"/>
                <w:szCs w:val="18"/>
                <w:color w:val="auto"/>
                <w:w w:val="96"/>
              </w:rPr>
              <w:t>Second-lien loan ($34,454 par, due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8/2020)</w:t>
            </w:r>
          </w:p>
        </w:tc>
        <w:tc>
          <w:tcPr>
            <w:tcW w:w="12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10.50% PIK</w:t>
            </w:r>
          </w:p>
        </w:tc>
        <w:tc>
          <w:tcPr>
            <w:tcW w:w="900" w:type="dxa"/>
            <w:vAlign w:val="bottom"/>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34,030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34,329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($25,782 par,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due 9/2018)</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25,558</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740" w:type="dxa"/>
            <w:vAlign w:val="bottom"/>
          </w:tcPr>
          <w:p>
            <w:pPr>
              <w:spacing w:after="0"/>
              <w:rPr>
                <w:sz w:val="20"/>
                <w:szCs w:val="20"/>
                <w:color w:val="auto"/>
              </w:rPr>
            </w:pPr>
            <w:r>
              <w:rPr>
                <w:rFonts w:ascii="Arial" w:cs="Arial" w:eastAsia="Arial" w:hAnsi="Arial"/>
                <w:sz w:val="18"/>
                <w:szCs w:val="18"/>
                <w:color w:val="auto"/>
              </w:rPr>
              <w:t>First-lien loan ($34,285 par,</w:t>
            </w: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10.00%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3/2020)</w:t>
            </w:r>
          </w:p>
        </w:tc>
        <w:tc>
          <w:tcPr>
            <w:tcW w:w="12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tcPr>
          <w:p>
            <w:pPr>
              <w:jc w:val="right"/>
              <w:spacing w:after="0"/>
              <w:rPr>
                <w:sz w:val="20"/>
                <w:szCs w:val="20"/>
                <w:color w:val="auto"/>
              </w:rPr>
            </w:pPr>
            <w:r>
              <w:rPr>
                <w:rFonts w:ascii="Arial" w:cs="Arial" w:eastAsia="Arial" w:hAnsi="Arial"/>
                <w:sz w:val="18"/>
                <w:szCs w:val="18"/>
                <w:color w:val="auto"/>
              </w:rPr>
              <w:t>3/6/2015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33,727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34,285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Smarsh, Inc. </w:t>
            </w:r>
            <w:r>
              <w:rPr>
                <w:rFonts w:ascii="Arial" w:cs="Arial" w:eastAsia="Arial" w:hAnsi="Arial"/>
                <w:sz w:val="15"/>
                <w:szCs w:val="15"/>
                <w:color w:val="auto"/>
              </w:rPr>
              <w:t>(3)(5)</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($30,000 par,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due 1/2021)</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1/7/2016</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29,311</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144,677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147,043</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r>
      <w:tr>
        <w:trPr>
          <w:trHeight w:val="223"/>
        </w:trPr>
        <w:tc>
          <w:tcPr>
            <w:tcW w:w="28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2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740" w:type="dxa"/>
            <w:vAlign w:val="bottom"/>
          </w:tcPr>
          <w:p>
            <w:pPr>
              <w:spacing w:after="0"/>
              <w:rPr>
                <w:sz w:val="20"/>
                <w:szCs w:val="20"/>
                <w:color w:val="auto"/>
              </w:rPr>
            </w:pPr>
            <w:r>
              <w:rPr>
                <w:rFonts w:ascii="Arial" w:cs="Arial" w:eastAsia="Arial" w:hAnsi="Arial"/>
                <w:sz w:val="18"/>
                <w:szCs w:val="18"/>
                <w:color w:val="auto"/>
              </w:rPr>
              <w:t>First-lien loan (EUR 41,103 par,</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48,501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9/2019)</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11.50%</w:t>
            </w:r>
          </w:p>
        </w:tc>
        <w:tc>
          <w:tcPr>
            <w:tcW w:w="900" w:type="dxa"/>
            <w:vAlign w:val="bottom"/>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48,371</w:t>
            </w:r>
          </w:p>
        </w:tc>
        <w:tc>
          <w:tcPr>
            <w:tcW w:w="2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(EUR 43,158)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215"/>
        </w:trPr>
        <w:tc>
          <w:tcPr>
            <w:tcW w:w="2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revolving loan</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(EUR 300 par, due 9/2019)</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(EUR 500)</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740" w:type="dxa"/>
            <w:vAlign w:val="bottom"/>
          </w:tcPr>
          <w:p>
            <w:pPr>
              <w:spacing w:after="0"/>
              <w:rPr>
                <w:sz w:val="20"/>
                <w:szCs w:val="20"/>
                <w:color w:val="auto"/>
              </w:rPr>
            </w:pPr>
            <w:r>
              <w:rPr>
                <w:rFonts w:ascii="Arial" w:cs="Arial" w:eastAsia="Arial" w:hAnsi="Arial"/>
                <w:sz w:val="18"/>
                <w:szCs w:val="18"/>
                <w:color w:val="auto"/>
              </w:rPr>
              <w:t>First-lien loan ($44,775 par,</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12/2021)</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6.25%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12/17/2015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44,042</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44,887</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($46,650 par, due</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9.35%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9/2020)</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45,440</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740" w:type="dxa"/>
            <w:vAlign w:val="bottom"/>
          </w:tcPr>
          <w:p>
            <w:pPr>
              <w:spacing w:after="0"/>
              <w:rPr>
                <w:sz w:val="20"/>
                <w:szCs w:val="20"/>
                <w:color w:val="auto"/>
              </w:rPr>
            </w:pPr>
            <w:r>
              <w:rPr>
                <w:rFonts w:ascii="Arial" w:cs="Arial" w:eastAsia="Arial" w:hAnsi="Arial"/>
                <w:sz w:val="18"/>
                <w:szCs w:val="18"/>
                <w:color w:val="auto"/>
              </w:rPr>
              <w:t>First-lien loan ($29,850 par,</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2/2021)</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tcPr>
          <w:p>
            <w:pPr>
              <w:jc w:val="right"/>
              <w:spacing w:after="0"/>
              <w:rPr>
                <w:sz w:val="20"/>
                <w:szCs w:val="20"/>
                <w:color w:val="auto"/>
              </w:rPr>
            </w:pPr>
            <w:r>
              <w:rPr>
                <w:rFonts w:ascii="Arial" w:cs="Arial" w:eastAsia="Arial" w:hAnsi="Arial"/>
                <w:sz w:val="18"/>
                <w:szCs w:val="18"/>
                <w:color w:val="auto"/>
              </w:rPr>
              <w:t>2/29/2016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28,927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29,626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($30,469 par,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due 12/2017)</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12/28/2012</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30,242</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r>
        <w:trPr>
          <w:trHeight w:val="215"/>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First-lien revolving loan</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($2,000 par, due 12/2017)</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12/28/2012</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1,972</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0"/>
        </w:trPr>
        <w:tc>
          <w:tcPr>
            <w:tcW w:w="2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199,238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202,507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23"/>
        </w:trPr>
        <w:tc>
          <w:tcPr>
            <w:tcW w:w="2880" w:type="dxa"/>
            <w:vAlign w:val="bottom"/>
            <w:gridSpan w:val="2"/>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CrunchTime Information</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($25,940 par, due</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9.35%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4/2020)</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25,449</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740" w:type="dxa"/>
            <w:vAlign w:val="bottom"/>
          </w:tcPr>
          <w:p>
            <w:pPr>
              <w:spacing w:after="0"/>
              <w:rPr>
                <w:sz w:val="20"/>
                <w:szCs w:val="20"/>
                <w:color w:val="auto"/>
              </w:rPr>
            </w:pPr>
            <w:r>
              <w:rPr>
                <w:rFonts w:ascii="Arial" w:cs="Arial" w:eastAsia="Arial" w:hAnsi="Arial"/>
                <w:sz w:val="18"/>
                <w:szCs w:val="18"/>
                <w:color w:val="auto"/>
              </w:rPr>
              <w:t>First-lien loan ($21,044 par, due</w:t>
            </w: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10.35%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9/2019)</w:t>
            </w:r>
          </w:p>
        </w:tc>
        <w:tc>
          <w:tcPr>
            <w:tcW w:w="12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5.00% PIK)</w:t>
            </w:r>
          </w:p>
        </w:tc>
        <w:tc>
          <w:tcPr>
            <w:tcW w:w="9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21,044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20,097</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w w:val="94"/>
              </w:rPr>
              <w:t>First-lien revolver loan ($11,803 par,</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10.35%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due 9/2019)</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5.00%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11,803</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2740" w:type="dxa"/>
            <w:vAlign w:val="bottom"/>
          </w:tcPr>
          <w:p>
            <w:pPr>
              <w:spacing w:after="0"/>
              <w:rPr>
                <w:sz w:val="20"/>
                <w:szCs w:val="20"/>
                <w:color w:val="auto"/>
              </w:rPr>
            </w:pPr>
            <w:r>
              <w:rPr>
                <w:rFonts w:ascii="Arial" w:cs="Arial" w:eastAsia="Arial" w:hAnsi="Arial"/>
                <w:sz w:val="18"/>
                <w:szCs w:val="18"/>
                <w:color w:val="auto"/>
                <w:w w:val="95"/>
              </w:rPr>
              <w:t>Second-lien bond (GBP 14,375 par,</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19,047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10/2018)</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9.13%</w:t>
            </w:r>
          </w:p>
        </w:tc>
        <w:tc>
          <w:tcPr>
            <w:tcW w:w="900" w:type="dxa"/>
            <w:vAlign w:val="bottom"/>
          </w:tcPr>
          <w:p>
            <w:pPr>
              <w:jc w:val="right"/>
              <w:spacing w:after="0"/>
              <w:rPr>
                <w:sz w:val="20"/>
                <w:szCs w:val="20"/>
                <w:color w:val="auto"/>
              </w:rPr>
            </w:pPr>
            <w:r>
              <w:rPr>
                <w:rFonts w:ascii="Arial" w:cs="Arial" w:eastAsia="Arial" w:hAnsi="Arial"/>
                <w:sz w:val="18"/>
                <w:szCs w:val="18"/>
                <w:color w:val="auto"/>
              </w:rPr>
              <w:t>9/20/2013</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23,264</w:t>
            </w:r>
          </w:p>
        </w:tc>
        <w:tc>
          <w:tcPr>
            <w:tcW w:w="2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(GBP 14,662)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r>
      <w:tr>
        <w:trPr>
          <w:trHeight w:val="426"/>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40" w:type="dxa"/>
            <w:vAlign w:val="bottom"/>
            <w:gridSpan w:val="2"/>
          </w:tcPr>
          <w:p>
            <w:pPr>
              <w:jc w:val="right"/>
              <w:ind w:right="1011"/>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00" w:type="dxa"/>
            <w:vAlign w:val="bottom"/>
            <w:tcBorders>
              <w:bottom w:val="single" w:sz="8" w:color="CFF0FC"/>
            </w:tcBorders>
          </w:tcPr>
          <w:p>
            <w:pPr>
              <w:spacing w:after="0"/>
              <w:rPr>
                <w:sz w:val="14"/>
                <w:szCs w:val="14"/>
                <w:color w:val="auto"/>
              </w:rPr>
            </w:pPr>
          </w:p>
        </w:tc>
        <w:tc>
          <w:tcPr>
            <w:tcW w:w="26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Interest</w:t>
            </w:r>
          </w:p>
        </w:tc>
        <w:tc>
          <w:tcPr>
            <w:tcW w:w="3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81,560</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76,156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90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380"/>
              <w:spacing w:after="0"/>
              <w:rPr>
                <w:sz w:val="20"/>
                <w:szCs w:val="20"/>
                <w:color w:val="auto"/>
              </w:rPr>
            </w:pPr>
            <w:r>
              <w:rPr>
                <w:rFonts w:ascii="Arial" w:cs="Arial" w:eastAsia="Arial" w:hAnsi="Arial"/>
                <w:sz w:val="18"/>
                <w:szCs w:val="18"/>
                <w:b w:val="1"/>
                <w:bCs w:val="1"/>
                <w:color w:val="auto"/>
              </w:rPr>
              <w:t>services</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($54,313 par,</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due 3/2021)</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53,794</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2680" w:type="dxa"/>
            <w:vAlign w:val="bottom"/>
          </w:tcPr>
          <w:p>
            <w:pPr>
              <w:spacing w:after="0"/>
              <w:rPr>
                <w:sz w:val="20"/>
                <w:szCs w:val="20"/>
                <w:color w:val="auto"/>
              </w:rPr>
            </w:pPr>
            <w:r>
              <w:rPr>
                <w:rFonts w:ascii="Arial" w:cs="Arial" w:eastAsia="Arial" w:hAnsi="Arial"/>
                <w:sz w:val="18"/>
                <w:szCs w:val="18"/>
                <w:color w:val="auto"/>
              </w:rPr>
              <w:t>First-lien loan ($10,993 par,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due 4/2021)</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5.75%</w:t>
            </w:r>
          </w:p>
        </w:tc>
        <w:tc>
          <w:tcPr>
            <w:tcW w:w="900" w:type="dxa"/>
            <w:vAlign w:val="bottom"/>
          </w:tcPr>
          <w:p>
            <w:pPr>
              <w:jc w:val="right"/>
              <w:spacing w:after="0"/>
              <w:rPr>
                <w:sz w:val="20"/>
                <w:szCs w:val="20"/>
                <w:color w:val="auto"/>
              </w:rPr>
            </w:pPr>
            <w:r>
              <w:rPr>
                <w:rFonts w:ascii="Arial" w:cs="Arial" w:eastAsia="Arial" w:hAnsi="Arial"/>
                <w:sz w:val="18"/>
                <w:szCs w:val="18"/>
                <w:color w:val="auto"/>
              </w:rPr>
              <w:t>11/5/2015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8,710</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9,722</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62,504</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64,035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gridSpan w:val="2"/>
          </w:tcPr>
          <w:p>
            <w:pPr>
              <w:ind w:left="260"/>
              <w:spacing w:after="0"/>
              <w:rPr>
                <w:sz w:val="20"/>
                <w:szCs w:val="20"/>
                <w:color w:val="auto"/>
              </w:rPr>
            </w:pPr>
            <w:r>
              <w:rPr>
                <w:rFonts w:ascii="Arial" w:cs="Arial" w:eastAsia="Arial" w:hAnsi="Arial"/>
                <w:sz w:val="18"/>
                <w:szCs w:val="18"/>
                <w:b w:val="1"/>
                <w:bCs w:val="1"/>
                <w:color w:val="auto"/>
              </w:rPr>
              <w:t>Insurance</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($65,143 par,</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due 10/2020)</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10/31/2014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64,558</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($48,472 par, due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7/2018)</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48,115</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2"/>
              </w:rPr>
              <w:t>First-lien revolving loan ($3,000 par,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due 7/2018)</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2,982</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51,097</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51,987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gridSpan w:val="2"/>
          </w:tcPr>
          <w:p>
            <w:pPr>
              <w:ind w:left="260"/>
              <w:spacing w:after="0"/>
              <w:rPr>
                <w:sz w:val="20"/>
                <w:szCs w:val="20"/>
                <w:color w:val="auto"/>
              </w:rPr>
            </w:pPr>
            <w:r>
              <w:rPr>
                <w:rFonts w:ascii="Arial" w:cs="Arial" w:eastAsia="Arial" w:hAnsi="Arial"/>
                <w:sz w:val="18"/>
                <w:szCs w:val="18"/>
                <w:b w:val="1"/>
                <w:bCs w:val="1"/>
                <w:color w:val="auto"/>
              </w:rPr>
              <w:t>Manufacturing</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Jeeves Information Systems</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(SEK 198,421 par,</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5"/>
                <w:szCs w:val="15"/>
                <w:color w:val="auto"/>
              </w:rPr>
              <w:t>(3)(4)(5)</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due 3/2019)</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6/5/2013</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29,689</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1"/>
              </w:rPr>
              <w:t>(SEK 201,396)</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tcPr>
          <w:p>
            <w:pPr>
              <w:spacing w:after="0"/>
              <w:rPr>
                <w:sz w:val="20"/>
                <w:szCs w:val="20"/>
                <w:color w:val="auto"/>
              </w:rPr>
            </w:pPr>
            <w:r>
              <w:rPr>
                <w:rFonts w:ascii="Arial" w:cs="Arial" w:eastAsia="Arial" w:hAnsi="Arial"/>
                <w:sz w:val="18"/>
                <w:szCs w:val="18"/>
                <w:color w:val="auto"/>
              </w:rPr>
              <w:t>Power Solutions International,</w:t>
            </w:r>
          </w:p>
        </w:tc>
        <w:tc>
          <w:tcPr>
            <w:tcW w:w="2680" w:type="dxa"/>
            <w:vAlign w:val="bottom"/>
          </w:tcPr>
          <w:p>
            <w:pPr>
              <w:spacing w:after="0"/>
              <w:rPr>
                <w:sz w:val="20"/>
                <w:szCs w:val="20"/>
                <w:color w:val="auto"/>
              </w:rPr>
            </w:pPr>
            <w:r>
              <w:rPr>
                <w:rFonts w:ascii="Arial" w:cs="Arial" w:eastAsia="Arial" w:hAnsi="Arial"/>
                <w:sz w:val="18"/>
                <w:szCs w:val="18"/>
                <w:color w:val="auto"/>
              </w:rPr>
              <w:t>First-lien loan ($47,250 par,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w:t>
            </w:r>
          </w:p>
        </w:tc>
        <w:tc>
          <w:tcPr>
            <w:tcW w:w="2680" w:type="dxa"/>
            <w:vAlign w:val="bottom"/>
          </w:tcPr>
          <w:p>
            <w:pPr>
              <w:spacing w:after="0"/>
              <w:rPr>
                <w:sz w:val="20"/>
                <w:szCs w:val="20"/>
                <w:color w:val="auto"/>
              </w:rPr>
            </w:pPr>
            <w:r>
              <w:rPr>
                <w:rFonts w:ascii="Arial" w:cs="Arial" w:eastAsia="Arial" w:hAnsi="Arial"/>
                <w:sz w:val="18"/>
                <w:szCs w:val="18"/>
                <w:color w:val="auto"/>
              </w:rPr>
              <w:t>due 6/2021)</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10.75%</w:t>
            </w:r>
          </w:p>
        </w:tc>
        <w:tc>
          <w:tcPr>
            <w:tcW w:w="900" w:type="dxa"/>
            <w:vAlign w:val="bottom"/>
          </w:tcPr>
          <w:p>
            <w:pPr>
              <w:jc w:val="right"/>
              <w:spacing w:after="0"/>
              <w:rPr>
                <w:sz w:val="20"/>
                <w:szCs w:val="20"/>
                <w:color w:val="auto"/>
              </w:rPr>
            </w:pPr>
            <w:r>
              <w:rPr>
                <w:rFonts w:ascii="Arial" w:cs="Arial" w:eastAsia="Arial" w:hAnsi="Arial"/>
                <w:sz w:val="18"/>
                <w:szCs w:val="18"/>
                <w:color w:val="auto"/>
              </w:rPr>
              <w:t>6/28/2016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46,331</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46,659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76,020</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70,166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gridSpan w:val="2"/>
          </w:tcPr>
          <w:p>
            <w:pPr>
              <w:ind w:left="260"/>
              <w:spacing w:after="0"/>
              <w:rPr>
                <w:sz w:val="20"/>
                <w:szCs w:val="20"/>
                <w:color w:val="auto"/>
              </w:rPr>
            </w:pPr>
            <w:r>
              <w:rPr>
                <w:rFonts w:ascii="Arial" w:cs="Arial" w:eastAsia="Arial" w:hAnsi="Arial"/>
                <w:sz w:val="18"/>
                <w:szCs w:val="18"/>
                <w:b w:val="1"/>
                <w:bCs w:val="1"/>
                <w:color w:val="auto"/>
              </w:rPr>
              <w:t>Office products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($36,623 par,</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due 3/2019)</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36,443</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gridSpan w:val="2"/>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380"/>
              <w:spacing w:after="0"/>
              <w:rPr>
                <w:sz w:val="20"/>
                <w:szCs w:val="20"/>
                <w:color w:val="auto"/>
              </w:rPr>
            </w:pPr>
            <w:r>
              <w:rPr>
                <w:rFonts w:ascii="Arial" w:cs="Arial" w:eastAsia="Arial" w:hAnsi="Arial"/>
                <w:sz w:val="18"/>
                <w:szCs w:val="18"/>
                <w:b w:val="1"/>
                <w:bCs w:val="1"/>
                <w:color w:val="auto"/>
              </w:rPr>
              <w:t>fuels</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($12,446 par,</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due 6/2020)</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12,072</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2680" w:type="dxa"/>
            <w:vAlign w:val="bottom"/>
          </w:tcPr>
          <w:p>
            <w:pPr>
              <w:spacing w:after="0"/>
              <w:rPr>
                <w:sz w:val="20"/>
                <w:szCs w:val="20"/>
                <w:color w:val="auto"/>
              </w:rPr>
            </w:pPr>
            <w:r>
              <w:rPr>
                <w:rFonts w:ascii="Arial" w:cs="Arial" w:eastAsia="Arial" w:hAnsi="Arial"/>
                <w:sz w:val="18"/>
                <w:szCs w:val="18"/>
                <w:color w:val="auto"/>
              </w:rPr>
              <w:t>First-lien loan ($50,421 par,</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13.00% (incl.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due 6/2018)</w:t>
            </w:r>
          </w:p>
        </w:tc>
        <w:tc>
          <w:tcPr>
            <w:tcW w:w="1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1.50% PIK)</w:t>
            </w:r>
          </w:p>
        </w:tc>
        <w:tc>
          <w:tcPr>
            <w:tcW w:w="900" w:type="dxa"/>
            <w:vAlign w:val="bottom"/>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49,916</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33,908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61,988</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45,856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gridSpan w:val="2"/>
          </w:tcPr>
          <w:p>
            <w:pPr>
              <w:ind w:left="260"/>
              <w:spacing w:after="0"/>
              <w:rPr>
                <w:sz w:val="20"/>
                <w:szCs w:val="20"/>
                <w:color w:val="auto"/>
              </w:rPr>
            </w:pPr>
            <w:r>
              <w:rPr>
                <w:rFonts w:ascii="Arial" w:cs="Arial" w:eastAsia="Arial" w:hAnsi="Arial"/>
                <w:sz w:val="18"/>
                <w:szCs w:val="18"/>
                <w:b w:val="1"/>
                <w:bCs w:val="1"/>
                <w:color w:val="auto"/>
              </w:rPr>
              <w:t>Pharmaceuticals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Secured note ($74,950 par, due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10/2020)</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74,128</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gridSpan w:val="2"/>
          </w:tcPr>
          <w:p>
            <w:pPr>
              <w:ind w:left="260"/>
              <w:spacing w:after="0"/>
              <w:rPr>
                <w:sz w:val="20"/>
                <w:szCs w:val="20"/>
                <w:color w:val="auto"/>
              </w:rPr>
            </w:pPr>
            <w:r>
              <w:rPr>
                <w:rFonts w:ascii="Arial" w:cs="Arial" w:eastAsia="Arial" w:hAnsi="Arial"/>
                <w:sz w:val="18"/>
                <w:szCs w:val="18"/>
                <w:b w:val="1"/>
                <w:bCs w:val="1"/>
                <w:color w:val="auto"/>
              </w:rPr>
              <w:t>Retail and consumer</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380"/>
              <w:spacing w:after="0"/>
              <w:rPr>
                <w:sz w:val="20"/>
                <w:szCs w:val="20"/>
                <w:color w:val="auto"/>
              </w:rPr>
            </w:pPr>
            <w:r>
              <w:rPr>
                <w:rFonts w:ascii="Arial" w:cs="Arial" w:eastAsia="Arial" w:hAnsi="Arial"/>
                <w:sz w:val="18"/>
                <w:szCs w:val="18"/>
                <w:b w:val="1"/>
                <w:bCs w:val="1"/>
                <w:color w:val="auto"/>
              </w:rPr>
              <w:t>products</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($24,432 par, due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9/2020)</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24,144</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tcPr>
          <w:p>
            <w:pPr>
              <w:spacing w:after="0"/>
              <w:rPr>
                <w:sz w:val="20"/>
                <w:szCs w:val="20"/>
                <w:color w:val="auto"/>
              </w:rPr>
            </w:pPr>
            <w:r>
              <w:rPr>
                <w:rFonts w:ascii="Arial" w:cs="Arial" w:eastAsia="Arial" w:hAnsi="Arial"/>
                <w:sz w:val="18"/>
                <w:szCs w:val="18"/>
                <w:color w:val="auto"/>
              </w:rPr>
              <w:t>Destination Maternity</w:t>
            </w:r>
          </w:p>
        </w:tc>
        <w:tc>
          <w:tcPr>
            <w:tcW w:w="2680" w:type="dxa"/>
            <w:vAlign w:val="bottom"/>
          </w:tcPr>
          <w:p>
            <w:pPr>
              <w:spacing w:after="0"/>
              <w:rPr>
                <w:sz w:val="20"/>
                <w:szCs w:val="20"/>
                <w:color w:val="auto"/>
              </w:rPr>
            </w:pPr>
            <w:r>
              <w:rPr>
                <w:rFonts w:ascii="Arial" w:cs="Arial" w:eastAsia="Arial" w:hAnsi="Arial"/>
                <w:sz w:val="18"/>
                <w:szCs w:val="18"/>
                <w:color w:val="auto"/>
                <w:w w:val="98"/>
              </w:rPr>
              <w:t>ABL FILO term loan ($17,829 par,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680" w:type="dxa"/>
            <w:vAlign w:val="bottom"/>
          </w:tcPr>
          <w:p>
            <w:pPr>
              <w:spacing w:after="0"/>
              <w:rPr>
                <w:sz w:val="20"/>
                <w:szCs w:val="20"/>
                <w:color w:val="auto"/>
              </w:rPr>
            </w:pPr>
            <w:r>
              <w:rPr>
                <w:rFonts w:ascii="Arial" w:cs="Arial" w:eastAsia="Arial" w:hAnsi="Arial"/>
                <w:sz w:val="18"/>
                <w:szCs w:val="18"/>
                <w:color w:val="auto"/>
              </w:rPr>
              <w:t>due 3/2021)</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tcPr>
          <w:p>
            <w:pPr>
              <w:jc w:val="right"/>
              <w:spacing w:after="0"/>
              <w:rPr>
                <w:sz w:val="20"/>
                <w:szCs w:val="20"/>
                <w:color w:val="auto"/>
              </w:rPr>
            </w:pPr>
            <w:r>
              <w:rPr>
                <w:rFonts w:ascii="Arial" w:cs="Arial" w:eastAsia="Arial" w:hAnsi="Arial"/>
                <w:sz w:val="18"/>
                <w:szCs w:val="18"/>
                <w:color w:val="auto"/>
              </w:rPr>
              <w:t>3/25/2016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17,443</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17,739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Quiksilver - Boardriders SA</w:t>
            </w:r>
          </w:p>
        </w:tc>
        <w:tc>
          <w:tcPr>
            <w:tcW w:w="2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w w:val="92"/>
              </w:rPr>
              <w:t>Bond (EUR 5,699 par, due 12/2020)</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6,025</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(EUR 4,559)</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(3)(4)(6)</w:t>
            </w:r>
          </w:p>
        </w:tc>
        <w:tc>
          <w:tcPr>
            <w:tcW w:w="2680" w:type="dxa"/>
            <w:vAlign w:val="bottom"/>
          </w:tcPr>
          <w:p>
            <w:pPr>
              <w:spacing w:after="0"/>
              <w:rPr>
                <w:sz w:val="20"/>
                <w:szCs w:val="20"/>
                <w:color w:val="auto"/>
              </w:rPr>
            </w:pPr>
            <w:r>
              <w:rPr>
                <w:rFonts w:ascii="Arial" w:cs="Arial" w:eastAsia="Arial" w:hAnsi="Arial"/>
                <w:sz w:val="18"/>
                <w:szCs w:val="18"/>
                <w:color w:val="auto"/>
              </w:rPr>
              <w:t>First-lien loan ($3,651 par,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due 6/2018)</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5.50%</w:t>
            </w:r>
          </w:p>
        </w:tc>
        <w:tc>
          <w:tcPr>
            <w:tcW w:w="900" w:type="dxa"/>
            <w:vAlign w:val="bottom"/>
          </w:tcPr>
          <w:p>
            <w:pPr>
              <w:jc w:val="right"/>
              <w:spacing w:after="0"/>
              <w:rPr>
                <w:sz w:val="20"/>
                <w:szCs w:val="20"/>
                <w:color w:val="auto"/>
              </w:rPr>
            </w:pPr>
            <w:r>
              <w:rPr>
                <w:rFonts w:ascii="Arial" w:cs="Arial" w:eastAsia="Arial" w:hAnsi="Arial"/>
                <w:sz w:val="18"/>
                <w:szCs w:val="18"/>
                <w:color w:val="auto"/>
              </w:rPr>
              <w:t>1/28/2016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3,438</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First-lien ABL loan ($22,727 par,</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due 7/2020)</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22,108</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gridSpan w:val="2"/>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680" w:type="dxa"/>
            <w:vAlign w:val="bottom"/>
          </w:tcPr>
          <w:p>
            <w:pPr>
              <w:spacing w:after="0"/>
              <w:rPr>
                <w:sz w:val="20"/>
                <w:szCs w:val="20"/>
                <w:color w:val="auto"/>
              </w:rPr>
            </w:pPr>
            <w:r>
              <w:rPr>
                <w:rFonts w:ascii="Arial" w:cs="Arial" w:eastAsia="Arial" w:hAnsi="Arial"/>
                <w:sz w:val="18"/>
                <w:szCs w:val="18"/>
                <w:color w:val="auto"/>
                <w:w w:val="98"/>
              </w:rPr>
              <w:t>ABL FILO term loan ($48,000 par,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due 10/2019)</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8.25%</w:t>
            </w:r>
          </w:p>
        </w:tc>
        <w:tc>
          <w:tcPr>
            <w:tcW w:w="900" w:type="dxa"/>
            <w:vAlign w:val="bottom"/>
          </w:tcPr>
          <w:p>
            <w:pPr>
              <w:jc w:val="right"/>
              <w:spacing w:after="0"/>
              <w:rPr>
                <w:sz w:val="20"/>
                <w:szCs w:val="20"/>
                <w:color w:val="auto"/>
              </w:rPr>
            </w:pPr>
            <w:r>
              <w:rPr>
                <w:rFonts w:ascii="Arial" w:cs="Arial" w:eastAsia="Arial" w:hAnsi="Arial"/>
                <w:sz w:val="18"/>
                <w:szCs w:val="18"/>
                <w:color w:val="auto"/>
              </w:rPr>
              <w:t>10/9/2014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47,484</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47,160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120,642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120,760</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gridSpan w:val="2"/>
          </w:tcPr>
          <w:p>
            <w:pPr>
              <w:ind w:left="260"/>
              <w:spacing w:after="0"/>
              <w:rPr>
                <w:sz w:val="20"/>
                <w:szCs w:val="20"/>
                <w:color w:val="auto"/>
              </w:rPr>
            </w:pPr>
            <w:r>
              <w:rPr>
                <w:rFonts w:ascii="Arial" w:cs="Arial" w:eastAsia="Arial" w:hAnsi="Arial"/>
                <w:sz w:val="18"/>
                <w:szCs w:val="18"/>
                <w:b w:val="1"/>
                <w:bCs w:val="1"/>
                <w:color w:val="auto"/>
              </w:rPr>
              <w:t>Transportation</w:t>
            </w:r>
          </w:p>
        </w:tc>
        <w:tc>
          <w:tcPr>
            <w:tcW w:w="2680" w:type="dxa"/>
            <w:vAlign w:val="bottom"/>
          </w:tcPr>
          <w:p>
            <w:pPr>
              <w:spacing w:after="0"/>
              <w:rPr>
                <w:sz w:val="19"/>
                <w:szCs w:val="19"/>
                <w:color w:val="auto"/>
              </w:rPr>
            </w:pPr>
          </w:p>
        </w:tc>
        <w:tc>
          <w:tcPr>
            <w:tcW w:w="1200" w:type="dxa"/>
            <w:vAlign w:val="bottom"/>
            <w:gridSpan w:val="2"/>
            <w:vMerge w:val="restart"/>
          </w:tcPr>
          <w:p>
            <w:pPr>
              <w:jc w:val="right"/>
              <w:ind w:right="936"/>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Acquisition</w:t>
            </w:r>
          </w:p>
        </w:tc>
        <w:tc>
          <w:tcPr>
            <w:tcW w:w="860" w:type="dxa"/>
            <w:vAlign w:val="bottom"/>
          </w:tcPr>
          <w:p>
            <w:pPr>
              <w:jc w:val="right"/>
              <w:ind w:right="12"/>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tcPr>
          <w:p>
            <w:pPr>
              <w:jc w:val="right"/>
              <w:ind w:right="52"/>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100" w:type="dxa"/>
            <w:vAlign w:val="bottom"/>
            <w:tcBorders>
              <w:top w:val="single" w:sz="8" w:color="CFF0FC"/>
            </w:tcBorders>
            <w:shd w:val="clear" w:color="auto" w:fill="CFF0FC"/>
          </w:tcPr>
          <w:p>
            <w:pPr>
              <w:spacing w:after="0"/>
              <w:rPr>
                <w:sz w:val="18"/>
                <w:szCs w:val="18"/>
                <w:color w:val="auto"/>
              </w:rPr>
            </w:pPr>
          </w:p>
        </w:tc>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First-lien loan ($13,146 par,</w:t>
            </w:r>
          </w:p>
        </w:tc>
        <w:tc>
          <w:tcPr>
            <w:tcW w:w="1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1/2019)</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3/17/2015</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12,577</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1,625,293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1,618,111</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Equity and Other Investments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Non-Voting Preferred Units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9/12/2013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AvidXchange,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Series E Preferred Equity (214,132</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8/7/2015</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3,846</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(1,633,719 shares)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8/5/2015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14,789</w:t>
            </w:r>
          </w:p>
        </w:tc>
        <w:tc>
          <w:tcPr>
            <w:tcW w:w="2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13,354</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2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Global Healthcare Exchange,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2940" w:type="dxa"/>
            <w:vAlign w:val="bottom"/>
            <w:gridSpan w:val="2"/>
          </w:tcPr>
          <w:p>
            <w:pPr>
              <w:spacing w:after="0"/>
              <w:rPr>
                <w:sz w:val="20"/>
                <w:szCs w:val="20"/>
                <w:color w:val="auto"/>
              </w:rPr>
            </w:pPr>
            <w:r>
              <w:rPr>
                <w:rFonts w:ascii="Arial" w:cs="Arial" w:eastAsia="Arial" w:hAnsi="Arial"/>
                <w:sz w:val="18"/>
                <w:szCs w:val="18"/>
                <w:color w:val="auto"/>
                <w:w w:val="94"/>
              </w:rPr>
              <w:t>Common Shares Class A (358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Class B (6 shares)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29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(EUR 888)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Class A</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(1,980 shares)</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12/28/2012</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9"/>
              </w:rPr>
              <w:t>Common Shares Class B (2,953,020</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12/28/2012</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Units (5,000,000 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Class C-1 Units (8,800,000 units)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92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380"/>
              <w:spacing w:after="0"/>
              <w:rPr>
                <w:sz w:val="20"/>
                <w:szCs w:val="20"/>
                <w:color w:val="auto"/>
              </w:rPr>
            </w:pPr>
            <w:r>
              <w:rPr>
                <w:rFonts w:ascii="Arial" w:cs="Arial" w:eastAsia="Arial" w:hAnsi="Arial"/>
                <w:sz w:val="18"/>
                <w:szCs w:val="18"/>
                <w:b w:val="1"/>
                <w:bCs w:val="1"/>
                <w:color w:val="auto"/>
              </w:rPr>
              <w:t>fuels</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Member Units (933 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Other</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Structured Product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8/21/2015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2940" w:type="dxa"/>
            <w:vAlign w:val="bottom"/>
            <w:gridSpan w:val="2"/>
          </w:tcPr>
          <w:p>
            <w:pPr>
              <w:spacing w:after="0"/>
              <w:rPr>
                <w:sz w:val="20"/>
                <w:szCs w:val="20"/>
                <w:color w:val="auto"/>
              </w:rPr>
            </w:pPr>
            <w:r>
              <w:rPr>
                <w:rFonts w:ascii="Arial" w:cs="Arial" w:eastAsia="Arial" w:hAnsi="Arial"/>
                <w:sz w:val="18"/>
                <w:szCs w:val="18"/>
                <w:color w:val="auto"/>
              </w:rPr>
              <w:t>Structured Product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6.43%</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11/17/2014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8,956</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5"/>
        </w:trPr>
        <w:tc>
          <w:tcPr>
            <w:tcW w:w="292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Investments</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40,637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25,461</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8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$ 1,665,930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$ 1,643,572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174.7</w:t>
            </w: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jc w:val="both"/>
        <w:ind w:left="520" w:right="40" w:hanging="512"/>
        <w:spacing w:after="0" w:line="255"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9" w:name="page10"/>
    <w:bookmarkEnd w:id="9"/>
    <w:p>
      <w:pPr>
        <w:ind w:left="520" w:hanging="512"/>
        <w:spacing w:after="0" w:line="25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2"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95"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2016 in which the issuer was an Affiliated Person of and was deemed to Control a portfolio company are as follows: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Controlled, Affiliated Investments during the nine months ended September 30,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7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Gain/(Loss)</w:t>
            </w:r>
          </w:p>
        </w:tc>
        <w:tc>
          <w:tcPr>
            <w:tcW w:w="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33,908</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(7,048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65,424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right="260" w:hanging="519"/>
        <w:spacing w:after="0" w:line="258"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360" w:hanging="519"/>
        <w:spacing w:after="0" w:line="276"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w:t>
      </w:r>
    </w:p>
    <w:p>
      <w:pPr>
        <w:spacing w:after="0" w:line="63"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September 30, 2016, the tax cost of the Company’s investments approximates their amortized cost.</w:t>
      </w:r>
    </w:p>
    <w:p>
      <w:pPr>
        <w:spacing w:after="0" w:line="23" w:lineRule="exact"/>
        <w:rPr>
          <w:rFonts w:ascii="Arial" w:cs="Arial" w:eastAsia="Arial" w:hAnsi="Arial"/>
          <w:sz w:val="18"/>
          <w:szCs w:val="18"/>
          <w:color w:val="auto"/>
        </w:rPr>
      </w:pPr>
    </w:p>
    <w:p>
      <w:pPr>
        <w:ind w:left="520" w:right="220" w:hanging="512"/>
        <w:spacing w:after="0" w:line="25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w:t>
      </w: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first-lien loan portion of this investment is on non-accrual as of September 30,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420" w:type="dxa"/>
            <w:vAlign w:val="bottom"/>
          </w:tcPr>
          <w:p>
            <w:pPr>
              <w:ind w:left="86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 Holdings,</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($31,271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6/2017)</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First-lien revolving loan</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($2,722 par, due 6/2017)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10.75%</w:t>
            </w:r>
          </w:p>
        </w:tc>
        <w:tc>
          <w:tcPr>
            <w:tcW w:w="960" w:type="dxa"/>
            <w:vAlign w:val="bottom"/>
          </w:tcPr>
          <w:p>
            <w:pPr>
              <w:jc w:val="right"/>
              <w:spacing w:after="0"/>
              <w:rPr>
                <w:sz w:val="20"/>
                <w:szCs w:val="20"/>
                <w:color w:val="auto"/>
              </w:rPr>
            </w:pPr>
            <w:r>
              <w:rPr>
                <w:rFonts w:ascii="Arial" w:cs="Arial" w:eastAsia="Arial" w:hAnsi="Arial"/>
                <w:sz w:val="18"/>
                <w:szCs w:val="18"/>
                <w:color w:val="auto"/>
              </w:rPr>
              <w:t>8/28/2012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($63,660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3/2020)</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($59,915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4/2018)</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420" w:type="dxa"/>
            <w:vAlign w:val="bottom"/>
          </w:tcPr>
          <w:p>
            <w:pPr>
              <w:spacing w:after="0"/>
              <w:rPr>
                <w:sz w:val="20"/>
                <w:szCs w:val="20"/>
                <w:color w:val="auto"/>
              </w:rPr>
            </w:pPr>
            <w:r>
              <w:rPr>
                <w:rFonts w:ascii="Arial" w:cs="Arial" w:eastAsia="Arial" w:hAnsi="Arial"/>
                <w:sz w:val="18"/>
                <w:szCs w:val="18"/>
                <w:color w:val="auto"/>
              </w:rPr>
              <w:t>First-lien loan ($45,000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11/2020)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8.50%</w:t>
            </w:r>
          </w:p>
        </w:tc>
        <w:tc>
          <w:tcPr>
            <w:tcW w:w="960" w:type="dxa"/>
            <w:vAlign w:val="bottom"/>
          </w:tcPr>
          <w:p>
            <w:pPr>
              <w:jc w:val="right"/>
              <w:spacing w:after="0"/>
              <w:rPr>
                <w:sz w:val="20"/>
                <w:szCs w:val="20"/>
                <w:color w:val="auto"/>
              </w:rPr>
            </w:pPr>
            <w:r>
              <w:rPr>
                <w:rFonts w:ascii="Arial" w:cs="Arial" w:eastAsia="Arial" w:hAnsi="Arial"/>
                <w:sz w:val="18"/>
                <w:szCs w:val="18"/>
                <w:color w:val="auto"/>
              </w:rPr>
              <w:t>11/12/2015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43,763</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($22,388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4/2019)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5/20/2015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($62,500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4/2021)</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6.50%</w:t>
            </w:r>
          </w:p>
        </w:tc>
        <w:tc>
          <w:tcPr>
            <w:tcW w:w="960" w:type="dxa"/>
            <w:vAlign w:val="bottom"/>
          </w:tcPr>
          <w:p>
            <w:pPr>
              <w:jc w:val="right"/>
              <w:spacing w:after="0"/>
              <w:rPr>
                <w:sz w:val="20"/>
                <w:szCs w:val="20"/>
                <w:color w:val="auto"/>
              </w:rPr>
            </w:pPr>
            <w:r>
              <w:rPr>
                <w:rFonts w:ascii="Arial" w:cs="Arial" w:eastAsia="Arial" w:hAnsi="Arial"/>
                <w:sz w:val="18"/>
                <w:szCs w:val="18"/>
                <w:color w:val="auto"/>
              </w:rPr>
              <w:t>10/9/2015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55,937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4"/>
              </w:rPr>
              <w:t>First-lien loan ($28,565 par, due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6/2019)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27,877</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($25,782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9/2018)</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7.75%</w:t>
            </w:r>
          </w:p>
        </w:tc>
        <w:tc>
          <w:tcPr>
            <w:tcW w:w="960" w:type="dxa"/>
            <w:vAlign w:val="bottom"/>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25,481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25,981</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($18,857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12/2019)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256,124</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Chemicals</w:t>
            </w: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($10,839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10/2019)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10.50%</w:t>
            </w:r>
          </w:p>
        </w:tc>
        <w:tc>
          <w:tcPr>
            <w:tcW w:w="960" w:type="dxa"/>
            <w:vAlign w:val="bottom"/>
          </w:tcPr>
          <w:p>
            <w:pPr>
              <w:jc w:val="right"/>
              <w:spacing w:after="0"/>
              <w:rPr>
                <w:sz w:val="20"/>
                <w:szCs w:val="20"/>
                <w:color w:val="auto"/>
              </w:rPr>
            </w:pPr>
            <w:r>
              <w:rPr>
                <w:rFonts w:ascii="Arial" w:cs="Arial" w:eastAsia="Arial" w:hAnsi="Arial"/>
                <w:sz w:val="18"/>
                <w:szCs w:val="18"/>
                <w:color w:val="auto"/>
              </w:rPr>
              <w:t>10/31/2014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7,804</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Education</w:t>
            </w: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(3)(5)</w:t>
            </w:r>
          </w:p>
        </w:tc>
        <w:tc>
          <w:tcPr>
            <w:tcW w:w="2420" w:type="dxa"/>
            <w:vAlign w:val="bottom"/>
          </w:tcPr>
          <w:p>
            <w:pPr>
              <w:spacing w:after="0"/>
              <w:rPr>
                <w:sz w:val="20"/>
                <w:szCs w:val="20"/>
                <w:color w:val="auto"/>
              </w:rPr>
            </w:pPr>
            <w:r>
              <w:rPr>
                <w:rFonts w:ascii="Arial" w:cs="Arial" w:eastAsia="Arial" w:hAnsi="Arial"/>
                <w:sz w:val="18"/>
                <w:szCs w:val="18"/>
                <w:color w:val="auto"/>
              </w:rPr>
              <w:t>First-lien loan ($26,277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9/2018)</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tcPr>
          <w:p>
            <w:pPr>
              <w:jc w:val="right"/>
              <w:spacing w:after="0"/>
              <w:rPr>
                <w:sz w:val="20"/>
                <w:szCs w:val="20"/>
                <w:color w:val="auto"/>
              </w:rPr>
            </w:pPr>
            <w:r>
              <w:rPr>
                <w:rFonts w:ascii="Arial" w:cs="Arial" w:eastAsia="Arial" w:hAnsi="Arial"/>
                <w:sz w:val="18"/>
                <w:szCs w:val="18"/>
                <w:color w:val="auto"/>
              </w:rPr>
              <w:t>9/30/2013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26,277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Electronics</w:t>
            </w: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($62,371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1/2019)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1/9/2014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61,766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61,887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APX Group Inc.</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Senior notes 8.75% ($24,818</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par, due 12/2020)</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82,052</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w w:val="94"/>
              </w:rPr>
              <w:t>First-lien loan ($23,400 par, due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8/2020)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22,765</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7"/>
              </w:rPr>
              <w:t>Second-lien loan ($31,897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8/2020)</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10.50%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30,910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($33,639 par,</w:t>
            </w:r>
          </w:p>
        </w:tc>
        <w:tc>
          <w:tcPr>
            <w:tcW w:w="1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10.00% (incl.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3/2020)</w:t>
            </w:r>
          </w:p>
        </w:tc>
        <w:tc>
          <w:tcPr>
            <w:tcW w:w="1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2.50% PIK)</w:t>
            </w:r>
          </w:p>
        </w:tc>
        <w:tc>
          <w:tcPr>
            <w:tcW w:w="960" w:type="dxa"/>
            <w:vAlign w:val="bottom"/>
          </w:tcPr>
          <w:p>
            <w:pPr>
              <w:jc w:val="right"/>
              <w:spacing w:after="0"/>
              <w:rPr>
                <w:sz w:val="20"/>
                <w:szCs w:val="20"/>
                <w:color w:val="auto"/>
              </w:rPr>
            </w:pPr>
            <w:r>
              <w:rPr>
                <w:rFonts w:ascii="Arial" w:cs="Arial" w:eastAsia="Arial" w:hAnsi="Arial"/>
                <w:sz w:val="18"/>
                <w:szCs w:val="18"/>
                <w:color w:val="auto"/>
              </w:rPr>
              <w:t>3/6/2015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32,980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32,769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Healthcare</w:t>
            </w:r>
          </w:p>
        </w:tc>
        <w:tc>
          <w:tcPr>
            <w:tcW w:w="2420" w:type="dxa"/>
            <w:vAlign w:val="bottom"/>
          </w:tcPr>
          <w:p>
            <w:pPr>
              <w:spacing w:after="0"/>
              <w:rPr>
                <w:sz w:val="19"/>
                <w:szCs w:val="19"/>
                <w:color w:val="auto"/>
              </w:rPr>
            </w:pPr>
          </w:p>
        </w:tc>
        <w:tc>
          <w:tcPr>
            <w:tcW w:w="1300" w:type="dxa"/>
            <w:vAlign w:val="bottom"/>
            <w:gridSpan w:val="2"/>
            <w:vMerge w:val="restart"/>
          </w:tcPr>
          <w:p>
            <w:pPr>
              <w:jc w:val="right"/>
              <w:ind w:right="954"/>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900" w:type="dxa"/>
            <w:vAlign w:val="bottom"/>
          </w:tcPr>
          <w:p>
            <w:pPr>
              <w:jc w:val="right"/>
              <w:ind w:right="31"/>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420" w:type="dxa"/>
            <w:vAlign w:val="bottom"/>
            <w:gridSpan w:val="2"/>
          </w:tcPr>
          <w:p>
            <w:pPr>
              <w:ind w:left="820"/>
              <w:spacing w:after="0"/>
              <w:rPr>
                <w:sz w:val="20"/>
                <w:szCs w:val="20"/>
                <w:color w:val="auto"/>
              </w:rPr>
            </w:pPr>
            <w:r>
              <w:rPr>
                <w:rFonts w:ascii="Arial" w:cs="Arial" w:eastAsia="Arial" w:hAnsi="Arial"/>
                <w:sz w:val="14"/>
                <w:szCs w:val="14"/>
                <w:b w:val="1"/>
                <w:bCs w:val="1"/>
                <w:color w:val="auto"/>
              </w:rPr>
              <w:t>Investment</w:t>
            </w: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tcPr>
          <w:p>
            <w:pPr>
              <w:jc w:val="right"/>
              <w:ind w:right="7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Aesynt Incorporated </w:t>
            </w:r>
            <w:r>
              <w:rPr>
                <w:rFonts w:ascii="Arial" w:cs="Arial" w:eastAsia="Arial" w:hAnsi="Arial"/>
                <w:sz w:val="15"/>
                <w:szCs w:val="15"/>
                <w:color w:val="auto"/>
              </w:rPr>
              <w:t>(3)(5)</w:t>
            </w:r>
          </w:p>
        </w:tc>
        <w:tc>
          <w:tcPr>
            <w:tcW w:w="100" w:type="dxa"/>
            <w:vAlign w:val="bottom"/>
            <w:tcBorders>
              <w:top w:val="single" w:sz="8" w:color="CFF0FC"/>
            </w:tcBorders>
            <w:shd w:val="clear" w:color="auto" w:fill="CFF0FC"/>
          </w:tcPr>
          <w:p>
            <w:pPr>
              <w:spacing w:after="0"/>
              <w:rPr>
                <w:sz w:val="18"/>
                <w:szCs w:val="18"/>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First-lien loan ($33,250 par,</w:t>
            </w:r>
          </w:p>
        </w:tc>
        <w:tc>
          <w:tcPr>
            <w:tcW w:w="10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5/2019)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33,918</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3040" w:type="dxa"/>
            <w:vAlign w:val="bottom"/>
            <w:gridSpan w:val="2"/>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loan (EUR 35,912</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40,572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par, due 9/2019)</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960" w:type="dxa"/>
            <w:vAlign w:val="bottom"/>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42,402</w:t>
            </w: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(EUR 37,349)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revolving loan</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(EUR 300 par, due 9/2019)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(EUR 400)</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3040" w:type="dxa"/>
            <w:vAlign w:val="bottom"/>
            <w:gridSpan w:val="2"/>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loan ($45,000 par,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due 12/2021)</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960" w:type="dxa"/>
            <w:vAlign w:val="bottom"/>
          </w:tcPr>
          <w:p>
            <w:pPr>
              <w:jc w:val="right"/>
              <w:spacing w:after="0"/>
              <w:rPr>
                <w:sz w:val="20"/>
                <w:szCs w:val="20"/>
                <w:color w:val="auto"/>
              </w:rPr>
            </w:pPr>
            <w:r>
              <w:rPr>
                <w:rFonts w:ascii="Arial" w:cs="Arial" w:eastAsia="Arial" w:hAnsi="Arial"/>
                <w:sz w:val="18"/>
                <w:szCs w:val="18"/>
                <w:color w:val="auto"/>
              </w:rPr>
              <w:t>12/17/2015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44,184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44,100</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($45,411 par,</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9.00% (incl.</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9/2020)</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5"/>
        </w:trPr>
        <w:tc>
          <w:tcPr>
            <w:tcW w:w="3040" w:type="dxa"/>
            <w:vAlign w:val="bottom"/>
            <w:gridSpan w:val="2"/>
          </w:tcPr>
          <w:p>
            <w:pPr>
              <w:spacing w:after="0"/>
              <w:rPr>
                <w:sz w:val="20"/>
                <w:szCs w:val="20"/>
                <w:color w:val="auto"/>
              </w:rPr>
            </w:pPr>
            <w:r>
              <w:rPr>
                <w:rFonts w:ascii="Arial" w:cs="Arial" w:eastAsia="Arial" w:hAnsi="Arial"/>
                <w:sz w:val="18"/>
                <w:szCs w:val="18"/>
                <w:color w:val="auto"/>
              </w:rPr>
              <w:t>Mediware Information Systems,</w:t>
            </w: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loan ($67,574 par,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(3)(5)</w:t>
            </w:r>
          </w:p>
        </w:tc>
        <w:tc>
          <w:tcPr>
            <w:tcW w:w="24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960" w:type="dxa"/>
            <w:vAlign w:val="bottom"/>
          </w:tcPr>
          <w:p>
            <w:pPr>
              <w:jc w:val="right"/>
              <w:spacing w:after="0"/>
              <w:rPr>
                <w:sz w:val="20"/>
                <w:szCs w:val="20"/>
                <w:color w:val="auto"/>
              </w:rPr>
            </w:pPr>
            <w:r>
              <w:rPr>
                <w:rFonts w:ascii="Arial" w:cs="Arial" w:eastAsia="Arial" w:hAnsi="Arial"/>
                <w:sz w:val="18"/>
                <w:szCs w:val="18"/>
                <w:color w:val="auto"/>
              </w:rPr>
              <w:t>11/9/2012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68,250</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($31,875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12/2017)</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31,477</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($2,000 par, due 12/2017)</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960" w:type="dxa"/>
            <w:vAlign w:val="bottom"/>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263,655</w:t>
            </w:r>
          </w:p>
        </w:tc>
        <w:tc>
          <w:tcPr>
            <w:tcW w:w="2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264,398</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CrunchTime Information</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($25,452 par,</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9.00% (incl.</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4/2020)</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4/16/2015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5"/>
        </w:trPr>
        <w:tc>
          <w:tcPr>
            <w:tcW w:w="3040" w:type="dxa"/>
            <w:vAlign w:val="bottom"/>
            <w:gridSpan w:val="2"/>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loan ($20,260 par,</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10.10% (incl.</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due 9/2019)</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5.00% PIK)</w:t>
            </w:r>
          </w:p>
        </w:tc>
        <w:tc>
          <w:tcPr>
            <w:tcW w:w="96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20,260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19,500</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First-lien revolver loan ($7,448</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10.10% (incl.</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9/2019)</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5.00%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7,169</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5"/>
        </w:trPr>
        <w:tc>
          <w:tcPr>
            <w:tcW w:w="3040" w:type="dxa"/>
            <w:vAlign w:val="bottom"/>
            <w:gridSpan w:val="2"/>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2420" w:type="dxa"/>
            <w:vAlign w:val="bottom"/>
            <w:gridSpan w:val="2"/>
          </w:tcPr>
          <w:p>
            <w:pPr>
              <w:spacing w:after="0"/>
              <w:rPr>
                <w:sz w:val="20"/>
                <w:szCs w:val="20"/>
                <w:color w:val="auto"/>
              </w:rPr>
            </w:pPr>
            <w:r>
              <w:rPr>
                <w:rFonts w:ascii="Arial" w:cs="Arial" w:eastAsia="Arial" w:hAnsi="Arial"/>
                <w:sz w:val="18"/>
                <w:szCs w:val="18"/>
                <w:color w:val="auto"/>
                <w:w w:val="96"/>
              </w:rPr>
              <w:t>Second-lien bond (GBP 20,375</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30,781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par, due 10/2018)</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9.13%</w:t>
            </w:r>
          </w:p>
        </w:tc>
        <w:tc>
          <w:tcPr>
            <w:tcW w:w="960" w:type="dxa"/>
            <w:vAlign w:val="bottom"/>
          </w:tcPr>
          <w:p>
            <w:pPr>
              <w:jc w:val="right"/>
              <w:spacing w:after="0"/>
              <w:rPr>
                <w:sz w:val="20"/>
                <w:szCs w:val="20"/>
                <w:color w:val="auto"/>
              </w:rPr>
            </w:pPr>
            <w:r>
              <w:rPr>
                <w:rFonts w:ascii="Arial" w:cs="Arial" w:eastAsia="Arial" w:hAnsi="Arial"/>
                <w:sz w:val="18"/>
                <w:szCs w:val="18"/>
                <w:color w:val="auto"/>
              </w:rPr>
              <w:t>9/20/2013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33,055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6"/>
              </w:rPr>
              <w:t>(GBP 20,884)</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85,636</w:t>
            </w:r>
          </w:p>
        </w:tc>
        <w:tc>
          <w:tcPr>
            <w:tcW w:w="2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5"/>
        </w:trPr>
        <w:tc>
          <w:tcPr>
            <w:tcW w:w="304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gridSpan w:val="2"/>
          </w:tcPr>
          <w:p>
            <w:pPr>
              <w:ind w:left="380"/>
              <w:spacing w:after="0"/>
              <w:rPr>
                <w:sz w:val="20"/>
                <w:szCs w:val="20"/>
                <w:color w:val="auto"/>
              </w:rPr>
            </w:pPr>
            <w:r>
              <w:rPr>
                <w:rFonts w:ascii="Arial" w:cs="Arial" w:eastAsia="Arial" w:hAnsi="Arial"/>
                <w:sz w:val="18"/>
                <w:szCs w:val="18"/>
                <w:b w:val="1"/>
                <w:bCs w:val="1"/>
                <w:color w:val="auto"/>
              </w:rPr>
              <w:t>services</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($54,725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3/2021)</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54,141</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53,767</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5"/>
        </w:trPr>
        <w:tc>
          <w:tcPr>
            <w:tcW w:w="3040" w:type="dxa"/>
            <w:vAlign w:val="bottom"/>
            <w:gridSpan w:val="2"/>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loan ($500 par,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960" w:type="dxa"/>
            <w:vAlign w:val="bottom"/>
          </w:tcPr>
          <w:p>
            <w:pPr>
              <w:jc w:val="right"/>
              <w:spacing w:after="0"/>
              <w:rPr>
                <w:sz w:val="20"/>
                <w:szCs w:val="20"/>
                <w:color w:val="auto"/>
              </w:rPr>
            </w:pPr>
            <w:r>
              <w:rPr>
                <w:rFonts w:ascii="Arial" w:cs="Arial" w:eastAsia="Arial" w:hAnsi="Arial"/>
                <w:sz w:val="18"/>
                <w:szCs w:val="18"/>
                <w:color w:val="auto"/>
              </w:rPr>
              <w:t>11/5/2015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54,579</w:t>
            </w:r>
          </w:p>
        </w:tc>
        <w:tc>
          <w:tcPr>
            <w:tcW w:w="2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60"/>
              <w:spacing w:after="0"/>
              <w:rPr>
                <w:sz w:val="20"/>
                <w:szCs w:val="20"/>
                <w:color w:val="auto"/>
              </w:rPr>
            </w:pPr>
            <w:r>
              <w:rPr>
                <w:rFonts w:ascii="Arial" w:cs="Arial" w:eastAsia="Arial" w:hAnsi="Arial"/>
                <w:sz w:val="18"/>
                <w:szCs w:val="18"/>
                <w:b w:val="1"/>
                <w:bCs w:val="1"/>
                <w:color w:val="auto"/>
              </w:rPr>
              <w:t>Insurance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($65,452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10/2020)</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63,980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040" w:type="dxa"/>
            <w:vAlign w:val="bottom"/>
            <w:gridSpan w:val="2"/>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($50,987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7/2018)</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50,474</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50,095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($2,800 par, due 7/2018)</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53,249</w:t>
            </w:r>
          </w:p>
        </w:tc>
        <w:tc>
          <w:tcPr>
            <w:tcW w:w="2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52,843</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60"/>
              <w:spacing w:after="0"/>
              <w:rPr>
                <w:sz w:val="20"/>
                <w:szCs w:val="20"/>
                <w:color w:val="auto"/>
              </w:rPr>
            </w:pPr>
            <w:r>
              <w:rPr>
                <w:rFonts w:ascii="Arial" w:cs="Arial" w:eastAsia="Arial" w:hAnsi="Arial"/>
                <w:sz w:val="18"/>
                <w:szCs w:val="18"/>
                <w:b w:val="1"/>
                <w:bCs w:val="1"/>
                <w:color w:val="auto"/>
              </w:rPr>
              <w:t>Manufacturing</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Jeeves Information Systems</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(SEK 192,573</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23,470</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5"/>
                <w:szCs w:val="15"/>
                <w:color w:val="auto"/>
              </w:rPr>
              <w:t>(3)(4)(5)</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3/2019)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6/5/2013</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29,289</w:t>
            </w:r>
          </w:p>
        </w:tc>
        <w:tc>
          <w:tcPr>
            <w:tcW w:w="152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(SEK 197,869)</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040" w:type="dxa"/>
            <w:vAlign w:val="bottom"/>
            <w:gridSpan w:val="2"/>
          </w:tcPr>
          <w:p>
            <w:pPr>
              <w:ind w:left="260"/>
              <w:spacing w:after="0"/>
              <w:rPr>
                <w:sz w:val="20"/>
                <w:szCs w:val="20"/>
                <w:color w:val="auto"/>
              </w:rPr>
            </w:pPr>
            <w:r>
              <w:rPr>
                <w:rFonts w:ascii="Arial" w:cs="Arial" w:eastAsia="Arial" w:hAnsi="Arial"/>
                <w:sz w:val="18"/>
                <w:szCs w:val="18"/>
                <w:b w:val="1"/>
                <w:bCs w:val="1"/>
                <w:color w:val="auto"/>
              </w:rPr>
              <w:t>Office products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($36,811 par,</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3/2019)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36,579</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36,370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8"/>
          <w:szCs w:val="18"/>
          <w:b w:val="1"/>
          <w:bCs w:val="1"/>
          <w:color w:val="auto"/>
        </w:rPr>
        <w:t>Oil, gas and consumable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fuels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2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500" w:type="dxa"/>
            <w:vAlign w:val="bottom"/>
            <w:gridSpan w:val="2"/>
          </w:tcPr>
          <w:p>
            <w:pPr>
              <w:ind w:left="840"/>
              <w:spacing w:after="0"/>
              <w:rPr>
                <w:sz w:val="20"/>
                <w:szCs w:val="20"/>
                <w:color w:val="auto"/>
              </w:rPr>
            </w:pPr>
            <w:r>
              <w:rPr>
                <w:rFonts w:ascii="Arial" w:cs="Arial" w:eastAsia="Arial" w:hAnsi="Arial"/>
                <w:sz w:val="14"/>
                <w:szCs w:val="14"/>
                <w:b w:val="1"/>
                <w:bCs w:val="1"/>
                <w:color w:val="auto"/>
              </w:rPr>
              <w:t>Investment</w:t>
            </w: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20" w:type="dxa"/>
            <w:vAlign w:val="bottom"/>
          </w:tcPr>
          <w:p>
            <w:pPr>
              <w:spacing w:after="0"/>
              <w:rPr>
                <w:sz w:val="14"/>
                <w:szCs w:val="14"/>
                <w:color w:val="auto"/>
              </w:rPr>
            </w:pPr>
          </w:p>
        </w:tc>
      </w:tr>
      <w:tr>
        <w:trPr>
          <w:trHeight w:val="209"/>
        </w:trPr>
        <w:tc>
          <w:tcPr>
            <w:tcW w:w="3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100" w:type="dxa"/>
            <w:vAlign w:val="bottom"/>
            <w:tcBorders>
              <w:top w:val="single" w:sz="8" w:color="CFF0FC"/>
            </w:tcBorders>
            <w:shd w:val="clear" w:color="auto" w:fill="CFF0FC"/>
          </w:tcPr>
          <w:p>
            <w:pPr>
              <w:spacing w:after="0"/>
              <w:rPr>
                <w:sz w:val="18"/>
                <w:szCs w:val="18"/>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First-lien loan ($13,504 par,</w:t>
            </w:r>
          </w:p>
        </w:tc>
        <w:tc>
          <w:tcPr>
            <w:tcW w:w="1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6/2020)</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10.25%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2500" w:type="dxa"/>
            <w:vAlign w:val="bottom"/>
            <w:gridSpan w:val="2"/>
          </w:tcPr>
          <w:p>
            <w:pPr>
              <w:spacing w:after="0"/>
              <w:rPr>
                <w:sz w:val="20"/>
                <w:szCs w:val="20"/>
                <w:color w:val="auto"/>
              </w:rPr>
            </w:pPr>
            <w:r>
              <w:rPr>
                <w:rFonts w:ascii="Arial" w:cs="Arial" w:eastAsia="Arial" w:hAnsi="Arial"/>
                <w:sz w:val="18"/>
                <w:szCs w:val="18"/>
                <w:color w:val="auto"/>
              </w:rPr>
              <w:t>First-lien loan ($46,679 par,</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13.00% (incl.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1.50% PIK)</w:t>
            </w:r>
          </w:p>
        </w:tc>
        <w:tc>
          <w:tcPr>
            <w:tcW w:w="960" w:type="dxa"/>
            <w:vAlign w:val="bottom"/>
          </w:tcPr>
          <w:p>
            <w:pPr>
              <w:jc w:val="right"/>
              <w:spacing w:after="0"/>
              <w:rPr>
                <w:sz w:val="20"/>
                <w:szCs w:val="20"/>
                <w:color w:val="auto"/>
              </w:rPr>
            </w:pPr>
            <w:r>
              <w:rPr>
                <w:rFonts w:ascii="Arial" w:cs="Arial" w:eastAsia="Arial" w:hAnsi="Arial"/>
                <w:sz w:val="18"/>
                <w:szCs w:val="18"/>
                <w:color w:val="auto"/>
              </w:rPr>
              <w:t>6/4/2014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46,081</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36,682</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3"/>
        </w:trPr>
        <w:tc>
          <w:tcPr>
            <w:tcW w:w="3100" w:type="dxa"/>
            <w:vAlign w:val="bottom"/>
            <w:gridSpan w:val="2"/>
          </w:tcPr>
          <w:p>
            <w:pPr>
              <w:ind w:left="260"/>
              <w:spacing w:after="0"/>
              <w:rPr>
                <w:sz w:val="20"/>
                <w:szCs w:val="20"/>
                <w:color w:val="auto"/>
              </w:rPr>
            </w:pPr>
            <w:r>
              <w:rPr>
                <w:rFonts w:ascii="Arial" w:cs="Arial" w:eastAsia="Arial" w:hAnsi="Arial"/>
                <w:sz w:val="18"/>
                <w:szCs w:val="18"/>
                <w:b w:val="1"/>
                <w:bCs w:val="1"/>
                <w:color w:val="auto"/>
              </w:rPr>
              <w:t>Pharmaceuticals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Secured note ($74,950 par, due</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10/2020)</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74,005</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73,076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r>
      <w:tr>
        <w:trPr>
          <w:trHeight w:val="230"/>
        </w:trPr>
        <w:tc>
          <w:tcPr>
            <w:tcW w:w="3100" w:type="dxa"/>
            <w:vAlign w:val="bottom"/>
            <w:gridSpan w:val="2"/>
          </w:tcPr>
          <w:p>
            <w:pPr>
              <w:ind w:left="260"/>
              <w:spacing w:after="0"/>
              <w:rPr>
                <w:sz w:val="20"/>
                <w:szCs w:val="20"/>
                <w:color w:val="auto"/>
              </w:rPr>
            </w:pPr>
            <w:r>
              <w:rPr>
                <w:rFonts w:ascii="Arial" w:cs="Arial" w:eastAsia="Arial" w:hAnsi="Arial"/>
                <w:sz w:val="18"/>
                <w:szCs w:val="18"/>
                <w:b w:val="1"/>
                <w:bCs w:val="1"/>
                <w:color w:val="auto"/>
              </w:rPr>
              <w:t>Real estate</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JL Secured Promissory Note </w:t>
            </w:r>
            <w:r>
              <w:rPr>
                <w:rFonts w:ascii="Arial" w:cs="Arial" w:eastAsia="Arial" w:hAnsi="Arial"/>
                <w:sz w:val="15"/>
                <w:szCs w:val="15"/>
                <w:color w:val="auto"/>
              </w:rPr>
              <w:t>(4)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Secured note ($10,224 par, due</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9/2017)</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7.00%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30"/>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0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Retail and consumer</w:t>
            </w: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00" w:type="dxa"/>
            <w:vAlign w:val="bottom"/>
            <w:gridSpan w:val="2"/>
            <w:shd w:val="clear" w:color="auto" w:fill="CFF0FC"/>
          </w:tcPr>
          <w:p>
            <w:pPr>
              <w:ind w:left="380"/>
              <w:spacing w:after="0"/>
              <w:rPr>
                <w:sz w:val="20"/>
                <w:szCs w:val="20"/>
                <w:color w:val="auto"/>
              </w:rPr>
            </w:pPr>
            <w:r>
              <w:rPr>
                <w:rFonts w:ascii="Arial" w:cs="Arial" w:eastAsia="Arial" w:hAnsi="Arial"/>
                <w:sz w:val="18"/>
                <w:szCs w:val="18"/>
                <w:b w:val="1"/>
                <w:bCs w:val="1"/>
                <w:color w:val="auto"/>
              </w:rPr>
              <w:t>products</w:t>
            </w:r>
          </w:p>
        </w:tc>
        <w:tc>
          <w:tcPr>
            <w:tcW w:w="2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American Achievement</w:t>
            </w:r>
          </w:p>
        </w:tc>
        <w:tc>
          <w:tcPr>
            <w:tcW w:w="2500" w:type="dxa"/>
            <w:vAlign w:val="bottom"/>
            <w:gridSpan w:val="2"/>
          </w:tcPr>
          <w:p>
            <w:pPr>
              <w:spacing w:after="0"/>
              <w:rPr>
                <w:sz w:val="20"/>
                <w:szCs w:val="20"/>
                <w:color w:val="auto"/>
              </w:rPr>
            </w:pPr>
            <w:r>
              <w:rPr>
                <w:rFonts w:ascii="Arial" w:cs="Arial" w:eastAsia="Arial" w:hAnsi="Arial"/>
                <w:sz w:val="18"/>
                <w:szCs w:val="18"/>
                <w:color w:val="auto"/>
                <w:w w:val="97"/>
              </w:rPr>
              <w:t>First-lien loan ($25,000 par, due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400" w:type="dxa"/>
            <w:vAlign w:val="bottom"/>
          </w:tcPr>
          <w:p>
            <w:pPr>
              <w:spacing w:after="0"/>
              <w:rPr>
                <w:sz w:val="20"/>
                <w:szCs w:val="20"/>
                <w:color w:val="auto"/>
              </w:rPr>
            </w:pPr>
            <w:r>
              <w:rPr>
                <w:rFonts w:ascii="Arial" w:cs="Arial" w:eastAsia="Arial" w:hAnsi="Arial"/>
                <w:sz w:val="18"/>
                <w:szCs w:val="18"/>
                <w:color w:val="auto"/>
              </w:rPr>
              <w:t>9/2020)</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960" w:type="dxa"/>
            <w:vAlign w:val="bottom"/>
          </w:tcPr>
          <w:p>
            <w:pPr>
              <w:jc w:val="right"/>
              <w:spacing w:after="0"/>
              <w:rPr>
                <w:sz w:val="20"/>
                <w:szCs w:val="20"/>
                <w:color w:val="auto"/>
              </w:rPr>
            </w:pPr>
            <w:r>
              <w:rPr>
                <w:rFonts w:ascii="Arial" w:cs="Arial" w:eastAsia="Arial" w:hAnsi="Arial"/>
                <w:sz w:val="18"/>
                <w:szCs w:val="18"/>
                <w:color w:val="auto"/>
              </w:rPr>
              <w:t>9/30/2015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24,664</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24,563</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Quiksilver - Boardriders SA</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Bond (EUR 7,599 par,</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12/2017)</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8.88%</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1"/>
              </w:rPr>
              <w:t>(EUR 7,181)</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(4)(6)</w:t>
            </w:r>
          </w:p>
        </w:tc>
        <w:tc>
          <w:tcPr>
            <w:tcW w:w="2500" w:type="dxa"/>
            <w:vAlign w:val="bottom"/>
            <w:gridSpan w:val="2"/>
          </w:tcPr>
          <w:p>
            <w:pPr>
              <w:spacing w:after="0"/>
              <w:rPr>
                <w:sz w:val="20"/>
                <w:szCs w:val="20"/>
                <w:color w:val="auto"/>
              </w:rPr>
            </w:pPr>
            <w:r>
              <w:rPr>
                <w:rFonts w:ascii="Arial" w:cs="Arial" w:eastAsia="Arial" w:hAnsi="Arial"/>
                <w:sz w:val="18"/>
                <w:szCs w:val="18"/>
                <w:color w:val="auto"/>
              </w:rPr>
              <w:t>First-lien ABL revolving loan</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($303 par, due 4/2016)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960" w:type="dxa"/>
            <w:vAlign w:val="bottom"/>
          </w:tcPr>
          <w:p>
            <w:pPr>
              <w:jc w:val="right"/>
              <w:spacing w:after="0"/>
              <w:rPr>
                <w:sz w:val="20"/>
                <w:szCs w:val="20"/>
                <w:color w:val="auto"/>
              </w:rPr>
            </w:pPr>
            <w:r>
              <w:rPr>
                <w:rFonts w:ascii="Arial" w:cs="Arial" w:eastAsia="Arial" w:hAnsi="Arial"/>
                <w:sz w:val="18"/>
                <w:szCs w:val="18"/>
                <w:color w:val="auto"/>
              </w:rPr>
              <w:t>4/15/2015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Sports Authority </w:t>
            </w:r>
            <w:r>
              <w:rPr>
                <w:rFonts w:ascii="Arial" w:cs="Arial" w:eastAsia="Arial" w:hAnsi="Arial"/>
                <w:sz w:val="15"/>
                <w:szCs w:val="15"/>
                <w:color w:val="auto"/>
              </w:rPr>
              <w:t>(3)(5)</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FILO term loan ($45,000</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6/2017)</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44,249</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500" w:type="dxa"/>
            <w:vAlign w:val="bottom"/>
            <w:gridSpan w:val="2"/>
          </w:tcPr>
          <w:p>
            <w:pPr>
              <w:spacing w:after="0"/>
              <w:rPr>
                <w:sz w:val="20"/>
                <w:szCs w:val="20"/>
                <w:color w:val="auto"/>
              </w:rPr>
            </w:pPr>
            <w:r>
              <w:rPr>
                <w:rFonts w:ascii="Arial" w:cs="Arial" w:eastAsia="Arial" w:hAnsi="Arial"/>
                <w:sz w:val="18"/>
                <w:szCs w:val="18"/>
                <w:color w:val="auto"/>
              </w:rPr>
              <w:t>ABL FILO term loan ($51,000</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par, due 10/2019)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960" w:type="dxa"/>
            <w:vAlign w:val="bottom"/>
          </w:tcPr>
          <w:p>
            <w:pPr>
              <w:jc w:val="right"/>
              <w:spacing w:after="0"/>
              <w:rPr>
                <w:sz w:val="20"/>
                <w:szCs w:val="20"/>
                <w:color w:val="auto"/>
              </w:rPr>
            </w:pPr>
            <w:r>
              <w:rPr>
                <w:rFonts w:ascii="Arial" w:cs="Arial" w:eastAsia="Arial" w:hAnsi="Arial"/>
                <w:sz w:val="18"/>
                <w:szCs w:val="18"/>
                <w:color w:val="auto"/>
              </w:rPr>
              <w:t>10/9/2014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50,313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49,470</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127,404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125,853</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r>
      <w:tr>
        <w:trPr>
          <w:trHeight w:val="223"/>
        </w:trPr>
        <w:tc>
          <w:tcPr>
            <w:tcW w:w="3100" w:type="dxa"/>
            <w:vAlign w:val="bottom"/>
            <w:gridSpan w:val="2"/>
          </w:tcPr>
          <w:p>
            <w:pPr>
              <w:ind w:left="260"/>
              <w:spacing w:after="0"/>
              <w:rPr>
                <w:sz w:val="20"/>
                <w:szCs w:val="20"/>
                <w:color w:val="auto"/>
              </w:rPr>
            </w:pPr>
            <w:r>
              <w:rPr>
                <w:rFonts w:ascii="Arial" w:cs="Arial" w:eastAsia="Arial" w:hAnsi="Arial"/>
                <w:sz w:val="18"/>
                <w:szCs w:val="18"/>
                <w:b w:val="1"/>
                <w:bCs w:val="1"/>
                <w:color w:val="auto"/>
              </w:rPr>
              <w:t>Transportation</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($13,441 par,</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1/2019)</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(3)(4)</w:t>
            </w:r>
          </w:p>
        </w:tc>
        <w:tc>
          <w:tcPr>
            <w:tcW w:w="2500" w:type="dxa"/>
            <w:vAlign w:val="bottom"/>
            <w:gridSpan w:val="2"/>
          </w:tcPr>
          <w:p>
            <w:pPr>
              <w:spacing w:after="0"/>
              <w:rPr>
                <w:sz w:val="20"/>
                <w:szCs w:val="20"/>
                <w:color w:val="auto"/>
              </w:rPr>
            </w:pPr>
            <w:r>
              <w:rPr>
                <w:rFonts w:ascii="Arial" w:cs="Arial" w:eastAsia="Arial" w:hAnsi="Arial"/>
                <w:sz w:val="18"/>
                <w:szCs w:val="18"/>
                <w:color w:val="auto"/>
              </w:rPr>
              <w:t>Second-lien loan ($62,500 par,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960" w:type="dxa"/>
            <w:vAlign w:val="bottom"/>
          </w:tcPr>
          <w:p>
            <w:pPr>
              <w:jc w:val="right"/>
              <w:spacing w:after="0"/>
              <w:rPr>
                <w:sz w:val="20"/>
                <w:szCs w:val="20"/>
                <w:color w:val="auto"/>
              </w:rPr>
            </w:pPr>
            <w:r>
              <w:rPr>
                <w:rFonts w:ascii="Arial" w:cs="Arial" w:eastAsia="Arial" w:hAnsi="Arial"/>
                <w:sz w:val="18"/>
                <w:szCs w:val="18"/>
                <w:color w:val="auto"/>
              </w:rPr>
              <w:t>10/2/2013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61,614</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59,531</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74,245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r>
      <w:tr>
        <w:trPr>
          <w:trHeight w:val="223"/>
        </w:trPr>
        <w:tc>
          <w:tcPr>
            <w:tcW w:w="30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0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1,488,879</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1,459,372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19"/>
                <w:szCs w:val="19"/>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Equity and Other Investments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0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2500" w:type="dxa"/>
            <w:vAlign w:val="bottom"/>
            <w:gridSpan w:val="2"/>
          </w:tcPr>
          <w:p>
            <w:pPr>
              <w:spacing w:after="0"/>
              <w:rPr>
                <w:sz w:val="20"/>
                <w:szCs w:val="20"/>
                <w:color w:val="auto"/>
              </w:rPr>
            </w:pPr>
            <w:r>
              <w:rPr>
                <w:rFonts w:ascii="Arial" w:cs="Arial" w:eastAsia="Arial" w:hAnsi="Arial"/>
                <w:sz w:val="18"/>
                <w:szCs w:val="18"/>
                <w:color w:val="auto"/>
              </w:rPr>
              <w:t>Non-Voting Preferred Units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30"/>
        </w:trPr>
        <w:tc>
          <w:tcPr>
            <w:tcW w:w="310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AvidXchange, Inc.</w:t>
            </w:r>
          </w:p>
        </w:tc>
        <w:tc>
          <w:tcPr>
            <w:tcW w:w="2500" w:type="dxa"/>
            <w:vAlign w:val="bottom"/>
            <w:gridSpan w:val="2"/>
          </w:tcPr>
          <w:p>
            <w:pPr>
              <w:spacing w:after="0"/>
              <w:rPr>
                <w:sz w:val="20"/>
                <w:szCs w:val="20"/>
                <w:color w:val="auto"/>
              </w:rPr>
            </w:pPr>
            <w:r>
              <w:rPr>
                <w:rFonts w:ascii="Arial" w:cs="Arial" w:eastAsia="Arial" w:hAnsi="Arial"/>
                <w:sz w:val="18"/>
                <w:szCs w:val="18"/>
                <w:color w:val="auto"/>
              </w:rPr>
              <w:t>Series E Preferred Equity</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(214,132 shares)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(1,633,660</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w:t>
            </w: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8/5/2015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13,779</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23"/>
        </w:trPr>
        <w:tc>
          <w:tcPr>
            <w:tcW w:w="31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2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Global Healthcare Exchange,</w:t>
            </w:r>
          </w:p>
        </w:tc>
        <w:tc>
          <w:tcPr>
            <w:tcW w:w="2500" w:type="dxa"/>
            <w:vAlign w:val="bottom"/>
            <w:gridSpan w:val="2"/>
          </w:tcPr>
          <w:p>
            <w:pPr>
              <w:spacing w:after="0"/>
              <w:rPr>
                <w:sz w:val="20"/>
                <w:szCs w:val="20"/>
                <w:color w:val="auto"/>
              </w:rPr>
            </w:pPr>
            <w:r>
              <w:rPr>
                <w:rFonts w:ascii="Arial" w:cs="Arial" w:eastAsia="Arial" w:hAnsi="Arial"/>
                <w:sz w:val="18"/>
                <w:szCs w:val="18"/>
                <w:color w:val="auto"/>
              </w:rPr>
              <w:t>Common Shares Class A (598</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25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3/11/2014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3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Class B (196</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w:t>
            </w: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25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(EUR 888)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Class A</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(1,980 shares)</w:t>
            </w: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911"/>
              <w:spacing w:after="0"/>
              <w:rPr>
                <w:sz w:val="20"/>
                <w:szCs w:val="20"/>
                <w:color w:val="auto"/>
              </w:rPr>
            </w:pPr>
            <w:r>
              <w:rPr>
                <w:rFonts w:ascii="Arial" w:cs="Arial" w:eastAsia="Arial" w:hAnsi="Arial"/>
                <w:sz w:val="18"/>
                <w:szCs w:val="18"/>
                <w:color w:val="auto"/>
                <w:w w:val="89"/>
              </w:rPr>
              <w:t>13</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900" w:type="dxa"/>
            <w:vAlign w:val="bottom"/>
          </w:tcPr>
          <w:p>
            <w:pPr>
              <w:jc w:val="right"/>
              <w:ind w:right="33"/>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520" w:type="dxa"/>
            <w:vAlign w:val="bottom"/>
            <w:gridSpan w:val="2"/>
          </w:tcPr>
          <w:p>
            <w:pPr>
              <w:ind w:left="860"/>
              <w:spacing w:after="0"/>
              <w:rPr>
                <w:sz w:val="20"/>
                <w:szCs w:val="20"/>
                <w:color w:val="auto"/>
              </w:rPr>
            </w:pPr>
            <w:r>
              <w:rPr>
                <w:rFonts w:ascii="Arial" w:cs="Arial" w:eastAsia="Arial" w:hAnsi="Arial"/>
                <w:sz w:val="14"/>
                <w:szCs w:val="14"/>
                <w:b w:val="1"/>
                <w:bCs w:val="1"/>
                <w:color w:val="auto"/>
              </w:rPr>
              <w:t>Investment</w:t>
            </w: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Interest</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9"/>
        </w:trPr>
        <w:tc>
          <w:tcPr>
            <w:tcW w:w="3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Shares Class B</w:t>
            </w: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(2,953,020 shares)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12/28/2012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3100" w:type="dxa"/>
            <w:vAlign w:val="bottom"/>
            <w:gridSpan w:val="2"/>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Units (5,000,000 units)</w:t>
            </w: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Class C-1 Units (8,800,000</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units)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310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380"/>
              <w:spacing w:after="0"/>
              <w:rPr>
                <w:sz w:val="20"/>
                <w:szCs w:val="20"/>
                <w:color w:val="auto"/>
              </w:rPr>
            </w:pPr>
            <w:r>
              <w:rPr>
                <w:rFonts w:ascii="Arial" w:cs="Arial" w:eastAsia="Arial" w:hAnsi="Arial"/>
                <w:sz w:val="18"/>
                <w:szCs w:val="18"/>
                <w:b w:val="1"/>
                <w:bCs w:val="1"/>
                <w:color w:val="auto"/>
              </w:rPr>
              <w:t>fuels</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Member Units (933</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units)</w:t>
            </w: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60"/>
              <w:spacing w:after="0"/>
              <w:rPr>
                <w:sz w:val="20"/>
                <w:szCs w:val="20"/>
                <w:color w:val="auto"/>
              </w:rPr>
            </w:pPr>
            <w:r>
              <w:rPr>
                <w:rFonts w:ascii="Arial" w:cs="Arial" w:eastAsia="Arial" w:hAnsi="Arial"/>
                <w:sz w:val="18"/>
                <w:szCs w:val="18"/>
                <w:b w:val="1"/>
                <w:bCs w:val="1"/>
                <w:color w:val="auto"/>
              </w:rPr>
              <w:t>Other</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Structured Product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8/21/2015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2520" w:type="dxa"/>
            <w:vAlign w:val="bottom"/>
            <w:gridSpan w:val="2"/>
          </w:tcPr>
          <w:p>
            <w:pPr>
              <w:spacing w:after="0"/>
              <w:rPr>
                <w:sz w:val="20"/>
                <w:szCs w:val="20"/>
                <w:color w:val="auto"/>
              </w:rPr>
            </w:pPr>
            <w:r>
              <w:rPr>
                <w:rFonts w:ascii="Arial" w:cs="Arial" w:eastAsia="Arial" w:hAnsi="Arial"/>
                <w:sz w:val="18"/>
                <w:szCs w:val="18"/>
                <w:color w:val="auto"/>
              </w:rPr>
              <w:t>Structured Product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960" w:type="dxa"/>
            <w:vAlign w:val="bottom"/>
          </w:tcPr>
          <w:p>
            <w:pPr>
              <w:jc w:val="right"/>
              <w:spacing w:after="0"/>
              <w:rPr>
                <w:sz w:val="20"/>
                <w:szCs w:val="20"/>
                <w:color w:val="auto"/>
              </w:rPr>
            </w:pPr>
            <w:r>
              <w:rPr>
                <w:rFonts w:ascii="Arial" w:cs="Arial" w:eastAsia="Arial" w:hAnsi="Arial"/>
                <w:sz w:val="18"/>
                <w:szCs w:val="18"/>
                <w:color w:val="auto"/>
              </w:rPr>
              <w:t>11/17/2014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5,100</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8,876</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310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380"/>
              <w:spacing w:after="0"/>
              <w:rPr>
                <w:sz w:val="20"/>
                <w:szCs w:val="20"/>
                <w:color w:val="auto"/>
              </w:rPr>
            </w:pPr>
            <w:r>
              <w:rPr>
                <w:rFonts w:ascii="Arial" w:cs="Arial" w:eastAsia="Arial" w:hAnsi="Arial"/>
                <w:sz w:val="18"/>
                <w:szCs w:val="18"/>
                <w:b w:val="1"/>
                <w:bCs w:val="1"/>
                <w:color w:val="auto"/>
              </w:rPr>
              <w:t>Investments</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40,797</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26,337</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gridSpan w:val="2"/>
            <w:vMerge w:val="continue"/>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$ 1,529,676</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$ 1,485,709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180.8%</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80" w:hanging="512"/>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ind w:left="520" w:right="620" w:hanging="512"/>
        <w:spacing w:after="0" w:line="265"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520" w:hanging="512"/>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 to the extent a loan has been allocated to “first out” and “last out” tranches, whereby the “first out” tranche will have priority as to the “last out” tranche with respect to payments of principal, interest and any amounts due thereunder.</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4" w:name="page15"/>
    <w:bookmarkEnd w:id="14"/>
    <w:p>
      <w:pPr>
        <w:ind w:left="520" w:right="60" w:hanging="512"/>
        <w:spacing w:after="0" w:line="279"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Controlled, Affiliated Investments during the year ended December 31, 2015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Realized</w:t>
            </w:r>
          </w:p>
        </w:tc>
        <w:tc>
          <w:tcPr>
            <w:tcW w:w="140" w:type="dxa"/>
            <w:vAlign w:val="bottom"/>
          </w:tcPr>
          <w:p>
            <w:pPr>
              <w:spacing w:after="0"/>
              <w:rPr>
                <w:sz w:val="12"/>
                <w:szCs w:val="12"/>
                <w:color w:val="auto"/>
              </w:rPr>
            </w:pPr>
          </w:p>
        </w:tc>
        <w:tc>
          <w:tcPr>
            <w:tcW w:w="7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Company</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Gain/(Loss)</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Gain/(Losses)</w:t>
            </w: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LLC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41,636</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(12,328)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(4,888)</w:t>
            </w:r>
          </w:p>
        </w:tc>
        <w:tc>
          <w:tcPr>
            <w:tcW w:w="14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39,537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(17,216</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6,639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right="260" w:hanging="519"/>
        <w:spacing w:after="0" w:line="258"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360" w:hanging="519"/>
        <w:spacing w:after="0" w:line="276"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w:t>
      </w:r>
    </w:p>
    <w:p>
      <w:pPr>
        <w:spacing w:after="0" w:line="6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December 31, 2015, the tax cost of the Company’s investments approximates their amortized cost.</w:t>
      </w:r>
    </w:p>
    <w:p>
      <w:pPr>
        <w:spacing w:after="0" w:line="23"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September 30,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2015</w:t>
            </w: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79,265</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71,655</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(3,330)</w:t>
            </w:r>
          </w:p>
        </w:tc>
      </w:tr>
      <w:tr>
        <w:trPr>
          <w:trHeight w:val="223"/>
        </w:trPr>
        <w:tc>
          <w:tcPr>
            <w:tcW w:w="7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104,284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(69,505)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(63,174)</w:t>
            </w:r>
          </w:p>
        </w:tc>
      </w:tr>
      <w:tr>
        <w:trPr>
          <w:trHeight w:val="223"/>
        </w:trPr>
        <w:tc>
          <w:tcPr>
            <w:tcW w:w="7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00" w:type="dxa"/>
            <w:vAlign w:val="bottom"/>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119,728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8,567</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assets, beginning of period</w:t>
            </w:r>
          </w:p>
        </w:tc>
        <w:tc>
          <w:tcPr>
            <w:tcW w:w="8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820,741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835,405</w:t>
            </w:r>
          </w:p>
        </w:tc>
        <w:tc>
          <w:tcPr>
            <w:tcW w:w="120" w:type="dxa"/>
            <w:vAlign w:val="bottom"/>
            <w:shd w:val="clear" w:color="auto" w:fill="CFF0FC"/>
          </w:tcPr>
          <w:p>
            <w:pPr>
              <w:spacing w:after="0"/>
              <w:rPr>
                <w:sz w:val="19"/>
                <w:szCs w:val="19"/>
                <w:color w:val="auto"/>
              </w:rPr>
            </w:pPr>
          </w:p>
        </w:tc>
      </w:tr>
      <w:tr>
        <w:trPr>
          <w:trHeight w:val="263"/>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8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940,469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843,972</w:t>
            </w:r>
          </w:p>
        </w:tc>
        <w:tc>
          <w:tcPr>
            <w:tcW w:w="120" w:type="dxa"/>
            <w:vAlign w:val="bottom"/>
            <w:tcBorders>
              <w:bottom w:val="single" w:sz="8" w:color="CFF0FC"/>
            </w:tcBorders>
          </w:tcPr>
          <w:p>
            <w:pPr>
              <w:spacing w:after="0"/>
              <w:rPr>
                <w:sz w:val="22"/>
                <w:szCs w:val="22"/>
                <w:color w:val="auto"/>
              </w:rPr>
            </w:pPr>
          </w:p>
        </w:tc>
      </w:tr>
      <w:tr>
        <w:trPr>
          <w:trHeight w:val="192"/>
        </w:trPr>
        <w:tc>
          <w:tcPr>
            <w:tcW w:w="700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Undistributed Net Investment Income Included in Net Assets at the</w:t>
            </w: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70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End of the Period</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36,379</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15,555</w:t>
            </w:r>
          </w:p>
        </w:tc>
        <w:tc>
          <w:tcPr>
            <w:tcW w:w="12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7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September 30,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2015</w:t>
            </w:r>
          </w:p>
        </w:tc>
      </w:tr>
      <w:tr>
        <w:trPr>
          <w:trHeight w:val="223"/>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104,284</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67,910</w:t>
            </w:r>
          </w:p>
        </w:tc>
        <w:tc>
          <w:tcPr>
            <w:tcW w:w="120" w:type="dxa"/>
            <w:vAlign w:val="bottom"/>
          </w:tcPr>
          <w:p>
            <w:pPr>
              <w:spacing w:after="0"/>
              <w:rPr>
                <w:sz w:val="19"/>
                <w:szCs w:val="19"/>
                <w:color w:val="auto"/>
              </w:rPr>
            </w:pPr>
          </w:p>
        </w:tc>
      </w:tr>
      <w:tr>
        <w:trPr>
          <w:trHeight w:val="215"/>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w w:val="99"/>
              </w:rPr>
              <w:t>Adjustments to reconcile increase in net assets resulting from operations to net cash used</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 operating activities:</w:t>
            </w: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(21,609)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on foreign currency transactions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(4,536)</w:t>
            </w: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Net change in unrealized gains on interest rate swaps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Net realized (gains) losses on foreign currency transactions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interest rate swaps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(1,852)</w:t>
            </w: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(12,342)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(9,587)</w:t>
            </w: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Accretion of discount on Convertible Senior Notes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investments, net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(643,792)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(441,004)</w:t>
            </w: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36,179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16,735</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293,820</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(6,721)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(3,833)</w:t>
            </w: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(3,032)</w:t>
            </w: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9,392</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(996)</w:t>
            </w: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(1,156)</w:t>
            </w: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(24,533)</w:t>
            </w:r>
          </w:p>
        </w:tc>
      </w:tr>
      <w:tr>
        <w:trPr>
          <w:trHeight w:val="223"/>
        </w:trPr>
        <w:tc>
          <w:tcPr>
            <w:tcW w:w="7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(86,454)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476,363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559,359</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Payments on debt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(438,385)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(412,163)</w:t>
            </w: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(59,365)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(59,228)</w:t>
            </w:r>
          </w:p>
        </w:tc>
      </w:tr>
      <w:tr>
        <w:trPr>
          <w:trHeight w:val="223"/>
        </w:trPr>
        <w:tc>
          <w:tcPr>
            <w:tcW w:w="7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55,534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40" w:type="dxa"/>
            <w:vAlign w:val="bottom"/>
          </w:tcPr>
          <w:p>
            <w:pPr>
              <w:ind w:left="500"/>
              <w:spacing w:after="0"/>
              <w:rPr>
                <w:sz w:val="20"/>
                <w:szCs w:val="20"/>
                <w:color w:val="auto"/>
              </w:rPr>
            </w:pPr>
            <w:r>
              <w:rPr>
                <w:rFonts w:ascii="Arial" w:cs="Arial" w:eastAsia="Arial" w:hAnsi="Arial"/>
                <w:sz w:val="18"/>
                <w:szCs w:val="18"/>
                <w:b w:val="1"/>
                <w:bCs w:val="1"/>
                <w:color w:val="auto"/>
              </w:rPr>
              <w:t>Net Increase in Cash and Cash Equivalents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FF0FC"/>
          </w:tcPr>
          <w:p>
            <w:pPr>
              <w:spacing w:after="0"/>
              <w:rPr>
                <w:sz w:val="19"/>
                <w:szCs w:val="19"/>
                <w:color w:val="auto"/>
              </w:rPr>
            </w:pPr>
          </w:p>
        </w:tc>
      </w:tr>
      <w:tr>
        <w:trPr>
          <w:trHeight w:val="263"/>
        </w:trPr>
        <w:tc>
          <w:tcPr>
            <w:tcW w:w="7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and Cash Equivalents, End of Period</w:t>
            </w:r>
          </w:p>
        </w:tc>
        <w:tc>
          <w:tcPr>
            <w:tcW w:w="7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FF0FC"/>
            </w:tcBorders>
          </w:tcPr>
          <w:p>
            <w:pPr>
              <w:spacing w:after="0"/>
              <w:rPr>
                <w:sz w:val="22"/>
                <w:szCs w:val="22"/>
                <w:color w:val="auto"/>
              </w:rPr>
            </w:pPr>
          </w:p>
        </w:tc>
      </w:tr>
      <w:tr>
        <w:trPr>
          <w:trHeight w:val="21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12,691</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8,036</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taxes paid during the period</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69,505</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63,174</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2015, which was filed with the Securities and Exchange Commission (“SEC”), on February 24, 2016.</w:t>
      </w:r>
    </w:p>
    <w:p>
      <w:pPr>
        <w:spacing w:after="0" w:line="154" w:lineRule="exact"/>
        <w:rPr>
          <w:sz w:val="20"/>
          <w:szCs w:val="20"/>
          <w:color w:val="auto"/>
        </w:rPr>
      </w:pPr>
    </w:p>
    <w:p>
      <w:pPr>
        <w:ind w:right="74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September 30, 2016,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appears reasonable.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right="10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80" w:firstLine="259"/>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9" w:lineRule="exact"/>
        <w:rPr>
          <w:sz w:val="20"/>
          <w:szCs w:val="20"/>
          <w:color w:val="auto"/>
        </w:rPr>
      </w:pPr>
    </w:p>
    <w:p>
      <w:pPr>
        <w:ind w:right="28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520" w:firstLine="259"/>
        <w:spacing w:after="0" w:line="308" w:lineRule="auto"/>
        <w:rPr>
          <w:sz w:val="20"/>
          <w:szCs w:val="20"/>
          <w:color w:val="auto"/>
        </w:rPr>
      </w:pPr>
      <w:r>
        <w:rPr>
          <w:rFonts w:ascii="Arial" w:cs="Arial" w:eastAsia="Arial" w:hAnsi="Arial"/>
          <w:sz w:val="17"/>
          <w:szCs w:val="17"/>
          <w:color w:val="auto"/>
        </w:rPr>
        <w:t>The Company records expenses related to registration statement filings and applicable offering costs as deferred financing costs. To the extent such expenses relate to equity offerings, a portion of these expenses are charged as a reduction of capital upon each such offering.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amount of the related debt liability. These expenses are deferred and amortized using the effective yield method or straight-line method over the stated maturity life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in such situations will be deferred and amortized over the investment’s life using the effective yield method.</w:t>
      </w:r>
    </w:p>
    <w:p>
      <w:pPr>
        <w:spacing w:after="0" w:line="170" w:lineRule="exact"/>
        <w:rPr>
          <w:sz w:val="20"/>
          <w:szCs w:val="20"/>
          <w:color w:val="auto"/>
        </w:rPr>
      </w:pPr>
    </w:p>
    <w:p>
      <w:pPr>
        <w:ind w:right="20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right="14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generally include syndication, structuring or diligence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20" w:firstLine="259"/>
        <w:spacing w:after="0" w:line="279" w:lineRule="auto"/>
        <w:rPr>
          <w:sz w:val="20"/>
          <w:szCs w:val="20"/>
          <w:color w:val="auto"/>
        </w:rPr>
      </w:pPr>
      <w:r>
        <w:rPr>
          <w:rFonts w:ascii="Arial" w:cs="Arial" w:eastAsia="Arial" w:hAnsi="Arial"/>
          <w:sz w:val="17"/>
          <w:szCs w:val="17"/>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71"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2016</w:t>
      </w:r>
    </w:p>
    <w:p>
      <w:pPr>
        <w:spacing w:after="0" w:line="11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 xml:space="preserve">In April 2015, the Financial Accounting Standards Board issued Accounting Standards Update No. 2015-03 (“ASU 2015-03”), </w:t>
      </w:r>
      <w:r>
        <w:rPr>
          <w:rFonts w:ascii="Arial" w:cs="Arial" w:eastAsia="Arial" w:hAnsi="Arial"/>
          <w:sz w:val="17"/>
          <w:szCs w:val="17"/>
          <w:i w:val="1"/>
          <w:iCs w:val="1"/>
          <w:color w:val="auto"/>
        </w:rPr>
        <w:t>“Interest – Imputation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Interest (Subtopic 835-30): Simplifying the Presentation of Debt Issuance Costs.” </w:t>
      </w:r>
      <w:r>
        <w:rPr>
          <w:rFonts w:ascii="Arial" w:cs="Arial" w:eastAsia="Arial" w:hAnsi="Arial"/>
          <w:sz w:val="17"/>
          <w:szCs w:val="17"/>
          <w:color w:val="auto"/>
        </w:rPr>
        <w:t>ASU 2015-03 requires that debt issuance costs be presented as a direct</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from the carrying amount of the related debt liability, consistent with the presentation of debt discounts. Prior to the issuance of ASU 2015-03, debt issuance costs were required to be presented as deferred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adopted this guidance during the quarter ended March 31, 2016 and adjusted prior period balance sheets to reflect the change. The adoption of this guidance did not have an impact on the Company’s results of operations or cash flows. See Note 7, “Debt” for additional disclosures required under this guidance.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ind w:right="120" w:firstLine="259"/>
        <w:spacing w:after="0" w:line="290" w:lineRule="auto"/>
        <w:rPr>
          <w:sz w:val="20"/>
          <w:szCs w:val="20"/>
          <w:color w:val="auto"/>
        </w:rPr>
      </w:pPr>
      <w:r>
        <w:rPr>
          <w:rFonts w:ascii="Arial" w:cs="Arial" w:eastAsia="Arial" w:hAnsi="Arial"/>
          <w:sz w:val="16"/>
          <w:szCs w:val="16"/>
          <w:color w:val="auto"/>
        </w:rPr>
        <w:t>In August 2014, the Financial Accounting Standards Board issued Accounting Standards Update 2014–15 (“ASU 2014-15”), “</w:t>
      </w:r>
      <w:r>
        <w:rPr>
          <w:rFonts w:ascii="Arial" w:cs="Arial" w:eastAsia="Arial" w:hAnsi="Arial"/>
          <w:sz w:val="16"/>
          <w:szCs w:val="16"/>
          <w:i w:val="1"/>
          <w:iCs w:val="1"/>
          <w:color w:val="auto"/>
        </w:rPr>
        <w:t>Presentation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Going Concern (Subtopic 205 – 40): Disclosure of Uncertainties About an Entity’s Ability to Continue as a Going Concern</w:t>
      </w:r>
      <w:r>
        <w:rPr>
          <w:rFonts w:ascii="Arial" w:cs="Arial" w:eastAsia="Arial" w:hAnsi="Arial"/>
          <w:sz w:val="16"/>
          <w:szCs w:val="16"/>
          <w:color w:val="auto"/>
        </w:rPr>
        <w:t>.” ASU 2014-15</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adopted this guidance during the quarter ended June 30, 2016. The adoption of this guidance did not have an impact on the Company’s financial position,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00" w:firstLine="259"/>
        <w:spacing w:after="0" w:line="293"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2014-09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The guidance in this ASU supersedes the revenue recognition requirements in Topic 605, Revenue Recognition.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is currently evaluating the impact of adopting this ASU on its consolidated financial statements.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For the three and nine months ended September 30, 2016, the Company incurred expenses of $0.7 million and $2.4 million, respectively, for administrative services payable to the Adviser under the terms of the Administration Agreement. For the three and nine months ended September 30, 2015, the Company incurred expenses of $1.2 million and $3.1 million, respectively, for administrative services payable to the Adviser under the terms of the Administration Agreement.</w:t>
      </w:r>
    </w:p>
    <w:p>
      <w:pPr>
        <w:spacing w:after="0" w:line="187"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On November 7, 2016, the Board renewed the Administration Agreement. Unless earlier terminated as described below, the Administration Agreement will remain in effect until November 2017,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4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For the three and nine months ended September 30, 2016, Management Fees were $6.2 million and $18.0 million, respectively. For the three and nine months ended September 30, 2015, Management Fees were $5.5 million and $15.7 million, respectively.</w:t>
      </w:r>
    </w:p>
    <w:p>
      <w:pPr>
        <w:spacing w:after="0" w:line="170"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Adviser has voluntarily waived the Management Fee on the Company’s ownership of shares of common stock in TICC Capital Corp. (the “TICC Shares”) for any period in which TICC Capital Corp. remains a portfolio company of the Company.</w:t>
      </w:r>
    </w:p>
    <w:p>
      <w:pPr>
        <w:spacing w:after="0" w:line="170" w:lineRule="exact"/>
        <w:rPr>
          <w:sz w:val="20"/>
          <w:szCs w:val="20"/>
          <w:color w:val="auto"/>
        </w:rPr>
      </w:pPr>
    </w:p>
    <w:p>
      <w:pPr>
        <w:jc w:val="both"/>
        <w:ind w:right="800" w:firstLine="259"/>
        <w:spacing w:after="0" w:line="312" w:lineRule="auto"/>
        <w:rPr>
          <w:sz w:val="20"/>
          <w:szCs w:val="20"/>
          <w:color w:val="auto"/>
        </w:rPr>
      </w:pPr>
      <w:r>
        <w:rPr>
          <w:rFonts w:ascii="Arial" w:cs="Arial" w:eastAsia="Arial" w:hAnsi="Arial"/>
          <w:sz w:val="16"/>
          <w:szCs w:val="16"/>
          <w:color w:val="auto"/>
        </w:rPr>
        <w:t>For the three and nine months ended September 30, 2016, Management Fees of $66.5 and $97.2 were waived, respectively, consisting solely of Management Fees attributable to the Company’s ownership of the TICC Shares. For each of the three and nine months ended September 30, 2015, Management Fees of $20.7 were waived, consisting solely of Management Fees attributable to the Company’s ownership of the TICC Shares.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60" w:hanging="255"/>
        <w:spacing w:after="0" w:line="286"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1" w:lineRule="exact"/>
        <w:rPr>
          <w:rFonts w:ascii="Arial" w:cs="Arial" w:eastAsia="Arial" w:hAnsi="Arial"/>
          <w:sz w:val="16"/>
          <w:szCs w:val="16"/>
          <w:color w:val="auto"/>
        </w:rPr>
      </w:pPr>
    </w:p>
    <w:p>
      <w:pPr>
        <w:ind w:left="520"/>
        <w:spacing w:after="0" w:line="277" w:lineRule="auto"/>
        <w:rPr>
          <w:rFonts w:ascii="Arial" w:cs="Arial" w:eastAsia="Arial" w:hAnsi="Arial"/>
          <w:sz w:val="16"/>
          <w:szCs w:val="16"/>
          <w:color w:val="auto"/>
        </w:rPr>
      </w:pPr>
      <w:r>
        <w:rPr>
          <w:rFonts w:ascii="Arial" w:cs="Arial" w:eastAsia="Arial" w:hAnsi="Arial"/>
          <w:sz w:val="17"/>
          <w:szCs w:val="17"/>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65" w:lineRule="exact"/>
        <w:rPr>
          <w:rFonts w:ascii="Arial" w:cs="Arial" w:eastAsia="Arial" w:hAnsi="Arial"/>
          <w:sz w:val="16"/>
          <w:szCs w:val="16"/>
          <w:color w:val="auto"/>
        </w:rPr>
      </w:pPr>
    </w:p>
    <w:p>
      <w:pPr>
        <w:ind w:left="520" w:right="4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56" w:lineRule="exact"/>
        <w:rPr>
          <w:rFonts w:ascii="Arial" w:cs="Arial" w:eastAsia="Arial" w:hAnsi="Arial"/>
          <w:sz w:val="16"/>
          <w:szCs w:val="16"/>
          <w:color w:val="auto"/>
        </w:rPr>
      </w:pPr>
    </w:p>
    <w:p>
      <w:pPr>
        <w:ind w:left="520" w:right="20" w:hanging="255"/>
        <w:spacing w:after="0" w:line="289"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56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jc w:val="both"/>
        <w:ind w:right="320" w:firstLine="259"/>
        <w:spacing w:after="0" w:line="312" w:lineRule="auto"/>
        <w:rPr>
          <w:sz w:val="20"/>
          <w:szCs w:val="20"/>
          <w:color w:val="auto"/>
        </w:rPr>
      </w:pPr>
      <w:r>
        <w:rPr>
          <w:rFonts w:ascii="Arial" w:cs="Arial" w:eastAsia="Arial" w:hAnsi="Arial"/>
          <w:sz w:val="16"/>
          <w:szCs w:val="16"/>
          <w:color w:val="auto"/>
        </w:rPr>
        <w:t>For the three and nine months ended September 30, 2016, Incentive Fees were $6.5 million and $16.8 million, respectively, of which $6.5 million and $16.8 million, respectively, were realized and payable to the Adviser. For the three and nine months ended September 30, 2015, Incentive Fees were $3.0 million and $15.2 million, respectively, of which $5.0 million and $15.2 million, respectively, were realized and payable to the Adviser.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4" w:name="page25"/>
    <w:bookmarkEnd w:id="24"/>
    <w:p>
      <w:pPr>
        <w:ind w:right="140"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towards the Company’s cumulative realized capital gains on which the Capital Gains Fee is calculated.</w:t>
      </w:r>
    </w:p>
    <w:p>
      <w:pPr>
        <w:spacing w:after="0" w:line="18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For the three and nine months ended September 30, 2016, Incentive Fees of $82.9 and $248.7 were waived, respectively, consisting solely of Incentive Fees attributable to the Company’s ownership of the TICC Shares. For each of the three and nine months ended September 30, 2015, Incentive Fees of $82.9 were waived, consisting solely of Incentive Fees attributable to the Company’s ownership of the TICC Shares.</w:t>
      </w:r>
    </w:p>
    <w:p>
      <w:pPr>
        <w:spacing w:after="0" w:line="181"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pay the full amount of the Management Fee and Incentive Fee, including with respect to the TICC Shares, in future periods.</w:t>
      </w:r>
    </w:p>
    <w:p>
      <w:pPr>
        <w:spacing w:after="0" w:line="173"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On November 7,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40" w:firstLine="259"/>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September 30, 2016 and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September 30, 2016</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 xml:space="preserve">Amortized Cost </w:t>
            </w:r>
            <w:r>
              <w:rPr>
                <w:rFonts w:ascii="Arial" w:cs="Arial" w:eastAsia="Arial" w:hAnsi="Arial"/>
                <w:sz w:val="12"/>
                <w:szCs w:val="12"/>
                <w:b w:val="1"/>
                <w:bCs w:val="1"/>
                <w:color w:val="auto"/>
                <w:w w:val="96"/>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8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8"/>
              </w:rPr>
              <w:t>Net Unrealized</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Gain (Loss)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5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1,552,639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1,549,132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(15,174)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1,665,930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1,643,572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00" w:type="dxa"/>
            <w:vAlign w:val="bottom"/>
            <w:vMerge w:val="restart"/>
          </w:tcPr>
          <w:p>
            <w:pPr>
              <w:jc w:val="right"/>
              <w:ind w:right="57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5" w:name="page26"/>
    <w:bookmarkEnd w:id="25"/>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2015</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 xml:space="preserve">Amortized Cost </w:t>
            </w:r>
            <w:r>
              <w:rPr>
                <w:rFonts w:ascii="Arial" w:cs="Arial" w:eastAsia="Arial" w:hAnsi="Arial"/>
                <w:sz w:val="12"/>
                <w:szCs w:val="12"/>
                <w:b w:val="1"/>
                <w:bCs w:val="1"/>
                <w:color w:val="auto"/>
                <w:w w:val="96"/>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8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8"/>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1,333,080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1,310,183</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126,049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1,529,676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18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September 30, 2016 and December 31, 2015 is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2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7"/>
              </w:rPr>
              <w:t>September 30, 2016</w:t>
            </w:r>
          </w:p>
        </w:tc>
        <w:tc>
          <w:tcPr>
            <w:tcW w:w="3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December 31, 2015</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22.8%</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Chemicals</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Electronics</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Healthcare</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Internet services</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Office products</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Real Estate</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Transportation</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September 30, 2016 and December 31, 2015 is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September 30, 2016</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Midwest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30.9%</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South</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28.8%</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30" w:right="339" w:bottom="1440" w:gutter="0" w:footer="0" w:header="0"/>
        </w:sectPr>
      </w:pPr>
    </w:p>
    <w:bookmarkStart w:id="26" w:name="page27"/>
    <w:bookmarkEnd w:id="26"/>
    <w:p>
      <w:pPr>
        <w:ind w:right="140"/>
        <w:spacing w:after="0" w:line="276" w:lineRule="auto"/>
        <w:rPr>
          <w:sz w:val="20"/>
          <w:szCs w:val="20"/>
          <w:color w:val="auto"/>
        </w:rPr>
      </w:pPr>
      <w:r>
        <w:rPr>
          <w:rFonts w:ascii="Arial" w:cs="Arial" w:eastAsia="Arial" w:hAnsi="Arial"/>
          <w:sz w:val="17"/>
          <w:szCs w:val="17"/>
          <w:color w:val="auto"/>
        </w:rPr>
        <w:t>commitment to purchase or sell a foreign currency at a future date at a negotiated forward rate. These contracts are marked-to-market by recognizing the difference between the contract exchange rate and the current forward exchange rate as of the measurement date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73" w:lineRule="exact"/>
        <w:rPr>
          <w:sz w:val="20"/>
          <w:szCs w:val="20"/>
          <w:color w:val="auto"/>
        </w:rPr>
      </w:pPr>
    </w:p>
    <w:p>
      <w:pPr>
        <w:ind w:right="320" w:firstLine="259"/>
        <w:spacing w:after="0" w:line="302" w:lineRule="auto"/>
        <w:rPr>
          <w:sz w:val="20"/>
          <w:szCs w:val="20"/>
          <w:color w:val="auto"/>
        </w:rPr>
      </w:pPr>
      <w:r>
        <w:rPr>
          <w:rFonts w:ascii="Arial" w:cs="Arial" w:eastAsia="Arial" w:hAnsi="Arial"/>
          <w:sz w:val="16"/>
          <w:szCs w:val="16"/>
          <w:color w:val="auto"/>
        </w:rPr>
        <w:t>During the three months ended September 30, 2016, the Company did not enter into any foreign currency forward contracts related to its investments denominated in foreign currencies. During the nine months ended September 30, 2016 and the three and nine months ended September 30, 2015, the Company entered into foreign currency forward contracts to facilitate settlement of purchases and sales of investments denominated in foreign currencies. The Company did not have any open foreign currency forward contracts as of September 30, 2016 or December 31, 2015.</w:t>
      </w:r>
    </w:p>
    <w:p>
      <w:pPr>
        <w:spacing w:after="0" w:line="154"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(losses) within the Company’s consolidated balance sheets.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In June 2014, in connection with the issuance of Convertible Senior Notes, the Company entered into two interest rate swap transactions, each with a $57.5 million notional amount. As of December 31, 2014 the Company received fixed rate interest at 4.50% and paid variable rate interest based on the 3-month London Interbank Offered Rate (“LIBOR”) plus 252.9 basis points.</w:t>
      </w:r>
    </w:p>
    <w:p>
      <w:pPr>
        <w:spacing w:after="0" w:line="181" w:lineRule="exact"/>
        <w:rPr>
          <w:sz w:val="20"/>
          <w:szCs w:val="20"/>
          <w:color w:val="auto"/>
        </w:rPr>
      </w:pPr>
    </w:p>
    <w:p>
      <w:pPr>
        <w:ind w:right="60" w:firstLine="259"/>
        <w:spacing w:after="0" w:line="308" w:lineRule="auto"/>
        <w:rPr>
          <w:sz w:val="20"/>
          <w:szCs w:val="20"/>
          <w:color w:val="auto"/>
        </w:rPr>
      </w:pPr>
      <w:r>
        <w:rPr>
          <w:rFonts w:ascii="Arial" w:cs="Arial" w:eastAsia="Arial" w:hAnsi="Arial"/>
          <w:sz w:val="17"/>
          <w:szCs w:val="17"/>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47" w:lineRule="exact"/>
        <w:rPr>
          <w:sz w:val="20"/>
          <w:szCs w:val="20"/>
          <w:color w:val="auto"/>
        </w:rPr>
      </w:pPr>
    </w:p>
    <w:p>
      <w:pPr>
        <w:ind w:right="280" w:firstLine="259"/>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24"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2"/>
              </w:rPr>
              <w:t>Gross Amount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 in the</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4"/>
                <w:szCs w:val="14"/>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 xml:space="preserve">Balance Sheets </w:t>
            </w:r>
            <w:r>
              <w:rPr>
                <w:rFonts w:ascii="Arial" w:cs="Arial" w:eastAsia="Arial" w:hAnsi="Arial"/>
                <w:sz w:val="12"/>
                <w:szCs w:val="12"/>
                <w:b w:val="1"/>
                <w:bCs w:val="1"/>
                <w:color w:val="auto"/>
                <w:w w:val="90"/>
              </w:rPr>
              <w:t>(1)</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09"/>
        </w:trPr>
        <w:tc>
          <w:tcPr>
            <w:tcW w:w="22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12/15/2019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60" w:type="dxa"/>
            <w:vAlign w:val="bottom"/>
            <w:shd w:val="clear" w:color="auto" w:fill="CFF0FC"/>
          </w:tcPr>
          <w:p>
            <w:pPr>
              <w:spacing w:after="0"/>
              <w:rPr>
                <w:sz w:val="20"/>
                <w:szCs w:val="20"/>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Interest rate swap</w:t>
            </w:r>
          </w:p>
        </w:tc>
        <w:tc>
          <w:tcPr>
            <w:tcW w:w="1280" w:type="dxa"/>
            <w:vAlign w:val="bottom"/>
          </w:tcPr>
          <w:p>
            <w:pPr>
              <w:jc w:val="right"/>
              <w:spacing w:after="0"/>
              <w:rPr>
                <w:sz w:val="20"/>
                <w:szCs w:val="20"/>
                <w:color w:val="auto"/>
              </w:rPr>
            </w:pPr>
            <w:r>
              <w:rPr>
                <w:rFonts w:ascii="Arial" w:cs="Arial" w:eastAsia="Arial" w:hAnsi="Arial"/>
                <w:sz w:val="18"/>
                <w:szCs w:val="18"/>
                <w:color w:val="auto"/>
              </w:rPr>
              <w:t>10/5/2018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23"/>
        </w:trPr>
        <w:tc>
          <w:tcPr>
            <w:tcW w:w="22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18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2"/>
              </w:rPr>
              <w:t>Gross Amount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19"/>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260" w:type="dxa"/>
            <w:vAlign w:val="bottom"/>
          </w:tcPr>
          <w:p>
            <w:pPr>
              <w:spacing w:after="0"/>
              <w:rPr>
                <w:sz w:val="11"/>
                <w:szCs w:val="11"/>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 in the</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2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6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Balance Sheets</w:t>
            </w:r>
          </w:p>
        </w:tc>
        <w:tc>
          <w:tcPr>
            <w:tcW w:w="2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 xml:space="preserve">Balance Sheets </w:t>
            </w:r>
            <w:r>
              <w:rPr>
                <w:rFonts w:ascii="Arial" w:cs="Arial" w:eastAsia="Arial" w:hAnsi="Arial"/>
                <w:sz w:val="12"/>
                <w:szCs w:val="12"/>
                <w:b w:val="1"/>
                <w:bCs w:val="1"/>
                <w:color w:val="auto"/>
                <w:w w:val="90"/>
              </w:rPr>
              <w:t>(1)</w:t>
            </w:r>
          </w:p>
        </w:tc>
        <w:tc>
          <w:tcPr>
            <w:tcW w:w="2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09"/>
        </w:trPr>
        <w:tc>
          <w:tcPr>
            <w:tcW w:w="22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12/15/2019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20"/>
                <w:szCs w:val="20"/>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rate swap</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10/5/2018</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CFF0FC"/>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During the three and nine months ended September 30, 2016, the Company received $1.3 million and $3.9 million, respectively, and paid $1.0 million and $3.0 million, respectively, related to the quarterly settlements of its $115 million notional amount interest rate swap. During the three and nine months ended September 30, 2015, the Company received $1.3 million and $3.9 million, respectively, and paid $0.9 million and $2.7 million, respectively, related to the quarterly settlements of its $115 million notional amount interest rate swap. The net amounts of these settlements are reductions to interest expense in the Company’s consolidated statements of operations.</w:t>
      </w:r>
    </w:p>
    <w:p>
      <w:pPr>
        <w:spacing w:after="0" w:line="188"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During the three and nine months ended September 30, 2016, the Company received $0.1 million and $0.4 million, respectively, and paid $0.3 million and $0.8 million, respectively, related to the quarterly settlement of its $92.5 million notional amount interest rate swap. The net amounts of these settlements are a reduction to interest income in the Company’s consolidated statements of operations.</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For the three and nine months ended September 30, 2016, the Company recognized $0.5 million of unrealized depreciation and $1.1 million of unrealized appreciation, respectively, on derivatives in the consolidated statement of operations related to the swap transactions. As of September 30, 2016 and December 31, 2015, the swap transactions had a net fair value of $1.5 million and $0.4 million, respectively, which is included in receivable for interest rate swaps in the Company’s consolidated balance sheet.</w:t>
      </w:r>
    </w:p>
    <w:p>
      <w:pPr>
        <w:spacing w:after="0" w:line="187"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September 30, 2016, $0.8 million of cash is pledged as collateral under the Company’s derivative instruments and is included in restricted cash as a component of other assets on the Company’s consolidated balance sheet. The Company also had $0.9 million of cash collateral posted as of December 31, 2015, which is also included in restricted cash as a component of other assets on the Company’s consolidated balance sheet.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September 30, 2016 and December 31, 2015:</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4"/>
              </w:rPr>
              <w:t>Fair Value Hierarchy at September 30, 2016</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86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176,003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1,373,129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1,549,132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53,376</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15,602</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25,462</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208,073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1,415,513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1,643,572</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1,415,513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1,645,077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5"/>
              </w:rPr>
              <w:t>Fair Value Hierarchy at December 31, 2015</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86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80,692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121,222</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26,338</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1,335,938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1,335,938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1,486,111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w w:val="88"/>
              </w:rPr>
              <w:t>Second-lien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debt</w:t>
            </w:r>
          </w:p>
        </w:tc>
        <w:tc>
          <w:tcPr>
            <w:tcW w:w="16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investments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1,377,204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1,418,387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315,590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315,590</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(265,823)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(266,064)</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4,458</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 xml:space="preserve">Transfers into (out of) Level 3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(58,456)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(58,456)</w:t>
            </w: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1,373,129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1,415,513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60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three months ended September 30, 2016, the transfers out of level 3 were due to observable market transactions related to one portfolio company investment.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1,335,940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598,878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598,873</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(423,973)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(488,879)</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6,721</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10,880</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 xml:space="preserve">Transfers into (out of) Level 3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(58,456)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(64,479)</w:t>
            </w: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1,373,129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1,415,513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66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nine months ended September 30, 2016, the transfers out of level 3 were due to observable market transactions related to two portfolio company investments.</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1,179,301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1,248,437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141,699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179,734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(186,954)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(186,954)</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losses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(7,620)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(9,180)</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(5,065)</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1,131,386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1,234,513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9"/>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1,059,336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1,134,474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356,544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(258,097)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(4,887)</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(262,984)</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(1,879)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(5,244)</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1,131,385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1,234,513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2" w:right="219" w:bottom="1440" w:gutter="0" w:footer="0" w:header="0"/>
        </w:sectPr>
      </w:pPr>
    </w:p>
    <w:bookmarkStart w:id="30" w:name="page31"/>
    <w:bookmarkEnd w:id="30"/>
    <w:p>
      <w:pPr>
        <w:ind w:right="300" w:firstLine="259"/>
        <w:spacing w:after="0" w:line="277" w:lineRule="auto"/>
        <w:rPr>
          <w:sz w:val="20"/>
          <w:szCs w:val="20"/>
          <w:color w:val="auto"/>
        </w:rPr>
      </w:pPr>
      <w:r>
        <w:rPr>
          <w:rFonts w:ascii="Arial" w:cs="Arial" w:eastAsia="Arial" w:hAnsi="Arial"/>
          <w:sz w:val="18"/>
          <w:szCs w:val="18"/>
          <w:color w:val="auto"/>
        </w:rPr>
        <w:t>The following tables present information with respect to net change in unrealized appreciation or depreciation on investments for which Level 3 inputs were used in determining fair value that are still held by the Company at September 30, 2016 and 2015:</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Appreciation for the</w:t>
            </w:r>
          </w:p>
        </w:tc>
        <w:tc>
          <w:tcPr>
            <w:tcW w:w="2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2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for the Three Months Ended</w:t>
            </w: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September 30, 2016 on</w:t>
            </w:r>
          </w:p>
        </w:tc>
        <w:tc>
          <w:tcPr>
            <w:tcW w:w="12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September 30, 2015 on</w:t>
            </w: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Investments Held at</w:t>
            </w:r>
          </w:p>
        </w:tc>
        <w:tc>
          <w:tcPr>
            <w:tcW w:w="12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September 30, 2015</w:t>
            </w: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(1,163)</w:t>
            </w:r>
          </w:p>
        </w:tc>
      </w:tr>
      <w:tr>
        <w:trPr>
          <w:trHeight w:val="215"/>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(3,235)</w:t>
            </w:r>
          </w:p>
        </w:tc>
      </w:tr>
      <w:tr>
        <w:trPr>
          <w:trHeight w:val="223"/>
        </w:trPr>
        <w:tc>
          <w:tcPr>
            <w:tcW w:w="40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7" w:lineRule="exact"/>
        <w:rPr>
          <w:sz w:val="20"/>
          <w:szCs w:val="20"/>
          <w:color w:val="auto"/>
        </w:rPr>
      </w:pPr>
    </w:p>
    <w:p>
      <w:pPr>
        <w:jc w:val="center"/>
        <w:ind w:left="5860"/>
        <w:spacing w:after="0"/>
        <w:rPr>
          <w:sz w:val="20"/>
          <w:szCs w:val="20"/>
          <w:color w:val="auto"/>
        </w:rPr>
      </w:pPr>
      <w:r>
        <w:rPr>
          <w:rFonts w:ascii="Arial" w:cs="Arial" w:eastAsia="Arial" w:hAnsi="Arial"/>
          <w:sz w:val="13"/>
          <w:szCs w:val="13"/>
          <w:b w:val="1"/>
          <w:bCs w:val="1"/>
          <w:color w:val="auto"/>
        </w:rPr>
        <w:t>Net Change in Unrealized</w:t>
      </w:r>
    </w:p>
    <w:p>
      <w:pPr>
        <w:spacing w:after="0" w:line="3"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Appreciation for the</w:t>
      </w:r>
    </w:p>
    <w:p>
      <w:pPr>
        <w:jc w:val="center"/>
        <w:ind w:left="5860"/>
        <w:spacing w:after="0" w:line="221" w:lineRule="auto"/>
        <w:rPr>
          <w:sz w:val="20"/>
          <w:szCs w:val="20"/>
          <w:color w:val="auto"/>
        </w:rPr>
      </w:pPr>
      <w:r>
        <w:rPr>
          <w:rFonts w:ascii="Arial" w:cs="Arial" w:eastAsia="Arial" w:hAnsi="Arial"/>
          <w:sz w:val="14"/>
          <w:szCs w:val="14"/>
          <w:b w:val="1"/>
          <w:bCs w:val="1"/>
          <w:color w:val="auto"/>
        </w:rPr>
        <w:t>Nine Months Ended</w:t>
      </w:r>
    </w:p>
    <w:p>
      <w:pPr>
        <w:jc w:val="center"/>
        <w:ind w:left="5860"/>
        <w:spacing w:after="0" w:line="221" w:lineRule="auto"/>
        <w:rPr>
          <w:sz w:val="20"/>
          <w:szCs w:val="20"/>
          <w:color w:val="auto"/>
        </w:rPr>
      </w:pPr>
      <w:r>
        <w:rPr>
          <w:rFonts w:ascii="Arial" w:cs="Arial" w:eastAsia="Arial" w:hAnsi="Arial"/>
          <w:sz w:val="14"/>
          <w:szCs w:val="14"/>
          <w:b w:val="1"/>
          <w:bCs w:val="1"/>
          <w:color w:val="auto"/>
        </w:rPr>
        <w:t>September 30, 2016 on</w:t>
      </w:r>
    </w:p>
    <w:p>
      <w:pPr>
        <w:jc w:val="center"/>
        <w:ind w:left="5860"/>
        <w:spacing w:after="0" w:line="222" w:lineRule="auto"/>
        <w:rPr>
          <w:sz w:val="20"/>
          <w:szCs w:val="20"/>
          <w:color w:val="auto"/>
        </w:rPr>
      </w:pPr>
      <w:r>
        <w:rPr>
          <w:rFonts w:ascii="Arial" w:cs="Arial" w:eastAsia="Arial" w:hAnsi="Arial"/>
          <w:sz w:val="14"/>
          <w:szCs w:val="14"/>
          <w:b w:val="1"/>
          <w:bCs w:val="1"/>
          <w:color w:val="auto"/>
        </w:rPr>
        <w:t>Investments Held at</w:t>
      </w:r>
    </w:p>
    <w:p>
      <w:pPr>
        <w:jc w:val="center"/>
        <w:ind w:left="5860"/>
        <w:spacing w:after="0" w:line="231" w:lineRule="auto"/>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br w:type="column"/>
      </w:r>
    </w:p>
    <w:p>
      <w:pPr>
        <w:jc w:val="center"/>
        <w:ind w:right="1820"/>
        <w:spacing w:after="0"/>
        <w:rPr>
          <w:sz w:val="20"/>
          <w:szCs w:val="20"/>
          <w:color w:val="auto"/>
        </w:rPr>
      </w:pPr>
      <w:r>
        <w:rPr>
          <w:rFonts w:ascii="Arial" w:cs="Arial" w:eastAsia="Arial" w:hAnsi="Arial"/>
          <w:sz w:val="14"/>
          <w:szCs w:val="14"/>
          <w:b w:val="1"/>
          <w:bCs w:val="1"/>
          <w:color w:val="auto"/>
        </w:rPr>
        <w:t>Net Change in Unrealized</w:t>
      </w:r>
    </w:p>
    <w:p>
      <w:pPr>
        <w:spacing w:after="0" w:line="3" w:lineRule="exact"/>
        <w:rPr>
          <w:sz w:val="20"/>
          <w:szCs w:val="20"/>
          <w:color w:val="auto"/>
        </w:rPr>
      </w:pPr>
    </w:p>
    <w:p>
      <w:pPr>
        <w:jc w:val="center"/>
        <w:ind w:right="1820"/>
        <w:spacing w:after="0"/>
        <w:rPr>
          <w:sz w:val="20"/>
          <w:szCs w:val="20"/>
          <w:color w:val="auto"/>
        </w:rPr>
      </w:pPr>
      <w:r>
        <w:rPr>
          <w:rFonts w:ascii="Arial" w:cs="Arial" w:eastAsia="Arial" w:hAnsi="Arial"/>
          <w:sz w:val="13"/>
          <w:szCs w:val="13"/>
          <w:b w:val="1"/>
          <w:bCs w:val="1"/>
          <w:color w:val="auto"/>
        </w:rPr>
        <w:t>Appreciation or (Depreciation)</w:t>
      </w:r>
    </w:p>
    <w:p>
      <w:pPr>
        <w:jc w:val="center"/>
        <w:ind w:right="1820"/>
        <w:spacing w:after="0" w:line="221" w:lineRule="auto"/>
        <w:rPr>
          <w:sz w:val="20"/>
          <w:szCs w:val="20"/>
          <w:color w:val="auto"/>
        </w:rPr>
      </w:pPr>
      <w:r>
        <w:rPr>
          <w:rFonts w:ascii="Arial" w:cs="Arial" w:eastAsia="Arial" w:hAnsi="Arial"/>
          <w:sz w:val="14"/>
          <w:szCs w:val="14"/>
          <w:b w:val="1"/>
          <w:bCs w:val="1"/>
          <w:color w:val="auto"/>
        </w:rPr>
        <w:t>for the Nine Months Ended</w:t>
      </w:r>
    </w:p>
    <w:p>
      <w:pPr>
        <w:jc w:val="center"/>
        <w:ind w:right="1820"/>
        <w:spacing w:after="0" w:line="221" w:lineRule="auto"/>
        <w:rPr>
          <w:sz w:val="20"/>
          <w:szCs w:val="20"/>
          <w:color w:val="auto"/>
        </w:rPr>
      </w:pPr>
      <w:r>
        <w:rPr>
          <w:rFonts w:ascii="Arial" w:cs="Arial" w:eastAsia="Arial" w:hAnsi="Arial"/>
          <w:sz w:val="14"/>
          <w:szCs w:val="14"/>
          <w:b w:val="1"/>
          <w:bCs w:val="1"/>
          <w:color w:val="auto"/>
        </w:rPr>
        <w:t>September 30, 2015 on</w:t>
      </w:r>
    </w:p>
    <w:p>
      <w:pPr>
        <w:jc w:val="center"/>
        <w:ind w:right="1820"/>
        <w:spacing w:after="0" w:line="222" w:lineRule="auto"/>
        <w:rPr>
          <w:sz w:val="20"/>
          <w:szCs w:val="20"/>
          <w:color w:val="auto"/>
        </w:rPr>
      </w:pPr>
      <w:r>
        <w:rPr>
          <w:rFonts w:ascii="Arial" w:cs="Arial" w:eastAsia="Arial" w:hAnsi="Arial"/>
          <w:sz w:val="14"/>
          <w:szCs w:val="14"/>
          <w:b w:val="1"/>
          <w:bCs w:val="1"/>
          <w:color w:val="auto"/>
        </w:rPr>
        <w:t>Investments Held at</w:t>
      </w:r>
    </w:p>
    <w:p>
      <w:pPr>
        <w:jc w:val="center"/>
        <w:ind w:right="1820"/>
        <w:spacing w:after="0" w:line="231" w:lineRule="auto"/>
        <w:rPr>
          <w:sz w:val="20"/>
          <w:szCs w:val="20"/>
          <w:color w:val="auto"/>
        </w:rPr>
      </w:pPr>
      <w:r>
        <w:rPr>
          <w:rFonts w:ascii="Arial" w:cs="Arial" w:eastAsia="Arial" w:hAnsi="Arial"/>
          <w:sz w:val="14"/>
          <w:szCs w:val="14"/>
          <w:b w:val="1"/>
          <w:bCs w:val="1"/>
          <w:color w:val="auto"/>
        </w:rPr>
        <w:t>September 30, 2015</w:t>
      </w:r>
    </w:p>
    <w:p>
      <w:pPr>
        <w:spacing w:after="0" w:line="1" w:lineRule="exact"/>
        <w:rPr>
          <w:sz w:val="20"/>
          <w:szCs w:val="20"/>
          <w:color w:val="auto"/>
        </w:rPr>
      </w:pPr>
    </w:p>
    <w:p>
      <w:pPr>
        <w:sectPr>
          <w:pgSz w:w="11900" w:h="16838" w:orient="portrait"/>
          <w:cols w:equalWidth="0" w:num="2">
            <w:col w:w="7440" w:space="260"/>
            <w:col w:w="3720"/>
          </w:cols>
          <w:pgMar w:left="240" w:top="382" w:right="239" w:bottom="1440" w:gutter="0" w:footer="0" w:header="0"/>
          <w:type w:val="continuous"/>
        </w:sectPr>
      </w:pPr>
    </w:p>
    <w:tbl>
      <w:tblPr>
        <w:tblLayout w:type="fixed"/>
        <w:tblInd w:w="1720" w:type="dxa"/>
        <w:tblCellMar>
          <w:top w:w="0" w:type="dxa"/>
          <w:left w:w="0" w:type="dxa"/>
          <w:bottom w:w="0" w:type="dxa"/>
          <w:right w:w="0" w:type="dxa"/>
        </w:tblCellMar>
      </w:tblP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9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14,059</w:t>
            </w:r>
          </w:p>
        </w:tc>
        <w:tc>
          <w:tcPr>
            <w:tcW w:w="1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(1,253)</w:t>
            </w:r>
          </w:p>
        </w:tc>
      </w:tr>
      <w:tr>
        <w:trPr>
          <w:trHeight w:val="215"/>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9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(3,090)</w:t>
            </w:r>
          </w:p>
        </w:tc>
      </w:tr>
      <w:tr>
        <w:trPr>
          <w:trHeight w:val="223"/>
        </w:trPr>
        <w:tc>
          <w:tcPr>
            <w:tcW w:w="3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following tables summarize the significant unobservable inputs the Company used to value the majority of its investments categorized within Level 3 as of September 30, 2016 and December 31, 2015. The tables are not intended to be all-inclusive, but instead capture the significant unobservable inputs relevant to the Company’s determination of fair values.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September 30, 2016</w:t>
            </w: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Range (Weighted</w:t>
            </w: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8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2"/>
                <w:szCs w:val="12"/>
                <w:color w:val="auto"/>
              </w:rPr>
            </w:pPr>
          </w:p>
        </w:tc>
        <w:tc>
          <w:tcPr>
            <w:tcW w:w="19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Unobservable Input</w:t>
            </w:r>
          </w:p>
        </w:tc>
        <w:tc>
          <w:tcPr>
            <w:tcW w:w="2280" w:type="dxa"/>
            <w:vAlign w:val="bottom"/>
            <w:gridSpan w:val="3"/>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Average)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1,373,129</w:t>
            </w:r>
          </w:p>
        </w:tc>
        <w:tc>
          <w:tcPr>
            <w:tcW w:w="24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 xml:space="preserve">Income approach </w:t>
            </w:r>
            <w:r>
              <w:rPr>
                <w:rFonts w:ascii="Arial" w:cs="Arial" w:eastAsia="Arial" w:hAnsi="Arial"/>
                <w:sz w:val="15"/>
                <w:szCs w:val="15"/>
                <w:color w:val="auto"/>
                <w:w w:val="99"/>
              </w:rPr>
              <w:t>(1)(3)</w:t>
            </w:r>
          </w:p>
        </w:tc>
        <w:tc>
          <w:tcPr>
            <w:tcW w:w="1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5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13.4% (9.7%)</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640" w:type="dxa"/>
            <w:vAlign w:val="bottom"/>
          </w:tcPr>
          <w:p>
            <w:pPr>
              <w:spacing w:after="0"/>
              <w:rPr>
                <w:sz w:val="20"/>
                <w:szCs w:val="20"/>
                <w:color w:val="auto"/>
              </w:rPr>
            </w:pPr>
            <w:r>
              <w:rPr>
                <w:rFonts w:ascii="Arial" w:cs="Arial" w:eastAsia="Arial" w:hAnsi="Arial"/>
                <w:sz w:val="18"/>
                <w:szCs w:val="18"/>
                <w:color w:val="auto"/>
              </w:rPr>
              <w:t>Second-lien debt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34,329</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Income approach</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Market yield</w:t>
            </w: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 11.1% (11.1%)</w:t>
            </w:r>
          </w:p>
        </w:tc>
        <w:tc>
          <w:tcPr>
            <w:tcW w:w="136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8,055</w:t>
            </w:r>
          </w:p>
        </w:tc>
        <w:tc>
          <w:tcPr>
            <w:tcW w:w="2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(2)(4)</w:t>
            </w:r>
          </w:p>
        </w:tc>
        <w:tc>
          <w:tcPr>
            <w:tcW w:w="20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Comparable multiple</w:t>
            </w:r>
          </w:p>
        </w:tc>
        <w:tc>
          <w:tcPr>
            <w:tcW w:w="2280" w:type="dxa"/>
            <w:vAlign w:val="bottom"/>
            <w:gridSpan w:val="3"/>
            <w:shd w:val="clear" w:color="auto" w:fill="CFF0FC"/>
          </w:tcPr>
          <w:p>
            <w:pPr>
              <w:jc w:val="center"/>
              <w:ind w:right="120"/>
              <w:spacing w:after="0"/>
              <w:rPr>
                <w:sz w:val="20"/>
                <w:szCs w:val="20"/>
                <w:color w:val="auto"/>
              </w:rPr>
            </w:pPr>
            <w:r>
              <w:rPr>
                <w:rFonts w:ascii="Arial" w:cs="Arial" w:eastAsia="Arial" w:hAnsi="Arial"/>
                <w:sz w:val="18"/>
                <w:szCs w:val="18"/>
                <w:color w:val="auto"/>
                <w:w w:val="93"/>
              </w:rPr>
              <w:t>8.7x — 13.5x (11.2x)</w:t>
            </w: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$138.0 million of first-lien debt investments which were valued using the transacted value of the investments.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$3.8 million of equity investments which were valued using the transacted value of the investments.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$65.3 million of first lien debt investments which were valued using a waterfall of the asset valuation.</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$0.1 million of equity investments which were valued using a waterfall of the asset valuation.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December 31, 2015</w:t>
            </w:r>
          </w:p>
        </w:tc>
        <w:tc>
          <w:tcPr>
            <w:tcW w:w="2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Range (Weighted</w:t>
            </w: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21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Valuation Technique</w:t>
            </w:r>
          </w:p>
        </w:tc>
        <w:tc>
          <w:tcPr>
            <w:tcW w:w="60" w:type="dxa"/>
            <w:vAlign w:val="bottom"/>
          </w:tcPr>
          <w:p>
            <w:pPr>
              <w:spacing w:after="0"/>
              <w:rPr>
                <w:sz w:val="12"/>
                <w:szCs w:val="12"/>
                <w:color w:val="auto"/>
              </w:rPr>
            </w:pPr>
          </w:p>
        </w:tc>
        <w:tc>
          <w:tcPr>
            <w:tcW w:w="23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Unobservable Input</w:t>
            </w:r>
          </w:p>
        </w:tc>
        <w:tc>
          <w:tcPr>
            <w:tcW w:w="21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 an Increase to</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223"/>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First-lien debt investments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12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6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8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3.9% — 15.3% (10.8%)</w:t>
            </w:r>
          </w:p>
        </w:tc>
        <w:tc>
          <w:tcPr>
            <w:tcW w:w="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100" w:type="dxa"/>
            <w:vAlign w:val="bottom"/>
          </w:tcPr>
          <w:p>
            <w:pPr>
              <w:spacing w:after="0"/>
              <w:rPr>
                <w:sz w:val="20"/>
                <w:szCs w:val="20"/>
                <w:color w:val="auto"/>
              </w:rPr>
            </w:pPr>
            <w:r>
              <w:rPr>
                <w:rFonts w:ascii="Arial" w:cs="Arial" w:eastAsia="Arial" w:hAnsi="Arial"/>
                <w:sz w:val="18"/>
                <w:szCs w:val="18"/>
                <w:color w:val="auto"/>
              </w:rPr>
              <w:t>Second-lien debt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90,441</w:t>
            </w: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Income approach</w:t>
            </w:r>
          </w:p>
        </w:tc>
        <w:tc>
          <w:tcPr>
            <w:tcW w:w="2360" w:type="dxa"/>
            <w:vAlign w:val="bottom"/>
            <w:gridSpan w:val="3"/>
          </w:tcPr>
          <w:p>
            <w:pPr>
              <w:ind w:left="60"/>
              <w:spacing w:after="0"/>
              <w:rPr>
                <w:sz w:val="20"/>
                <w:szCs w:val="20"/>
                <w:color w:val="auto"/>
              </w:rPr>
            </w:pPr>
            <w:r>
              <w:rPr>
                <w:rFonts w:ascii="Arial" w:cs="Arial" w:eastAsia="Arial" w:hAnsi="Arial"/>
                <w:sz w:val="18"/>
                <w:szCs w:val="18"/>
                <w:color w:val="auto"/>
              </w:rPr>
              <w:t>Market yield</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12.1% — 13.8% (13.2%)</w:t>
            </w:r>
          </w:p>
        </w:tc>
        <w:tc>
          <w:tcPr>
            <w:tcW w:w="148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w w:val="98"/>
              </w:rPr>
              <w:t>Mezzanine and unsecured</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approach</w:t>
            </w:r>
          </w:p>
        </w:tc>
        <w:tc>
          <w:tcPr>
            <w:tcW w:w="236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Market yield</w:t>
            </w:r>
          </w:p>
        </w:tc>
        <w:tc>
          <w:tcPr>
            <w:tcW w:w="216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2"/>
              </w:rPr>
              <w:t>12.6% — 12.6% (12.6%)</w:t>
            </w:r>
          </w:p>
        </w:tc>
        <w:tc>
          <w:tcPr>
            <w:tcW w:w="1480" w:type="dxa"/>
            <w:vAlign w:val="bottom"/>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100" w:type="dxa"/>
            <w:vAlign w:val="bottom"/>
          </w:tcPr>
          <w:p>
            <w:pPr>
              <w:spacing w:after="0"/>
              <w:rPr>
                <w:sz w:val="20"/>
                <w:szCs w:val="20"/>
                <w:color w:val="auto"/>
              </w:rPr>
            </w:pPr>
            <w:r>
              <w:rPr>
                <w:rFonts w:ascii="Arial" w:cs="Arial" w:eastAsia="Arial" w:hAnsi="Arial"/>
                <w:sz w:val="18"/>
                <w:szCs w:val="18"/>
                <w:color w:val="auto"/>
              </w:rPr>
              <w:t>Equity and other</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Market Multiple or</w:t>
            </w:r>
          </w:p>
        </w:tc>
        <w:tc>
          <w:tcPr>
            <w:tcW w:w="2360" w:type="dxa"/>
            <w:vAlign w:val="bottom"/>
            <w:gridSpan w:val="3"/>
          </w:tcPr>
          <w:p>
            <w:pPr>
              <w:ind w:left="60"/>
              <w:spacing w:after="0"/>
              <w:rPr>
                <w:sz w:val="20"/>
                <w:szCs w:val="20"/>
                <w:color w:val="auto"/>
              </w:rPr>
            </w:pPr>
            <w:r>
              <w:rPr>
                <w:rFonts w:ascii="Arial" w:cs="Arial" w:eastAsia="Arial" w:hAnsi="Arial"/>
                <w:sz w:val="18"/>
                <w:szCs w:val="18"/>
                <w:color w:val="auto"/>
              </w:rPr>
              <w:t>Comparable multiple or</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8.4x — 13.5x (11.8x)</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8,205</w:t>
            </w: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 xml:space="preserve">Discounted Cash Flow </w:t>
            </w:r>
            <w:r>
              <w:rPr>
                <w:rFonts w:ascii="Arial" w:cs="Arial" w:eastAsia="Arial" w:hAnsi="Arial"/>
                <w:sz w:val="15"/>
                <w:szCs w:val="15"/>
                <w:color w:val="auto"/>
              </w:rPr>
              <w:t>(2)</w:t>
            </w:r>
          </w:p>
        </w:tc>
        <w:tc>
          <w:tcPr>
            <w:tcW w:w="2360" w:type="dxa"/>
            <w:vAlign w:val="bottom"/>
            <w:gridSpan w:val="3"/>
          </w:tcPr>
          <w:p>
            <w:pPr>
              <w:ind w:left="60"/>
              <w:spacing w:after="0"/>
              <w:rPr>
                <w:sz w:val="20"/>
                <w:szCs w:val="20"/>
                <w:color w:val="auto"/>
              </w:rPr>
            </w:pPr>
            <w:r>
              <w:rPr>
                <w:rFonts w:ascii="Arial" w:cs="Arial" w:eastAsia="Arial" w:hAnsi="Arial"/>
                <w:sz w:val="18"/>
                <w:szCs w:val="18"/>
                <w:color w:val="auto"/>
              </w:rPr>
              <w:t>discount rate</w:t>
            </w:r>
          </w:p>
        </w:tc>
        <w:tc>
          <w:tcPr>
            <w:tcW w:w="21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or 12.0%</w:t>
            </w:r>
          </w:p>
        </w:tc>
        <w:tc>
          <w:tcPr>
            <w:tcW w:w="1480" w:type="dxa"/>
            <w:vAlign w:val="bottom"/>
          </w:tcPr>
          <w:p>
            <w:pPr>
              <w:spacing w:after="0"/>
              <w:rPr>
                <w:sz w:val="20"/>
                <w:szCs w:val="20"/>
                <w:color w:val="auto"/>
              </w:rPr>
            </w:pPr>
            <w:r>
              <w:rPr>
                <w:rFonts w:ascii="Arial" w:cs="Arial" w:eastAsia="Arial" w:hAnsi="Arial"/>
                <w:sz w:val="18"/>
                <w:szCs w:val="18"/>
                <w:color w:val="auto"/>
                <w:w w:val="86"/>
              </w:rPr>
              <w:t>Increase or decrease</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400" w:hanging="512"/>
        <w:spacing w:after="0" w:line="258"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transacted value of the investments.</w:t>
      </w:r>
    </w:p>
    <w:p>
      <w:pPr>
        <w:spacing w:after="0" w:line="1"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transacted value of the investments.</w:t>
      </w:r>
    </w:p>
    <w:p>
      <w:pPr>
        <w:spacing w:after="0" w:line="184"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September 30, 2016, approximates its carrying value as the outstanding balance is callable at carrying value. The fair value of the Company’s Convertible Senior Notes, which is categorized as Level 2 within the fair value hierarchy, as of September 30, 2016, was $118.0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60" w:firstLine="259"/>
        <w:spacing w:after="0" w:line="312" w:lineRule="auto"/>
        <w:rPr>
          <w:sz w:val="20"/>
          <w:szCs w:val="20"/>
          <w:color w:val="auto"/>
        </w:rPr>
      </w:pPr>
      <w:r>
        <w:rPr>
          <w:rFonts w:ascii="Arial" w:cs="Arial" w:eastAsia="Arial" w:hAnsi="Arial"/>
          <w:sz w:val="16"/>
          <w:szCs w:val="16"/>
          <w:color w:val="auto"/>
        </w:rPr>
        <w:t>The carrying amounts of the Company’s assets and liabilities, other than investments at fair value and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September 30, 2016 and December 31, 2015, the Company’s asset coverage was 236.5% and 225.7%,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2" w:name="page33"/>
    <w:bookmarkEnd w:id="32"/>
    <w:p>
      <w:pPr>
        <w:ind w:left="260"/>
        <w:spacing w:after="0"/>
        <w:rPr>
          <w:sz w:val="20"/>
          <w:szCs w:val="20"/>
          <w:color w:val="auto"/>
        </w:rPr>
      </w:pPr>
      <w:r>
        <w:rPr>
          <w:rFonts w:ascii="Arial" w:cs="Arial" w:eastAsia="Arial" w:hAnsi="Arial"/>
          <w:sz w:val="18"/>
          <w:szCs w:val="18"/>
          <w:color w:val="auto"/>
        </w:rPr>
        <w:t>Debt obligations consisted of the following as of September 30, 2016 and December 31,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September 30, 2016</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060" w:type="dxa"/>
            <w:vAlign w:val="bottom"/>
          </w:tcPr>
          <w:p>
            <w:pPr>
              <w:spacing w:after="0"/>
              <w:rPr>
                <w:sz w:val="11"/>
                <w:szCs w:val="11"/>
                <w:color w:val="auto"/>
              </w:rPr>
            </w:pPr>
          </w:p>
        </w:tc>
        <w:tc>
          <w:tcPr>
            <w:tcW w:w="136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5"/>
              </w:rPr>
              <w:t>Aggregate Principal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239"/>
              <w:spacing w:after="0" w:line="133"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357"/>
              <w:spacing w:after="0" w:line="133"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r>
      <w:tr>
        <w:trPr>
          <w:trHeight w:val="171"/>
        </w:trPr>
        <w:tc>
          <w:tcPr>
            <w:tcW w:w="40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Amount Committed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37"/>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821,250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575,825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245,425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569,669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110,446</w:t>
            </w:r>
          </w:p>
        </w:tc>
        <w:tc>
          <w:tcPr>
            <w:tcW w:w="12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936,250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690,825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245,425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680,115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0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Senior Notes are presented net of deferred financing costs of $6.2 million and $2.5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060" w:type="dxa"/>
            <w:vAlign w:val="bottom"/>
          </w:tcPr>
          <w:p>
            <w:pPr>
              <w:spacing w:after="0"/>
              <w:rPr>
                <w:sz w:val="11"/>
                <w:szCs w:val="11"/>
                <w:color w:val="auto"/>
              </w:rPr>
            </w:pPr>
          </w:p>
        </w:tc>
        <w:tc>
          <w:tcPr>
            <w:tcW w:w="136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5"/>
              </w:rPr>
              <w:t>Aggregate Principal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239"/>
              <w:spacing w:after="0" w:line="133"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357"/>
              <w:spacing w:after="0" w:line="133"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r>
      <w:tr>
        <w:trPr>
          <w:trHeight w:val="171"/>
        </w:trPr>
        <w:tc>
          <w:tcPr>
            <w:tcW w:w="40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Amount Committed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37"/>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821,250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540,305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109,427</w:t>
            </w:r>
          </w:p>
        </w:tc>
        <w:tc>
          <w:tcPr>
            <w:tcW w:w="12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936,250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655,305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642,423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0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Senior Notes are presented net of deferred financing costs of $7.3 million and $3.1 million,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nine months ended September 30, 2016 and 2015, the components of interest expense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580" w:type="dxa"/>
            <w:vAlign w:val="bottom"/>
          </w:tcPr>
          <w:p>
            <w:pPr>
              <w:spacing w:after="0"/>
              <w:rPr>
                <w:sz w:val="14"/>
                <w:szCs w:val="14"/>
                <w:color w:val="auto"/>
              </w:rPr>
            </w:pPr>
          </w:p>
        </w:tc>
        <w:tc>
          <w:tcPr>
            <w:tcW w:w="2220" w:type="dxa"/>
            <w:vAlign w:val="bottom"/>
            <w:gridSpan w:val="4"/>
          </w:tcPr>
          <w:p>
            <w:pPr>
              <w:ind w:left="780"/>
              <w:spacing w:after="0"/>
              <w:rPr>
                <w:sz w:val="20"/>
                <w:szCs w:val="20"/>
                <w:color w:val="auto"/>
              </w:rPr>
            </w:pPr>
            <w:r>
              <w:rPr>
                <w:rFonts w:ascii="Arial" w:cs="Arial" w:eastAsia="Arial" w:hAnsi="Arial"/>
                <w:sz w:val="14"/>
                <w:szCs w:val="14"/>
                <w:b w:val="1"/>
                <w:bCs w:val="1"/>
                <w:color w:val="auto"/>
              </w:rPr>
              <w:t>September 30, 2016</w:t>
            </w: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2015</w:t>
            </w: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 2016</w:t>
            </w: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2015</w:t>
            </w: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Commitment fees</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19"/>
                <w:szCs w:val="19"/>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180" w:type="dxa"/>
            <w:vAlign w:val="bottom"/>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9"/>
                <w:szCs w:val="19"/>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(369)</w:t>
            </w: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(1,174)</w:t>
            </w:r>
          </w:p>
        </w:tc>
      </w:tr>
      <w:tr>
        <w:trPr>
          <w:trHeight w:val="263"/>
        </w:trPr>
        <w:tc>
          <w:tcPr>
            <w:tcW w:w="3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80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6,102</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18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17,029</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16,910</w:t>
            </w:r>
          </w:p>
        </w:tc>
        <w:tc>
          <w:tcPr>
            <w:tcW w:w="180" w:type="dxa"/>
            <w:vAlign w:val="bottom"/>
            <w:tcBorders>
              <w:bottom w:val="single" w:sz="8" w:color="CFF0FC"/>
            </w:tcBorders>
          </w:tcPr>
          <w:p>
            <w:pPr>
              <w:spacing w:after="0"/>
              <w:rPr>
                <w:sz w:val="22"/>
                <w:szCs w:val="22"/>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556.5</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503.9</w:t>
            </w:r>
          </w:p>
        </w:tc>
        <w:tc>
          <w:tcPr>
            <w:tcW w:w="180" w:type="dxa"/>
            <w:vAlign w:val="bottom"/>
            <w:shd w:val="clear" w:color="auto" w:fill="CFF0FC"/>
          </w:tcPr>
          <w:p>
            <w:pPr>
              <w:spacing w:after="0"/>
              <w:rPr>
                <w:sz w:val="18"/>
                <w:szCs w:val="18"/>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320" w:hanging="255"/>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360" w:hanging="259"/>
        <w:spacing w:after="0" w:line="277" w:lineRule="auto"/>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both"/>
        <w:ind w:right="220" w:firstLine="259"/>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20" w:hanging="255"/>
        <w:spacing w:after="0" w:line="30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80" w:hanging="255"/>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September 30, 2016, the Company had outstanding debt denominated in Swedish Krona (SEK) of 201.2 million, Euro (EUR) of 47.6 million and Pound Sterling (GBP) of 14.9 million on its Revolving Credit Facility, included in the Outstanding Principal amount in the table above.</w:t>
      </w:r>
    </w:p>
    <w:p>
      <w:pPr>
        <w:spacing w:after="0" w:line="181" w:lineRule="exact"/>
        <w:rPr>
          <w:sz w:val="20"/>
          <w:szCs w:val="20"/>
          <w:color w:val="auto"/>
        </w:rPr>
      </w:pPr>
    </w:p>
    <w:p>
      <w:pPr>
        <w:jc w:val="both"/>
        <w:ind w:right="120" w:firstLine="259"/>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right="22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160" w:hanging="255"/>
        <w:spacing w:after="0" w:line="342"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340" w:firstLine="259"/>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88"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Convertible Senior Notes is three-month LIBOR plus 286 basis points. See Note 5 for further information related to the Company’s interest rate swaps.</w:t>
      </w:r>
    </w:p>
    <w:p>
      <w:pPr>
        <w:spacing w:after="0" w:line="17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For the three and nine months ended September 30, 2016 and 2015, the components of interest expense related to the Convertible Senior Notes were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2280" w:type="dxa"/>
            <w:vAlign w:val="bottom"/>
            <w:gridSpan w:val="3"/>
          </w:tcPr>
          <w:p>
            <w:pPr>
              <w:ind w:left="1080"/>
              <w:spacing w:after="0"/>
              <w:rPr>
                <w:sz w:val="20"/>
                <w:szCs w:val="20"/>
                <w:color w:val="auto"/>
              </w:rPr>
            </w:pPr>
            <w:r>
              <w:rPr>
                <w:rFonts w:ascii="Arial" w:cs="Arial" w:eastAsia="Arial" w:hAnsi="Arial"/>
                <w:sz w:val="14"/>
                <w:szCs w:val="14"/>
                <w:b w:val="1"/>
                <w:bCs w:val="1"/>
                <w:color w:val="auto"/>
                <w:w w:val="90"/>
              </w:rPr>
              <w:t>September 30, 2016</w:t>
            </w:r>
          </w:p>
        </w:tc>
        <w:tc>
          <w:tcPr>
            <w:tcW w:w="1520" w:type="dxa"/>
            <w:vAlign w:val="bottom"/>
            <w:gridSpan w:val="4"/>
          </w:tcPr>
          <w:p>
            <w:pPr>
              <w:ind w:left="220"/>
              <w:spacing w:after="0"/>
              <w:rPr>
                <w:sz w:val="20"/>
                <w:szCs w:val="20"/>
                <w:color w:val="auto"/>
              </w:rPr>
            </w:pPr>
            <w:r>
              <w:rPr>
                <w:rFonts w:ascii="Arial" w:cs="Arial" w:eastAsia="Arial" w:hAnsi="Arial"/>
                <w:sz w:val="14"/>
                <w:szCs w:val="14"/>
                <w:b w:val="1"/>
                <w:bCs w:val="1"/>
                <w:color w:val="auto"/>
                <w:w w:val="97"/>
              </w:rPr>
              <w:t>September 30, 2015</w:t>
            </w: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 2016</w:t>
            </w: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w w:val="99"/>
              </w:rPr>
              <w:t>September 30, 2015</w:t>
            </w: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w:t>
            </w:r>
          </w:p>
        </w:tc>
        <w:tc>
          <w:tcPr>
            <w:tcW w:w="10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FF0FC"/>
          </w:tcPr>
          <w:p>
            <w:pPr>
              <w:spacing w:after="0"/>
              <w:rPr>
                <w:sz w:val="19"/>
                <w:szCs w:val="19"/>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259"/>
        <w:spacing w:after="0" w:line="291"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three and nine months ended September 30, 2016, the Company received $1.3 million and $3.9 million, respectively, and paid $1.0 million and $3.0 million, respectively, related to the quarterly settlements of its interest rate swaps. During the three and nine months ended September 30, 2015, the Company received $1.3 million and $3.9 million, respectively, and paid $0.9 million and $2.7 million, respectively, related to the quarterly settlements of its interest rate swaps. The net amounts of these settlements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6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As of September 30, 2016,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7"/>
          <w:szCs w:val="17"/>
          <w:color w:val="auto"/>
        </w:rPr>
        <w:t>As of September 30, 2016, the components of the carrying value of the Convertible Senior Notes and the stated interest rate were as follows:</w:t>
      </w:r>
    </w:p>
    <w:p>
      <w:pPr>
        <w:spacing w:after="0" w:line="309"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December 2019</w:t>
            </w:r>
          </w:p>
        </w:tc>
      </w:tr>
      <w:tr>
        <w:trPr>
          <w:trHeight w:val="149"/>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Convertible</w:t>
            </w:r>
          </w:p>
        </w:tc>
      </w:tr>
      <w:tr>
        <w:trPr>
          <w:trHeight w:val="17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Senior Notes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(2,077)</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(2,476)</w:t>
            </w:r>
          </w:p>
        </w:tc>
      </w:tr>
      <w:tr>
        <w:trPr>
          <w:trHeight w:val="263"/>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110,447</w:t>
            </w:r>
          </w:p>
        </w:tc>
        <w:tc>
          <w:tcPr>
            <w:tcW w:w="180" w:type="dxa"/>
            <w:vAlign w:val="bottom"/>
            <w:tcBorders>
              <w:bottom w:val="single" w:sz="8" w:color="CFF0FC"/>
            </w:tcBorders>
          </w:tcPr>
          <w:p>
            <w:pPr>
              <w:spacing w:after="0"/>
              <w:rPr>
                <w:sz w:val="22"/>
                <w:szCs w:val="22"/>
                <w:color w:val="auto"/>
              </w:rPr>
            </w:pPr>
          </w:p>
        </w:tc>
      </w:tr>
      <w:tr>
        <w:trPr>
          <w:trHeight w:val="21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bl>
    <w:p>
      <w:pPr>
        <w:spacing w:after="0" w:line="242"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is three month LIBOR plus 286 basis points. Please see Note 5 for further information about the Company’s interest rate swaps.</w:t>
      </w:r>
    </w:p>
    <w:p>
      <w:pPr>
        <w:spacing w:after="0" w:line="170"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September 30, 2016, the Company was in compliance with the terms of the Convertible Senior Notes Indenture.</w:t>
      </w:r>
    </w:p>
    <w:p>
      <w:pPr>
        <w:spacing w:after="0" w:line="154"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2016 and December 31, 2015, the Company was in compliance with the terms of its debt obligations.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left="260"/>
        <w:spacing w:after="0"/>
        <w:rPr>
          <w:sz w:val="20"/>
          <w:szCs w:val="20"/>
          <w:color w:val="auto"/>
        </w:rPr>
      </w:pPr>
      <w:r>
        <w:rPr>
          <w:rFonts w:ascii="Arial" w:cs="Arial" w:eastAsia="Arial" w:hAnsi="Arial"/>
          <w:sz w:val="16"/>
          <w:szCs w:val="16"/>
          <w:color w:val="auto"/>
        </w:rPr>
        <w:t>As of September 30, 2016 and December 31, 2015, the Company had the following commitments to fund investments in current portfolio companies: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15,385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Clarabridge, Inc. - Revolver</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CrunchTime Information Systems, Inc. - Delayed Draw</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Revolver</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12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12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MyAlarm Center, LLC - Delayed Draw</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PayLease, LLC - Revolver</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SailPoint Technologies, Inc. - Revolver</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12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Sears - ABL Revolver</w:t>
            </w:r>
          </w:p>
        </w:tc>
        <w:tc>
          <w:tcPr>
            <w:tcW w:w="12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17,913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60,580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78,646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As of September 30, 2016, the Company had additional unfunded commitments of $50.0 million to fund investments to new borrowers that were not current portfolio companies as of September 30, 2016.</w:t>
      </w:r>
    </w:p>
    <w:p>
      <w:pPr>
        <w:spacing w:after="0" w:line="62"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2016,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38" w:name="page39"/>
    <w:bookmarkEnd w:id="38"/>
    <w:p>
      <w:pPr>
        <w:ind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nine months ended September 30, 2016 and 2015.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2016</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Date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3, 2015</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December 31, 2015</w:t>
            </w:r>
          </w:p>
        </w:tc>
        <w:tc>
          <w:tcPr>
            <w:tcW w:w="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2016</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147,809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February 24, 2016</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2016</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May 2, 2016</w:t>
            </w:r>
          </w:p>
        </w:tc>
        <w:tc>
          <w:tcPr>
            <w:tcW w:w="1440" w:type="dxa"/>
            <w:vAlign w:val="bottom"/>
          </w:tcPr>
          <w:p>
            <w:pPr>
              <w:jc w:val="right"/>
              <w:spacing w:after="0"/>
              <w:rPr>
                <w:sz w:val="20"/>
                <w:szCs w:val="20"/>
                <w:color w:val="auto"/>
              </w:rPr>
            </w:pPr>
            <w:r>
              <w:rPr>
                <w:rFonts w:ascii="Arial" w:cs="Arial" w:eastAsia="Arial" w:hAnsi="Arial"/>
                <w:sz w:val="18"/>
                <w:szCs w:val="18"/>
                <w:color w:val="auto"/>
              </w:rPr>
              <w:t>186,204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4, 2016</w:t>
            </w: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June 30, 2016</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August 1, 2016</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2015</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Date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3, 2014</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December 31, 2014</w:t>
            </w:r>
          </w:p>
        </w:tc>
        <w:tc>
          <w:tcPr>
            <w:tcW w:w="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 2015</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February 24, 2015</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2015</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May 1, 2015</w:t>
            </w:r>
          </w:p>
        </w:tc>
        <w:tc>
          <w:tcPr>
            <w:tcW w:w="1440" w:type="dxa"/>
            <w:vAlign w:val="bottom"/>
          </w:tcPr>
          <w:p>
            <w:pPr>
              <w:jc w:val="right"/>
              <w:spacing w:after="0"/>
              <w:rPr>
                <w:sz w:val="20"/>
                <w:szCs w:val="20"/>
                <w:color w:val="auto"/>
              </w:rPr>
            </w:pPr>
            <w:r>
              <w:rPr>
                <w:rFonts w:ascii="Arial" w:cs="Arial" w:eastAsia="Arial" w:hAnsi="Arial"/>
                <w:sz w:val="18"/>
                <w:szCs w:val="18"/>
                <w:color w:val="auto"/>
              </w:rPr>
              <w:t>41,441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7, 2015</w:t>
            </w: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June 30, 2015</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August 3, 2015</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in accordance with the guidelines specified in Rule 10b-18 and Rule 10b5-1 of the Exchange Act.</w:t>
      </w:r>
    </w:p>
    <w:p>
      <w:pPr>
        <w:spacing w:after="0" w:line="181"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0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On August 3, 2016, the Board authorized the extension of the termination date of the Company 10b5-1 Plan to February 28, 2017. Unless extended or terminated by the Board, the Company 10b5-1 Plan will be in effect through the earlier of February 28, 2017 or such time as the current approved repurchase amount of up to $50 million has been fully utilized, subject to certain conditions.</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During the nine months ended September 30, 2016, the Company repurchased 86,081 shares under the Company 10b5-1 Plan at a weighted average price per share of $15.44, inclusive of commissions, for a total cost of $1.3 million. No shares were repurchased under the Company 10b5-1 Plan during the three months ended September 30, 2016. During each of the three and nine months ended September 30, 2015, 2,000 shares were repurchased under the Company 10b5-1 Plan at a weighted average price per share of $14.44, inclusive of commissions, for a total cost of $28.9.</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39" w:name="page40"/>
    <w:bookmarkEnd w:id="39"/>
    <w:p>
      <w:pPr>
        <w:ind w:left="280" w:hanging="272"/>
        <w:spacing w:after="0"/>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4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7"/>
              </w:rPr>
              <w:t>September 30, 2016</w:t>
            </w:r>
          </w:p>
        </w:tc>
        <w:tc>
          <w:tcPr>
            <w:tcW w:w="132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w w:val="90"/>
              </w:rPr>
              <w:t>September 30, 2015</w:t>
            </w:r>
          </w:p>
        </w:tc>
        <w:tc>
          <w:tcPr>
            <w:tcW w:w="220" w:type="dxa"/>
            <w:vAlign w:val="bottom"/>
          </w:tcPr>
          <w:p>
            <w:pPr>
              <w:spacing w:after="0"/>
              <w:rPr>
                <w:sz w:val="13"/>
                <w:szCs w:val="13"/>
                <w:color w:val="auto"/>
              </w:rPr>
            </w:pPr>
          </w:p>
        </w:tc>
        <w:tc>
          <w:tcPr>
            <w:tcW w:w="13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7"/>
              </w:rPr>
              <w:t>September 30, 2016</w:t>
            </w:r>
          </w:p>
        </w:tc>
        <w:tc>
          <w:tcPr>
            <w:tcW w:w="132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w w:val="91"/>
              </w:rPr>
              <w:t>September 30, 2015</w:t>
            </w:r>
          </w:p>
        </w:tc>
        <w:tc>
          <w:tcPr>
            <w:tcW w:w="100" w:type="dxa"/>
            <w:vAlign w:val="bottom"/>
          </w:tcPr>
          <w:p>
            <w:pPr>
              <w:spacing w:after="0"/>
              <w:rPr>
                <w:sz w:val="13"/>
                <w:szCs w:val="13"/>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6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36,875</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104,284</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59,523,695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54,017,302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58,229,549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53,969,423</w:t>
            </w:r>
          </w:p>
        </w:tc>
        <w:tc>
          <w:tcPr>
            <w:tcW w:w="100" w:type="dxa"/>
            <w:vAlign w:val="bottom"/>
          </w:tcPr>
          <w:p>
            <w:pPr>
              <w:spacing w:after="0"/>
              <w:rPr>
                <w:sz w:val="20"/>
                <w:szCs w:val="20"/>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8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purpose of calculating diluted earnings per common share, the average closing price of the Company’s common stock for the three and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nine months ended September 30, 2016 was less than the conversion price for the Convertible Senior Notes outstanding as of September 30, 2016. Therefore, for all periods presented in the financial statements, the underlying shares for the intrinsic value of the embedded options in the Convertible Senior Notes have no impact on the computation of diluted earnings per common share.</w:t>
      </w:r>
    </w:p>
    <w:p>
      <w:pPr>
        <w:spacing w:after="0" w:line="375"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dividends declared during the nine months ended September 30, 2016 and 2015:</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vMerge w:val="continue"/>
          </w:tcPr>
          <w:p>
            <w:pPr>
              <w:spacing w:after="0"/>
              <w:rPr>
                <w:sz w:val="13"/>
                <w:szCs w:val="13"/>
                <w:color w:val="auto"/>
              </w:rPr>
            </w:pPr>
          </w:p>
        </w:tc>
        <w:tc>
          <w:tcPr>
            <w:tcW w:w="184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w w:val="98"/>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2016</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2016</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29, 2016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May 4, 2016</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June 30, 2016</w:t>
            </w:r>
          </w:p>
        </w:tc>
        <w:tc>
          <w:tcPr>
            <w:tcW w:w="1560" w:type="dxa"/>
            <w:vAlign w:val="bottom"/>
          </w:tcPr>
          <w:p>
            <w:pPr>
              <w:jc w:val="right"/>
              <w:spacing w:after="0"/>
              <w:rPr>
                <w:sz w:val="20"/>
                <w:szCs w:val="20"/>
                <w:color w:val="auto"/>
              </w:rPr>
            </w:pPr>
            <w:r>
              <w:rPr>
                <w:rFonts w:ascii="Arial" w:cs="Arial" w:eastAsia="Arial" w:hAnsi="Arial"/>
                <w:sz w:val="18"/>
                <w:szCs w:val="18"/>
                <w:color w:val="auto"/>
              </w:rPr>
              <w:t>July 29, 2016</w:t>
            </w:r>
          </w:p>
        </w:tc>
        <w:tc>
          <w:tcPr>
            <w:tcW w:w="2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August 3, 2016</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September 30, 2016</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31, 2016</w:t>
            </w:r>
          </w:p>
        </w:tc>
        <w:tc>
          <w:tcPr>
            <w:tcW w:w="2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September 30, 2015</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2"/>
            <w:vMerge w:val="continue"/>
          </w:tcPr>
          <w:p>
            <w:pPr>
              <w:spacing w:after="0"/>
              <w:rPr>
                <w:sz w:val="13"/>
                <w:szCs w:val="13"/>
                <w:color w:val="auto"/>
              </w:rPr>
            </w:pPr>
          </w:p>
        </w:tc>
        <w:tc>
          <w:tcPr>
            <w:tcW w:w="184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w w:val="98"/>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2015</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2015</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30, 2015</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May 7, 2015</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June 30, 2015</w:t>
            </w:r>
          </w:p>
        </w:tc>
        <w:tc>
          <w:tcPr>
            <w:tcW w:w="1560" w:type="dxa"/>
            <w:vAlign w:val="bottom"/>
          </w:tcPr>
          <w:p>
            <w:pPr>
              <w:jc w:val="right"/>
              <w:spacing w:after="0"/>
              <w:rPr>
                <w:sz w:val="20"/>
                <w:szCs w:val="20"/>
                <w:color w:val="auto"/>
              </w:rPr>
            </w:pPr>
            <w:r>
              <w:rPr>
                <w:rFonts w:ascii="Arial" w:cs="Arial" w:eastAsia="Arial" w:hAnsi="Arial"/>
                <w:sz w:val="18"/>
                <w:szCs w:val="18"/>
                <w:color w:val="auto"/>
              </w:rPr>
              <w:t>July 31, 2015</w:t>
            </w:r>
          </w:p>
        </w:tc>
        <w:tc>
          <w:tcPr>
            <w:tcW w:w="2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August 5, 2015</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September 30, 2015</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30, 2015</w:t>
            </w:r>
          </w:p>
        </w:tc>
        <w:tc>
          <w:tcPr>
            <w:tcW w:w="2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dividends declared during the nine months ended September 30, 2016 and 2015 were derived from net investment income, determined on a tax basis.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48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nine months ended September 30, 2016 and 2015.</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Nine Months Ended</w:t>
            </w:r>
          </w:p>
        </w:tc>
        <w:tc>
          <w:tcPr>
            <w:tcW w:w="16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September 30, 2016</w:t>
            </w:r>
          </w:p>
        </w:tc>
        <w:tc>
          <w:tcPr>
            <w:tcW w:w="16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September 30,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15.15</w:t>
            </w:r>
          </w:p>
        </w:tc>
        <w:tc>
          <w:tcPr>
            <w:tcW w:w="300" w:type="dxa"/>
            <w:vAlign w:val="bottom"/>
          </w:tcPr>
          <w:p>
            <w:pPr>
              <w:spacing w:after="0"/>
              <w:rPr>
                <w:sz w:val="19"/>
                <w:szCs w:val="19"/>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realized and unrealized gain (loss)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Issuance of common stock, net of offering costs </w:t>
            </w:r>
            <w:r>
              <w:rPr>
                <w:rFonts w:ascii="Arial" w:cs="Arial" w:eastAsia="Arial" w:hAnsi="Arial"/>
                <w:sz w:val="15"/>
                <w:szCs w:val="15"/>
                <w:color w:val="auto"/>
              </w:rPr>
              <w:t>(2)</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Dividends declared from net investment income </w:t>
            </w:r>
            <w:r>
              <w:rPr>
                <w:rFonts w:ascii="Arial" w:cs="Arial" w:eastAsia="Arial" w:hAnsi="Arial"/>
                <w:sz w:val="15"/>
                <w:szCs w:val="15"/>
                <w:color w:val="auto"/>
              </w:rPr>
              <w:t>(2)</w:t>
            </w:r>
          </w:p>
        </w:tc>
        <w:tc>
          <w:tcPr>
            <w:tcW w:w="3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increase in net assets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FF0FC"/>
            </w:tcBorders>
          </w:tcPr>
          <w:p>
            <w:pPr>
              <w:ind w:left="220"/>
              <w:spacing w:after="0"/>
              <w:rPr>
                <w:sz w:val="20"/>
                <w:szCs w:val="20"/>
                <w:color w:val="auto"/>
              </w:rPr>
            </w:pPr>
            <w:r>
              <w:rPr>
                <w:rFonts w:ascii="Arial" w:cs="Arial" w:eastAsia="Arial" w:hAnsi="Arial"/>
                <w:sz w:val="18"/>
                <w:szCs w:val="18"/>
                <w:b w:val="1"/>
                <w:bCs w:val="1"/>
                <w:color w:val="auto"/>
              </w:rPr>
              <w:t>Net Asset Value, End of Period</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end of period</w:t>
            </w: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3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18.87%</w:t>
            </w:r>
          </w:p>
        </w:tc>
        <w:tc>
          <w:tcPr>
            <w:tcW w:w="3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(4)</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11.83%</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59,580,513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54,025,547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Ratio of net expenses to average net assets </w:t>
            </w:r>
            <w:r>
              <w:rPr>
                <w:rFonts w:ascii="Arial" w:cs="Arial" w:eastAsia="Arial" w:hAnsi="Arial"/>
                <w:sz w:val="15"/>
                <w:szCs w:val="15"/>
                <w:color w:val="auto"/>
              </w:rPr>
              <w:t>(6)</w:t>
            </w:r>
          </w:p>
        </w:tc>
        <w:tc>
          <w:tcPr>
            <w:tcW w:w="3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10.43%</w:t>
            </w:r>
          </w:p>
        </w:tc>
        <w:tc>
          <w:tcPr>
            <w:tcW w:w="3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13.66%</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Portfolio turnover</w:t>
            </w:r>
          </w:p>
        </w:tc>
        <w:tc>
          <w:tcPr>
            <w:tcW w:w="3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44.54%</w:t>
            </w:r>
          </w:p>
        </w:tc>
        <w:tc>
          <w:tcPr>
            <w:tcW w:w="3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940,469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843,972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20" w:right="22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20" w:right="58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20" w:right="80" w:hanging="512"/>
        <w:spacing w:after="0" w:line="281"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Excluding the effects of waivers, the ratio of net expenses to average net assets would have been 10.50% and 9.97% for the nine months ended September 30, 2016 and 2015, respectively.</w:t>
      </w:r>
    </w:p>
    <w:p>
      <w:pPr>
        <w:spacing w:after="0" w:line="2" w:lineRule="exact"/>
        <w:rPr>
          <w:rFonts w:ascii="Arial" w:cs="Arial" w:eastAsia="Arial" w:hAnsi="Arial"/>
          <w:sz w:val="16"/>
          <w:szCs w:val="16"/>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firstLine="259"/>
        <w:spacing w:after="0" w:line="286" w:lineRule="auto"/>
        <w:rPr>
          <w:sz w:val="20"/>
          <w:szCs w:val="20"/>
          <w:color w:val="auto"/>
        </w:rPr>
      </w:pPr>
      <w:r>
        <w:rPr>
          <w:rFonts w:ascii="Arial" w:cs="Arial" w:eastAsia="Arial" w:hAnsi="Arial"/>
          <w:sz w:val="17"/>
          <w:szCs w:val="17"/>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nine months ended September 30, 2016.</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180"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On August 4, 2015, our Board authorized us to enter into a new stock repurchase plan, the Company 10b5-1 Plan, to acquire up to $50 million in the aggregate of our common stock at prices just below our net asset value over a specified period, in accordance with the guidelines specified in Rule 10b-18 and Rule 10b5-1 of the Exchange Act. On August 3, 2016, our Board authorized the extension of the termination date of the Company 10b5-1 plan to February 28, 2017. Unless extended or terminated by the Board, the Company 10b5-1 Plan will be in effect through the earlier of February 28, 2017 or such time as the current approved repurchase amount of up to $50 million has been fully utilized, subject to certain conditions.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September 30, 2016, we have originated more than $5.0 billion aggregate principal amount of investments and retained approximately $3.4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right="4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2016, our core portfolio companies, which excludes certain investments that fall outside of our typical borrower profile and represent 90% of our total investments based on fair value, had weighted average annual revenue of $144.2 million and weighted average annual EBITDA of $32.9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September 30, 2016, the average investment size in each of our portfolio companies was approximately $31.6 million based on fair value.</w:t>
      </w:r>
    </w:p>
    <w:p>
      <w:pPr>
        <w:spacing w:after="0" w:line="237" w:lineRule="exact"/>
        <w:rPr>
          <w:sz w:val="20"/>
          <w:szCs w:val="20"/>
          <w:color w:val="auto"/>
        </w:rPr>
      </w:pPr>
    </w:p>
    <w:p>
      <w:pPr>
        <w:ind w:right="220" w:firstLine="259"/>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September 30, 2016, the largest single investment based on fair value represented 4.5% of our total investment portfolio.</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2016, no industry represented more than 22.8% of our total investment portfolio.</w:t>
      </w:r>
    </w:p>
    <w:p>
      <w:pPr>
        <w:spacing w:after="0" w:line="225"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September 30, 2016,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97.6% of our portfolio was invested in secured debt, including 94.4%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2016, the weighted average term on new investment commitments in new portfolio companies was 5.3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20" w:firstLine="259"/>
        <w:spacing w:after="0" w:line="28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September 30, 2016, we had call protection on 86.3% of our debt investments based on fair value, with weighted average call prices of 106.7% for the first year, 103.5% for the second year and 101.6% for the third year, in each case from the date of the initial investment. As of September 30, 2016,</w:t>
      </w:r>
    </w:p>
    <w:p>
      <w:pPr>
        <w:ind w:right="140"/>
        <w:spacing w:after="0" w:line="261" w:lineRule="auto"/>
        <w:rPr>
          <w:sz w:val="20"/>
          <w:szCs w:val="20"/>
          <w:color w:val="auto"/>
        </w:rPr>
      </w:pPr>
      <w:r>
        <w:rPr>
          <w:rFonts w:ascii="Arial" w:cs="Arial" w:eastAsia="Arial" w:hAnsi="Arial"/>
          <w:sz w:val="18"/>
          <w:szCs w:val="18"/>
          <w:color w:val="auto"/>
        </w:rPr>
        <w:t>97.9% of our debt investments based on fair value bore interest at floating rates (when including investment specific hedges), with 94.8% of these subject to interest rate floors, which we believe helps act as a portfolio-wide hedge against inflation.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right="20"/>
        <w:spacing w:after="0" w:line="279" w:lineRule="auto"/>
        <w:rPr>
          <w:sz w:val="20"/>
          <w:szCs w:val="20"/>
          <w:color w:val="auto"/>
        </w:rPr>
      </w:pPr>
      <w:r>
        <w:rPr>
          <w:rFonts w:ascii="Arial" w:cs="Arial" w:eastAsia="Arial" w:hAnsi="Arial"/>
          <w:sz w:val="17"/>
          <w:szCs w:val="17"/>
          <w:color w:val="auto"/>
        </w:rPr>
        <w:t>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or TSSP.</w:t>
      </w:r>
    </w:p>
    <w:p>
      <w:pPr>
        <w:spacing w:after="0" w:line="171"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TSSP, with approximately $18 billion of assets under management as of June 30, 2016,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150 investment and operating professionals. As of September 30, 2016, twenty eight (28) of these personnel are dedicated to our business, including twenty one (21) investment professionals.</w:t>
      </w:r>
    </w:p>
    <w:p>
      <w:pPr>
        <w:spacing w:after="0" w:line="18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September 30, 2016, 97.9% of these investments based on fair value bore interest at a floating rate (when including investment specific hedges), with 94.8% of these subject to interest rate floors. Interest on debt investments is generally payable quarterly or semiannually. Some of our investments provide for deferred interest payments or PIK interest. For the nine months ended September 30, 2016, 4.8% of our total investment income was comprised of PIK interest.</w:t>
      </w:r>
    </w:p>
    <w:p>
      <w:pPr>
        <w:spacing w:after="0" w:line="193"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have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We record prepayment premiums on loans as interest income.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80" w:hanging="255"/>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ind w:left="520" w:hanging="255"/>
        <w:spacing w:after="0" w:line="302"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right="20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As of September 30, 2016, our portfolio based on fair value consisted of 94.4% first-lien debt investments, 3.2% second-lien debt investments, 0.9% mezzanine and unsecured debt investments and 1.5% equity and other investments. As of December 31, 2015, our portfolio based on fair value consisted of 88.2% first-lien debt investments, 8.1% second-lien debt investments, 1.9% mezzanine and unsecured debt investments, and 1.8% equity and other investments.</w:t>
      </w:r>
    </w:p>
    <w:p>
      <w:pPr>
        <w:spacing w:after="0" w:line="187" w:lineRule="exact"/>
        <w:rPr>
          <w:sz w:val="20"/>
          <w:szCs w:val="20"/>
          <w:color w:val="auto"/>
        </w:rPr>
      </w:pPr>
    </w:p>
    <w:p>
      <w:pPr>
        <w:ind w:right="60" w:firstLine="259"/>
        <w:spacing w:after="0" w:line="312" w:lineRule="auto"/>
        <w:rPr>
          <w:sz w:val="20"/>
          <w:szCs w:val="20"/>
          <w:color w:val="auto"/>
        </w:rPr>
      </w:pPr>
      <w:r>
        <w:rPr>
          <w:rFonts w:ascii="Arial" w:cs="Arial" w:eastAsia="Arial" w:hAnsi="Arial"/>
          <w:sz w:val="16"/>
          <w:szCs w:val="16"/>
          <w:color w:val="auto"/>
        </w:rPr>
        <w:t>As of September 30, 2016 and December 31, 2015, our weighted average total yield of debt and income producing securities at fair value (which includes interest income and amortization of fees and discounts) was 10.3% and 10.3%, respectively, and our weighted average total yield of debt and income producing securities at amortized cost (which includes interest income and amortization of fees and discounts) was 10.3% and 10.1%, respectively.</w:t>
      </w:r>
    </w:p>
    <w:p>
      <w:pPr>
        <w:spacing w:after="0" w:line="147"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As of September 30, 2016 and December 31, 2015, we had investments in 52 and 46 portfolio companies, respectively, with an aggregate fair value of $1,643.6 million and $1,485.7 million, respectively.</w:t>
      </w:r>
    </w:p>
    <w:p>
      <w:pPr>
        <w:spacing w:after="0" w:line="170"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For the three months ended September 30, 2016, we made new investment commitments of $194.2 million in six new portfolio companies. For this period, we had $199.2 million aggregate principal amount in exits and repayments, resulting in a net portfolio decrease of $8.8 million aggregate principal amount.</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For the three months ended September 30, 2015, we made new investment commitments of $184.8 million, $160.9 million to six new portfolio companies and $23.9 million to five existing portfolio companies. For this period, we had $148.4 million aggregate principal amount in exits and repayments, resulting in a net portfolio increase of $15.8 million aggregate principal amount.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180" w:firstLine="259"/>
        <w:spacing w:after="0" w:line="277" w:lineRule="auto"/>
        <w:rPr>
          <w:sz w:val="20"/>
          <w:szCs w:val="20"/>
          <w:color w:val="auto"/>
        </w:rPr>
      </w:pPr>
      <w:r>
        <w:rPr>
          <w:rFonts w:ascii="Arial" w:cs="Arial" w:eastAsia="Arial" w:hAnsi="Arial"/>
          <w:sz w:val="18"/>
          <w:szCs w:val="18"/>
          <w:color w:val="auto"/>
        </w:rPr>
        <w:t>Our investment activity for the three months ended September 30, 2016 and 2015 is presented below (information presented herein is at par value unless otherwise indicated).</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3880" w:type="dxa"/>
            <w:vAlign w:val="bottom"/>
            <w:gridSpan w:val="6"/>
          </w:tcPr>
          <w:p>
            <w:pPr>
              <w:jc w:val="right"/>
              <w:ind w:right="1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w w:val="96"/>
              </w:rPr>
              <w:t>September 30, 2016</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w w:val="97"/>
              </w:rPr>
              <w:t>September 30, 2015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318.1</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184.8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190.4</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18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5"/>
              </w:rPr>
              <w:t>Principal amount of investments sold or repaid:</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174.9</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138.4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260" w:type="dxa"/>
            <w:vAlign w:val="bottom"/>
          </w:tcPr>
          <w:p>
            <w:pPr>
              <w:spacing w:after="0"/>
              <w:rPr>
                <w:sz w:val="19"/>
                <w:szCs w:val="19"/>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9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w:t>
            </w:r>
          </w:p>
        </w:tc>
        <w:tc>
          <w:tcPr>
            <w:tcW w:w="18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new portfolio companies</w:t>
            </w: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40"/>
              <w:spacing w:after="0"/>
              <w:rPr>
                <w:sz w:val="20"/>
                <w:szCs w:val="20"/>
                <w:color w:val="auto"/>
              </w:rPr>
            </w:pPr>
            <w:r>
              <w:rPr>
                <w:rFonts w:ascii="Arial" w:cs="Arial" w:eastAsia="Arial" w:hAnsi="Arial"/>
                <w:sz w:val="18"/>
                <w:szCs w:val="18"/>
                <w:b w:val="1"/>
                <w:bCs w:val="1"/>
                <w:color w:val="auto"/>
              </w:rPr>
              <w:t>amount in new portfolio companies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 commitments in new</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portfolio companies (in years)</w:t>
            </w: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40"/>
              <w:spacing w:after="0"/>
              <w:rPr>
                <w:sz w:val="20"/>
                <w:szCs w:val="20"/>
                <w:color w:val="auto"/>
              </w:rPr>
            </w:pPr>
            <w:r>
              <w:rPr>
                <w:rFonts w:ascii="Arial" w:cs="Arial" w:eastAsia="Arial" w:hAnsi="Arial"/>
                <w:sz w:val="18"/>
                <w:szCs w:val="18"/>
                <w:b w:val="1"/>
                <w:bCs w:val="1"/>
                <w:color w:val="auto"/>
              </w:rPr>
              <w:t>commitments at floating rates</w:t>
            </w:r>
          </w:p>
        </w:tc>
        <w:tc>
          <w:tcPr>
            <w:tcW w:w="18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1"/>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at fixed rates</w:t>
            </w:r>
          </w:p>
        </w:tc>
        <w:tc>
          <w:tcPr>
            <w:tcW w:w="18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8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1"/>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floating rate investment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w:t>
            </w:r>
          </w:p>
        </w:tc>
        <w:tc>
          <w:tcPr>
            <w:tcW w:w="18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40"/>
              <w:spacing w:after="0"/>
              <w:rPr>
                <w:sz w:val="20"/>
                <w:szCs w:val="20"/>
                <w:color w:val="auto"/>
              </w:rPr>
            </w:pPr>
            <w:r>
              <w:rPr>
                <w:rFonts w:ascii="Arial" w:cs="Arial" w:eastAsia="Arial" w:hAnsi="Arial"/>
                <w:sz w:val="18"/>
                <w:szCs w:val="18"/>
                <w:b w:val="1"/>
                <w:bCs w:val="1"/>
                <w:color w:val="auto"/>
              </w:rPr>
              <w:t>investments sold or paid down</w:t>
            </w:r>
          </w:p>
        </w:tc>
        <w:tc>
          <w:tcPr>
            <w:tcW w:w="18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2016 and December 31, 2015,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gridSpan w:val="2"/>
            <w:vMerge w:val="restart"/>
          </w:tcPr>
          <w:p>
            <w:pPr>
              <w:ind w:left="580"/>
              <w:spacing w:after="0"/>
              <w:rPr>
                <w:sz w:val="20"/>
                <w:szCs w:val="20"/>
                <w:color w:val="auto"/>
              </w:rPr>
            </w:pPr>
            <w:r>
              <w:rPr>
                <w:rFonts w:ascii="Arial" w:cs="Arial" w:eastAsia="Arial" w:hAnsi="Arial"/>
                <w:sz w:val="14"/>
                <w:szCs w:val="14"/>
                <w:color w:val="auto"/>
              </w:rPr>
              <w:t>($ in millions)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September 30, 2016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2015</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34"/>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8" w:name="page49"/>
    <w:bookmarkEnd w:id="48"/>
    <w:p>
      <w:pPr>
        <w:ind w:right="140" w:firstLine="259"/>
        <w:spacing w:after="0" w:line="277" w:lineRule="auto"/>
        <w:rPr>
          <w:sz w:val="20"/>
          <w:szCs w:val="20"/>
          <w:color w:val="auto"/>
        </w:rPr>
      </w:pPr>
      <w:r>
        <w:rPr>
          <w:rFonts w:ascii="Arial" w:cs="Arial" w:eastAsia="Arial" w:hAnsi="Arial"/>
          <w:sz w:val="18"/>
          <w:szCs w:val="18"/>
          <w:color w:val="auto"/>
        </w:rPr>
        <w:t>The following tables show the fair value and amortized cost of our performing and non-accrual investments as of September 30, 2016 and December 31, 2015:</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1,635.7</w:t>
            </w:r>
          </w:p>
        </w:tc>
        <w:tc>
          <w:tcPr>
            <w:tcW w:w="280" w:type="dxa"/>
            <w:vAlign w:val="bottom"/>
            <w:shd w:val="clear" w:color="auto" w:fill="CFF0FC"/>
          </w:tcPr>
          <w:p>
            <w:pPr>
              <w:spacing w:after="0"/>
              <w:rPr>
                <w:sz w:val="19"/>
                <w:szCs w:val="19"/>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2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9"/>
                <w:szCs w:val="19"/>
                <w:color w:val="auto"/>
              </w:rPr>
            </w:pPr>
          </w:p>
        </w:tc>
        <w:tc>
          <w:tcPr>
            <w:tcW w:w="1460" w:type="dxa"/>
            <w:vAlign w:val="bottom"/>
            <w:gridSpan w:val="2"/>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vMerge w:val="restart"/>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1,643.6</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7"/>
              <w:spacing w:after="0"/>
              <w:rPr>
                <w:sz w:val="20"/>
                <w:szCs w:val="20"/>
                <w:color w:val="auto"/>
              </w:rPr>
            </w:pPr>
            <w:r>
              <w:rPr>
                <w:rFonts w:ascii="Arial" w:cs="Arial" w:eastAsia="Arial" w:hAnsi="Arial"/>
                <w:sz w:val="18"/>
                <w:szCs w:val="18"/>
                <w:color w:val="auto"/>
              </w:rPr>
              <w:t>100.0%</w:t>
            </w:r>
          </w:p>
        </w:tc>
        <w:tc>
          <w:tcPr>
            <w:tcW w:w="100" w:type="dxa"/>
            <w:vAlign w:val="bottom"/>
            <w:vMerge w:val="continue"/>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1,655.0</w:t>
            </w:r>
          </w:p>
        </w:tc>
        <w:tc>
          <w:tcPr>
            <w:tcW w:w="280" w:type="dxa"/>
            <w:vAlign w:val="bottom"/>
            <w:shd w:val="clear" w:color="auto" w:fill="CFF0FC"/>
          </w:tcPr>
          <w:p>
            <w:pPr>
              <w:spacing w:after="0"/>
              <w:rPr>
                <w:sz w:val="19"/>
                <w:szCs w:val="19"/>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FF0FC"/>
          </w:tcPr>
          <w:p>
            <w:pPr>
              <w:jc w:val="right"/>
              <w:ind w:right="37"/>
              <w:spacing w:after="0"/>
              <w:rPr>
                <w:sz w:val="20"/>
                <w:szCs w:val="20"/>
                <w:color w:val="auto"/>
              </w:rPr>
            </w:pPr>
            <w:r>
              <w:rPr>
                <w:rFonts w:ascii="Arial" w:cs="Arial" w:eastAsia="Arial" w:hAnsi="Arial"/>
                <w:sz w:val="15"/>
                <w:szCs w:val="15"/>
                <w:color w:val="auto"/>
                <w:w w:val="74"/>
              </w:rPr>
              <w:t>%</w:t>
            </w:r>
          </w:p>
        </w:tc>
        <w:tc>
          <w:tcPr>
            <w:tcW w:w="10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1460" w:type="dxa"/>
            <w:vAlign w:val="bottom"/>
            <w:gridSpan w:val="2"/>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vMerge w:val="restart"/>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1,665.9</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vMerge w:val="continue"/>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20" w:hanging="512"/>
        <w:spacing w:after="0" w:line="276"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6"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September 30, 2016 and December 31, 2015 were as follows: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September 30, 2016</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December 31, 2015</w:t>
            </w:r>
          </w:p>
        </w:tc>
      </w:tr>
      <w:tr>
        <w:trPr>
          <w:trHeight w:val="209"/>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producing securities</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investments</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2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ind w:left="520" w:right="2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73" w:lineRule="exact"/>
        <w:rPr>
          <w:rFonts w:ascii="Arial" w:cs="Arial" w:eastAsia="Arial" w:hAnsi="Arial"/>
          <w:sz w:val="18"/>
          <w:szCs w:val="18"/>
          <w:color w:val="auto"/>
        </w:rPr>
      </w:pPr>
    </w:p>
    <w:p>
      <w:pPr>
        <w:ind w:left="520" w:right="26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49" w:name="page50"/>
    <w:bookmarkEnd w:id="49"/>
    <w:p>
      <w:pPr>
        <w:ind w:left="520" w:right="40" w:hanging="255"/>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73" w:lineRule="exact"/>
        <w:rPr>
          <w:rFonts w:ascii="Arial" w:cs="Arial" w:eastAsia="Arial" w:hAnsi="Arial"/>
          <w:sz w:val="18"/>
          <w:szCs w:val="18"/>
          <w:color w:val="auto"/>
        </w:rPr>
      </w:pPr>
    </w:p>
    <w:p>
      <w:pPr>
        <w:ind w:left="520" w:right="260" w:hanging="255"/>
        <w:spacing w:after="0" w:line="276"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4" w:lineRule="exact"/>
        <w:rPr>
          <w:rFonts w:ascii="Arial" w:cs="Arial" w:eastAsia="Arial" w:hAnsi="Arial"/>
          <w:sz w:val="17"/>
          <w:szCs w:val="17"/>
          <w:color w:val="auto"/>
        </w:rPr>
      </w:pPr>
    </w:p>
    <w:p>
      <w:pPr>
        <w:ind w:left="520" w:right="160" w:hanging="255"/>
        <w:spacing w:after="0" w:line="259"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September 30, 2016 and December 31, 2015. Investment performance ratings are accurate only as of those dates and may change due to subsequent developments relating to a portfolio company’s business or financial condition, market conditions or developments, and other factors.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2016</w:t>
            </w: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5"/>
              </w:rPr>
              <w:t>December 31, 2015</w:t>
            </w:r>
          </w:p>
        </w:tc>
        <w:tc>
          <w:tcPr>
            <w:tcW w:w="1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left="128"/>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gridSpan w:val="4"/>
          </w:tcPr>
          <w:p>
            <w:pPr>
              <w:jc w:val="center"/>
              <w:ind w:right="76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Performance</w:t>
            </w:r>
          </w:p>
        </w:tc>
        <w:tc>
          <w:tcPr>
            <w:tcW w:w="340" w:type="dxa"/>
            <w:vAlign w:val="bottom"/>
          </w:tcPr>
          <w:p>
            <w:pPr>
              <w:spacing w:after="0"/>
              <w:rPr>
                <w:sz w:val="14"/>
                <w:szCs w:val="14"/>
                <w:color w:val="auto"/>
              </w:rPr>
            </w:pP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Fair Value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left="408"/>
              <w:spacing w:after="0"/>
              <w:rPr>
                <w:sz w:val="20"/>
                <w:szCs w:val="20"/>
                <w:color w:val="auto"/>
              </w:rPr>
            </w:pPr>
            <w:r>
              <w:rPr>
                <w:rFonts w:ascii="Arial" w:cs="Arial" w:eastAsia="Arial" w:hAnsi="Arial"/>
                <w:sz w:val="14"/>
                <w:szCs w:val="14"/>
                <w:b w:val="1"/>
                <w:bCs w:val="1"/>
                <w:color w:val="auto"/>
                <w:w w:val="90"/>
              </w:rPr>
              <w:t>Percentage of</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5"/>
              </w:rPr>
              <w:t>Fair Value</w:t>
            </w: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3"/>
              </w:rPr>
              <w:t>($ in millions)</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2"/>
              </w:rPr>
              <w:t>Total Portfolio</w:t>
            </w: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Total Portfolio</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1,160.6</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70.6%</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1,078.3</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2040" w:type="dxa"/>
            <w:vAlign w:val="bottom"/>
          </w:tcPr>
          <w:p>
            <w:pPr>
              <w:jc w:val="right"/>
              <w:ind w:right="836"/>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363.0</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jc w:val="right"/>
              <w:ind w:right="836"/>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00" w:type="dxa"/>
            <w:vAlign w:val="bottom"/>
            <w:gridSpan w:val="3"/>
          </w:tcPr>
          <w:p>
            <w:pPr>
              <w:jc w:val="right"/>
              <w:ind w:right="1688"/>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1,643.6</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1,485.7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nine months ended September 30, 2016 and 2015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44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940" w:type="dxa"/>
            <w:vAlign w:val="bottom"/>
          </w:tcPr>
          <w:p>
            <w:pPr>
              <w:spacing w:after="0"/>
              <w:rPr>
                <w:sz w:val="14"/>
                <w:szCs w:val="14"/>
                <w:color w:val="auto"/>
              </w:rPr>
            </w:pPr>
          </w:p>
        </w:tc>
        <w:tc>
          <w:tcPr>
            <w:tcW w:w="24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Nine Months Ended 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44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9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Net increase in net assets resulting from</w:t>
            </w:r>
          </w:p>
        </w:tc>
        <w:tc>
          <w:tcPr>
            <w:tcW w:w="9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b w:val="1"/>
                <w:bCs w:val="1"/>
                <w:color w:val="auto"/>
              </w:rPr>
              <w:t>operations</w:t>
            </w:r>
          </w:p>
        </w:tc>
        <w:tc>
          <w:tcPr>
            <w:tcW w:w="11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104.3</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44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4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8"/>
                <w:szCs w:val="18"/>
                <w:color w:val="auto"/>
              </w:rPr>
              <w:t>50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060" w:type="dxa"/>
            <w:vAlign w:val="bottom"/>
            <w:tcBorders>
              <w:bottom w:val="single" w:sz="8" w:color="CFF0FC"/>
            </w:tcBorders>
            <w:vMerge w:val="continue"/>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Dividend income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9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$45.5 million for the three months ended September 30, 2015 to $46.6 million for the three months ended September 30, 2016. The average size of our investment portfolio increased from $1.4 billion during the three months ended September 30, 2015 to $1.6 billion during the three months ended September 30, 2016. Accelerated amortization of upfront fees primarily from unscheduled paydowns decreased from $3.8 million for the three months ended September 30, 2015 to $2.5 million for the three months ended September 30, 2016. Prepayment fees were $5.3 million for the three months ended September 30, 2015. There were no prepayment fees for the three months ended September 30, 2016. The accelerated amortization and prepayment fees primarily resulted from full paydowns on four portfolio investments and earning a prepayment fee on one existing portfolio investment during the three months ended September 30, 2015 and from full paydowns on three portfolio investments and a partial paydown on one existing portfolio investment during the three months ended September 30, 2016. Dividend income for each of the three months ended September 30, 2016 and September 30, 2015 was $0.5 million. Other income increased from $0.8 million for the three months ended September 30, 2015 to $6.8 million for the three months ended September 30, 2016, primarily due to higher syndication, amendment and other fees earned during the third quarter of 2016.</w:t>
      </w:r>
    </w:p>
    <w:p>
      <w:pPr>
        <w:spacing w:after="0" w:line="183"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$124.5 million for the nine months ended September 30, 2015 to $132.2 million for the nine months ended September 30, 2016, primarily due to the increase in the size of our portfolio. The average size of our total investment portfolio increased from $1.3 billion during the nine months ended September 30, 2015 to $1.6 billion during the nine months ended September 30, 2016. In addition, accelerated amortization of upfront fees primarily from unscheduled paydowns decreased from $5.7 million for the nine months ended September 30, 2015 to $4.4 million for the nine months ended September 30, 2016. Prepayment fees decreased from $15.1 million for the nine months ended September 30, 2015 to $2.1 million for the nine months ended September 30, 2016. The accelerated amortization and prepayment fees primarily resulted from full paydowns on seven portfolio investments, a partial paydown on one portfolio investment and earning prepayment fees on two existing portfolio investments during the nine months ended September 30, 2015 and from full paydowns on five portfolio investments and partial paydowns on two portfolio investments during the nine months ended September 30, 2016. Dividend income increased from $0.5 million for the nine months ended September 30, 2015 to $1.4 million for the nine months ended September 30, 2016. Other income increased from $4.9 million for the nine months ended September 30, 2015 to $9.1 million for the nine months ended September 30, 2016, primarily due to higher syndication, amendment and other fees earned during the third quarter of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nine months ended September 30, 2016 and 2015 were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540" w:type="dxa"/>
            <w:vAlign w:val="bottom"/>
          </w:tcPr>
          <w:p>
            <w:pPr>
              <w:spacing w:after="0"/>
              <w:rPr>
                <w:sz w:val="14"/>
                <w:szCs w:val="14"/>
                <w:color w:val="auto"/>
              </w:rPr>
            </w:pPr>
          </w:p>
        </w:tc>
        <w:tc>
          <w:tcPr>
            <w:tcW w:w="24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620" w:type="dxa"/>
            <w:vAlign w:val="bottom"/>
            <w:tcBorders>
              <w:bottom w:val="single" w:sz="8" w:color="CFF0FC"/>
            </w:tcBorders>
            <w:vMerge w:val="continue"/>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Directors fees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Interest expense, including other debt financing expenses, decreased from $8.0 million for the three months ended September 30, 2015 to $6.1 million for the three months ended September 30, 2016. This decrease was primarily due to a decrease in loan origination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color w:val="auto"/>
        </w:rPr>
        <w:t>expenses from the termination of the TPG SL SPV facility on September 25, 2015. The average interest rate on our debt outstanding was 2.6% for the three months ended September 30, 2015 and 2.7% for the three months ended September 30, 2016.</w:t>
      </w:r>
    </w:p>
    <w:p>
      <w:pPr>
        <w:spacing w:after="0" w:line="170" w:lineRule="exact"/>
        <w:rPr>
          <w:sz w:val="20"/>
          <w:szCs w:val="20"/>
          <w:color w:val="auto"/>
        </w:rPr>
      </w:pPr>
    </w:p>
    <w:p>
      <w:pPr>
        <w:ind w:right="240" w:firstLine="259"/>
        <w:spacing w:after="0" w:line="279" w:lineRule="auto"/>
        <w:rPr>
          <w:sz w:val="20"/>
          <w:szCs w:val="20"/>
          <w:color w:val="auto"/>
        </w:rPr>
      </w:pPr>
      <w:r>
        <w:rPr>
          <w:rFonts w:ascii="Arial" w:cs="Arial" w:eastAsia="Arial" w:hAnsi="Arial"/>
          <w:sz w:val="17"/>
          <w:szCs w:val="17"/>
          <w:color w:val="auto"/>
        </w:rPr>
        <w:t>Interest expense, including other debt financing expenses, increased from $16.9 million for the nine months ended September 30, 2015 to $17.0 million for the nine months ended September 30, 2016. This increase was primarily due to an increase in the average debt outstanding from $503.9 million for the nine months ended September 30, 2015 to $715.3 million for the nine months ended September 30, 2016. The average stated interest rate on our debt outstanding was 2.6% for each of the nine months ended September 30, 2015 and the nine months ended September 30, 2016.</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Management Fees (net of waivers) increased from $5.4 million for the three months ended September 30, 2015 to $6.2 million for the three months ended September 30, 2016. Management Fees increased from $5.5 million for the three months ended September 30, 2015 to $6.2 million for the three months ended September 30, 2016 due to the increase in total assets, which increased from an average of $1.4 billion for the three months ended September 30, 2015 to an average of $1.6 billion for the three months ended September 30, 2016. Management Fees waived increased from $20.7 for the three months ended September 30, 2015 to $66.5 for the three months ended September 30, 2016, in each case consisting solely of Management Fees attributable to our ownership of shares of the TICC Shares.</w:t>
      </w:r>
    </w:p>
    <w:p>
      <w:pPr>
        <w:spacing w:after="0" w:line="193" w:lineRule="exact"/>
        <w:rPr>
          <w:sz w:val="20"/>
          <w:szCs w:val="20"/>
          <w:color w:val="auto"/>
        </w:rPr>
      </w:pPr>
    </w:p>
    <w:p>
      <w:pPr>
        <w:ind w:right="240" w:firstLine="259"/>
        <w:spacing w:after="0" w:line="273" w:lineRule="auto"/>
        <w:rPr>
          <w:sz w:val="20"/>
          <w:szCs w:val="20"/>
          <w:color w:val="auto"/>
        </w:rPr>
      </w:pPr>
      <w:r>
        <w:rPr>
          <w:rFonts w:ascii="Arial" w:cs="Arial" w:eastAsia="Arial" w:hAnsi="Arial"/>
          <w:sz w:val="17"/>
          <w:szCs w:val="17"/>
          <w:color w:val="auto"/>
        </w:rPr>
        <w:t>Management Fees (net of waivers) increased from $15.6 million for the nine months ended September 30, 2015 to $17.9 million for the nine months ended September 30, 2016. Management Fees increased from $15.7 million for the nine months ended September 30, 2015 to $18.0 million for the nine months ended September 30, 2016 due to the increase in total assets, which increased from an average of $1.4 billion for the nine months ended September 30, 2015 to an average of $1.6 billion for the nine months ended September 30, 2016. Management Fees waived increased from $20.7 for the nine months ended September 30, 2015, to $97.2 for the nine months ended September 30, 2016, in each case consisting solely of Management Fees attributable to our ownership of shares of common stock in TICC Capital Corp., or the TICC Shares.</w:t>
      </w:r>
    </w:p>
    <w:p>
      <w:pPr>
        <w:spacing w:after="0" w:line="17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Adviser has voluntarily waived the Management Fee on our ownership of the TICC Shares for any period in which TICC Capital Corp. remains our portfolio company.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There can be no assurance that the Adviser will continue to waive Management Fees related to the TICC Shares, as the Adviser can discontinue the voluntary waiver at any time. Accordingly, we may be required to pay the full amount of the Management Fee, including with respect to the TICC Shares, in future periods.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Incentive Fees (net of waivers) related to pre-Incentive Fee net investment income increased from $5.0 million for the three months ended September 30, 2015 to $6.4 million for the three months ended September 30, 2016. This increase resulted from the increase in the size of the portfolio and related increase in net investment income, including an increase in syndication, amendment, and other fees. Incentive Fees related to pre-Incentive Fee net investment income of $82.9 were waived for each of the three months ended September 30, 2015 and September 30, 2016, consisting solely of Incentive Fees attributable to our ownership of the TICC Shares. Incentive Fees related to capital gains and losses were $(2.0) million for the three months ended September 30, 2015. There were no Incentive Fees related to capital gains and losses for the three months ended September 30, 2016 due to unrealized losses on our investments.</w:t>
      </w:r>
    </w:p>
    <w:p>
      <w:pPr>
        <w:spacing w:after="0" w:line="165"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Incentive Fees (net of waivers) related to pre-Incentive Fee net investment income increased from $15.1 million for the nine months ended September 30, 2015 to $16.5 million for the nine months ended September 30, 2016. This increase resulted from the increase in the size of the portfolio and related increase in net investment income, including an increase in syndication, amendment, and other fees. Incentive Fees related to pre-Incentive Fee net investment income waived, consisting solely of Incentive Fees attributable to our ownership of the TICC Shares, increased from $82.9 for the nine months ended September 30, 2015 to $248.7 for the nine months ended September 30, 2016. This increase resulted from the continued ownership of the TICC Shares that began August 5, 2015. There were no Incentive Fees related to capital gains and losses for the nine months ended September 30, 2015 or September 30, 2016 due to cumulative unrealized losses on our investments.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right="60"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will be applied towards our cumulative realized capital gains on which the Incentive Fee related to capital gains and losses is calculated.</w:t>
      </w:r>
    </w:p>
    <w:p>
      <w:pPr>
        <w:spacing w:after="0" w:line="188"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pay the full amount of the Incentive Fee, including with respect to the TICC Shares, in future periods.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Professional fees increased from $2.4 million for the three months ended September 30, 2015 to $3.0 million for the three months ended September 30, 2016 due to an increase in costs associated with servicing a growing investment portfolio and as a result of our corporate actions with respect to our investment in the TICC Shares. Other general and administrative fees decreased from $1.6 million for the three months ended September 30, 2015 to $0.8 million for the three months ended September 30, 2016.</w:t>
      </w:r>
    </w:p>
    <w:p>
      <w:pPr>
        <w:spacing w:after="0" w:line="187" w:lineRule="exact"/>
        <w:rPr>
          <w:sz w:val="20"/>
          <w:szCs w:val="20"/>
          <w:color w:val="auto"/>
        </w:rPr>
      </w:pPr>
    </w:p>
    <w:p>
      <w:pPr>
        <w:ind w:right="300" w:firstLine="259"/>
        <w:spacing w:after="0" w:line="259" w:lineRule="auto"/>
        <w:rPr>
          <w:sz w:val="20"/>
          <w:szCs w:val="20"/>
          <w:color w:val="auto"/>
        </w:rPr>
      </w:pPr>
      <w:r>
        <w:rPr>
          <w:rFonts w:ascii="Arial" w:cs="Arial" w:eastAsia="Arial" w:hAnsi="Arial"/>
          <w:sz w:val="18"/>
          <w:szCs w:val="18"/>
          <w:color w:val="auto"/>
        </w:rPr>
        <w:t>Professional fees increased from $4.9 million for the nine months ended September 30, 2015 to $6.9 million for the nine months ended September 30, 2016 due to an increase in costs associated with servicing a growing investment portfolio and as a result of our corporate actions with respect to our investment in the TICC Shares. Other general and administrative fees decreased from $4.1 million for the nine months ended September 30, 2015 to $3.2 million for the nine months ended September 30,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For the three months ended September 30, 2016 and 2015, we recorded an expense of $0.7 million and $0.5 million, respectively, for U.S. federal excise tax. For the nine months ended September 30, 2016 and 2015, we recorded an expense of $1.6 million and $1.3 million, respectively, for U.S. federal excise tax.</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our net realized and unrealized gains (losses) for the three and nine months ended September 30, 2016 and 2015:</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760" w:type="dxa"/>
            <w:vAlign w:val="bottom"/>
          </w:tcPr>
          <w:p>
            <w:pPr>
              <w:spacing w:after="0"/>
              <w:rPr>
                <w:sz w:val="14"/>
                <w:szCs w:val="14"/>
                <w:color w:val="auto"/>
              </w:rPr>
            </w:pPr>
          </w:p>
        </w:tc>
        <w:tc>
          <w:tcPr>
            <w:tcW w:w="240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80" w:type="dxa"/>
            <w:vAlign w:val="bottom"/>
          </w:tcPr>
          <w:p>
            <w:pPr>
              <w:spacing w:after="0"/>
              <w:rPr>
                <w:sz w:val="14"/>
                <w:szCs w:val="14"/>
                <w:color w:val="auto"/>
              </w:rPr>
            </w:pPr>
          </w:p>
        </w:tc>
        <w:tc>
          <w:tcPr>
            <w:tcW w:w="25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450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7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transactions</w:t>
            </w: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realized losses on foreign currency investments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on foreign currency borrowings</w:t>
            </w:r>
          </w:p>
        </w:tc>
        <w:tc>
          <w:tcPr>
            <w:tcW w:w="7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realized gains (losses)</w:t>
            </w:r>
          </w:p>
        </w:tc>
        <w:tc>
          <w:tcPr>
            <w:tcW w:w="76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2"/>
                <w:szCs w:val="2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Change in unrealized gains on investments</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2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losses on investments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5"/>
        </w:trPr>
        <w:tc>
          <w:tcPr>
            <w:tcW w:w="45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Change in Unrealized Gains (Losses)</w:t>
            </w:r>
          </w:p>
        </w:tc>
        <w:tc>
          <w:tcPr>
            <w:tcW w:w="7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480" w:type="dxa"/>
            <w:vAlign w:val="bottom"/>
          </w:tcPr>
          <w:p>
            <w:pPr>
              <w:ind w:left="120"/>
              <w:spacing w:after="0"/>
              <w:rPr>
                <w:sz w:val="20"/>
                <w:szCs w:val="20"/>
                <w:color w:val="auto"/>
              </w:rPr>
            </w:pPr>
            <w:r>
              <w:rPr>
                <w:rFonts w:ascii="Arial" w:cs="Arial" w:eastAsia="Arial" w:hAnsi="Arial"/>
                <w:sz w:val="18"/>
                <w:szCs w:val="18"/>
                <w:b w:val="1"/>
                <w:bCs w:val="1"/>
                <w:color w:val="auto"/>
              </w:rPr>
              <w:t>on Investments</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3"/>
                <w:szCs w:val="23"/>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32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23"/>
                <w:szCs w:val="2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Unrealized appreciation (depreciation) on foreign</w:t>
            </w: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borrowings</w:t>
            </w:r>
          </w:p>
        </w:tc>
        <w:tc>
          <w:tcPr>
            <w:tcW w:w="9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Unrealized appreciation (depreciation) 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foreign currency cash and forward contracts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(depreciation) on</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Change in Unrealized Gains (Losses)</w:t>
            </w:r>
          </w:p>
        </w:tc>
        <w:tc>
          <w:tcPr>
            <w:tcW w:w="7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b w:val="1"/>
                <w:bCs w:val="1"/>
                <w:color w:val="auto"/>
              </w:rPr>
              <w:t>on Foreign Currency Transactions and Interest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480" w:type="dxa"/>
            <w:vAlign w:val="bottom"/>
          </w:tcPr>
          <w:p>
            <w:pPr>
              <w:ind w:left="120"/>
              <w:spacing w:after="0"/>
              <w:rPr>
                <w:sz w:val="20"/>
                <w:szCs w:val="20"/>
                <w:color w:val="auto"/>
              </w:rPr>
            </w:pPr>
            <w:r>
              <w:rPr>
                <w:rFonts w:ascii="Arial" w:cs="Arial" w:eastAsia="Arial" w:hAnsi="Arial"/>
                <w:sz w:val="18"/>
                <w:szCs w:val="18"/>
                <w:b w:val="1"/>
                <w:bCs w:val="1"/>
                <w:color w:val="auto"/>
              </w:rPr>
              <w:t>Rate Swaps</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32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3"/>
                <w:szCs w:val="2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7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For the three and nine months ended September 30, 2016, we had net realized gains on investments of $1.4 million and $1.9 million, respectively. For the three and nine months ended September 30, 2016, we did not have realized gains or losses on interest rate swaps. For the three and nine months ended September 30, 2016, we had net realized gains of $0.1 million and net realized losses of less than $0.1 million, respectively, on foreign currency transactions, primarily as a result of translating currency related to our investments denominated in foreign currencies. For the three and nine months ended September 30, 2016, we had net realized losses of $1.8 million and $2.0 million, respectively, on foreign currency investments. For the three and nine months ended September 30, 2016, we had net realized gains of $1.6 million and $2.0 million, respectively, on foreign currency borrowings.</w:t>
      </w:r>
    </w:p>
    <w:p>
      <w:pPr>
        <w:spacing w:after="0" w:line="165"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For the three months ended September 30, 2016 we had $18.2 million in unrealized appreciation on 42 portfolio company investments, which was offset by $11.4 million in unrealized depreciation on 14 portfolio company investments. For the nine months ended September 30, 2016 we had $36.7 million in unrealized appreciation on 43 portfolio company investments, which was offset by $15.2 million in unrealized depreciation on 14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93"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For the three and nine months ended September 30, 2016, we had unrealized depreciation of $1.4 million and unrealized appreciation of $0.5 million, respectively, on foreign currency borrowings as a result of fluctuations in the GBP, SEK and EUR exchange rates. For the three and nine months ended September 30, 2016, we had unrealized appreciation of less than $0.1 million and unrealized depreciation of less than $0.1 million, respectively, on foreign currency cash and forward contracts. For the three and nine months ended September 30, 2016, we had unrealized depreciation of $0.5 million and unrealized appreciation $1.1 million, respectively, on interest rate swaps due to fluctuations in interest rates.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4" w:name="page55"/>
    <w:bookmarkEnd w:id="54"/>
    <w:p>
      <w:pPr>
        <w:ind w:left="260"/>
        <w:spacing w:after="0"/>
        <w:rPr>
          <w:sz w:val="20"/>
          <w:szCs w:val="20"/>
          <w:color w:val="auto"/>
        </w:rPr>
      </w:pPr>
      <w:r>
        <w:rPr>
          <w:rFonts w:ascii="Arial" w:cs="Arial" w:eastAsia="Arial" w:hAnsi="Arial"/>
          <w:sz w:val="17"/>
          <w:szCs w:val="17"/>
          <w:color w:val="auto"/>
        </w:rPr>
        <w:t>For the three and nine months ended September 30, 2015, we had net realized losses on investments of $5.0 million and $5.0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primarily related to two portfolio companies. For the nine months ended September 30, 2015, we had net realized gains on interest rate swaps of $1.9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realized gains or losses on interest rate swaps for the three months ended September 30, 2015. For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2015, we had net realized gains on foreign currency transactions of less than $0.1 million and net realized losses on foreign currency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of $0.2 million, respectively, primarily from translating currency related to our investments denominated in foreign currencies. For the three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2015, we had net realized foreign currency losses on investments denominated in foreign currencies of $0.1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respectively. For the three and nine months ended September 30, 2015, we had net realized foreign currency gains on borrowings of $0.1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$0.3 million, respectively.</w:t>
      </w:r>
    </w:p>
    <w:p>
      <w:pPr>
        <w:spacing w:after="0" w:line="211" w:lineRule="exact"/>
        <w:rPr>
          <w:sz w:val="20"/>
          <w:szCs w:val="20"/>
          <w:color w:val="auto"/>
        </w:rPr>
      </w:pPr>
    </w:p>
    <w:p>
      <w:pPr>
        <w:ind w:right="220" w:firstLine="259"/>
        <w:spacing w:after="0" w:line="293" w:lineRule="auto"/>
        <w:rPr>
          <w:sz w:val="20"/>
          <w:szCs w:val="20"/>
          <w:color w:val="auto"/>
        </w:rPr>
      </w:pPr>
      <w:r>
        <w:rPr>
          <w:rFonts w:ascii="Arial" w:cs="Arial" w:eastAsia="Arial" w:hAnsi="Arial"/>
          <w:sz w:val="16"/>
          <w:szCs w:val="16"/>
          <w:color w:val="auto"/>
        </w:rPr>
        <w:t>For the three months ended September 30, 2015, we had $7.1 million in unrealized appreciation on seven portfolio company investments, which was offset by $21.7 million in unrealized depreciation on 33 portfolio company investments. For the nine months ended September 30, 2015, we had $12.2 million in unrealized appreciation on 16 portfolio company investments, which was offset by $17.8 million in unrealized depreciation on 26 portfolio company investments. Unrealized appreciation for the three and nine months ended September 30, 2015 resulted from an increase in fair market value, primarily due to positive valuation adjustments in the portfolio. Unrealized depreciation for the three and nine months ended September 30, 2015 primarily resulted from widening in credit spreads, the reversal of prior period unrealized appreciation and in some instances negative credit-related adjustments.</w:t>
      </w:r>
    </w:p>
    <w:p>
      <w:pPr>
        <w:spacing w:after="0" w:line="165"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For the three and nine months ended September 30, 2015, we had unrealized appreciation of $1.3 million and $4.5 million, respectively, on the translation of foreign currency borrowings, primarily as a result of fluctuations in the GBP, SEK and EUR exchange rates. For the three and nine months ended September 30, 2015, we had unrealized depreciation on foreign currency cash and forward contracts of $0.1 million and less than $0.1 million, respectively. For the three and nine months ended September 30, 2015, we had unrealized appreciation on interest rate swaps of $1.9 million and $0.7 million,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jc w:val="both"/>
        <w:ind w:right="60" w:firstLine="259"/>
        <w:spacing w:after="0" w:line="286" w:lineRule="auto"/>
        <w:rPr>
          <w:sz w:val="20"/>
          <w:szCs w:val="20"/>
          <w:color w:val="auto"/>
        </w:rPr>
      </w:pPr>
      <w:r>
        <w:rPr>
          <w:rFonts w:ascii="Arial" w:cs="Arial" w:eastAsia="Arial" w:hAnsi="Arial"/>
          <w:sz w:val="17"/>
          <w:szCs w:val="17"/>
          <w:color w:val="auto"/>
        </w:rPr>
        <w:t>Since we began investing in 2011 through September 30, 2016, our exited investments have resulted in an aggregate cash flow realized gross internal rate of return to us of 15.6% (based on cash invested of $1.5 billion and total proceeds from these exited investments of $1.9 billion). Ninety two percent of these exited investments resulted in an aggregate cash flow realized gross internal rate of return to us of 10% or greater.</w:t>
      </w:r>
    </w:p>
    <w:p>
      <w:pPr>
        <w:spacing w:after="0" w:line="166"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8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necessary local currency under our Revolving Credit Facility to fund these investments. For the three and nine months ended September 30, 2016, we had an unrealized loss of $1.4 million and an unrealized gain of $0.5 million,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2016. See Note 2 for additional disclosure regarding our accounting for foreign currency. See Note 7 for additional disclosure regarding the amounts of outstanding debt denominated in each foreign currency at September 30, 2016. See our consolidated schedule of investments for additional disclosure regarding the foreign currency amounts (in both par and fair value) of our non-U.S. dollar denominated investments.</w:t>
      </w:r>
    </w:p>
    <w:p>
      <w:pPr>
        <w:spacing w:after="0" w:line="167" w:lineRule="exact"/>
        <w:rPr>
          <w:sz w:val="20"/>
          <w:szCs w:val="20"/>
          <w:color w:val="auto"/>
        </w:rPr>
      </w:pPr>
    </w:p>
    <w:p>
      <w:pPr>
        <w:ind w:right="100" w:firstLine="259"/>
        <w:spacing w:after="0" w:line="302" w:lineRule="auto"/>
        <w:rPr>
          <w:sz w:val="20"/>
          <w:szCs w:val="20"/>
          <w:color w:val="auto"/>
        </w:rPr>
      </w:pPr>
      <w:r>
        <w:rPr>
          <w:rFonts w:ascii="Arial" w:cs="Arial" w:eastAsia="Arial" w:hAnsi="Arial"/>
          <w:sz w:val="16"/>
          <w:szCs w:val="16"/>
          <w:color w:val="auto"/>
        </w:rPr>
        <w:t>During the three months ended September 30, 2016, we did not enter into any foreign currency forward contracts related to our investments denominated in foreign currencies. During the nine months ended September 30, 2016 and the three and nine months ended September 30, 2015, we entered into foreign currency forward contracts to facilitate settlement of purchases and sales of investments denominated in foreign currencies. We bear the costs incurred in connection with entering into, administering and settling derivative contracts. There can be no assurance any hedging strategy we employ will be successful.</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September 30, 2016 and December 31, 2015, our asset coverage ratio was 236.5% and 225.7%,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82" w:lineRule="exact"/>
        <w:rPr>
          <w:sz w:val="20"/>
          <w:szCs w:val="20"/>
          <w:color w:val="auto"/>
        </w:rPr>
      </w:pPr>
    </w:p>
    <w:p>
      <w:pPr>
        <w:jc w:val="both"/>
        <w:ind w:right="340" w:firstLine="259"/>
        <w:spacing w:after="0" w:line="264" w:lineRule="auto"/>
        <w:rPr>
          <w:sz w:val="20"/>
          <w:szCs w:val="20"/>
          <w:color w:val="auto"/>
        </w:rPr>
      </w:pPr>
      <w:r>
        <w:rPr>
          <w:rFonts w:ascii="Arial" w:cs="Arial" w:eastAsia="Arial" w:hAnsi="Arial"/>
          <w:sz w:val="18"/>
          <w:szCs w:val="18"/>
          <w:color w:val="auto"/>
        </w:rPr>
        <w:t>Cash and cash equivalents as of September 30, 2016, taken together with cash available under our credit facilities, is expected to be sufficient for our investing activities and to conduct our operations in the near term. As of September 30, 2016, we had approximately $245.5 million of availability on our Revolving Credit Facility.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September 30, 2016, we had $3.9 million in cash and cash equivalents, an increase of $1.5 million from December 31, 2015. During the nine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months ended September 30, 2016, we used $54.0 million in cash for operating activities, primarily as a result of funding portfolio investments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$643.8 million and net cash from other operating activity of $4.8 million, which was partially offset by repayments on investments of $490.3 million and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net assets resulting from operations of $104.3 million. Lastly, cash provided by financing activities was $55.5 million during the period, primarily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to borrowings of $476.4 million and proceeds from issuance of common stock, net of offering and underwriting costs, of $78.2 million, which was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repayments on debt of $438.4 million, purchases of treasury stock of $1.3 million, and dividends paid of $59.4 million.</w:t>
      </w:r>
    </w:p>
    <w:p>
      <w:pPr>
        <w:spacing w:after="0" w:line="211"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As of September 30, 2016, we had $0.8 million of restricted cash pledged as collateral under our interest rate swap agreements, a decrease of $0.1 million from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6" w:name="page57"/>
    <w:bookmarkEnd w:id="56"/>
    <w:p>
      <w:pPr>
        <w:ind w:right="40" w:firstLine="259"/>
        <w:spacing w:after="0" w:line="302" w:lineRule="auto"/>
        <w:rPr>
          <w:sz w:val="20"/>
          <w:szCs w:val="20"/>
          <w:color w:val="auto"/>
        </w:rPr>
      </w:pPr>
      <w:r>
        <w:rPr>
          <w:rFonts w:ascii="Arial" w:cs="Arial" w:eastAsia="Arial" w:hAnsi="Arial"/>
          <w:sz w:val="16"/>
          <w:szCs w:val="16"/>
          <w:color w:val="auto"/>
        </w:rPr>
        <w:t>During the nine months ended September 30, 2016 and 2015, we issued 502,634 and 230,189 shares of our common stock, respectively, to investors who have not opted out of our dividend reinvestment plan for proceeds of $8.0 million and $3.9 million, respectively. On November 1, 2016, we issued 135,692 shares of our common stock through our dividend reinvestment plan for proceeds of $2.3 million, which is not reflected in the number of shares issued for the nine months ended September 30, 2016 in this section or the consolidated financial statements for the three and nine months ended September 30, 2016.</w:t>
      </w:r>
    </w:p>
    <w:p>
      <w:pPr>
        <w:spacing w:after="0" w:line="154"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On August 3, 2016, the Board authorized the extension of the termination date of the Company 10b5-1 Plan to February 28, 2017. Unless extended or terminated by the Board, the Company 10b5-1 Plan will be in effect through the earlier of February 28, 2017 or such time as the current approved repurchase amount of up to $50 million has been fully utilized, subject to certain conditions.</w:t>
      </w:r>
    </w:p>
    <w:p>
      <w:pPr>
        <w:spacing w:after="0" w:line="154" w:lineRule="exact"/>
        <w:rPr>
          <w:sz w:val="20"/>
          <w:szCs w:val="20"/>
          <w:color w:val="auto"/>
        </w:rPr>
      </w:pPr>
    </w:p>
    <w:p>
      <w:pPr>
        <w:ind w:right="120" w:firstLine="259"/>
        <w:spacing w:after="0" w:line="279" w:lineRule="auto"/>
        <w:rPr>
          <w:sz w:val="20"/>
          <w:szCs w:val="20"/>
          <w:color w:val="auto"/>
        </w:rPr>
      </w:pPr>
      <w:r>
        <w:rPr>
          <w:rFonts w:ascii="Arial" w:cs="Arial" w:eastAsia="Arial" w:hAnsi="Arial"/>
          <w:sz w:val="17"/>
          <w:szCs w:val="17"/>
          <w:color w:val="auto"/>
        </w:rPr>
        <w:t>During the nine months ended September 30, 2016, 86,081 shares were repurchased under the Company 10b5-1 Plan at a weighted average price per share of $15.44, inclusive of commissions, for a total cost of $1.3 million. No shares were repurchased under the Company 10b5-1 Plan during the three months ended September 30, 2016. During each of the three and nine months ended September 30, 2015, 2,000 shares were repurchased under the Company 10b5-1 Plan at a weighted average price per share of $14.44, inclusive of commissions, for a total cost of $28.9.</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September 30, 2016 and December 31, 2015:</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437"/>
              <w:spacing w:after="0"/>
              <w:rPr>
                <w:sz w:val="20"/>
                <w:szCs w:val="20"/>
                <w:color w:val="auto"/>
              </w:rPr>
            </w:pPr>
            <w:r>
              <w:rPr>
                <w:rFonts w:ascii="Arial" w:cs="Arial" w:eastAsia="Arial" w:hAnsi="Arial"/>
                <w:sz w:val="14"/>
                <w:szCs w:val="14"/>
                <w:b w:val="1"/>
                <w:bCs w:val="1"/>
                <w:color w:val="auto"/>
                <w:w w:val="91"/>
              </w:rPr>
              <w:t>September 30, 2016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980" w:type="dxa"/>
            <w:vAlign w:val="bottom"/>
          </w:tcPr>
          <w:p>
            <w:pPr>
              <w:spacing w:after="0"/>
              <w:rPr>
                <w:sz w:val="12"/>
                <w:szCs w:val="12"/>
                <w:color w:val="auto"/>
              </w:rPr>
            </w:pPr>
          </w:p>
        </w:tc>
        <w:tc>
          <w:tcPr>
            <w:tcW w:w="13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9"/>
              <w:spacing w:after="0" w:line="147"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57"/>
              <w:spacing w:after="0" w:line="147"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r>
      <w:tr>
        <w:trPr>
          <w:trHeight w:val="171"/>
        </w:trPr>
        <w:tc>
          <w:tcPr>
            <w:tcW w:w="4980" w:type="dxa"/>
            <w:vAlign w:val="bottom"/>
          </w:tcPr>
          <w:p>
            <w:pPr>
              <w:spacing w:after="0"/>
              <w:rPr>
                <w:sz w:val="20"/>
                <w:szCs w:val="20"/>
                <w:color w:val="auto"/>
              </w:rPr>
            </w:pPr>
            <w:r>
              <w:rPr>
                <w:rFonts w:ascii="Arial" w:cs="Arial" w:eastAsia="Arial" w:hAnsi="Arial"/>
                <w:sz w:val="14"/>
                <w:szCs w:val="14"/>
                <w:color w:val="auto"/>
              </w:rPr>
              <w:t>($ in millions)</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19"/>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center"/>
              <w:ind w:left="619"/>
              <w:spacing w:after="0"/>
              <w:rPr>
                <w:sz w:val="20"/>
                <w:szCs w:val="20"/>
                <w:color w:val="auto"/>
              </w:rPr>
            </w:pPr>
            <w:r>
              <w:rPr>
                <w:rFonts w:ascii="Arial" w:cs="Arial" w:eastAsia="Arial" w:hAnsi="Arial"/>
                <w:sz w:val="18"/>
                <w:szCs w:val="18"/>
                <w:color w:val="auto"/>
                <w:w w:val="88"/>
              </w:rPr>
              <w:t>575.8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19"/>
              <w:spacing w:after="0"/>
              <w:rPr>
                <w:sz w:val="20"/>
                <w:szCs w:val="20"/>
                <w:color w:val="auto"/>
              </w:rPr>
            </w:pPr>
            <w:r>
              <w:rPr>
                <w:rFonts w:ascii="Arial" w:cs="Arial" w:eastAsia="Arial" w:hAnsi="Arial"/>
                <w:sz w:val="18"/>
                <w:szCs w:val="18"/>
                <w:color w:val="auto"/>
                <w:w w:val="88"/>
              </w:rPr>
              <w:t>115.0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center"/>
              <w:ind w:left="619"/>
              <w:spacing w:after="0"/>
              <w:rPr>
                <w:sz w:val="20"/>
                <w:szCs w:val="20"/>
                <w:color w:val="auto"/>
              </w:rPr>
            </w:pPr>
            <w:r>
              <w:rPr>
                <w:rFonts w:ascii="Arial" w:cs="Arial" w:eastAsia="Arial" w:hAnsi="Arial"/>
                <w:sz w:val="18"/>
                <w:szCs w:val="18"/>
                <w:color w:val="auto"/>
                <w:w w:val="88"/>
              </w:rPr>
              <w:t>690.8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80" w:hanging="512"/>
        <w:spacing w:after="0" w:line="261"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Senior Notes are presented net of deferred financing costs of $6.2 million and $2.5 million,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tbl>
      <w:tblPr>
        <w:tblLayout w:type="fixed"/>
        <w:tblInd w:w="5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437"/>
              <w:spacing w:after="0"/>
              <w:rPr>
                <w:sz w:val="20"/>
                <w:szCs w:val="20"/>
                <w:color w:val="auto"/>
              </w:rPr>
            </w:pPr>
            <w:r>
              <w:rPr>
                <w:rFonts w:ascii="Arial" w:cs="Arial" w:eastAsia="Arial" w:hAnsi="Arial"/>
                <w:sz w:val="14"/>
                <w:szCs w:val="14"/>
                <w:b w:val="1"/>
                <w:bCs w:val="1"/>
                <w:color w:val="auto"/>
                <w:w w:val="91"/>
              </w:rPr>
              <w:t>December 31, 2015</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980" w:type="dxa"/>
            <w:vAlign w:val="bottom"/>
          </w:tcPr>
          <w:p>
            <w:pPr>
              <w:spacing w:after="0"/>
              <w:rPr>
                <w:sz w:val="12"/>
                <w:szCs w:val="12"/>
                <w:color w:val="auto"/>
              </w:rPr>
            </w:pPr>
          </w:p>
        </w:tc>
        <w:tc>
          <w:tcPr>
            <w:tcW w:w="13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9"/>
              <w:spacing w:after="0" w:line="147"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57"/>
              <w:spacing w:after="0" w:line="147"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r>
      <w:tr>
        <w:trPr>
          <w:trHeight w:val="171"/>
        </w:trPr>
        <w:tc>
          <w:tcPr>
            <w:tcW w:w="4980" w:type="dxa"/>
            <w:vAlign w:val="bottom"/>
          </w:tcPr>
          <w:p>
            <w:pPr>
              <w:spacing w:after="0"/>
              <w:rPr>
                <w:sz w:val="20"/>
                <w:szCs w:val="20"/>
                <w:color w:val="auto"/>
              </w:rPr>
            </w:pPr>
            <w:r>
              <w:rPr>
                <w:rFonts w:ascii="Arial" w:cs="Arial" w:eastAsia="Arial" w:hAnsi="Arial"/>
                <w:sz w:val="14"/>
                <w:szCs w:val="14"/>
                <w:color w:val="auto"/>
              </w:rPr>
              <w:t>($ in millions)</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19"/>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center"/>
              <w:ind w:left="619"/>
              <w:spacing w:after="0"/>
              <w:rPr>
                <w:sz w:val="20"/>
                <w:szCs w:val="20"/>
                <w:color w:val="auto"/>
              </w:rPr>
            </w:pPr>
            <w:r>
              <w:rPr>
                <w:rFonts w:ascii="Arial" w:cs="Arial" w:eastAsia="Arial" w:hAnsi="Arial"/>
                <w:sz w:val="18"/>
                <w:szCs w:val="18"/>
                <w:color w:val="auto"/>
                <w:w w:val="88"/>
              </w:rPr>
              <w:t>540.3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19"/>
              <w:spacing w:after="0"/>
              <w:rPr>
                <w:sz w:val="20"/>
                <w:szCs w:val="20"/>
                <w:color w:val="auto"/>
              </w:rPr>
            </w:pPr>
            <w:r>
              <w:rPr>
                <w:rFonts w:ascii="Arial" w:cs="Arial" w:eastAsia="Arial" w:hAnsi="Arial"/>
                <w:sz w:val="18"/>
                <w:szCs w:val="18"/>
                <w:color w:val="auto"/>
                <w:w w:val="88"/>
              </w:rPr>
              <w:t>115.0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center"/>
              <w:ind w:left="619"/>
              <w:spacing w:after="0"/>
              <w:rPr>
                <w:sz w:val="20"/>
                <w:szCs w:val="20"/>
                <w:color w:val="auto"/>
              </w:rPr>
            </w:pPr>
            <w:r>
              <w:rPr>
                <w:rFonts w:ascii="Arial" w:cs="Arial" w:eastAsia="Arial" w:hAnsi="Arial"/>
                <w:sz w:val="18"/>
                <w:szCs w:val="18"/>
                <w:color w:val="auto"/>
                <w:w w:val="88"/>
              </w:rPr>
              <w:t>655.3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Senior Notes are presented net of deferred financing costs of $7.3 million and $3.1 million, respectively.</w:t>
      </w:r>
    </w:p>
    <w:p>
      <w:pPr>
        <w:spacing w:after="0" w:line="184"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As of September 30, 2016 and December 31, 2015,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500" w:hanging="255"/>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360" w:hanging="259"/>
        <w:spacing w:after="0" w:line="277" w:lineRule="auto"/>
        <w:tabs>
          <w:tab w:leader="none" w:pos="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jc w:val="both"/>
        <w:ind w:right="220" w:firstLine="259"/>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17" w:lineRule="exact"/>
        <w:rPr>
          <w:sz w:val="20"/>
          <w:szCs w:val="20"/>
          <w:color w:val="auto"/>
        </w:rPr>
      </w:pPr>
    </w:p>
    <w:p>
      <w:pPr>
        <w:ind w:left="520" w:right="120" w:hanging="255"/>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8" w:name="page59"/>
    <w:bookmarkEnd w:id="58"/>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140" w:firstLine="259"/>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17" w:lineRule="exact"/>
        <w:rPr>
          <w:sz w:val="20"/>
          <w:szCs w:val="20"/>
          <w:color w:val="auto"/>
        </w:rPr>
      </w:pPr>
    </w:p>
    <w:p>
      <w:pPr>
        <w:ind w:left="520" w:right="100" w:hanging="255"/>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80" w:hanging="255"/>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September 30, 2016, we had outstanding debt denominated in Swedish Krona (SEK) of 201.2 million, Euro (EUR) of 47.6 million and Pound Sterling (GBP) of 14.9 million on our Revolving Credit Facility, included in the Outstanding Principal amount in the table above.</w:t>
      </w:r>
    </w:p>
    <w:p>
      <w:pPr>
        <w:spacing w:after="0" w:line="181" w:lineRule="exact"/>
        <w:rPr>
          <w:sz w:val="20"/>
          <w:szCs w:val="20"/>
          <w:color w:val="auto"/>
        </w:rPr>
      </w:pPr>
    </w:p>
    <w:p>
      <w:pPr>
        <w:jc w:val="both"/>
        <w:ind w:right="40" w:firstLine="259"/>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18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100" w:hanging="255"/>
        <w:spacing w:after="0" w:line="277"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May 8, 2012, the Closing Date, our wholly owned subsidiary, TPG SL SPV, LLC,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9" w:name="page60"/>
    <w:bookmarkEnd w:id="59"/>
    <w:p>
      <w:pPr>
        <w:ind w:right="440"/>
        <w:spacing w:after="0" w:line="264" w:lineRule="auto"/>
        <w:rPr>
          <w:sz w:val="20"/>
          <w:szCs w:val="20"/>
          <w:color w:val="auto"/>
        </w:rPr>
      </w:pPr>
      <w:r>
        <w:rPr>
          <w:rFonts w:ascii="Arial" w:cs="Arial" w:eastAsia="Arial" w:hAnsi="Arial"/>
          <w:sz w:val="18"/>
          <w:szCs w:val="18"/>
          <w:color w:val="auto"/>
        </w:rPr>
        <w:t>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81"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340" w:firstLine="259"/>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8"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have entered into interest rate swaps to continue to align the interest rates of our liabilities with our investment portfolio, which consists of predominately floating rate loans. As a result of the swaps, our effective interest rate on the Convertible Senior Notes is three-month LIBOR plus 286 basis points.</w:t>
      </w:r>
    </w:p>
    <w:p>
      <w:pPr>
        <w:spacing w:after="0" w:line="169"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ind w:right="200" w:firstLine="259"/>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As of September 30, 2016,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September 30, 2016, we were in compliance with the terms of the Convertible Senior Notes Indenture.</w:t>
      </w:r>
    </w:p>
    <w:p>
      <w:pPr>
        <w:spacing w:after="0" w:line="17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September 30, 2016 and December 31, 2015, we had the following commitments to fund investments in current portfolio companies: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40" w:type="dxa"/>
            <w:vAlign w:val="bottom"/>
          </w:tcPr>
          <w:p>
            <w:pPr>
              <w:spacing w:after="0"/>
              <w:rPr>
                <w:sz w:val="20"/>
                <w:szCs w:val="20"/>
                <w:color w:val="auto"/>
              </w:rPr>
            </w:pPr>
            <w:r>
              <w:rPr>
                <w:rFonts w:ascii="Arial" w:cs="Arial" w:eastAsia="Arial" w:hAnsi="Arial"/>
                <w:sz w:val="14"/>
                <w:szCs w:val="14"/>
                <w:color w:val="auto"/>
              </w:rPr>
              <w:t>($ in millions)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2015</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Clarabridge,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CrunchTime Information Systems, Inc. - Delayed Draw</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Term Loan</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0"/>
                <w:szCs w:val="20"/>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5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5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MyAlarm Center, LLC - Delayed Draw</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SailPoint Technologies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5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Sears - ABL Revolver</w:t>
            </w:r>
          </w:p>
        </w:tc>
        <w:tc>
          <w:tcPr>
            <w:tcW w:w="5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As of September 30, 2016, we had additional unfunded commitments of $50.0 million to fund investments to new borrowers that were not current portfolio companies as of September 30, 2016.</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September 30,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3"/>
              </w:rPr>
              <w:t>Payments Due by Period</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120" w:type="dxa"/>
            <w:vAlign w:val="bottom"/>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4"/>
                <w:szCs w:val="1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3-5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 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ind w:right="20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00" w:hanging="255"/>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2015, filed with the SEC on February 24, 2016,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As of September 30, 2016, 97.9% of our debt investments based on fair value in our portfolio bore interest at floating rates (when including investment specific hedges), with 94.8% of these subject to interest rate floors. Our credit facilities also bear interest at floating rates. In connection with our Convertible Senior Notes, which bear interest at a fixed rate, we have entered into fixed-to-floating interest rate swaps in order to continue to align the interest rates of our liabilities with our investment portfolio.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4" w:name="page65"/>
    <w:bookmarkEnd w:id="64"/>
    <w:p>
      <w:pPr>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September 30, 2016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r>
    </w:tbl>
    <w:p>
      <w:pPr>
        <w:spacing w:after="0" w:line="24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PART II –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Risk Factors” in our Annual Report on Form 10-K for the fiscal year ended December 31, 2015, and our Quarterly Report on Form 10-Q for the period ended June 30, 2016,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On November 7, 2016, the Board of Directors of the Company approved the change of the Company’s registered agent in Delaware and approved the amended and restated bylaws of the Company (the “Amended and Restated Bylaws”) reflecting such change. On November 7, 2016, the Company filed a Certificate of Change of Registered Agent and/or Registered Office (the “Certificate of Change”) with the State of Delaware Secretary of State to effectuate the change.</w:t>
      </w:r>
    </w:p>
    <w:p>
      <w:pPr>
        <w:spacing w:after="0" w:line="18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 copy of the Certificate of Change is attached as Exhibit 3.1 to this Quarterly Report on Form 10-Q, and a copy of the Amended and Restated Bylaws is attached as Exhibit 3.2 to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Change of Registered Agent and/or Registered Office</w:t>
      </w:r>
    </w:p>
    <w:p>
      <w:pPr>
        <w:spacing w:after="0" w:line="131" w:lineRule="exact"/>
        <w:rPr>
          <w:sz w:val="20"/>
          <w:szCs w:val="20"/>
          <w:color w:val="auto"/>
        </w:rPr>
      </w:pPr>
    </w:p>
    <w:p>
      <w:pPr>
        <w:ind w:left="180"/>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TPG Specialty Lending, Inc., effective as of November 7, 2016</w:t>
      </w:r>
    </w:p>
    <w:p>
      <w:pPr>
        <w:spacing w:after="0" w:line="131"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Co-Chief Executive Officer Pursuant to 18 U.S.C. Section 1350, as Adopted Pursuant to Section 302 of the Sarbanes-Oxley Act of</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2002</w:t>
      </w:r>
    </w:p>
    <w:p>
      <w:pPr>
        <w:spacing w:after="0" w:line="11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Co-Chief Executive Officer Pursuant to 18 U.S.C. Section 1350, as Adopted Pursuant to Section 302 of the Sarbanes-Oxley Act of</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2002</w:t>
      </w:r>
    </w:p>
    <w:p>
      <w:pPr>
        <w:spacing w:after="0" w:line="11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302 of the Sarbanes-Oxley Act of 2002</w:t>
      </w:r>
    </w:p>
    <w:p>
      <w:pPr>
        <w:spacing w:after="0" w:line="131" w:lineRule="exact"/>
        <w:rPr>
          <w:sz w:val="20"/>
          <w:szCs w:val="20"/>
          <w:color w:val="auto"/>
        </w:rPr>
      </w:pPr>
    </w:p>
    <w:p>
      <w:pPr>
        <w:ind w:left="580" w:hanging="500"/>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Certification of Co-CEOs and CFO Pursuant to 18 U.S.C. Section 1350, as Adopted Pursuant to Section 906 of the Sarbanes-Oxley Act of 2002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3160"/>
              <w:spacing w:after="0"/>
              <w:rPr>
                <w:sz w:val="20"/>
                <w:szCs w:val="20"/>
                <w:color w:val="auto"/>
              </w:rPr>
            </w:pPr>
            <w:r>
              <w:rPr>
                <w:rFonts w:ascii="Arial" w:cs="Arial" w:eastAsia="Arial" w:hAnsi="Arial"/>
                <w:sz w:val="18"/>
                <w:szCs w:val="18"/>
                <w:color w:val="auto"/>
              </w:rPr>
              <w:t>TPG SPECIALTY LENDING,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7, 2016</w:t>
            </w:r>
          </w:p>
        </w:tc>
        <w:tc>
          <w:tcPr>
            <w:tcW w:w="3620" w:type="dxa"/>
            <w:vAlign w:val="bottom"/>
          </w:tcPr>
          <w:p>
            <w:pPr>
              <w:ind w:left="31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r>
      <w:tr>
        <w:trPr>
          <w:trHeight w:val="195"/>
        </w:trPr>
        <w:tc>
          <w:tcPr>
            <w:tcW w:w="3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7, 2016</w:t>
            </w:r>
          </w:p>
        </w:tc>
        <w:tc>
          <w:tcPr>
            <w:tcW w:w="3620" w:type="dxa"/>
            <w:vAlign w:val="bottom"/>
          </w:tcPr>
          <w:p>
            <w:pPr>
              <w:ind w:left="31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r>
      <w:tr>
        <w:trPr>
          <w:trHeight w:val="195"/>
        </w:trPr>
        <w:tc>
          <w:tcPr>
            <w:tcW w:w="3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7, 2016</w:t>
            </w:r>
          </w:p>
        </w:tc>
        <w:tc>
          <w:tcPr>
            <w:tcW w:w="3620" w:type="dxa"/>
            <w:vAlign w:val="bottom"/>
          </w:tcPr>
          <w:p>
            <w:pPr>
              <w:ind w:left="31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3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3700" w:type="dxa"/>
            <w:vAlign w:val="bottom"/>
          </w:tcPr>
          <w:p>
            <w:pPr>
              <w:spacing w:after="0"/>
              <w:rPr>
                <w:sz w:val="24"/>
                <w:szCs w:val="24"/>
                <w:color w:val="auto"/>
              </w:rPr>
            </w:pPr>
          </w:p>
        </w:tc>
        <w:tc>
          <w:tcPr>
            <w:tcW w:w="3620" w:type="dxa"/>
            <w:vAlign w:val="bottom"/>
          </w:tcPr>
          <w:p>
            <w:pPr>
              <w:ind w:left="1920"/>
              <w:spacing w:after="0"/>
              <w:rPr>
                <w:sz w:val="20"/>
                <w:szCs w:val="20"/>
                <w:color w:val="auto"/>
              </w:rPr>
            </w:pPr>
            <w:r>
              <w:rPr>
                <w:rFonts w:ascii="Arial" w:cs="Arial" w:eastAsia="Arial" w:hAnsi="Arial"/>
                <w:sz w:val="18"/>
                <w:szCs w:val="18"/>
                <w:color w:val="auto"/>
              </w:rPr>
              <w:t>68</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29"/>
          <w:szCs w:val="29"/>
          <w:color w:val="auto"/>
        </w:rPr>
        <w:t>STATE OF DELAWARE</w:t>
      </w:r>
    </w:p>
    <w:p>
      <w:pPr>
        <w:ind w:left="2300"/>
        <w:spacing w:after="0" w:line="207" w:lineRule="auto"/>
        <w:rPr>
          <w:sz w:val="20"/>
          <w:szCs w:val="20"/>
          <w:color w:val="auto"/>
        </w:rPr>
      </w:pPr>
      <w:r>
        <w:rPr>
          <w:rFonts w:ascii="Arial" w:cs="Arial" w:eastAsia="Arial" w:hAnsi="Arial"/>
          <w:sz w:val="29"/>
          <w:szCs w:val="29"/>
          <w:color w:val="auto"/>
        </w:rPr>
        <w:t>CERTIFICATE OF CHANGE OF REGISTERED AGENT</w:t>
      </w:r>
    </w:p>
    <w:p>
      <w:pPr>
        <w:jc w:val="center"/>
        <w:spacing w:after="0"/>
        <w:rPr>
          <w:sz w:val="20"/>
          <w:szCs w:val="20"/>
          <w:color w:val="auto"/>
        </w:rPr>
      </w:pPr>
      <w:r>
        <w:rPr>
          <w:rFonts w:ascii="Arial" w:cs="Arial" w:eastAsia="Arial" w:hAnsi="Arial"/>
          <w:sz w:val="29"/>
          <w:szCs w:val="29"/>
          <w:color w:val="auto"/>
        </w:rPr>
        <w:t>AND/OR REGISTERED OFFICE</w:t>
      </w:r>
    </w:p>
    <w:p>
      <w:pPr>
        <w:spacing w:after="0" w:line="388" w:lineRule="exact"/>
        <w:rPr>
          <w:sz w:val="20"/>
          <w:szCs w:val="20"/>
          <w:color w:val="auto"/>
        </w:rPr>
      </w:pPr>
    </w:p>
    <w:p>
      <w:pPr>
        <w:ind w:right="3840"/>
        <w:spacing w:after="0" w:line="251" w:lineRule="auto"/>
        <w:rPr>
          <w:sz w:val="20"/>
          <w:szCs w:val="20"/>
          <w:color w:val="auto"/>
        </w:rPr>
      </w:pPr>
      <w:r>
        <w:rPr>
          <w:rFonts w:ascii="Arial" w:cs="Arial" w:eastAsia="Arial" w:hAnsi="Arial"/>
          <w:sz w:val="22"/>
          <w:szCs w:val="22"/>
          <w:color w:val="auto"/>
        </w:rPr>
        <w:t>The corporation organized and existing under the General Corporation Law of the State of Delaware, hereby certifies as follows:</w:t>
      </w:r>
    </w:p>
    <w:p>
      <w:pPr>
        <w:spacing w:after="0" w:line="173" w:lineRule="exact"/>
        <w:rPr>
          <w:sz w:val="20"/>
          <w:szCs w:val="20"/>
          <w:color w:val="auto"/>
        </w:rPr>
      </w:pPr>
    </w:p>
    <w:p>
      <w:pPr>
        <w:ind w:left="1040" w:hanging="903"/>
        <w:spacing w:after="0"/>
        <w:tabs>
          <w:tab w:leader="none" w:pos="10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name of the corporation is TPG Specialty Lending, Inc.</w:t>
      </w:r>
    </w:p>
    <w:p>
      <w:pPr>
        <w:spacing w:after="0" w:line="219" w:lineRule="exact"/>
        <w:rPr>
          <w:rFonts w:ascii="Arial" w:cs="Arial" w:eastAsia="Arial" w:hAnsi="Arial"/>
          <w:sz w:val="22"/>
          <w:szCs w:val="22"/>
          <w:color w:val="auto"/>
        </w:rPr>
      </w:pPr>
    </w:p>
    <w:p>
      <w:pPr>
        <w:ind w:left="140" w:right="580" w:hanging="3"/>
        <w:spacing w:after="0"/>
        <w:tabs>
          <w:tab w:leader="none" w:pos="10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Registered Office of the corporation in the State of Delaware is changed to 4001 Kennett Pike, Suite 302, Wilmington, New Castle County, DE 19807. The name of the Registered Agent at such address upon whom process against this corporation may be served is Maples Fiduciary Services (Delaware) Inc.</w:t>
      </w:r>
    </w:p>
    <w:p>
      <w:pPr>
        <w:spacing w:after="0" w:line="213" w:lineRule="exact"/>
        <w:rPr>
          <w:rFonts w:ascii="Arial" w:cs="Arial" w:eastAsia="Arial" w:hAnsi="Arial"/>
          <w:sz w:val="22"/>
          <w:szCs w:val="22"/>
          <w:color w:val="auto"/>
        </w:rPr>
      </w:pPr>
    </w:p>
    <w:p>
      <w:pPr>
        <w:ind w:left="980" w:hanging="864"/>
        <w:spacing w:after="0"/>
        <w:tabs>
          <w:tab w:leader="none" w:pos="9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foregoing change to the registered office/agent was adopted by a resolution of</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Board of Directors of the corporation.</w:t>
      </w:r>
    </w:p>
    <w:p>
      <w:pPr>
        <w:spacing w:after="0" w:line="186" w:lineRule="exact"/>
        <w:rPr>
          <w:sz w:val="20"/>
          <w:szCs w:val="20"/>
          <w:color w:val="auto"/>
        </w:rPr>
      </w:pPr>
    </w:p>
    <w:tbl>
      <w:tblPr>
        <w:tblLayout w:type="fixed"/>
        <w:tblInd w:w="420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160" w:type="dxa"/>
            <w:vAlign w:val="bottom"/>
          </w:tcPr>
          <w:p>
            <w:pPr>
              <w:spacing w:after="0"/>
              <w:rPr>
                <w:sz w:val="21"/>
                <w:szCs w:val="21"/>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Stiepleman</w:t>
            </w:r>
          </w:p>
        </w:tc>
      </w:tr>
      <w:tr>
        <w:trPr>
          <w:trHeight w:val="242"/>
        </w:trPr>
        <w:tc>
          <w:tcPr>
            <w:tcW w:w="3480" w:type="dxa"/>
            <w:vAlign w:val="bottom"/>
            <w:gridSpan w:val="3"/>
          </w:tcPr>
          <w:p>
            <w:pPr>
              <w:spacing w:after="0" w:line="242" w:lineRule="exact"/>
              <w:rPr>
                <w:sz w:val="20"/>
                <w:szCs w:val="20"/>
                <w:color w:val="auto"/>
              </w:rPr>
            </w:pPr>
            <w:r>
              <w:rPr>
                <w:rFonts w:ascii="Arial" w:cs="Arial" w:eastAsia="Arial" w:hAnsi="Arial"/>
                <w:sz w:val="22"/>
                <w:szCs w:val="22"/>
                <w:color w:val="auto"/>
              </w:rPr>
              <w:t>Name: David Stiepleman</w:t>
            </w:r>
          </w:p>
        </w:tc>
      </w:t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Title:</w:t>
            </w:r>
          </w:p>
        </w:tc>
        <w:tc>
          <w:tcPr>
            <w:tcW w:w="2940" w:type="dxa"/>
            <w:vAlign w:val="bottom"/>
            <w:gridSpan w:val="2"/>
          </w:tcPr>
          <w:p>
            <w:pPr>
              <w:ind w:left="80"/>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TPG SPECIALTY LENDING, INC.</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Effective November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783590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2"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4500" w:type="dxa"/>
            <w:vAlign w:val="bottom"/>
            <w:gridSpan w:val="2"/>
          </w:tcPr>
          <w:p>
            <w:pPr>
              <w:jc w:val="center"/>
              <w:ind w:right="2880"/>
              <w:spacing w:after="0"/>
              <w:rPr>
                <w:sz w:val="20"/>
                <w:szCs w:val="20"/>
                <w:color w:val="auto"/>
              </w:rPr>
            </w:pPr>
            <w:r>
              <w:rPr>
                <w:rFonts w:ascii="Arial" w:cs="Arial" w:eastAsia="Arial" w:hAnsi="Arial"/>
                <w:sz w:val="22"/>
                <w:szCs w:val="22"/>
                <w:b w:val="1"/>
                <w:bCs w:val="1"/>
                <w:color w:val="auto"/>
                <w:w w:val="87"/>
              </w:rPr>
              <w:t>Table of Contents</w:t>
            </w:r>
          </w:p>
        </w:tc>
        <w:tc>
          <w:tcPr>
            <w:tcW w:w="2020" w:type="dxa"/>
            <w:vAlign w:val="bottom"/>
          </w:tcPr>
          <w:p>
            <w:pPr>
              <w:spacing w:after="0"/>
              <w:rPr>
                <w:sz w:val="21"/>
                <w:szCs w:val="21"/>
                <w:color w:val="auto"/>
              </w:rPr>
            </w:pPr>
          </w:p>
        </w:tc>
      </w:tr>
      <w:tr>
        <w:trPr>
          <w:trHeight w:val="50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6"/>
              </w:rPr>
              <w:t>ARTICLE I</w:t>
            </w:r>
          </w:p>
        </w:tc>
        <w:tc>
          <w:tcPr>
            <w:tcW w:w="2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28"/>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500" w:type="dxa"/>
            <w:vAlign w:val="bottom"/>
            <w:gridSpan w:val="2"/>
          </w:tcPr>
          <w:p>
            <w:pPr>
              <w:jc w:val="center"/>
              <w:ind w:right="2880"/>
              <w:spacing w:after="0"/>
              <w:rPr>
                <w:sz w:val="20"/>
                <w:szCs w:val="20"/>
                <w:color w:val="auto"/>
              </w:rPr>
            </w:pPr>
            <w:r>
              <w:rPr>
                <w:rFonts w:ascii="Arial" w:cs="Arial" w:eastAsia="Arial" w:hAnsi="Arial"/>
                <w:sz w:val="22"/>
                <w:szCs w:val="22"/>
                <w:color w:val="auto"/>
                <w:w w:val="98"/>
              </w:rPr>
              <w:t>ARTICLE II</w:t>
            </w:r>
          </w:p>
        </w:tc>
        <w:tc>
          <w:tcPr>
            <w:tcW w:w="2020" w:type="dxa"/>
            <w:vAlign w:val="bottom"/>
          </w:tcPr>
          <w:p>
            <w:pPr>
              <w:spacing w:after="0"/>
              <w:rPr>
                <w:sz w:val="24"/>
                <w:szCs w:val="24"/>
                <w:color w:val="auto"/>
              </w:rPr>
            </w:pPr>
          </w:p>
        </w:tc>
      </w:tr>
      <w:tr>
        <w:trPr>
          <w:trHeight w:val="275"/>
        </w:trPr>
        <w:tc>
          <w:tcPr>
            <w:tcW w:w="580" w:type="dxa"/>
            <w:vAlign w:val="bottom"/>
          </w:tcPr>
          <w:p>
            <w:pPr>
              <w:spacing w:after="0"/>
              <w:rPr>
                <w:sz w:val="23"/>
                <w:szCs w:val="23"/>
                <w:color w:val="auto"/>
              </w:rPr>
            </w:pPr>
          </w:p>
        </w:tc>
        <w:tc>
          <w:tcPr>
            <w:tcW w:w="8820" w:type="dxa"/>
            <w:vAlign w:val="bottom"/>
            <w:gridSpan w:val="3"/>
          </w:tcPr>
          <w:p>
            <w:pPr>
              <w:jc w:val="center"/>
              <w:ind w:left="1332"/>
              <w:spacing w:after="0"/>
              <w:rPr>
                <w:sz w:val="20"/>
                <w:szCs w:val="20"/>
                <w:color w:val="auto"/>
              </w:rPr>
            </w:pPr>
            <w:r>
              <w:rPr>
                <w:rFonts w:ascii="Arial" w:cs="Arial" w:eastAsia="Arial" w:hAnsi="Arial"/>
                <w:sz w:val="22"/>
                <w:szCs w:val="22"/>
                <w:color w:val="auto"/>
                <w:w w:val="93"/>
              </w:rPr>
              <w:t>MEETINGS OF STOCKHOLDERS</w:t>
            </w:r>
          </w:p>
        </w:tc>
        <w:tc>
          <w:tcPr>
            <w:tcW w:w="2020" w:type="dxa"/>
            <w:vAlign w:val="bottom"/>
          </w:tcPr>
          <w:p>
            <w:pPr>
              <w:spacing w:after="0"/>
              <w:rPr>
                <w:sz w:val="23"/>
                <w:szCs w:val="23"/>
                <w:color w:val="auto"/>
              </w:rPr>
            </w:pP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(A)</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Place of Meetings</w:t>
            </w:r>
          </w:p>
        </w:tc>
        <w:tc>
          <w:tcPr>
            <w:tcW w:w="20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(B)</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Annual Meeting</w:t>
            </w:r>
          </w:p>
        </w:tc>
        <w:tc>
          <w:tcPr>
            <w:tcW w:w="20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(C)</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Notice of Meetings</w:t>
            </w:r>
          </w:p>
        </w:tc>
        <w:tc>
          <w:tcPr>
            <w:tcW w:w="20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(D)</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Special Meetings</w:t>
            </w:r>
          </w:p>
        </w:tc>
        <w:tc>
          <w:tcPr>
            <w:tcW w:w="20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(E)</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List of Stockholders</w:t>
            </w:r>
          </w:p>
        </w:tc>
        <w:tc>
          <w:tcPr>
            <w:tcW w:w="20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(F)</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Quorum; Adjournments</w:t>
            </w:r>
          </w:p>
        </w:tc>
        <w:tc>
          <w:tcPr>
            <w:tcW w:w="20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(G)</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Organization</w:t>
            </w:r>
          </w:p>
        </w:tc>
        <w:tc>
          <w:tcPr>
            <w:tcW w:w="20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(H)</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Order of Business</w:t>
            </w:r>
          </w:p>
        </w:tc>
        <w:tc>
          <w:tcPr>
            <w:tcW w:w="20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(I)</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Voting</w:t>
            </w:r>
          </w:p>
        </w:tc>
        <w:tc>
          <w:tcPr>
            <w:tcW w:w="20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(J)</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Inspectors</w:t>
            </w:r>
          </w:p>
        </w:tc>
        <w:tc>
          <w:tcPr>
            <w:tcW w:w="20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(K)</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Advance Notice Provisions for Election of Directors</w:t>
            </w:r>
          </w:p>
        </w:tc>
        <w:tc>
          <w:tcPr>
            <w:tcW w:w="20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(L)</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Advance Notice Provisions for Business to be Transacted at Annual Meeting</w:t>
            </w:r>
          </w:p>
        </w:tc>
        <w:tc>
          <w:tcPr>
            <w:tcW w:w="20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3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500" w:type="dxa"/>
            <w:vAlign w:val="bottom"/>
            <w:gridSpan w:val="2"/>
          </w:tcPr>
          <w:p>
            <w:pPr>
              <w:ind w:left="300"/>
              <w:spacing w:after="0"/>
              <w:rPr>
                <w:sz w:val="20"/>
                <w:szCs w:val="20"/>
                <w:color w:val="auto"/>
              </w:rPr>
            </w:pPr>
            <w:r>
              <w:rPr>
                <w:rFonts w:ascii="Arial" w:cs="Arial" w:eastAsia="Arial" w:hAnsi="Arial"/>
                <w:sz w:val="22"/>
                <w:szCs w:val="22"/>
                <w:color w:val="auto"/>
              </w:rPr>
              <w:t>ARTICLE III</w:t>
            </w:r>
          </w:p>
        </w:tc>
        <w:tc>
          <w:tcPr>
            <w:tcW w:w="2020" w:type="dxa"/>
            <w:vAlign w:val="bottom"/>
          </w:tcPr>
          <w:p>
            <w:pPr>
              <w:spacing w:after="0"/>
              <w:rPr>
                <w:sz w:val="24"/>
                <w:szCs w:val="24"/>
                <w:color w:val="auto"/>
              </w:rPr>
            </w:pPr>
          </w:p>
        </w:tc>
      </w:tr>
      <w:tr>
        <w:trPr>
          <w:trHeight w:val="275"/>
        </w:trPr>
        <w:tc>
          <w:tcPr>
            <w:tcW w:w="58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4500" w:type="dxa"/>
            <w:vAlign w:val="bottom"/>
            <w:gridSpan w:val="2"/>
          </w:tcPr>
          <w:p>
            <w:pPr>
              <w:ind w:left="280"/>
              <w:spacing w:after="0"/>
              <w:rPr>
                <w:sz w:val="20"/>
                <w:szCs w:val="20"/>
                <w:color w:val="auto"/>
              </w:rPr>
            </w:pPr>
            <w:r>
              <w:rPr>
                <w:rFonts w:ascii="Arial" w:cs="Arial" w:eastAsia="Arial" w:hAnsi="Arial"/>
                <w:sz w:val="22"/>
                <w:szCs w:val="22"/>
                <w:color w:val="auto"/>
              </w:rPr>
              <w:t>DIRECTORS</w:t>
            </w:r>
          </w:p>
        </w:tc>
        <w:tc>
          <w:tcPr>
            <w:tcW w:w="2020" w:type="dxa"/>
            <w:vAlign w:val="bottom"/>
          </w:tcPr>
          <w:p>
            <w:pPr>
              <w:spacing w:after="0"/>
              <w:rPr>
                <w:sz w:val="23"/>
                <w:szCs w:val="23"/>
                <w:color w:val="auto"/>
              </w:rPr>
            </w:pP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(A)</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General Powers</w:t>
            </w:r>
          </w:p>
        </w:tc>
        <w:tc>
          <w:tcPr>
            <w:tcW w:w="20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(B)</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Number and Election</w:t>
            </w:r>
          </w:p>
        </w:tc>
        <w:tc>
          <w:tcPr>
            <w:tcW w:w="20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(C)</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Resignations, Newly Created Directorships, Vacancies and Removals</w:t>
            </w:r>
          </w:p>
        </w:tc>
        <w:tc>
          <w:tcPr>
            <w:tcW w:w="20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(D)</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Place of Meetings</w:t>
            </w:r>
          </w:p>
        </w:tc>
        <w:tc>
          <w:tcPr>
            <w:tcW w:w="20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(E)</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Annual Meeting</w:t>
            </w:r>
          </w:p>
        </w:tc>
        <w:tc>
          <w:tcPr>
            <w:tcW w:w="20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(F)</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Regular Meetings</w:t>
            </w:r>
          </w:p>
        </w:tc>
        <w:tc>
          <w:tcPr>
            <w:tcW w:w="20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(G)</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Special Meetings</w:t>
            </w:r>
          </w:p>
        </w:tc>
        <w:tc>
          <w:tcPr>
            <w:tcW w:w="20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(H)</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Notice of Meetings</w:t>
            </w:r>
          </w:p>
        </w:tc>
        <w:tc>
          <w:tcPr>
            <w:tcW w:w="20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(I)</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Waiver of Notice and Presumption of Assent</w:t>
            </w:r>
          </w:p>
        </w:tc>
        <w:tc>
          <w:tcPr>
            <w:tcW w:w="20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(J)</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Quorum; Manner of Action</w:t>
            </w:r>
          </w:p>
        </w:tc>
        <w:tc>
          <w:tcPr>
            <w:tcW w:w="20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(K)</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Organization</w:t>
            </w:r>
          </w:p>
        </w:tc>
        <w:tc>
          <w:tcPr>
            <w:tcW w:w="20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(L)</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Compensation</w:t>
            </w:r>
          </w:p>
        </w:tc>
        <w:tc>
          <w:tcPr>
            <w:tcW w:w="20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(M)</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Action by Consent</w:t>
            </w:r>
          </w:p>
        </w:tc>
        <w:tc>
          <w:tcPr>
            <w:tcW w:w="20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(N)</w:t>
            </w:r>
          </w:p>
        </w:tc>
        <w:tc>
          <w:tcPr>
            <w:tcW w:w="8820" w:type="dxa"/>
            <w:vAlign w:val="bottom"/>
            <w:gridSpan w:val="3"/>
          </w:tcPr>
          <w:p>
            <w:pPr>
              <w:ind w:left="260"/>
              <w:spacing w:after="0"/>
              <w:rPr>
                <w:sz w:val="20"/>
                <w:szCs w:val="20"/>
                <w:color w:val="auto"/>
              </w:rPr>
            </w:pPr>
            <w:r>
              <w:rPr>
                <w:rFonts w:ascii="Arial" w:cs="Arial" w:eastAsia="Arial" w:hAnsi="Arial"/>
                <w:sz w:val="22"/>
                <w:szCs w:val="22"/>
                <w:color w:val="auto"/>
              </w:rPr>
              <w:t>Meetings by Telephone or Similar Communications</w:t>
            </w:r>
          </w:p>
        </w:tc>
        <w:tc>
          <w:tcPr>
            <w:tcW w:w="2020" w:type="dxa"/>
            <w:vAlign w:val="bottom"/>
          </w:tcPr>
          <w:p>
            <w:pPr>
              <w:jc w:val="right"/>
              <w:spacing w:after="0"/>
              <w:rPr>
                <w:sz w:val="20"/>
                <w:szCs w:val="20"/>
                <w:color w:val="auto"/>
              </w:rPr>
            </w:pPr>
            <w:r>
              <w:rPr>
                <w:rFonts w:ascii="Arial" w:cs="Arial" w:eastAsia="Arial" w:hAnsi="Arial"/>
                <w:sz w:val="22"/>
                <w:szCs w:val="22"/>
                <w:color w:val="auto"/>
              </w:rPr>
              <w:t>8</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4760" w:type="dxa"/>
            <w:vAlign w:val="bottom"/>
            <w:gridSpan w:val="2"/>
          </w:tcPr>
          <w:p>
            <w:pPr>
              <w:jc w:val="center"/>
              <w:ind w:right="3140"/>
              <w:spacing w:after="0"/>
              <w:rPr>
                <w:sz w:val="20"/>
                <w:szCs w:val="20"/>
                <w:color w:val="auto"/>
              </w:rPr>
            </w:pPr>
            <w:r>
              <w:rPr>
                <w:rFonts w:ascii="Arial" w:cs="Arial" w:eastAsia="Arial" w:hAnsi="Arial"/>
                <w:sz w:val="22"/>
                <w:szCs w:val="22"/>
                <w:b w:val="1"/>
                <w:bCs w:val="1"/>
                <w:color w:val="auto"/>
                <w:w w:val="87"/>
              </w:rPr>
              <w:t>Table of Contents</w:t>
            </w:r>
          </w:p>
        </w:tc>
        <w:tc>
          <w:tcPr>
            <w:tcW w:w="1760" w:type="dxa"/>
            <w:vAlign w:val="bottom"/>
          </w:tcPr>
          <w:p>
            <w:pPr>
              <w:spacing w:after="0"/>
              <w:rPr>
                <w:sz w:val="21"/>
                <w:szCs w:val="21"/>
                <w:color w:val="auto"/>
              </w:rPr>
            </w:pPr>
          </w:p>
        </w:tc>
      </w:tr>
      <w:tr>
        <w:trPr>
          <w:trHeight w:val="274"/>
        </w:trPr>
        <w:tc>
          <w:tcPr>
            <w:tcW w:w="58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(continued)</w:t>
            </w:r>
          </w:p>
        </w:tc>
        <w:tc>
          <w:tcPr>
            <w:tcW w:w="314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441"/>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760" w:type="dxa"/>
            <w:vAlign w:val="bottom"/>
            <w:gridSpan w:val="2"/>
          </w:tcPr>
          <w:p>
            <w:pPr>
              <w:jc w:val="center"/>
              <w:ind w:right="2980"/>
              <w:spacing w:after="0"/>
              <w:rPr>
                <w:sz w:val="20"/>
                <w:szCs w:val="20"/>
                <w:color w:val="auto"/>
              </w:rPr>
            </w:pPr>
            <w:r>
              <w:rPr>
                <w:rFonts w:ascii="Arial" w:cs="Arial" w:eastAsia="Arial" w:hAnsi="Arial"/>
                <w:sz w:val="22"/>
                <w:szCs w:val="22"/>
                <w:color w:val="auto"/>
                <w:w w:val="98"/>
              </w:rPr>
              <w:t>ARTICLE IV</w:t>
            </w:r>
          </w:p>
        </w:tc>
        <w:tc>
          <w:tcPr>
            <w:tcW w:w="1760" w:type="dxa"/>
            <w:vAlign w:val="bottom"/>
          </w:tcPr>
          <w:p>
            <w:pPr>
              <w:spacing w:after="0"/>
              <w:rPr>
                <w:sz w:val="24"/>
                <w:szCs w:val="24"/>
                <w:color w:val="auto"/>
              </w:rPr>
            </w:pPr>
          </w:p>
        </w:tc>
      </w:tr>
      <w:tr>
        <w:trPr>
          <w:trHeight w:val="275"/>
        </w:trPr>
        <w:tc>
          <w:tcPr>
            <w:tcW w:w="58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4760" w:type="dxa"/>
            <w:vAlign w:val="bottom"/>
            <w:gridSpan w:val="2"/>
          </w:tcPr>
          <w:p>
            <w:pPr>
              <w:jc w:val="center"/>
              <w:ind w:right="3000"/>
              <w:spacing w:after="0"/>
              <w:rPr>
                <w:sz w:val="20"/>
                <w:szCs w:val="20"/>
                <w:color w:val="auto"/>
              </w:rPr>
            </w:pPr>
            <w:r>
              <w:rPr>
                <w:rFonts w:ascii="Arial" w:cs="Arial" w:eastAsia="Arial" w:hAnsi="Arial"/>
                <w:sz w:val="22"/>
                <w:szCs w:val="22"/>
                <w:color w:val="auto"/>
                <w:w w:val="95"/>
              </w:rPr>
              <w:t>COMMITTEES</w:t>
            </w:r>
          </w:p>
        </w:tc>
        <w:tc>
          <w:tcPr>
            <w:tcW w:w="1760" w:type="dxa"/>
            <w:vAlign w:val="bottom"/>
          </w:tcPr>
          <w:p>
            <w:pPr>
              <w:spacing w:after="0"/>
              <w:rPr>
                <w:sz w:val="23"/>
                <w:szCs w:val="23"/>
                <w:color w:val="auto"/>
              </w:rPr>
            </w:pP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(A)</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Committees</w:t>
            </w:r>
          </w:p>
        </w:tc>
        <w:tc>
          <w:tcPr>
            <w:tcW w:w="17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(B)</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Committee Rules</w:t>
            </w:r>
          </w:p>
        </w:tc>
        <w:tc>
          <w:tcPr>
            <w:tcW w:w="17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3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760" w:type="dxa"/>
            <w:vAlign w:val="bottom"/>
            <w:gridSpan w:val="2"/>
          </w:tcPr>
          <w:p>
            <w:pPr>
              <w:jc w:val="center"/>
              <w:ind w:right="3000"/>
              <w:spacing w:after="0"/>
              <w:rPr>
                <w:sz w:val="20"/>
                <w:szCs w:val="20"/>
                <w:color w:val="auto"/>
              </w:rPr>
            </w:pPr>
            <w:r>
              <w:rPr>
                <w:rFonts w:ascii="Arial" w:cs="Arial" w:eastAsia="Arial" w:hAnsi="Arial"/>
                <w:sz w:val="22"/>
                <w:szCs w:val="22"/>
                <w:color w:val="auto"/>
                <w:w w:val="98"/>
              </w:rPr>
              <w:t>ARTICLE V</w:t>
            </w:r>
          </w:p>
        </w:tc>
        <w:tc>
          <w:tcPr>
            <w:tcW w:w="1760" w:type="dxa"/>
            <w:vAlign w:val="bottom"/>
          </w:tcPr>
          <w:p>
            <w:pPr>
              <w:spacing w:after="0"/>
              <w:rPr>
                <w:sz w:val="24"/>
                <w:szCs w:val="24"/>
                <w:color w:val="auto"/>
              </w:rPr>
            </w:pPr>
          </w:p>
        </w:tc>
      </w:tr>
      <w:tr>
        <w:trPr>
          <w:trHeight w:val="275"/>
        </w:trPr>
        <w:tc>
          <w:tcPr>
            <w:tcW w:w="58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4760" w:type="dxa"/>
            <w:vAlign w:val="bottom"/>
            <w:gridSpan w:val="2"/>
          </w:tcPr>
          <w:p>
            <w:pPr>
              <w:jc w:val="center"/>
              <w:ind w:right="3000"/>
              <w:spacing w:after="0"/>
              <w:rPr>
                <w:sz w:val="20"/>
                <w:szCs w:val="20"/>
                <w:color w:val="auto"/>
              </w:rPr>
            </w:pPr>
            <w:r>
              <w:rPr>
                <w:rFonts w:ascii="Arial" w:cs="Arial" w:eastAsia="Arial" w:hAnsi="Arial"/>
                <w:sz w:val="22"/>
                <w:szCs w:val="22"/>
                <w:color w:val="auto"/>
                <w:w w:val="89"/>
              </w:rPr>
              <w:t>OFFICERS</w:t>
            </w:r>
          </w:p>
        </w:tc>
        <w:tc>
          <w:tcPr>
            <w:tcW w:w="1760" w:type="dxa"/>
            <w:vAlign w:val="bottom"/>
          </w:tcPr>
          <w:p>
            <w:pPr>
              <w:spacing w:after="0"/>
              <w:rPr>
                <w:sz w:val="23"/>
                <w:szCs w:val="23"/>
                <w:color w:val="auto"/>
              </w:rPr>
            </w:pP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(A)</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Number and Qualifications</w:t>
            </w:r>
          </w:p>
        </w:tc>
        <w:tc>
          <w:tcPr>
            <w:tcW w:w="17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(B)</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Election and Term of Office</w:t>
            </w:r>
          </w:p>
        </w:tc>
        <w:tc>
          <w:tcPr>
            <w:tcW w:w="17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(C)</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Resignations</w:t>
            </w:r>
          </w:p>
        </w:tc>
        <w:tc>
          <w:tcPr>
            <w:tcW w:w="17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(D)</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Removal</w:t>
            </w:r>
          </w:p>
        </w:tc>
        <w:tc>
          <w:tcPr>
            <w:tcW w:w="17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(E)</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Vacancies</w:t>
            </w:r>
          </w:p>
        </w:tc>
        <w:tc>
          <w:tcPr>
            <w:tcW w:w="17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(F)</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Chairman of the Board</w:t>
            </w:r>
          </w:p>
        </w:tc>
        <w:tc>
          <w:tcPr>
            <w:tcW w:w="17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(G)</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Chief Executive Officer</w:t>
            </w:r>
          </w:p>
        </w:tc>
        <w:tc>
          <w:tcPr>
            <w:tcW w:w="17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(H)</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Chief Financial Officer; Treasurer</w:t>
            </w:r>
          </w:p>
        </w:tc>
        <w:tc>
          <w:tcPr>
            <w:tcW w:w="17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(I)</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Secretary</w:t>
            </w:r>
          </w:p>
        </w:tc>
        <w:tc>
          <w:tcPr>
            <w:tcW w:w="17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(J)</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Chief Compliance Officer</w:t>
            </w:r>
          </w:p>
        </w:tc>
        <w:tc>
          <w:tcPr>
            <w:tcW w:w="17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(K)</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Other Officers, Assistant Officers and Agents</w:t>
            </w:r>
          </w:p>
        </w:tc>
        <w:tc>
          <w:tcPr>
            <w:tcW w:w="17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(L)</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Officers’ Bonds or Other Security</w:t>
            </w:r>
          </w:p>
        </w:tc>
        <w:tc>
          <w:tcPr>
            <w:tcW w:w="17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(M)</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Absence or Disability of Officers</w:t>
            </w:r>
          </w:p>
        </w:tc>
        <w:tc>
          <w:tcPr>
            <w:tcW w:w="17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3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760" w:type="dxa"/>
            <w:vAlign w:val="bottom"/>
            <w:gridSpan w:val="2"/>
          </w:tcPr>
          <w:p>
            <w:pPr>
              <w:jc w:val="center"/>
              <w:ind w:right="2980"/>
              <w:spacing w:after="0"/>
              <w:rPr>
                <w:sz w:val="20"/>
                <w:szCs w:val="20"/>
                <w:color w:val="auto"/>
              </w:rPr>
            </w:pPr>
            <w:r>
              <w:rPr>
                <w:rFonts w:ascii="Arial" w:cs="Arial" w:eastAsia="Arial" w:hAnsi="Arial"/>
                <w:sz w:val="22"/>
                <w:szCs w:val="22"/>
                <w:color w:val="auto"/>
                <w:w w:val="98"/>
              </w:rPr>
              <w:t>ARTICLE VI</w:t>
            </w:r>
          </w:p>
        </w:tc>
        <w:tc>
          <w:tcPr>
            <w:tcW w:w="1760" w:type="dxa"/>
            <w:vAlign w:val="bottom"/>
          </w:tcPr>
          <w:p>
            <w:pPr>
              <w:spacing w:after="0"/>
              <w:rPr>
                <w:sz w:val="24"/>
                <w:szCs w:val="24"/>
                <w:color w:val="auto"/>
              </w:rPr>
            </w:pPr>
          </w:p>
        </w:tc>
      </w:tr>
      <w:tr>
        <w:trPr>
          <w:trHeight w:val="275"/>
        </w:trPr>
        <w:tc>
          <w:tcPr>
            <w:tcW w:w="580" w:type="dxa"/>
            <w:vAlign w:val="bottom"/>
          </w:tcPr>
          <w:p>
            <w:pPr>
              <w:spacing w:after="0"/>
              <w:rPr>
                <w:sz w:val="23"/>
                <w:szCs w:val="23"/>
                <w:color w:val="auto"/>
              </w:rPr>
            </w:pPr>
          </w:p>
        </w:tc>
        <w:tc>
          <w:tcPr>
            <w:tcW w:w="9080" w:type="dxa"/>
            <w:vAlign w:val="bottom"/>
            <w:gridSpan w:val="3"/>
          </w:tcPr>
          <w:p>
            <w:pPr>
              <w:jc w:val="center"/>
              <w:ind w:left="1212"/>
              <w:spacing w:after="0"/>
              <w:rPr>
                <w:sz w:val="20"/>
                <w:szCs w:val="20"/>
                <w:color w:val="auto"/>
              </w:rPr>
            </w:pPr>
            <w:r>
              <w:rPr>
                <w:rFonts w:ascii="Arial" w:cs="Arial" w:eastAsia="Arial" w:hAnsi="Arial"/>
                <w:sz w:val="22"/>
                <w:szCs w:val="22"/>
                <w:color w:val="auto"/>
                <w:w w:val="96"/>
              </w:rPr>
              <w:t>INDEMNI FICATION; EXCULPATION</w:t>
            </w:r>
          </w:p>
        </w:tc>
        <w:tc>
          <w:tcPr>
            <w:tcW w:w="1760" w:type="dxa"/>
            <w:vAlign w:val="bottom"/>
          </w:tcPr>
          <w:p>
            <w:pPr>
              <w:spacing w:after="0"/>
              <w:rPr>
                <w:sz w:val="23"/>
                <w:szCs w:val="23"/>
                <w:color w:val="auto"/>
              </w:rPr>
            </w:pP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(A)</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General</w:t>
            </w:r>
          </w:p>
        </w:tc>
        <w:tc>
          <w:tcPr>
            <w:tcW w:w="17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(B)</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Severability</w:t>
            </w:r>
          </w:p>
        </w:tc>
        <w:tc>
          <w:tcPr>
            <w:tcW w:w="17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3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760" w:type="dxa"/>
            <w:vAlign w:val="bottom"/>
            <w:gridSpan w:val="2"/>
          </w:tcPr>
          <w:p>
            <w:pPr>
              <w:jc w:val="center"/>
              <w:ind w:right="3000"/>
              <w:spacing w:after="0"/>
              <w:rPr>
                <w:sz w:val="20"/>
                <w:szCs w:val="20"/>
                <w:color w:val="auto"/>
              </w:rPr>
            </w:pPr>
            <w:r>
              <w:rPr>
                <w:rFonts w:ascii="Arial" w:cs="Arial" w:eastAsia="Arial" w:hAnsi="Arial"/>
                <w:sz w:val="22"/>
                <w:szCs w:val="22"/>
                <w:color w:val="auto"/>
                <w:w w:val="98"/>
              </w:rPr>
              <w:t>ARTICLE VII</w:t>
            </w:r>
          </w:p>
        </w:tc>
        <w:tc>
          <w:tcPr>
            <w:tcW w:w="1760" w:type="dxa"/>
            <w:vAlign w:val="bottom"/>
          </w:tcPr>
          <w:p>
            <w:pPr>
              <w:spacing w:after="0"/>
              <w:rPr>
                <w:sz w:val="24"/>
                <w:szCs w:val="24"/>
                <w:color w:val="auto"/>
              </w:rPr>
            </w:pPr>
          </w:p>
        </w:tc>
      </w:tr>
      <w:tr>
        <w:trPr>
          <w:trHeight w:val="275"/>
        </w:trPr>
        <w:tc>
          <w:tcPr>
            <w:tcW w:w="580" w:type="dxa"/>
            <w:vAlign w:val="bottom"/>
          </w:tcPr>
          <w:p>
            <w:pPr>
              <w:spacing w:after="0"/>
              <w:rPr>
                <w:sz w:val="23"/>
                <w:szCs w:val="23"/>
                <w:color w:val="auto"/>
              </w:rPr>
            </w:pPr>
          </w:p>
        </w:tc>
        <w:tc>
          <w:tcPr>
            <w:tcW w:w="9080" w:type="dxa"/>
            <w:vAlign w:val="bottom"/>
            <w:gridSpan w:val="3"/>
          </w:tcPr>
          <w:p>
            <w:pPr>
              <w:jc w:val="center"/>
              <w:ind w:left="1212"/>
              <w:spacing w:after="0"/>
              <w:rPr>
                <w:sz w:val="20"/>
                <w:szCs w:val="20"/>
                <w:color w:val="auto"/>
              </w:rPr>
            </w:pPr>
            <w:r>
              <w:rPr>
                <w:rFonts w:ascii="Arial" w:cs="Arial" w:eastAsia="Arial" w:hAnsi="Arial"/>
                <w:sz w:val="22"/>
                <w:szCs w:val="22"/>
                <w:color w:val="auto"/>
                <w:w w:val="93"/>
              </w:rPr>
              <w:t>STOCK CERTIFICAT ES AND THEIR TRANSFER</w:t>
            </w:r>
          </w:p>
        </w:tc>
        <w:tc>
          <w:tcPr>
            <w:tcW w:w="1760" w:type="dxa"/>
            <w:vAlign w:val="bottom"/>
          </w:tcPr>
          <w:p>
            <w:pPr>
              <w:spacing w:after="0"/>
              <w:rPr>
                <w:sz w:val="23"/>
                <w:szCs w:val="23"/>
                <w:color w:val="auto"/>
              </w:rPr>
            </w:pP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(A)</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Stock Certificates</w:t>
            </w:r>
          </w:p>
        </w:tc>
        <w:tc>
          <w:tcPr>
            <w:tcW w:w="17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(B)</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Facsimile Signatures</w:t>
            </w:r>
          </w:p>
        </w:tc>
        <w:tc>
          <w:tcPr>
            <w:tcW w:w="17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(C)</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Lost Certificates</w:t>
            </w:r>
          </w:p>
        </w:tc>
        <w:tc>
          <w:tcPr>
            <w:tcW w:w="17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(D)</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Transfers of Stock</w:t>
            </w:r>
          </w:p>
        </w:tc>
        <w:tc>
          <w:tcPr>
            <w:tcW w:w="17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(E)</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Transfer Agents and Registrars</w:t>
            </w:r>
          </w:p>
        </w:tc>
        <w:tc>
          <w:tcPr>
            <w:tcW w:w="17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(F)</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Regulations</w:t>
            </w:r>
          </w:p>
        </w:tc>
        <w:tc>
          <w:tcPr>
            <w:tcW w:w="17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65"/>
        </w:trPr>
        <w:tc>
          <w:tcPr>
            <w:tcW w:w="580" w:type="dxa"/>
            <w:vAlign w:val="bottom"/>
          </w:tcPr>
          <w:p>
            <w:pPr>
              <w:spacing w:after="0"/>
              <w:rPr>
                <w:sz w:val="20"/>
                <w:szCs w:val="20"/>
                <w:color w:val="auto"/>
              </w:rPr>
            </w:pPr>
            <w:r>
              <w:rPr>
                <w:rFonts w:ascii="Arial" w:cs="Arial" w:eastAsia="Arial" w:hAnsi="Arial"/>
                <w:sz w:val="22"/>
                <w:szCs w:val="22"/>
                <w:color w:val="auto"/>
              </w:rPr>
              <w:t>(G)</w:t>
            </w:r>
          </w:p>
        </w:tc>
        <w:tc>
          <w:tcPr>
            <w:tcW w:w="9080" w:type="dxa"/>
            <w:vAlign w:val="bottom"/>
            <w:gridSpan w:val="3"/>
          </w:tcPr>
          <w:p>
            <w:pPr>
              <w:ind w:left="260"/>
              <w:spacing w:after="0"/>
              <w:rPr>
                <w:sz w:val="20"/>
                <w:szCs w:val="20"/>
                <w:color w:val="auto"/>
              </w:rPr>
            </w:pPr>
            <w:r>
              <w:rPr>
                <w:rFonts w:ascii="Arial" w:cs="Arial" w:eastAsia="Arial" w:hAnsi="Arial"/>
                <w:sz w:val="22"/>
                <w:szCs w:val="22"/>
                <w:color w:val="auto"/>
              </w:rPr>
              <w:t>Fixing the Record Date</w:t>
            </w:r>
          </w:p>
        </w:tc>
        <w:tc>
          <w:tcPr>
            <w:tcW w:w="1760" w:type="dxa"/>
            <w:vAlign w:val="bottom"/>
          </w:tcPr>
          <w:p>
            <w:pPr>
              <w:jc w:val="right"/>
              <w:spacing w:after="0"/>
              <w:rPr>
                <w:sz w:val="20"/>
                <w:szCs w:val="20"/>
                <w:color w:val="auto"/>
              </w:rPr>
            </w:pPr>
            <w:r>
              <w:rPr>
                <w:rFonts w:ascii="Arial" w:cs="Arial" w:eastAsia="Arial" w:hAnsi="Arial"/>
                <w:sz w:val="22"/>
                <w:szCs w:val="22"/>
                <w:color w:val="auto"/>
              </w:rPr>
              <w:t>15</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3"/>
        </w:trPr>
        <w:tc>
          <w:tcPr>
            <w:tcW w:w="5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520" w:type="dxa"/>
            <w:vAlign w:val="bottom"/>
            <w:gridSpan w:val="2"/>
          </w:tcPr>
          <w:p>
            <w:pPr>
              <w:jc w:val="center"/>
              <w:ind w:right="4900"/>
              <w:spacing w:after="0"/>
              <w:rPr>
                <w:sz w:val="20"/>
                <w:szCs w:val="20"/>
                <w:color w:val="auto"/>
              </w:rPr>
            </w:pPr>
            <w:r>
              <w:rPr>
                <w:rFonts w:ascii="Arial" w:cs="Arial" w:eastAsia="Arial" w:hAnsi="Arial"/>
                <w:sz w:val="22"/>
                <w:szCs w:val="22"/>
                <w:b w:val="1"/>
                <w:bCs w:val="1"/>
                <w:color w:val="auto"/>
                <w:w w:val="87"/>
              </w:rPr>
              <w:t>Table of Contents</w:t>
            </w:r>
          </w:p>
        </w:tc>
      </w:tr>
      <w:tr>
        <w:trPr>
          <w:trHeight w:val="274"/>
        </w:trPr>
        <w:tc>
          <w:tcPr>
            <w:tcW w:w="56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(continued)</w:t>
            </w:r>
          </w:p>
        </w:tc>
        <w:tc>
          <w:tcPr>
            <w:tcW w:w="4900" w:type="dxa"/>
            <w:vAlign w:val="bottom"/>
          </w:tcPr>
          <w:p>
            <w:pPr>
              <w:spacing w:after="0"/>
              <w:rPr>
                <w:sz w:val="23"/>
                <w:szCs w:val="23"/>
                <w:color w:val="auto"/>
              </w:rPr>
            </w:pPr>
          </w:p>
        </w:tc>
      </w:tr>
      <w:tr>
        <w:trPr>
          <w:trHeight w:val="473"/>
        </w:trPr>
        <w:tc>
          <w:tcPr>
            <w:tcW w:w="560" w:type="dxa"/>
            <w:vAlign w:val="bottom"/>
          </w:tcPr>
          <w:p>
            <w:pPr>
              <w:spacing w:after="0"/>
              <w:rPr>
                <w:sz w:val="20"/>
                <w:szCs w:val="20"/>
                <w:color w:val="auto"/>
              </w:rPr>
            </w:pPr>
            <w:r>
              <w:rPr>
                <w:rFonts w:ascii="Arial" w:cs="Arial" w:eastAsia="Arial" w:hAnsi="Arial"/>
                <w:sz w:val="22"/>
                <w:szCs w:val="22"/>
                <w:color w:val="auto"/>
              </w:rPr>
              <w:t>(H)</w:t>
            </w:r>
          </w:p>
        </w:tc>
        <w:tc>
          <w:tcPr>
            <w:tcW w:w="3680" w:type="dxa"/>
            <w:vAlign w:val="bottom"/>
          </w:tcPr>
          <w:p>
            <w:pPr>
              <w:ind w:left="280"/>
              <w:spacing w:after="0"/>
              <w:rPr>
                <w:sz w:val="20"/>
                <w:szCs w:val="20"/>
                <w:color w:val="auto"/>
              </w:rPr>
            </w:pPr>
            <w:r>
              <w:rPr>
                <w:rFonts w:ascii="Arial" w:cs="Arial" w:eastAsia="Arial" w:hAnsi="Arial"/>
                <w:sz w:val="22"/>
                <w:szCs w:val="22"/>
                <w:color w:val="auto"/>
              </w:rPr>
              <w:t>Registered Stockholders</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15</w:t>
            </w:r>
          </w:p>
        </w:tc>
      </w:tr>
      <w:tr>
        <w:trPr>
          <w:trHeight w:val="333"/>
        </w:trPr>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20" w:type="dxa"/>
            <w:vAlign w:val="bottom"/>
            <w:gridSpan w:val="2"/>
          </w:tcPr>
          <w:p>
            <w:pPr>
              <w:jc w:val="right"/>
              <w:ind w:right="4980"/>
              <w:spacing w:after="0"/>
              <w:rPr>
                <w:sz w:val="20"/>
                <w:szCs w:val="20"/>
                <w:color w:val="auto"/>
              </w:rPr>
            </w:pPr>
            <w:r>
              <w:rPr>
                <w:rFonts w:ascii="Arial" w:cs="Arial" w:eastAsia="Arial" w:hAnsi="Arial"/>
                <w:sz w:val="22"/>
                <w:szCs w:val="22"/>
                <w:color w:val="auto"/>
              </w:rPr>
              <w:t>ARTICLE VIII</w:t>
            </w:r>
          </w:p>
        </w:tc>
      </w:tr>
      <w:tr>
        <w:trPr>
          <w:trHeight w:val="275"/>
        </w:trPr>
        <w:tc>
          <w:tcPr>
            <w:tcW w:w="56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7180" w:type="dxa"/>
            <w:vAlign w:val="bottom"/>
            <w:gridSpan w:val="3"/>
          </w:tcPr>
          <w:p>
            <w:pPr>
              <w:jc w:val="right"/>
              <w:ind w:right="4480"/>
              <w:spacing w:after="0"/>
              <w:rPr>
                <w:sz w:val="20"/>
                <w:szCs w:val="20"/>
                <w:color w:val="auto"/>
              </w:rPr>
            </w:pPr>
            <w:r>
              <w:rPr>
                <w:rFonts w:ascii="Arial" w:cs="Arial" w:eastAsia="Arial" w:hAnsi="Arial"/>
                <w:sz w:val="22"/>
                <w:szCs w:val="22"/>
                <w:color w:val="auto"/>
              </w:rPr>
              <w:t>GENERAL PROVISIONS</w:t>
            </w:r>
          </w:p>
        </w:tc>
      </w:tr>
      <w:tr>
        <w:trPr>
          <w:trHeight w:val="365"/>
        </w:trPr>
        <w:tc>
          <w:tcPr>
            <w:tcW w:w="560" w:type="dxa"/>
            <w:vAlign w:val="bottom"/>
          </w:tcPr>
          <w:p>
            <w:pPr>
              <w:spacing w:after="0"/>
              <w:rPr>
                <w:sz w:val="20"/>
                <w:szCs w:val="20"/>
                <w:color w:val="auto"/>
              </w:rPr>
            </w:pPr>
            <w:r>
              <w:rPr>
                <w:rFonts w:ascii="Arial" w:cs="Arial" w:eastAsia="Arial" w:hAnsi="Arial"/>
                <w:sz w:val="22"/>
                <w:szCs w:val="22"/>
                <w:color w:val="auto"/>
              </w:rPr>
              <w:t>(A)</w:t>
            </w:r>
          </w:p>
        </w:tc>
        <w:tc>
          <w:tcPr>
            <w:tcW w:w="3680" w:type="dxa"/>
            <w:vAlign w:val="bottom"/>
          </w:tcPr>
          <w:p>
            <w:pPr>
              <w:ind w:left="280"/>
              <w:spacing w:after="0"/>
              <w:rPr>
                <w:sz w:val="20"/>
                <w:szCs w:val="20"/>
                <w:color w:val="auto"/>
              </w:rPr>
            </w:pPr>
            <w:r>
              <w:rPr>
                <w:rFonts w:ascii="Arial" w:cs="Arial" w:eastAsia="Arial" w:hAnsi="Arial"/>
                <w:sz w:val="22"/>
                <w:szCs w:val="22"/>
                <w:color w:val="auto"/>
              </w:rPr>
              <w:t>Dividends</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15</w:t>
            </w:r>
          </w:p>
        </w:tc>
      </w:tr>
      <w:tr>
        <w:trPr>
          <w:trHeight w:val="365"/>
        </w:trPr>
        <w:tc>
          <w:tcPr>
            <w:tcW w:w="560" w:type="dxa"/>
            <w:vAlign w:val="bottom"/>
          </w:tcPr>
          <w:p>
            <w:pPr>
              <w:spacing w:after="0"/>
              <w:rPr>
                <w:sz w:val="20"/>
                <w:szCs w:val="20"/>
                <w:color w:val="auto"/>
              </w:rPr>
            </w:pPr>
            <w:r>
              <w:rPr>
                <w:rFonts w:ascii="Arial" w:cs="Arial" w:eastAsia="Arial" w:hAnsi="Arial"/>
                <w:sz w:val="22"/>
                <w:szCs w:val="22"/>
                <w:color w:val="auto"/>
              </w:rPr>
              <w:t>(B)</w:t>
            </w:r>
          </w:p>
        </w:tc>
        <w:tc>
          <w:tcPr>
            <w:tcW w:w="3680" w:type="dxa"/>
            <w:vAlign w:val="bottom"/>
          </w:tcPr>
          <w:p>
            <w:pPr>
              <w:ind w:left="280"/>
              <w:spacing w:after="0"/>
              <w:rPr>
                <w:sz w:val="20"/>
                <w:szCs w:val="20"/>
                <w:color w:val="auto"/>
              </w:rPr>
            </w:pPr>
            <w:r>
              <w:rPr>
                <w:rFonts w:ascii="Arial" w:cs="Arial" w:eastAsia="Arial" w:hAnsi="Arial"/>
                <w:sz w:val="22"/>
                <w:szCs w:val="22"/>
                <w:color w:val="auto"/>
              </w:rPr>
              <w:t>Reserves</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15</w:t>
            </w:r>
          </w:p>
        </w:tc>
      </w:tr>
      <w:tr>
        <w:trPr>
          <w:trHeight w:val="365"/>
        </w:trPr>
        <w:tc>
          <w:tcPr>
            <w:tcW w:w="560" w:type="dxa"/>
            <w:vAlign w:val="bottom"/>
          </w:tcPr>
          <w:p>
            <w:pPr>
              <w:spacing w:after="0"/>
              <w:rPr>
                <w:sz w:val="20"/>
                <w:szCs w:val="20"/>
                <w:color w:val="auto"/>
              </w:rPr>
            </w:pPr>
            <w:r>
              <w:rPr>
                <w:rFonts w:ascii="Arial" w:cs="Arial" w:eastAsia="Arial" w:hAnsi="Arial"/>
                <w:sz w:val="22"/>
                <w:szCs w:val="22"/>
                <w:color w:val="auto"/>
              </w:rPr>
              <w:t>(C)</w:t>
            </w:r>
          </w:p>
        </w:tc>
        <w:tc>
          <w:tcPr>
            <w:tcW w:w="3680" w:type="dxa"/>
            <w:vAlign w:val="bottom"/>
          </w:tcPr>
          <w:p>
            <w:pPr>
              <w:ind w:left="280"/>
              <w:spacing w:after="0"/>
              <w:rPr>
                <w:sz w:val="20"/>
                <w:szCs w:val="20"/>
                <w:color w:val="auto"/>
              </w:rPr>
            </w:pPr>
            <w:r>
              <w:rPr>
                <w:rFonts w:ascii="Arial" w:cs="Arial" w:eastAsia="Arial" w:hAnsi="Arial"/>
                <w:sz w:val="22"/>
                <w:szCs w:val="22"/>
                <w:color w:val="auto"/>
              </w:rPr>
              <w:t>Seal</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16</w:t>
            </w:r>
          </w:p>
        </w:tc>
      </w:tr>
      <w:tr>
        <w:trPr>
          <w:trHeight w:val="365"/>
        </w:trPr>
        <w:tc>
          <w:tcPr>
            <w:tcW w:w="560" w:type="dxa"/>
            <w:vAlign w:val="bottom"/>
          </w:tcPr>
          <w:p>
            <w:pPr>
              <w:spacing w:after="0"/>
              <w:rPr>
                <w:sz w:val="20"/>
                <w:szCs w:val="20"/>
                <w:color w:val="auto"/>
              </w:rPr>
            </w:pPr>
            <w:r>
              <w:rPr>
                <w:rFonts w:ascii="Arial" w:cs="Arial" w:eastAsia="Arial" w:hAnsi="Arial"/>
                <w:sz w:val="22"/>
                <w:szCs w:val="22"/>
                <w:color w:val="auto"/>
              </w:rPr>
              <w:t>(D)</w:t>
            </w:r>
          </w:p>
        </w:tc>
        <w:tc>
          <w:tcPr>
            <w:tcW w:w="3680" w:type="dxa"/>
            <w:vAlign w:val="bottom"/>
          </w:tcPr>
          <w:p>
            <w:pPr>
              <w:ind w:left="280"/>
              <w:spacing w:after="0"/>
              <w:rPr>
                <w:sz w:val="20"/>
                <w:szCs w:val="20"/>
                <w:color w:val="auto"/>
              </w:rPr>
            </w:pPr>
            <w:r>
              <w:rPr>
                <w:rFonts w:ascii="Arial" w:cs="Arial" w:eastAsia="Arial" w:hAnsi="Arial"/>
                <w:sz w:val="22"/>
                <w:szCs w:val="22"/>
                <w:color w:val="auto"/>
              </w:rPr>
              <w:t>Fiscal Year</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16</w:t>
            </w:r>
          </w:p>
        </w:tc>
      </w:tr>
      <w:tr>
        <w:trPr>
          <w:trHeight w:val="365"/>
        </w:trPr>
        <w:tc>
          <w:tcPr>
            <w:tcW w:w="560" w:type="dxa"/>
            <w:vAlign w:val="bottom"/>
          </w:tcPr>
          <w:p>
            <w:pPr>
              <w:spacing w:after="0"/>
              <w:rPr>
                <w:sz w:val="20"/>
                <w:szCs w:val="20"/>
                <w:color w:val="auto"/>
              </w:rPr>
            </w:pPr>
            <w:r>
              <w:rPr>
                <w:rFonts w:ascii="Arial" w:cs="Arial" w:eastAsia="Arial" w:hAnsi="Arial"/>
                <w:sz w:val="22"/>
                <w:szCs w:val="22"/>
                <w:color w:val="auto"/>
              </w:rPr>
              <w:t>(E)</w:t>
            </w:r>
          </w:p>
        </w:tc>
        <w:tc>
          <w:tcPr>
            <w:tcW w:w="3680" w:type="dxa"/>
            <w:vAlign w:val="bottom"/>
          </w:tcPr>
          <w:p>
            <w:pPr>
              <w:ind w:left="280"/>
              <w:spacing w:after="0"/>
              <w:rPr>
                <w:sz w:val="20"/>
                <w:szCs w:val="20"/>
                <w:color w:val="auto"/>
              </w:rPr>
            </w:pPr>
            <w:r>
              <w:rPr>
                <w:rFonts w:ascii="Arial" w:cs="Arial" w:eastAsia="Arial" w:hAnsi="Arial"/>
                <w:sz w:val="22"/>
                <w:szCs w:val="22"/>
                <w:color w:val="auto"/>
              </w:rPr>
              <w:t>Checks, Notes, Drafts; Etc</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16</w:t>
            </w:r>
          </w:p>
        </w:tc>
      </w:tr>
      <w:tr>
        <w:trPr>
          <w:trHeight w:val="365"/>
        </w:trPr>
        <w:tc>
          <w:tcPr>
            <w:tcW w:w="560" w:type="dxa"/>
            <w:vAlign w:val="bottom"/>
          </w:tcPr>
          <w:p>
            <w:pPr>
              <w:spacing w:after="0"/>
              <w:rPr>
                <w:sz w:val="20"/>
                <w:szCs w:val="20"/>
                <w:color w:val="auto"/>
              </w:rPr>
            </w:pPr>
            <w:r>
              <w:rPr>
                <w:rFonts w:ascii="Arial" w:cs="Arial" w:eastAsia="Arial" w:hAnsi="Arial"/>
                <w:sz w:val="22"/>
                <w:szCs w:val="22"/>
                <w:color w:val="auto"/>
              </w:rPr>
              <w:t>(F)</w:t>
            </w:r>
          </w:p>
        </w:tc>
        <w:tc>
          <w:tcPr>
            <w:tcW w:w="3680" w:type="dxa"/>
            <w:vAlign w:val="bottom"/>
          </w:tcPr>
          <w:p>
            <w:pPr>
              <w:ind w:left="280"/>
              <w:spacing w:after="0"/>
              <w:rPr>
                <w:sz w:val="20"/>
                <w:szCs w:val="20"/>
                <w:color w:val="auto"/>
              </w:rPr>
            </w:pPr>
            <w:r>
              <w:rPr>
                <w:rFonts w:ascii="Arial" w:cs="Arial" w:eastAsia="Arial" w:hAnsi="Arial"/>
                <w:sz w:val="22"/>
                <w:szCs w:val="22"/>
                <w:color w:val="auto"/>
                <w:w w:val="99"/>
              </w:rPr>
              <w:t>Execution of Contracts, Deeds, Etc</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16</w:t>
            </w:r>
          </w:p>
        </w:tc>
      </w:tr>
      <w:tr>
        <w:trPr>
          <w:trHeight w:val="365"/>
        </w:trPr>
        <w:tc>
          <w:tcPr>
            <w:tcW w:w="560" w:type="dxa"/>
            <w:vAlign w:val="bottom"/>
          </w:tcPr>
          <w:p>
            <w:pPr>
              <w:spacing w:after="0"/>
              <w:rPr>
                <w:sz w:val="20"/>
                <w:szCs w:val="20"/>
                <w:color w:val="auto"/>
              </w:rPr>
            </w:pPr>
            <w:r>
              <w:rPr>
                <w:rFonts w:ascii="Arial" w:cs="Arial" w:eastAsia="Arial" w:hAnsi="Arial"/>
                <w:sz w:val="22"/>
                <w:szCs w:val="22"/>
                <w:color w:val="auto"/>
              </w:rPr>
              <w:t>(G)</w:t>
            </w:r>
          </w:p>
        </w:tc>
        <w:tc>
          <w:tcPr>
            <w:tcW w:w="3680" w:type="dxa"/>
            <w:vAlign w:val="bottom"/>
          </w:tcPr>
          <w:p>
            <w:pPr>
              <w:ind w:left="280"/>
              <w:spacing w:after="0"/>
              <w:rPr>
                <w:sz w:val="20"/>
                <w:szCs w:val="20"/>
                <w:color w:val="auto"/>
              </w:rPr>
            </w:pPr>
            <w:r>
              <w:rPr>
                <w:rFonts w:ascii="Arial" w:cs="Arial" w:eastAsia="Arial" w:hAnsi="Arial"/>
                <w:sz w:val="22"/>
                <w:szCs w:val="22"/>
                <w:color w:val="auto"/>
              </w:rPr>
              <w:t>Inspection of Books and Records</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16</w:t>
            </w:r>
          </w:p>
        </w:tc>
      </w:tr>
      <w:tr>
        <w:trPr>
          <w:trHeight w:val="365"/>
        </w:trPr>
        <w:tc>
          <w:tcPr>
            <w:tcW w:w="560" w:type="dxa"/>
            <w:vAlign w:val="bottom"/>
          </w:tcPr>
          <w:p>
            <w:pPr>
              <w:spacing w:after="0"/>
              <w:rPr>
                <w:sz w:val="20"/>
                <w:szCs w:val="20"/>
                <w:color w:val="auto"/>
              </w:rPr>
            </w:pPr>
            <w:r>
              <w:rPr>
                <w:rFonts w:ascii="Arial" w:cs="Arial" w:eastAsia="Arial" w:hAnsi="Arial"/>
                <w:sz w:val="22"/>
                <w:szCs w:val="22"/>
                <w:color w:val="auto"/>
              </w:rPr>
              <w:t>(H)</w:t>
            </w:r>
          </w:p>
        </w:tc>
        <w:tc>
          <w:tcPr>
            <w:tcW w:w="3680" w:type="dxa"/>
            <w:vAlign w:val="bottom"/>
          </w:tcPr>
          <w:p>
            <w:pPr>
              <w:ind w:left="280"/>
              <w:spacing w:after="0"/>
              <w:rPr>
                <w:sz w:val="20"/>
                <w:szCs w:val="20"/>
                <w:color w:val="auto"/>
              </w:rPr>
            </w:pPr>
            <w:r>
              <w:rPr>
                <w:rFonts w:ascii="Arial" w:cs="Arial" w:eastAsia="Arial" w:hAnsi="Arial"/>
                <w:sz w:val="22"/>
                <w:szCs w:val="22"/>
                <w:color w:val="auto"/>
              </w:rPr>
              <w:t>References to Days</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16</w:t>
            </w:r>
          </w:p>
        </w:tc>
      </w:tr>
      <w:tr>
        <w:trPr>
          <w:trHeight w:val="365"/>
        </w:trPr>
        <w:tc>
          <w:tcPr>
            <w:tcW w:w="560" w:type="dxa"/>
            <w:vAlign w:val="bottom"/>
          </w:tcPr>
          <w:p>
            <w:pPr>
              <w:spacing w:after="0"/>
              <w:rPr>
                <w:sz w:val="20"/>
                <w:szCs w:val="20"/>
                <w:color w:val="auto"/>
              </w:rPr>
            </w:pPr>
            <w:r>
              <w:rPr>
                <w:rFonts w:ascii="Arial" w:cs="Arial" w:eastAsia="Arial" w:hAnsi="Arial"/>
                <w:sz w:val="22"/>
                <w:szCs w:val="22"/>
                <w:color w:val="auto"/>
              </w:rPr>
              <w:t>(I)</w:t>
            </w:r>
          </w:p>
        </w:tc>
        <w:tc>
          <w:tcPr>
            <w:tcW w:w="3680" w:type="dxa"/>
            <w:vAlign w:val="bottom"/>
          </w:tcPr>
          <w:p>
            <w:pPr>
              <w:ind w:left="280"/>
              <w:spacing w:after="0"/>
              <w:rPr>
                <w:sz w:val="20"/>
                <w:szCs w:val="20"/>
                <w:color w:val="auto"/>
              </w:rPr>
            </w:pPr>
            <w:r>
              <w:rPr>
                <w:rFonts w:ascii="Arial" w:cs="Arial" w:eastAsia="Arial" w:hAnsi="Arial"/>
                <w:sz w:val="22"/>
                <w:szCs w:val="22"/>
                <w:color w:val="auto"/>
              </w:rPr>
              <w:t>Inconsistent Provisions</w:t>
            </w:r>
          </w:p>
        </w:tc>
        <w:tc>
          <w:tcPr>
            <w:tcW w:w="7180" w:type="dxa"/>
            <w:vAlign w:val="bottom"/>
            <w:gridSpan w:val="3"/>
          </w:tcPr>
          <w:p>
            <w:pPr>
              <w:jc w:val="right"/>
              <w:spacing w:after="0"/>
              <w:rPr>
                <w:sz w:val="20"/>
                <w:szCs w:val="20"/>
                <w:color w:val="auto"/>
              </w:rPr>
            </w:pPr>
            <w:r>
              <w:rPr>
                <w:rFonts w:ascii="Arial" w:cs="Arial" w:eastAsia="Arial" w:hAnsi="Arial"/>
                <w:sz w:val="22"/>
                <w:szCs w:val="22"/>
                <w:color w:val="auto"/>
              </w:rPr>
              <w:t>16</w:t>
            </w:r>
          </w:p>
        </w:tc>
      </w:tr>
      <w:tr>
        <w:trPr>
          <w:trHeight w:val="441"/>
        </w:trPr>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20" w:type="dxa"/>
            <w:vAlign w:val="bottom"/>
            <w:gridSpan w:val="2"/>
          </w:tcPr>
          <w:p>
            <w:pPr>
              <w:jc w:val="center"/>
              <w:ind w:right="4900"/>
              <w:spacing w:after="0"/>
              <w:rPr>
                <w:sz w:val="20"/>
                <w:szCs w:val="20"/>
                <w:color w:val="auto"/>
              </w:rPr>
            </w:pPr>
            <w:r>
              <w:rPr>
                <w:rFonts w:ascii="Arial" w:cs="Arial" w:eastAsia="Arial" w:hAnsi="Arial"/>
                <w:sz w:val="22"/>
                <w:szCs w:val="22"/>
                <w:color w:val="auto"/>
                <w:w w:val="98"/>
              </w:rPr>
              <w:t>ARTICLE IX</w:t>
            </w:r>
          </w:p>
        </w:tc>
      </w:tr>
      <w:tr>
        <w:trPr>
          <w:trHeight w:val="275"/>
        </w:trPr>
        <w:tc>
          <w:tcPr>
            <w:tcW w:w="56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520" w:type="dxa"/>
            <w:vAlign w:val="bottom"/>
            <w:gridSpan w:val="2"/>
          </w:tcPr>
          <w:p>
            <w:pPr>
              <w:jc w:val="center"/>
              <w:ind w:right="4880"/>
              <w:spacing w:after="0"/>
              <w:rPr>
                <w:sz w:val="20"/>
                <w:szCs w:val="20"/>
                <w:color w:val="auto"/>
              </w:rPr>
            </w:pPr>
            <w:r>
              <w:rPr>
                <w:rFonts w:ascii="Arial" w:cs="Arial" w:eastAsia="Arial" w:hAnsi="Arial"/>
                <w:sz w:val="22"/>
                <w:szCs w:val="22"/>
                <w:color w:val="auto"/>
                <w:w w:val="97"/>
              </w:rPr>
              <w:t>AMENDMENTS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9" w:right="239" w:bottom="1440" w:gutter="0" w:footer="0" w:header="0"/>
        </w:sectPr>
      </w:pPr>
    </w:p>
    <w:bookmarkStart w:id="73" w:name="page74"/>
    <w:bookmarkEnd w:id="73"/>
    <w:p>
      <w:pPr>
        <w:ind w:left="5180"/>
        <w:spacing w:after="0"/>
        <w:rPr>
          <w:sz w:val="20"/>
          <w:szCs w:val="20"/>
          <w:color w:val="auto"/>
        </w:rPr>
      </w:pPr>
      <w:r>
        <w:rPr>
          <w:rFonts w:ascii="Arial" w:cs="Arial" w:eastAsia="Arial" w:hAnsi="Arial"/>
          <w:sz w:val="22"/>
          <w:szCs w:val="22"/>
          <w:color w:val="auto"/>
        </w:rPr>
        <w:t>BYLAWS</w:t>
      </w:r>
    </w:p>
    <w:p>
      <w:pPr>
        <w:spacing w:after="0" w:line="20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OF</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TPG SPECIALTY LENDING, INC.</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[Reserved]</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MEETINGS OF STOCKHOLDERS</w:t>
      </w:r>
    </w:p>
    <w:p>
      <w:pPr>
        <w:spacing w:after="0" w:line="182" w:lineRule="exact"/>
        <w:rPr>
          <w:sz w:val="20"/>
          <w:szCs w:val="20"/>
          <w:color w:val="auto"/>
        </w:rPr>
      </w:pPr>
    </w:p>
    <w:p>
      <w:pPr>
        <w:ind w:left="-80" w:right="320" w:firstLine="885"/>
        <w:spacing w:after="0" w:line="261" w:lineRule="auto"/>
        <w:tabs>
          <w:tab w:leader="none" w:pos="1151" w:val="left"/>
        </w:tabs>
        <w:numPr>
          <w:ilvl w:val="0"/>
          <w:numId w:val="54"/>
        </w:numPr>
        <w:rPr>
          <w:rFonts w:ascii="Arial" w:cs="Arial" w:eastAsia="Arial" w:hAnsi="Arial"/>
          <w:sz w:val="21"/>
          <w:szCs w:val="21"/>
          <w:color w:val="auto"/>
        </w:rPr>
      </w:pPr>
      <w:r>
        <w:rPr>
          <w:rFonts w:ascii="Arial" w:cs="Arial" w:eastAsia="Arial" w:hAnsi="Arial"/>
          <w:sz w:val="21"/>
          <w:szCs w:val="21"/>
          <w:b w:val="1"/>
          <w:bCs w:val="1"/>
          <w:color w:val="auto"/>
        </w:rPr>
        <w:t xml:space="preserve">Place of Meetings. </w:t>
      </w:r>
      <w:r>
        <w:rPr>
          <w:rFonts w:ascii="Arial" w:cs="Arial" w:eastAsia="Arial" w:hAnsi="Arial"/>
          <w:sz w:val="21"/>
          <w:szCs w:val="21"/>
          <w:color w:val="auto"/>
        </w:rPr>
        <w:t>All meetings of the stockholders for the election of directors or for any other purpose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held at any such place, either within or outside the State of Delaware, as shall be designated from time to time by the Board of Directors and stated in the notice of meeting or in a duly executed waiver of notice thereof.</w:t>
      </w:r>
    </w:p>
    <w:p>
      <w:pPr>
        <w:spacing w:after="0" w:line="157" w:lineRule="exact"/>
        <w:rPr>
          <w:rFonts w:ascii="Arial" w:cs="Arial" w:eastAsia="Arial" w:hAnsi="Arial"/>
          <w:sz w:val="21"/>
          <w:szCs w:val="21"/>
          <w:color w:val="auto"/>
        </w:rPr>
      </w:pPr>
    </w:p>
    <w:p>
      <w:pPr>
        <w:ind w:left="-80" w:right="20" w:firstLine="885"/>
        <w:spacing w:after="0" w:line="251" w:lineRule="auto"/>
        <w:tabs>
          <w:tab w:leader="none" w:pos="1140" w:val="left"/>
        </w:tabs>
        <w:numPr>
          <w:ilvl w:val="0"/>
          <w:numId w:val="54"/>
        </w:numPr>
        <w:rPr>
          <w:rFonts w:ascii="Arial" w:cs="Arial" w:eastAsia="Arial" w:hAnsi="Arial"/>
          <w:sz w:val="21"/>
          <w:szCs w:val="21"/>
          <w:color w:val="auto"/>
        </w:rPr>
      </w:pPr>
      <w:r>
        <w:rPr>
          <w:rFonts w:ascii="Arial" w:cs="Arial" w:eastAsia="Arial" w:hAnsi="Arial"/>
          <w:sz w:val="21"/>
          <w:szCs w:val="21"/>
          <w:b w:val="1"/>
          <w:bCs w:val="1"/>
          <w:color w:val="auto"/>
        </w:rPr>
        <w:t xml:space="preserve">Annual Meeting. </w:t>
      </w:r>
      <w:r>
        <w:rPr>
          <w:rFonts w:ascii="Arial" w:cs="Arial" w:eastAsia="Arial" w:hAnsi="Arial"/>
          <w:sz w:val="21"/>
          <w:szCs w:val="21"/>
          <w:color w:val="auto"/>
        </w:rPr>
        <w:t>An annual meeting of stockholders shall be held each year and stated in a notice of meeting or in a</w:t>
      </w:r>
      <w:r>
        <w:rPr>
          <w:rFonts w:ascii="Arial" w:cs="Arial" w:eastAsia="Arial" w:hAnsi="Arial"/>
          <w:sz w:val="21"/>
          <w:szCs w:val="21"/>
          <w:b w:val="1"/>
          <w:bCs w:val="1"/>
          <w:color w:val="auto"/>
        </w:rPr>
        <w:t xml:space="preserve"> </w:t>
      </w:r>
      <w:r>
        <w:rPr>
          <w:rFonts w:ascii="Arial" w:cs="Arial" w:eastAsia="Arial" w:hAnsi="Arial"/>
          <w:sz w:val="21"/>
          <w:szCs w:val="21"/>
          <w:color w:val="auto"/>
        </w:rPr>
        <w:t>duly executed waiver thereof. The date, time and place of such meeting shall be determined by the Chief Executive Officer of the Corporation; provided that if the Chief Executive Officer does not act, the Board of Directors shall determine the date, time, and place of such meeting. At such annual meeting, the stockholders shall elect, by a plurality vote, a Board of Directors and transact such other business as may properly be brought before the meeting.</w:t>
      </w:r>
    </w:p>
    <w:p>
      <w:pPr>
        <w:spacing w:after="0" w:line="168" w:lineRule="exact"/>
        <w:rPr>
          <w:rFonts w:ascii="Arial" w:cs="Arial" w:eastAsia="Arial" w:hAnsi="Arial"/>
          <w:sz w:val="21"/>
          <w:szCs w:val="21"/>
          <w:color w:val="auto"/>
        </w:rPr>
      </w:pPr>
    </w:p>
    <w:p>
      <w:pPr>
        <w:ind w:left="-80" w:firstLine="885"/>
        <w:spacing w:after="0" w:line="273" w:lineRule="auto"/>
        <w:tabs>
          <w:tab w:leader="none" w:pos="1140"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Notice of Meetings. </w:t>
      </w:r>
      <w:r>
        <w:rPr>
          <w:rFonts w:ascii="Arial" w:cs="Arial" w:eastAsia="Arial" w:hAnsi="Arial"/>
          <w:sz w:val="19"/>
          <w:szCs w:val="19"/>
          <w:color w:val="auto"/>
        </w:rPr>
        <w:t>Except as otherwise expressly required by statute, written notice of each annual and special</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of stockholders stating the date, time and place of the meeting (and, in the case of a special meeting, the purpose or purposes for which the meeting is called) shall be given to each stockholder of record entitled to vote thereat not less than ten (10) nor more than sixty (60) days before the date of the meeting. Business transacted at any special meeting of stockholders shall be limited to the purposes stated in the notice. Notice shall be given personally or by mail and, if by mail, shall be sent in a postage prepaid envelope, addressed to the stockholder at his or her address as it appears on the records of the Corporation. Notice by mail shall be deemed given at the time when the same shall be deposited in the United States mail, postage prepaid. Notice of any meeting shall not be required to be given to any person (a) who attends such meeting, except when such person attends the meeting in person or by proxy for the express purpose of objecting (at the beginning of the meeting) to the transaction of any business because the meeting is not lawfully called or convened, or (b) who (either before or after the meeting) shall submit a signed written waiver of notice thereof either in person or by proxy. Neither the business to be transacted at, nor the purpose of, an annual or special meeting of stockholders need be specified in any written waiver of notice.</w:t>
      </w:r>
    </w:p>
    <w:p>
      <w:pPr>
        <w:spacing w:after="0" w:line="150" w:lineRule="exact"/>
        <w:rPr>
          <w:rFonts w:ascii="Arial" w:cs="Arial" w:eastAsia="Arial" w:hAnsi="Arial"/>
          <w:sz w:val="19"/>
          <w:szCs w:val="19"/>
          <w:color w:val="auto"/>
        </w:rPr>
      </w:pPr>
    </w:p>
    <w:p>
      <w:pPr>
        <w:ind w:left="-80" w:right="40" w:firstLine="885"/>
        <w:spacing w:after="0" w:line="301" w:lineRule="auto"/>
        <w:tabs>
          <w:tab w:leader="none" w:pos="1151"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Special Meetings. </w:t>
      </w:r>
      <w:r>
        <w:rPr>
          <w:rFonts w:ascii="Arial" w:cs="Arial" w:eastAsia="Arial" w:hAnsi="Arial"/>
          <w:sz w:val="19"/>
          <w:szCs w:val="19"/>
          <w:color w:val="auto"/>
        </w:rPr>
        <w:t>Special meetings of stockholders may be called for any purpose by the Board of Directors, the</w:t>
      </w:r>
      <w:r>
        <w:rPr>
          <w:rFonts w:ascii="Arial" w:cs="Arial" w:eastAsia="Arial" w:hAnsi="Arial"/>
          <w:sz w:val="19"/>
          <w:szCs w:val="19"/>
          <w:b w:val="1"/>
          <w:bCs w:val="1"/>
          <w:color w:val="auto"/>
        </w:rPr>
        <w:t xml:space="preserve"> </w:t>
      </w:r>
      <w:r>
        <w:rPr>
          <w:rFonts w:ascii="Arial" w:cs="Arial" w:eastAsia="Arial" w:hAnsi="Arial"/>
          <w:sz w:val="19"/>
          <w:szCs w:val="19"/>
          <w:color w:val="auto"/>
        </w:rPr>
        <w:t>Chairman of the Board of Directors or the Chief Executive Officer and may be held on such date and at such time and place, either within or outside the State of Delaware, as shall be stated in a notice of meeting or in a duly executed waiver of notice 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20" w:top="564" w:right="299" w:bottom="1440" w:gutter="0" w:footer="0" w:header="0"/>
        </w:sectPr>
      </w:pPr>
    </w:p>
    <w:bookmarkStart w:id="74" w:name="page75"/>
    <w:bookmarkEnd w:id="74"/>
    <w:p>
      <w:pPr>
        <w:ind w:left="-20" w:firstLine="885"/>
        <w:spacing w:after="0" w:line="276" w:lineRule="auto"/>
        <w:tabs>
          <w:tab w:leader="none" w:pos="1187"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List of Stockholders. </w:t>
      </w:r>
      <w:r>
        <w:rPr>
          <w:rFonts w:ascii="Arial" w:cs="Arial" w:eastAsia="Arial" w:hAnsi="Arial"/>
          <w:sz w:val="19"/>
          <w:szCs w:val="19"/>
          <w:color w:val="auto"/>
        </w:rPr>
        <w:t>The officer who has charge of the stock ledger of the Corporation shall prepare and make, at</w:t>
      </w:r>
      <w:r>
        <w:rPr>
          <w:rFonts w:ascii="Arial" w:cs="Arial" w:eastAsia="Arial" w:hAnsi="Arial"/>
          <w:sz w:val="19"/>
          <w:szCs w:val="19"/>
          <w:b w:val="1"/>
          <w:bCs w:val="1"/>
          <w:color w:val="auto"/>
        </w:rPr>
        <w:t xml:space="preserve"> </w:t>
      </w:r>
      <w:r>
        <w:rPr>
          <w:rFonts w:ascii="Arial" w:cs="Arial" w:eastAsia="Arial" w:hAnsi="Arial"/>
          <w:sz w:val="19"/>
          <w:szCs w:val="19"/>
          <w:color w:val="auto"/>
        </w:rPr>
        <w:t>least ten (10) days before each meeting of stockholders, a complete list of the stockholders entitled to vote at the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inspected by any such stockholder who is present.</w:t>
      </w:r>
    </w:p>
    <w:p>
      <w:pPr>
        <w:spacing w:after="0" w:line="150" w:lineRule="exact"/>
        <w:rPr>
          <w:rFonts w:ascii="Arial" w:cs="Arial" w:eastAsia="Arial" w:hAnsi="Arial"/>
          <w:sz w:val="19"/>
          <w:szCs w:val="19"/>
          <w:color w:val="auto"/>
        </w:rPr>
      </w:pPr>
    </w:p>
    <w:p>
      <w:pPr>
        <w:ind w:left="-20" w:right="100" w:firstLine="885"/>
        <w:spacing w:after="0" w:line="274" w:lineRule="auto"/>
        <w:tabs>
          <w:tab w:leader="none" w:pos="1175"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Quorum; Adjournments. </w:t>
      </w:r>
      <w:r>
        <w:rPr>
          <w:rFonts w:ascii="Arial" w:cs="Arial" w:eastAsia="Arial" w:hAnsi="Arial"/>
          <w:sz w:val="19"/>
          <w:szCs w:val="19"/>
          <w:color w:val="auto"/>
        </w:rPr>
        <w:t>The holders of a majority of the voting power of the issued and outstanding stock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entitled to vote thereat (present in person or represented by proxy) shall constitute a quorum for the transaction of business at all meetings of stockholders, except as otherwise provided by statute or by the Corporation’s Certificate of Incorporation (as such may be amended from time to time, the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 If such quorum shall not be present or represented by proxy at any meeting of stockholders, then the stockholders entitled to vote thereat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thirty (30) days, or, if after adjournment a new record date is set, then a notice of the adjourned meeting shall be given to each stockholder of record entitled to vote at the meeting.</w:t>
      </w:r>
    </w:p>
    <w:p>
      <w:pPr>
        <w:spacing w:after="0" w:line="152" w:lineRule="exact"/>
        <w:rPr>
          <w:rFonts w:ascii="Arial" w:cs="Arial" w:eastAsia="Arial" w:hAnsi="Arial"/>
          <w:sz w:val="19"/>
          <w:szCs w:val="19"/>
          <w:color w:val="auto"/>
        </w:rPr>
      </w:pPr>
    </w:p>
    <w:p>
      <w:pPr>
        <w:ind w:left="-20" w:right="40" w:firstLine="885"/>
        <w:spacing w:after="0" w:line="237" w:lineRule="auto"/>
        <w:tabs>
          <w:tab w:leader="none" w:pos="1211"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Organization. </w:t>
      </w:r>
      <w:r>
        <w:rPr>
          <w:rFonts w:ascii="Arial" w:cs="Arial" w:eastAsia="Arial" w:hAnsi="Arial"/>
          <w:sz w:val="22"/>
          <w:szCs w:val="22"/>
          <w:color w:val="auto"/>
        </w:rPr>
        <w:t>At each meeting of stockholders, the Chairman of the Board of Directors (if one shall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elected, or, in his absence or if one shall not have been elected, the Chief Executive Officer, or in the absence of the Chief Executive Officer, such officer as the Board of Directors may designate) shall act as chairman of the meeting. The Secretary (or, in his absence or inability to act, the person whom the chairman of the meeting shall appoint secretary of the meeting) shall act as secretary of the meeting and keep the minutes thereof.</w:t>
      </w:r>
    </w:p>
    <w:p>
      <w:pPr>
        <w:spacing w:after="0" w:line="182" w:lineRule="exact"/>
        <w:rPr>
          <w:rFonts w:ascii="Arial" w:cs="Arial" w:eastAsia="Arial" w:hAnsi="Arial"/>
          <w:sz w:val="22"/>
          <w:szCs w:val="22"/>
          <w:color w:val="auto"/>
        </w:rPr>
      </w:pPr>
    </w:p>
    <w:p>
      <w:pPr>
        <w:ind w:left="-20" w:right="80" w:firstLine="885"/>
        <w:spacing w:after="0" w:line="256" w:lineRule="auto"/>
        <w:tabs>
          <w:tab w:leader="none" w:pos="1211"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Order of Business. </w:t>
      </w:r>
      <w:r>
        <w:rPr>
          <w:rFonts w:ascii="Arial" w:cs="Arial" w:eastAsia="Arial" w:hAnsi="Arial"/>
          <w:sz w:val="22"/>
          <w:szCs w:val="22"/>
          <w:color w:val="auto"/>
        </w:rPr>
        <w:t>The order of business at all meetings of the stockholders shall be as determined by the chairman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meeting.</w:t>
      </w:r>
    </w:p>
    <w:p>
      <w:pPr>
        <w:spacing w:after="0" w:line="162" w:lineRule="exact"/>
        <w:rPr>
          <w:rFonts w:ascii="Arial" w:cs="Arial" w:eastAsia="Arial" w:hAnsi="Arial"/>
          <w:sz w:val="22"/>
          <w:szCs w:val="22"/>
          <w:color w:val="auto"/>
        </w:rPr>
      </w:pPr>
    </w:p>
    <w:p>
      <w:pPr>
        <w:ind w:left="-20" w:right="40" w:firstLine="885"/>
        <w:spacing w:after="0" w:line="278" w:lineRule="auto"/>
        <w:tabs>
          <w:tab w:leader="none" w:pos="1127"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Voting. </w:t>
      </w:r>
      <w:r>
        <w:rPr>
          <w:rFonts w:ascii="Arial" w:cs="Arial" w:eastAsia="Arial" w:hAnsi="Arial"/>
          <w:sz w:val="19"/>
          <w:szCs w:val="19"/>
          <w:color w:val="auto"/>
        </w:rPr>
        <w:t>Except as otherwise provided by the Certificate of Incorporation or the General Corporation Law of the State</w:t>
      </w:r>
      <w:r>
        <w:rPr>
          <w:rFonts w:ascii="Arial" w:cs="Arial" w:eastAsia="Arial" w:hAnsi="Arial"/>
          <w:sz w:val="19"/>
          <w:szCs w:val="19"/>
          <w:b w:val="1"/>
          <w:bCs w:val="1"/>
          <w:color w:val="auto"/>
        </w:rPr>
        <w:t xml:space="preserve"> </w:t>
      </w:r>
      <w:r>
        <w:rPr>
          <w:rFonts w:ascii="Arial" w:cs="Arial" w:eastAsia="Arial" w:hAnsi="Arial"/>
          <w:sz w:val="19"/>
          <w:szCs w:val="19"/>
          <w:color w:val="auto"/>
        </w:rPr>
        <w:t>of Delaware, each stockholder of the Corporation shall be entitled at each meeting of stockholders to one (1) vote for each share of capital stock of the Corporation standing in his name on the record of stockholders of the Corporation: (a) on the date fixed pursuant to the provisions of Section (G) of Article VII of these Bylaws as the record date for the determination of the stockholders who shall be entitled to notice of and to vote at such meeting; or (b) if no such record date shall have been so fixed, then at the close of business on the day next preceding the day on which notice thereof shall be given, or, if notice is waived, at the close of business on the date next preceding the day on which the meeting is held.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8" w:right="259" w:bottom="1440" w:gutter="0" w:footer="0" w:header="0"/>
        </w:sectPr>
      </w:pPr>
    </w:p>
    <w:bookmarkStart w:id="75" w:name="page76"/>
    <w:bookmarkEnd w:id="75"/>
    <w:p>
      <w:pPr>
        <w:ind w:right="20" w:firstLine="877"/>
        <w:spacing w:after="0" w:line="271" w:lineRule="auto"/>
        <w:rPr>
          <w:sz w:val="20"/>
          <w:szCs w:val="20"/>
          <w:color w:val="auto"/>
        </w:rPr>
      </w:pPr>
      <w:r>
        <w:rPr>
          <w:rFonts w:ascii="Arial" w:cs="Arial" w:eastAsia="Arial" w:hAnsi="Arial"/>
          <w:sz w:val="19"/>
          <w:szCs w:val="19"/>
          <w:color w:val="auto"/>
        </w:rPr>
        <w:t>Each stockholder entitled to vote at any meeting of stockholders may authorize another person or persons to act for him or her by a proxy that is in writing or transmitted as permitted by law, including, without limitation, electronically, via telegram, internet, interactive voice response system, or other means of electronic transmission executed or authorized by such stockholder or his attorney-in-fact, but no proxy shall be voted after (3) three years from its date, unless the proxy provides for a longer</w:t>
      </w:r>
    </w:p>
    <w:p>
      <w:pPr>
        <w:spacing w:after="0" w:line="4"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 When a quorum is present at any meeting, the vote of the holders of a majority of the voting power of the issued and outstanding stock of the Corporation entitled to vote thereon, present and voting, in person or represented by proxy, shall decide any question brought before such meeting, unless the question is one upon which by express provision of statute or of the Certificate of Incorporation or of these Bylaws, a different vote is required, in which case such express provision shall govern and control the decision of such question. Unless required by statute, or determined by the chairman of the meeting to be advisable, the vote on any question need not be by ballot. On a vote by ballot, each ballot shall be signed by the stockholder voting, or by his proxy, if there be such proxy, and shall state the number of shares voted and the number of votes to which each share is entitled.</w:t>
      </w:r>
    </w:p>
    <w:p>
      <w:pPr>
        <w:spacing w:after="0" w:line="156" w:lineRule="exact"/>
        <w:rPr>
          <w:sz w:val="20"/>
          <w:szCs w:val="20"/>
          <w:color w:val="auto"/>
        </w:rPr>
      </w:pPr>
    </w:p>
    <w:p>
      <w:pPr>
        <w:ind w:firstLine="885"/>
        <w:spacing w:after="0" w:line="273" w:lineRule="auto"/>
        <w:tabs>
          <w:tab w:leader="none" w:pos="1159"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Inspectors. </w:t>
      </w:r>
      <w:r>
        <w:rPr>
          <w:rFonts w:ascii="Arial" w:cs="Arial" w:eastAsia="Arial" w:hAnsi="Arial"/>
          <w:sz w:val="19"/>
          <w:szCs w:val="19"/>
          <w:color w:val="auto"/>
        </w:rPr>
        <w:t>The Board of Directors may, in advance of any meeting of stockholders, appoint one or more inspectors</w:t>
      </w:r>
      <w:r>
        <w:rPr>
          <w:rFonts w:ascii="Arial" w:cs="Arial" w:eastAsia="Arial" w:hAnsi="Arial"/>
          <w:sz w:val="19"/>
          <w:szCs w:val="19"/>
          <w:b w:val="1"/>
          <w:bCs w:val="1"/>
          <w:color w:val="auto"/>
        </w:rPr>
        <w:t xml:space="preserve"> </w:t>
      </w:r>
      <w:r>
        <w:rPr>
          <w:rFonts w:ascii="Arial" w:cs="Arial" w:eastAsia="Arial" w:hAnsi="Arial"/>
          <w:sz w:val="19"/>
          <w:szCs w:val="19"/>
          <w:color w:val="auto"/>
        </w:rPr>
        <w:t>to act at such meeting or any adjournment thereof. If any of the inspectors so appointed shall fail to appear or act, then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150" w:lineRule="exact"/>
        <w:rPr>
          <w:rFonts w:ascii="Arial" w:cs="Arial" w:eastAsia="Arial" w:hAnsi="Arial"/>
          <w:sz w:val="19"/>
          <w:szCs w:val="19"/>
          <w:color w:val="auto"/>
        </w:rPr>
      </w:pPr>
    </w:p>
    <w:p>
      <w:pPr>
        <w:ind w:right="20" w:firstLine="885"/>
        <w:spacing w:after="0" w:line="272" w:lineRule="auto"/>
        <w:tabs>
          <w:tab w:leader="none" w:pos="1231"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 xml:space="preserve">Advance Notice Provisions for Election of Directors. </w:t>
      </w:r>
      <w:r>
        <w:rPr>
          <w:rFonts w:ascii="Arial" w:cs="Arial" w:eastAsia="Arial" w:hAnsi="Arial"/>
          <w:sz w:val="19"/>
          <w:szCs w:val="19"/>
          <w:color w:val="auto"/>
        </w:rPr>
        <w:t>Only persons who are nominated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procedures shall be eligible for election as directors of the Corporation. Nominations of persons for election to the Board of Directors may be made at any annual meeting of stockholders, or at any special meeting of stockholders called for the purpose of electing directors as provided under Section (D) of this Article II, (a) by or at the direction of the Board of Directors (or any duly authorized committee thereof) (subject to Section A(1) of Article IV of these Bylaws) or (b) by any stockholder of the Corporation</w:t>
      </w:r>
    </w:p>
    <w:p>
      <w:pPr>
        <w:spacing w:after="0" w:line="1" w:lineRule="exact"/>
        <w:rPr>
          <w:rFonts w:ascii="Arial" w:cs="Arial" w:eastAsia="Arial" w:hAnsi="Arial"/>
          <w:sz w:val="19"/>
          <w:szCs w:val="19"/>
          <w:color w:val="auto"/>
        </w:rPr>
      </w:pPr>
    </w:p>
    <w:p>
      <w:pPr>
        <w:jc w:val="both"/>
        <w:ind w:right="120" w:firstLine="8"/>
        <w:spacing w:after="0" w:line="234" w:lineRule="auto"/>
        <w:tabs>
          <w:tab w:leader="none" w:pos="258" w:val="left"/>
        </w:tabs>
        <w:numPr>
          <w:ilvl w:val="0"/>
          <w:numId w:val="57"/>
        </w:numPr>
        <w:rPr>
          <w:rFonts w:ascii="Arial" w:cs="Arial" w:eastAsia="Arial" w:hAnsi="Arial"/>
          <w:sz w:val="22"/>
          <w:szCs w:val="22"/>
          <w:color w:val="auto"/>
        </w:rPr>
      </w:pPr>
      <w:r>
        <w:rPr>
          <w:rFonts w:ascii="Arial" w:cs="Arial" w:eastAsia="Arial" w:hAnsi="Arial"/>
          <w:sz w:val="22"/>
          <w:szCs w:val="22"/>
          <w:color w:val="auto"/>
        </w:rPr>
        <w:t>who is a stockholder of record on the date of the giving of the notice provided for in this Section (K) and on the record date for the determination of stockholders entitled to vote at such meeting and (ii) who complies with the notice procedures set forth in this Section (K).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76" w:name="page77"/>
    <w:bookmarkEnd w:id="76"/>
    <w:p>
      <w:pPr>
        <w:ind w:right="300" w:firstLine="877"/>
        <w:spacing w:after="0" w:line="251" w:lineRule="auto"/>
        <w:rPr>
          <w:sz w:val="20"/>
          <w:szCs w:val="20"/>
          <w:color w:val="auto"/>
        </w:rPr>
      </w:pPr>
      <w:r>
        <w:rPr>
          <w:rFonts w:ascii="Arial" w:cs="Arial" w:eastAsia="Arial" w:hAnsi="Arial"/>
          <w:sz w:val="22"/>
          <w:szCs w:val="22"/>
          <w:color w:val="auto"/>
        </w:rPr>
        <w:t>In addition to any other applicable requirements, for a nomination to be made by a stockholder, such stockholder must have given timely notice thereof in proper written form to the Secretary of the Corporation.</w:t>
      </w:r>
    </w:p>
    <w:p>
      <w:pPr>
        <w:spacing w:after="0" w:line="173" w:lineRule="exact"/>
        <w:rPr>
          <w:sz w:val="20"/>
          <w:szCs w:val="20"/>
          <w:color w:val="auto"/>
        </w:rPr>
      </w:pPr>
    </w:p>
    <w:p>
      <w:pPr>
        <w:ind w:firstLine="877"/>
        <w:spacing w:after="0" w:line="274" w:lineRule="auto"/>
        <w:rPr>
          <w:sz w:val="20"/>
          <w:szCs w:val="20"/>
          <w:color w:val="auto"/>
        </w:rPr>
      </w:pPr>
      <w:r>
        <w:rPr>
          <w:rFonts w:ascii="Arial" w:cs="Arial" w:eastAsia="Arial" w:hAnsi="Arial"/>
          <w:sz w:val="19"/>
          <w:szCs w:val="19"/>
          <w:color w:val="auto"/>
        </w:rPr>
        <w:t>To be timely, a stockholder’s notice to the Secretary must be delivered to or mailed and received at the principal executive offices of the Corporation (a) in the case of an annual meeting,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59" w:lineRule="exact"/>
        <w:rPr>
          <w:sz w:val="20"/>
          <w:szCs w:val="20"/>
          <w:color w:val="auto"/>
        </w:rPr>
      </w:pPr>
    </w:p>
    <w:p>
      <w:pPr>
        <w:ind w:right="100" w:firstLine="877"/>
        <w:spacing w:after="0" w:line="276" w:lineRule="auto"/>
        <w:rPr>
          <w:sz w:val="20"/>
          <w:szCs w:val="20"/>
          <w:color w:val="auto"/>
        </w:rPr>
      </w:pPr>
      <w:r>
        <w:rPr>
          <w:rFonts w:ascii="Arial" w:cs="Arial" w:eastAsia="Arial" w:hAnsi="Arial"/>
          <w:sz w:val="19"/>
          <w:szCs w:val="19"/>
          <w:color w:val="auto"/>
        </w:rPr>
        <w:t>To be in proper written form, a stockholder’s notice to the Secretary must set forth (a) as to each person whom the stockholder proposes to nominate for election as a director (i) the name, age, business address and residence address of the person,</w:t>
      </w:r>
    </w:p>
    <w:p>
      <w:pPr>
        <w:spacing w:after="0" w:line="2" w:lineRule="exact"/>
        <w:rPr>
          <w:sz w:val="20"/>
          <w:szCs w:val="20"/>
          <w:color w:val="auto"/>
        </w:rPr>
      </w:pPr>
    </w:p>
    <w:p>
      <w:pPr>
        <w:ind w:right="120" w:firstLine="8"/>
        <w:spacing w:after="0" w:line="270" w:lineRule="auto"/>
        <w:tabs>
          <w:tab w:leader="none" w:pos="318"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principal occupation or employment of the person, (iii) the class or series and number of shares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the rules and regulations promulgated thereunder; and (b) as to the stockholder giving the notice (i) the name and record address of such stockholder, (ii) the class or series and number of shares of capital stock of the Corporation which are owned beneficially or of record by such stockholder, (iii) a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63" w:lineRule="exact"/>
        <w:rPr>
          <w:sz w:val="20"/>
          <w:szCs w:val="20"/>
          <w:color w:val="auto"/>
        </w:rPr>
      </w:pPr>
    </w:p>
    <w:p>
      <w:pPr>
        <w:ind w:right="180" w:firstLine="877"/>
        <w:spacing w:after="0" w:line="238" w:lineRule="auto"/>
        <w:rPr>
          <w:sz w:val="20"/>
          <w:szCs w:val="20"/>
          <w:color w:val="auto"/>
        </w:rPr>
      </w:pPr>
      <w:r>
        <w:rPr>
          <w:rFonts w:ascii="Arial" w:cs="Arial" w:eastAsia="Arial" w:hAnsi="Arial"/>
          <w:sz w:val="22"/>
          <w:szCs w:val="22"/>
          <w:color w:val="auto"/>
        </w:rPr>
        <w:t>No person shall be eligible for election as a director of the Corporation unless nominated in accordance with the procedures set forth in this Section (K).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4" w:right="259" w:bottom="1440" w:gutter="0" w:footer="0" w:header="0"/>
        </w:sectPr>
      </w:pPr>
    </w:p>
    <w:bookmarkStart w:id="77" w:name="page78"/>
    <w:bookmarkEnd w:id="77"/>
    <w:p>
      <w:pPr>
        <w:ind w:firstLine="885"/>
        <w:spacing w:after="0" w:line="278" w:lineRule="auto"/>
        <w:tabs>
          <w:tab w:leader="none" w:pos="1207"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 xml:space="preserve">Advance Notice Provisions for Business to be Transacted at Annual Meeting. </w:t>
      </w:r>
      <w:r>
        <w:rPr>
          <w:rFonts w:ascii="Arial" w:cs="Arial" w:eastAsia="Arial" w:hAnsi="Arial"/>
          <w:sz w:val="19"/>
          <w:szCs w:val="19"/>
          <w:color w:val="auto"/>
        </w:rPr>
        <w:t>No business may be transacted at</w:t>
      </w:r>
      <w:r>
        <w:rPr>
          <w:rFonts w:ascii="Arial" w:cs="Arial" w:eastAsia="Arial" w:hAnsi="Arial"/>
          <w:sz w:val="19"/>
          <w:szCs w:val="19"/>
          <w:b w:val="1"/>
          <w:bCs w:val="1"/>
          <w:color w:val="auto"/>
        </w:rPr>
        <w:t xml:space="preserve"> </w:t>
      </w:r>
      <w:r>
        <w:rPr>
          <w:rFonts w:ascii="Arial" w:cs="Arial" w:eastAsia="Arial" w:hAnsi="Arial"/>
          <w:sz w:val="19"/>
          <w:szCs w:val="19"/>
          <w:color w:val="auto"/>
        </w:rPr>
        <w:t>an annual meeting of 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 (i) who is a stockholder of record on the date of the giving of the notice provided for in this Section (L) and on the record date for the determination of stockholders entitled to vote at such annual meeting and (ii) who complies with the notice procedures set forth in this Section (L).</w:t>
      </w:r>
    </w:p>
    <w:p>
      <w:pPr>
        <w:spacing w:after="0" w:line="152" w:lineRule="exact"/>
        <w:rPr>
          <w:sz w:val="20"/>
          <w:szCs w:val="20"/>
          <w:color w:val="auto"/>
        </w:rPr>
      </w:pPr>
    </w:p>
    <w:p>
      <w:pPr>
        <w:ind w:right="380" w:firstLine="877"/>
        <w:spacing w:after="0" w:line="328" w:lineRule="auto"/>
        <w:rPr>
          <w:sz w:val="20"/>
          <w:szCs w:val="20"/>
          <w:color w:val="auto"/>
        </w:rPr>
      </w:pPr>
      <w:r>
        <w:rPr>
          <w:rFonts w:ascii="Arial" w:cs="Arial" w:eastAsia="Arial" w:hAnsi="Arial"/>
          <w:sz w:val="19"/>
          <w:szCs w:val="19"/>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05" w:lineRule="exact"/>
        <w:rPr>
          <w:sz w:val="20"/>
          <w:szCs w:val="20"/>
          <w:color w:val="auto"/>
        </w:rPr>
      </w:pPr>
    </w:p>
    <w:p>
      <w:pPr>
        <w:ind w:right="60" w:firstLine="877"/>
        <w:spacing w:after="0" w:line="234" w:lineRule="auto"/>
        <w:rPr>
          <w:sz w:val="20"/>
          <w:szCs w:val="20"/>
          <w:color w:val="auto"/>
        </w:rPr>
      </w:pPr>
      <w:r>
        <w:rPr>
          <w:rFonts w:ascii="Arial" w:cs="Arial" w:eastAsia="Arial" w:hAnsi="Arial"/>
          <w:sz w:val="22"/>
          <w:szCs w:val="22"/>
          <w:color w:val="auto"/>
        </w:rPr>
        <w:t>To be timely, a stockholder’s notice to the Secretary must be delivered to or mailed and received at the principal executive offices of the Corporation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w:t>
      </w:r>
    </w:p>
    <w:p>
      <w:pPr>
        <w:spacing w:after="0" w:line="191" w:lineRule="exact"/>
        <w:rPr>
          <w:sz w:val="20"/>
          <w:szCs w:val="20"/>
          <w:color w:val="auto"/>
        </w:rPr>
      </w:pPr>
    </w:p>
    <w:p>
      <w:pPr>
        <w:ind w:right="120" w:firstLine="877"/>
        <w:spacing w:after="0" w:line="275" w:lineRule="auto"/>
        <w:rPr>
          <w:sz w:val="20"/>
          <w:szCs w:val="20"/>
          <w:color w:val="auto"/>
        </w:rPr>
      </w:pPr>
      <w:r>
        <w:rPr>
          <w:rFonts w:ascii="Arial" w:cs="Arial" w:eastAsia="Arial" w:hAnsi="Arial"/>
          <w:sz w:val="19"/>
          <w:szCs w:val="19"/>
          <w:color w:val="auto"/>
        </w:rPr>
        <w:t>To be in proper written form, a stockholder’s notice to the Secretary must set forth as to each matter such stockholder proposes to bring before the annual meeting (a) a brief description of the business desired to be brought before the annual meeting and the reasons for conducting such business at the annual meeting, (b) the name and record address of such stockholder, (c) the class or series and number of shares of capital stock of the Corporation which are owned beneficially or of record by such stockholder, (d) a description of all arrangements or understandings between such stockholder and any other person or persons (including their names) in connection with the proposal of such business by such stockholder and any material interest of such stockholder in such business; and (e) a representation that such stockholder intends to appear in person or by proxy at the annual meeting to bring such business before the meeting.</w:t>
      </w:r>
    </w:p>
    <w:p>
      <w:pPr>
        <w:spacing w:after="0" w:line="158" w:lineRule="exact"/>
        <w:rPr>
          <w:sz w:val="20"/>
          <w:szCs w:val="20"/>
          <w:color w:val="auto"/>
        </w:rPr>
      </w:pPr>
    </w:p>
    <w:p>
      <w:pPr>
        <w:ind w:right="60" w:firstLine="877"/>
        <w:spacing w:after="0" w:line="279" w:lineRule="auto"/>
        <w:rPr>
          <w:sz w:val="20"/>
          <w:szCs w:val="20"/>
          <w:color w:val="auto"/>
        </w:rPr>
      </w:pPr>
      <w:r>
        <w:rPr>
          <w:rFonts w:ascii="Arial" w:cs="Arial" w:eastAsia="Arial" w:hAnsi="Arial"/>
          <w:sz w:val="19"/>
          <w:szCs w:val="19"/>
          <w:color w:val="auto"/>
        </w:rPr>
        <w:t>No business shall be conducted at the annual meeting of stockholders except business brought before the annual meeting in accordance with the procedures set forth in this Section (L); provided, however, that, once business has been properly brought before the annual meeting in accordance with such procedures, nothing in this Section (L)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8" w:right="279" w:bottom="1440" w:gutter="0" w:footer="0" w:header="0"/>
        </w:sectPr>
      </w:pPr>
    </w:p>
    <w:bookmarkStart w:id="78" w:name="page79"/>
    <w:bookmarkEnd w:id="78"/>
    <w:p>
      <w:pPr>
        <w:ind w:left="5112"/>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ind w:left="5112"/>
        <w:spacing w:after="0"/>
        <w:rPr>
          <w:sz w:val="20"/>
          <w:szCs w:val="20"/>
          <w:color w:val="auto"/>
        </w:rPr>
      </w:pPr>
      <w:r>
        <w:rPr>
          <w:rFonts w:ascii="Arial" w:cs="Arial" w:eastAsia="Arial" w:hAnsi="Arial"/>
          <w:sz w:val="22"/>
          <w:szCs w:val="22"/>
          <w:color w:val="auto"/>
        </w:rPr>
        <w:t>DIRECTORS</w:t>
      </w:r>
    </w:p>
    <w:p>
      <w:pPr>
        <w:spacing w:after="0" w:line="182" w:lineRule="exact"/>
        <w:rPr>
          <w:sz w:val="20"/>
          <w:szCs w:val="20"/>
          <w:color w:val="auto"/>
        </w:rPr>
      </w:pPr>
    </w:p>
    <w:p>
      <w:pPr>
        <w:ind w:left="-8" w:right="220" w:firstLine="885"/>
        <w:spacing w:after="0" w:line="239" w:lineRule="auto"/>
        <w:tabs>
          <w:tab w:leader="none" w:pos="1223" w:val="left"/>
        </w:tabs>
        <w:numPr>
          <w:ilvl w:val="1"/>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General Powers. </w:t>
      </w:r>
      <w:r>
        <w:rPr>
          <w:rFonts w:ascii="Arial" w:cs="Arial" w:eastAsia="Arial" w:hAnsi="Arial"/>
          <w:sz w:val="22"/>
          <w:szCs w:val="22"/>
          <w:color w:val="auto"/>
        </w:rPr>
        <w:t>The business and affairs of the Corporation shall be managed by or under the direction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The Board of Directors may exercise all such authority and powers of the Corporation and do all such lawful acts and things as are not by statute or the Certificate of Incorporation directed or required to be exercised or done by the stockholders.</w:t>
      </w:r>
    </w:p>
    <w:p>
      <w:pPr>
        <w:spacing w:after="0" w:line="180" w:lineRule="exact"/>
        <w:rPr>
          <w:rFonts w:ascii="Arial" w:cs="Arial" w:eastAsia="Arial" w:hAnsi="Arial"/>
          <w:sz w:val="22"/>
          <w:szCs w:val="22"/>
          <w:color w:val="auto"/>
        </w:rPr>
      </w:pPr>
    </w:p>
    <w:p>
      <w:pPr>
        <w:ind w:left="-8" w:right="20" w:firstLine="885"/>
        <w:spacing w:after="0" w:line="237" w:lineRule="auto"/>
        <w:tabs>
          <w:tab w:leader="none" w:pos="1212" w:val="left"/>
        </w:tabs>
        <w:numPr>
          <w:ilvl w:val="1"/>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Number and Election. </w:t>
      </w:r>
      <w:r>
        <w:rPr>
          <w:rFonts w:ascii="Arial" w:cs="Arial" w:eastAsia="Arial" w:hAnsi="Arial"/>
          <w:sz w:val="22"/>
          <w:szCs w:val="22"/>
          <w:color w:val="auto"/>
        </w:rPr>
        <w:t>The number of directors constituting the whole board as of the date of the approval of these</w:t>
      </w:r>
      <w:r>
        <w:rPr>
          <w:rFonts w:ascii="Arial" w:cs="Arial" w:eastAsia="Arial" w:hAnsi="Arial"/>
          <w:sz w:val="22"/>
          <w:szCs w:val="22"/>
          <w:b w:val="1"/>
          <w:bCs w:val="1"/>
          <w:color w:val="auto"/>
        </w:rPr>
        <w:t xml:space="preserve"> </w:t>
      </w:r>
      <w:r>
        <w:rPr>
          <w:rFonts w:ascii="Arial" w:cs="Arial" w:eastAsia="Arial" w:hAnsi="Arial"/>
          <w:sz w:val="22"/>
          <w:szCs w:val="22"/>
          <w:color w:val="auto"/>
        </w:rPr>
        <w:t>Bylaws shall be four (4) but may be increased or decreased from time to time by the Board of Directors; provided, however, that (a) the number of directors shall not be fewer than four (4) or greater than nine (9) and (b) no decrease in the number of directors shall shorten the term of any incumbent director. Except as otherwise provided by the Bylaws, the directors shall be elected at the annual meeting of stockholders</w:t>
      </w:r>
    </w:p>
    <w:p>
      <w:pPr>
        <w:spacing w:after="0" w:line="182" w:lineRule="exact"/>
        <w:rPr>
          <w:rFonts w:ascii="Arial" w:cs="Arial" w:eastAsia="Arial" w:hAnsi="Arial"/>
          <w:sz w:val="22"/>
          <w:szCs w:val="22"/>
          <w:color w:val="auto"/>
        </w:rPr>
      </w:pPr>
    </w:p>
    <w:p>
      <w:pPr>
        <w:ind w:left="-8" w:firstLine="885"/>
        <w:spacing w:after="0" w:line="278" w:lineRule="auto"/>
        <w:tabs>
          <w:tab w:leader="none" w:pos="1212" w:val="left"/>
        </w:tabs>
        <w:numPr>
          <w:ilvl w:val="1"/>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Resignations, Newly Created Directorships, Vacancies and Removals. </w:t>
      </w:r>
      <w:r>
        <w:rPr>
          <w:rFonts w:ascii="Arial" w:cs="Arial" w:eastAsia="Arial" w:hAnsi="Arial"/>
          <w:sz w:val="19"/>
          <w:szCs w:val="19"/>
          <w:color w:val="auto"/>
        </w:rPr>
        <w:t>Any director of the Corporation may resign</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by giving notice in writing or by electronic transmission of his resignation to the Corporation.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Newly created directorships resulting from any increase in the number of directors or any vacancies in the Board of Directors resulting from death, resignation, retirement, disqualification, removal or any other cause shall be filled as provided in the Certificate of Incorporation. Any director may be removed as provided in the Certificate of Incorporation.</w:t>
      </w:r>
    </w:p>
    <w:p>
      <w:pPr>
        <w:spacing w:after="0" w:line="146" w:lineRule="exact"/>
        <w:rPr>
          <w:rFonts w:ascii="Arial" w:cs="Arial" w:eastAsia="Arial" w:hAnsi="Arial"/>
          <w:sz w:val="19"/>
          <w:szCs w:val="19"/>
          <w:color w:val="auto"/>
        </w:rPr>
      </w:pPr>
    </w:p>
    <w:p>
      <w:pPr>
        <w:ind w:left="-8" w:right="100" w:firstLine="885"/>
        <w:spacing w:after="0" w:line="256" w:lineRule="auto"/>
        <w:tabs>
          <w:tab w:leader="none" w:pos="1223" w:val="left"/>
        </w:tabs>
        <w:numPr>
          <w:ilvl w:val="1"/>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Place of Meetings. </w:t>
      </w:r>
      <w:r>
        <w:rPr>
          <w:rFonts w:ascii="Arial" w:cs="Arial" w:eastAsia="Arial" w:hAnsi="Arial"/>
          <w:sz w:val="22"/>
          <w:szCs w:val="22"/>
          <w:color w:val="auto"/>
        </w:rPr>
        <w:t>The Board of Directors may hold meetings, both regular and special, either within or without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w:t>
      </w:r>
    </w:p>
    <w:p>
      <w:pPr>
        <w:spacing w:after="0" w:line="162" w:lineRule="exact"/>
        <w:rPr>
          <w:rFonts w:ascii="Arial" w:cs="Arial" w:eastAsia="Arial" w:hAnsi="Arial"/>
          <w:sz w:val="22"/>
          <w:szCs w:val="22"/>
          <w:color w:val="auto"/>
        </w:rPr>
      </w:pPr>
    </w:p>
    <w:p>
      <w:pPr>
        <w:ind w:left="-8" w:right="80" w:firstLine="885"/>
        <w:spacing w:after="0" w:line="284" w:lineRule="auto"/>
        <w:tabs>
          <w:tab w:leader="none" w:pos="1199" w:val="left"/>
        </w:tabs>
        <w:numPr>
          <w:ilvl w:val="1"/>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Annual Meeting. </w:t>
      </w:r>
      <w:r>
        <w:rPr>
          <w:rFonts w:ascii="Arial" w:cs="Arial" w:eastAsia="Arial" w:hAnsi="Arial"/>
          <w:sz w:val="19"/>
          <w:szCs w:val="19"/>
          <w:color w:val="auto"/>
        </w:rPr>
        <w:t>The Board of Directors shall meet for the purpose of organization, the election of officers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of other business, as soon as practicable after each annual meeting of stockholders (which, if required by law, shall be on the same day and at the same place where such annual meeting of stockholders shall be held). In the event such annual meeting is not so held, the annual meeting of the Board of Directors may be held at such other time or place (within or outside the State of Delaware) as shall be specified in a notice thereof given as hereinafter provided in Section (H) of this Article III.</w:t>
      </w:r>
    </w:p>
    <w:p>
      <w:pPr>
        <w:spacing w:after="0" w:line="138" w:lineRule="exact"/>
        <w:rPr>
          <w:rFonts w:ascii="Arial" w:cs="Arial" w:eastAsia="Arial" w:hAnsi="Arial"/>
          <w:sz w:val="19"/>
          <w:szCs w:val="19"/>
          <w:color w:val="auto"/>
        </w:rPr>
      </w:pPr>
    </w:p>
    <w:p>
      <w:pPr>
        <w:jc w:val="both"/>
        <w:ind w:left="-8" w:right="160" w:firstLine="885"/>
        <w:spacing w:after="0" w:line="301" w:lineRule="auto"/>
        <w:tabs>
          <w:tab w:leader="none" w:pos="1187" w:val="left"/>
        </w:tabs>
        <w:numPr>
          <w:ilvl w:val="1"/>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Regular Meetings. </w:t>
      </w:r>
      <w:r>
        <w:rPr>
          <w:rFonts w:ascii="Arial" w:cs="Arial" w:eastAsia="Arial" w:hAnsi="Arial"/>
          <w:sz w:val="19"/>
          <w:szCs w:val="19"/>
          <w:color w:val="auto"/>
        </w:rPr>
        <w:t>Regular meetings of the Board of Directors shall be held at such time and place as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may fix. If any day fixed for a regular meeting shall be a legal holiday at the place where the meeting is to be held, then the meeting which would otherwise be held on that day shall be held at the same hour on the next succeeding business day.</w:t>
      </w:r>
    </w:p>
    <w:p>
      <w:pPr>
        <w:spacing w:after="0" w:line="123" w:lineRule="exact"/>
        <w:rPr>
          <w:rFonts w:ascii="Arial" w:cs="Arial" w:eastAsia="Arial" w:hAnsi="Arial"/>
          <w:sz w:val="19"/>
          <w:szCs w:val="19"/>
          <w:color w:val="auto"/>
        </w:rPr>
      </w:pPr>
    </w:p>
    <w:p>
      <w:pPr>
        <w:ind w:left="1232" w:hanging="355"/>
        <w:spacing w:after="0"/>
        <w:tabs>
          <w:tab w:leader="none" w:pos="1232" w:val="left"/>
        </w:tabs>
        <w:numPr>
          <w:ilvl w:val="1"/>
          <w:numId w:val="60"/>
        </w:numPr>
        <w:rPr>
          <w:rFonts w:ascii="Arial" w:cs="Arial" w:eastAsia="Arial" w:hAnsi="Arial"/>
          <w:sz w:val="19"/>
          <w:szCs w:val="19"/>
          <w:color w:val="auto"/>
        </w:rPr>
      </w:pPr>
      <w:r>
        <w:rPr>
          <w:rFonts w:ascii="Arial" w:cs="Arial" w:eastAsia="Arial" w:hAnsi="Arial"/>
          <w:sz w:val="19"/>
          <w:szCs w:val="19"/>
          <w:b w:val="1"/>
          <w:bCs w:val="1"/>
          <w:color w:val="auto"/>
        </w:rPr>
        <w:t xml:space="preserve">Special Meetings. </w:t>
      </w:r>
      <w:r>
        <w:rPr>
          <w:rFonts w:ascii="Arial" w:cs="Arial" w:eastAsia="Arial" w:hAnsi="Arial"/>
          <w:sz w:val="19"/>
          <w:szCs w:val="19"/>
          <w:color w:val="auto"/>
        </w:rPr>
        <w:t>Special meetings of the Board of Directors may be called by the Chairman of the Board or by two</w:t>
      </w:r>
    </w:p>
    <w:p>
      <w:pPr>
        <w:spacing w:after="0" w:line="48" w:lineRule="exact"/>
        <w:rPr>
          <w:rFonts w:ascii="Arial" w:cs="Arial" w:eastAsia="Arial" w:hAnsi="Arial"/>
          <w:sz w:val="19"/>
          <w:szCs w:val="19"/>
          <w:color w:val="auto"/>
        </w:rPr>
      </w:pPr>
    </w:p>
    <w:p>
      <w:pPr>
        <w:ind w:left="312" w:hanging="312"/>
        <w:spacing w:after="0"/>
        <w:tabs>
          <w:tab w:leader="none" w:pos="312" w:val="left"/>
        </w:tabs>
        <w:numPr>
          <w:ilvl w:val="0"/>
          <w:numId w:val="61"/>
        </w:numPr>
        <w:rPr>
          <w:rFonts w:ascii="Arial" w:cs="Arial" w:eastAsia="Arial" w:hAnsi="Arial"/>
          <w:sz w:val="22"/>
          <w:szCs w:val="22"/>
          <w:color w:val="auto"/>
        </w:rPr>
      </w:pPr>
      <w:r>
        <w:rPr>
          <w:rFonts w:ascii="Arial" w:cs="Arial" w:eastAsia="Arial" w:hAnsi="Arial"/>
          <w:sz w:val="22"/>
          <w:szCs w:val="22"/>
          <w:color w:val="auto"/>
        </w:rPr>
        <w:t>or more directors or by the Chief Executive Officer.</w:t>
      </w:r>
    </w:p>
    <w:p>
      <w:pPr>
        <w:spacing w:after="0" w:line="182" w:lineRule="exact"/>
        <w:rPr>
          <w:rFonts w:ascii="Arial" w:cs="Arial" w:eastAsia="Arial" w:hAnsi="Arial"/>
          <w:sz w:val="22"/>
          <w:szCs w:val="22"/>
          <w:color w:val="auto"/>
        </w:rPr>
      </w:pPr>
    </w:p>
    <w:p>
      <w:pPr>
        <w:ind w:left="-8" w:right="480" w:firstLine="885"/>
        <w:spacing w:after="0" w:line="256" w:lineRule="auto"/>
        <w:tabs>
          <w:tab w:leader="none" w:pos="1223" w:val="left"/>
        </w:tabs>
        <w:numPr>
          <w:ilvl w:val="1"/>
          <w:numId w:val="61"/>
        </w:numPr>
        <w:rPr>
          <w:rFonts w:ascii="Arial" w:cs="Arial" w:eastAsia="Arial" w:hAnsi="Arial"/>
          <w:sz w:val="22"/>
          <w:szCs w:val="22"/>
          <w:color w:val="auto"/>
        </w:rPr>
      </w:pPr>
      <w:r>
        <w:rPr>
          <w:rFonts w:ascii="Arial" w:cs="Arial" w:eastAsia="Arial" w:hAnsi="Arial"/>
          <w:sz w:val="22"/>
          <w:szCs w:val="22"/>
          <w:b w:val="1"/>
          <w:bCs w:val="1"/>
          <w:color w:val="auto"/>
        </w:rPr>
        <w:t xml:space="preserve">Notice of Meetings. </w:t>
      </w:r>
      <w:r>
        <w:rPr>
          <w:rFonts w:ascii="Arial" w:cs="Arial" w:eastAsia="Arial" w:hAnsi="Arial"/>
          <w:sz w:val="22"/>
          <w:szCs w:val="22"/>
          <w:color w:val="auto"/>
        </w:rPr>
        <w:t>Notice of regular meetings of the Board of Directors need not be given except as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law or these Bylaws. Notice of each special meeting of</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64" w:right="239" w:bottom="1440" w:gutter="0" w:footer="0" w:header="0"/>
        </w:sectPr>
      </w:pPr>
    </w:p>
    <w:bookmarkStart w:id="79" w:name="page80"/>
    <w:bookmarkEnd w:id="79"/>
    <w:p>
      <w:pPr>
        <w:ind w:right="40"/>
        <w:spacing w:after="0" w:line="271" w:lineRule="auto"/>
        <w:rPr>
          <w:sz w:val="20"/>
          <w:szCs w:val="20"/>
          <w:color w:val="auto"/>
        </w:rPr>
      </w:pPr>
      <w:r>
        <w:rPr>
          <w:rFonts w:ascii="Arial" w:cs="Arial" w:eastAsia="Arial" w:hAnsi="Arial"/>
          <w:sz w:val="19"/>
          <w:szCs w:val="19"/>
          <w:color w:val="auto"/>
        </w:rPr>
        <w:t>the Board of Directors, and of each regular and annual meeting of the Board of Directors for which notice shall be required, shall be given by the Secretary as hereinafter provided in this Section (H), in which notice shall be stated the time and place of the meeting. Except as otherwise required by these Bylaws, such notice need not state the purposes of such meeting. Notice of any special meeting, and of any regular or annual meeting for which notice is required, shall be given to each director at least (a) twelve</w:t>
      </w:r>
    </w:p>
    <w:p>
      <w:pPr>
        <w:spacing w:after="0" w:line="4"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hours before the meeting if by telephone or by being personally delivered or sent by telex, telecopy, email or similar means, or</w:t>
      </w:r>
    </w:p>
    <w:p>
      <w:pPr>
        <w:spacing w:after="0" w:line="24" w:lineRule="exact"/>
        <w:rPr>
          <w:rFonts w:ascii="Arial" w:cs="Arial" w:eastAsia="Arial" w:hAnsi="Arial"/>
          <w:sz w:val="19"/>
          <w:szCs w:val="19"/>
          <w:color w:val="auto"/>
        </w:rPr>
      </w:pPr>
    </w:p>
    <w:p>
      <w:pPr>
        <w:ind w:right="40"/>
        <w:spacing w:after="0" w:line="277" w:lineRule="auto"/>
        <w:rPr>
          <w:rFonts w:ascii="Arial" w:cs="Arial" w:eastAsia="Arial" w:hAnsi="Arial"/>
          <w:sz w:val="19"/>
          <w:szCs w:val="19"/>
          <w:color w:val="auto"/>
        </w:rPr>
      </w:pPr>
      <w:r>
        <w:rPr>
          <w:rFonts w:ascii="Arial" w:cs="Arial" w:eastAsia="Arial" w:hAnsi="Arial"/>
          <w:sz w:val="19"/>
          <w:szCs w:val="19"/>
          <w:color w:val="auto"/>
        </w:rPr>
        <w:t>(b) three (3) days before the meeting if delivered by mail to the director’s residence or usual place of business. Such notice shall be deemed to be delivered when deposited in the United States mail so addressed, with postage prepaid, or when transmitted if sent by telex, telecopy, or similar means. Neither the business to be transacted at, nor the purpose of, any special meeting of the Board of Directors need be specified in the notice or waiver of notice of such meeting. Any director may waive notice of any meeting by a writing signed by the director entitled to the notice and filed with the minutes or corporate records.</w:t>
      </w:r>
    </w:p>
    <w:p>
      <w:pPr>
        <w:spacing w:after="0" w:line="146" w:lineRule="exact"/>
        <w:rPr>
          <w:rFonts w:ascii="Arial" w:cs="Arial" w:eastAsia="Arial" w:hAnsi="Arial"/>
          <w:sz w:val="19"/>
          <w:szCs w:val="19"/>
          <w:color w:val="auto"/>
        </w:rPr>
      </w:pPr>
    </w:p>
    <w:p>
      <w:pPr>
        <w:ind w:right="20" w:firstLine="885"/>
        <w:spacing w:after="0" w:line="247" w:lineRule="auto"/>
        <w:tabs>
          <w:tab w:leader="none" w:pos="1147" w:val="left"/>
        </w:tabs>
        <w:numPr>
          <w:ilvl w:val="1"/>
          <w:numId w:val="62"/>
        </w:numPr>
        <w:rPr>
          <w:rFonts w:ascii="Arial" w:cs="Arial" w:eastAsia="Arial" w:hAnsi="Arial"/>
          <w:sz w:val="21"/>
          <w:szCs w:val="21"/>
          <w:color w:val="auto"/>
        </w:rPr>
      </w:pPr>
      <w:r>
        <w:rPr>
          <w:rFonts w:ascii="Arial" w:cs="Arial" w:eastAsia="Arial" w:hAnsi="Arial"/>
          <w:sz w:val="21"/>
          <w:szCs w:val="21"/>
          <w:b w:val="1"/>
          <w:bCs w:val="1"/>
          <w:color w:val="auto"/>
        </w:rPr>
        <w:t xml:space="preserve">Waiver of Notice and Presumption of Assent. </w:t>
      </w:r>
      <w:r>
        <w:rPr>
          <w:rFonts w:ascii="Arial" w:cs="Arial" w:eastAsia="Arial" w:hAnsi="Arial"/>
          <w:sz w:val="21"/>
          <w:szCs w:val="21"/>
          <w:color w:val="auto"/>
        </w:rPr>
        <w:t>Any member of the Board of Directors or any committee thereof who</w:t>
      </w:r>
      <w:r>
        <w:rPr>
          <w:rFonts w:ascii="Arial" w:cs="Arial" w:eastAsia="Arial" w:hAnsi="Arial"/>
          <w:sz w:val="21"/>
          <w:szCs w:val="21"/>
          <w:b w:val="1"/>
          <w:bCs w:val="1"/>
          <w:color w:val="auto"/>
        </w:rPr>
        <w:t xml:space="preserve"> </w:t>
      </w:r>
      <w:r>
        <w:rPr>
          <w:rFonts w:ascii="Arial" w:cs="Arial" w:eastAsia="Arial" w:hAnsi="Arial"/>
          <w:sz w:val="21"/>
          <w:szCs w:val="21"/>
          <w:color w:val="auto"/>
        </w:rPr>
        <w:t>is 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72" w:lineRule="exact"/>
        <w:rPr>
          <w:rFonts w:ascii="Arial" w:cs="Arial" w:eastAsia="Arial" w:hAnsi="Arial"/>
          <w:sz w:val="21"/>
          <w:szCs w:val="21"/>
          <w:color w:val="auto"/>
        </w:rPr>
      </w:pPr>
    </w:p>
    <w:p>
      <w:pPr>
        <w:ind w:firstLine="885"/>
        <w:spacing w:after="0" w:line="275" w:lineRule="auto"/>
        <w:tabs>
          <w:tab w:leader="none" w:pos="1159" w:val="left"/>
        </w:tabs>
        <w:numPr>
          <w:ilvl w:val="1"/>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Quorum; Manner of Action. </w:t>
      </w:r>
      <w:r>
        <w:rPr>
          <w:rFonts w:ascii="Arial" w:cs="Arial" w:eastAsia="Arial" w:hAnsi="Arial"/>
          <w:sz w:val="19"/>
          <w:szCs w:val="19"/>
          <w:color w:val="auto"/>
        </w:rPr>
        <w:t>A majority of the entire Board of Directors shall constitute a quorum for the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of business at any meeting of the Board of Directors, and, except as otherwise expressly required by statute or the Certificate of Incorporation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 another time and place. Notice of the time and place of any such adjourned meeting shall be given to all of the directors unless such time and place were announced at the meeting at which the adjournment was taken, in which case such notice shall only be given to the directors who were not present thereat. At any adjourned meeting at which a quorum is present, any business may be transacted which might have been transacted at the meeting as originally called. The directors shall act only as a Board of Directors and the individual directors shall have no power as such.</w:t>
      </w:r>
    </w:p>
    <w:p>
      <w:pPr>
        <w:spacing w:after="0" w:line="150" w:lineRule="exact"/>
        <w:rPr>
          <w:rFonts w:ascii="Arial" w:cs="Arial" w:eastAsia="Arial" w:hAnsi="Arial"/>
          <w:sz w:val="19"/>
          <w:szCs w:val="19"/>
          <w:color w:val="auto"/>
        </w:rPr>
      </w:pPr>
    </w:p>
    <w:p>
      <w:pPr>
        <w:ind w:right="40" w:firstLine="885"/>
        <w:spacing w:after="0" w:line="237" w:lineRule="auto"/>
        <w:tabs>
          <w:tab w:leader="none" w:pos="1231" w:val="left"/>
        </w:tabs>
        <w:numPr>
          <w:ilvl w:val="1"/>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Organization. </w:t>
      </w:r>
      <w:r>
        <w:rPr>
          <w:rFonts w:ascii="Arial" w:cs="Arial" w:eastAsia="Arial" w:hAnsi="Arial"/>
          <w:sz w:val="22"/>
          <w:szCs w:val="22"/>
          <w:color w:val="auto"/>
        </w:rPr>
        <w:t>At each meeting of the Board of Directors, the Chairman of the Board of Directors, if one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elected, or, in the absence of the Chairman of the Board of Directors or if one shall not have been elected, the Chief Executive Officer (or, in his absence, another director chosen by a majority of the directors present) shall act as chairman of the meeting and preside thereat. The Secretary or, in his absence, any person appointed by the chairman of the meeting, shall act as secretary of the meeting and keep the minutes thereof.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80" w:name="page81"/>
    <w:bookmarkEnd w:id="80"/>
    <w:p>
      <w:pPr>
        <w:ind w:left="-20" w:right="1220" w:firstLine="885"/>
        <w:spacing w:after="0" w:line="280" w:lineRule="auto"/>
        <w:tabs>
          <w:tab w:leader="none" w:pos="1187" w:val="left"/>
        </w:tabs>
        <w:numPr>
          <w:ilvl w:val="0"/>
          <w:numId w:val="63"/>
        </w:numPr>
        <w:rPr>
          <w:rFonts w:ascii="Arial" w:cs="Arial" w:eastAsia="Arial" w:hAnsi="Arial"/>
          <w:sz w:val="21"/>
          <w:szCs w:val="21"/>
          <w:color w:val="auto"/>
        </w:rPr>
      </w:pPr>
      <w:r>
        <w:rPr>
          <w:rFonts w:ascii="Arial" w:cs="Arial" w:eastAsia="Arial" w:hAnsi="Arial"/>
          <w:sz w:val="21"/>
          <w:szCs w:val="21"/>
          <w:b w:val="1"/>
          <w:bCs w:val="1"/>
          <w:color w:val="auto"/>
        </w:rPr>
        <w:t xml:space="preserve">Compensation. </w:t>
      </w:r>
      <w:r>
        <w:rPr>
          <w:rFonts w:ascii="Arial" w:cs="Arial" w:eastAsia="Arial" w:hAnsi="Arial"/>
          <w:sz w:val="21"/>
          <w:szCs w:val="21"/>
          <w:color w:val="auto"/>
        </w:rPr>
        <w:t>The Board of Directors shall have authority to fix the compensation, including fees and</w:t>
      </w:r>
      <w:r>
        <w:rPr>
          <w:rFonts w:ascii="Arial" w:cs="Arial" w:eastAsia="Arial" w:hAnsi="Arial"/>
          <w:sz w:val="21"/>
          <w:szCs w:val="21"/>
          <w:b w:val="1"/>
          <w:bCs w:val="1"/>
          <w:color w:val="auto"/>
        </w:rPr>
        <w:t xml:space="preserve"> </w:t>
      </w:r>
      <w:r>
        <w:rPr>
          <w:rFonts w:ascii="Arial" w:cs="Arial" w:eastAsia="Arial" w:hAnsi="Arial"/>
          <w:sz w:val="21"/>
          <w:szCs w:val="21"/>
          <w:color w:val="auto"/>
        </w:rPr>
        <w:t>reimbursement of expenses, of directors for services to the Corporation in any capacity.</w:t>
      </w:r>
    </w:p>
    <w:p>
      <w:pPr>
        <w:spacing w:after="0" w:line="138" w:lineRule="exact"/>
        <w:rPr>
          <w:rFonts w:ascii="Arial" w:cs="Arial" w:eastAsia="Arial" w:hAnsi="Arial"/>
          <w:sz w:val="21"/>
          <w:szCs w:val="21"/>
          <w:color w:val="auto"/>
        </w:rPr>
      </w:pPr>
    </w:p>
    <w:p>
      <w:pPr>
        <w:ind w:left="-20" w:right="40" w:firstLine="885"/>
        <w:spacing w:after="0" w:line="284" w:lineRule="auto"/>
        <w:tabs>
          <w:tab w:leader="none" w:pos="1247"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Action by Consent. </w:t>
      </w:r>
      <w:r>
        <w:rPr>
          <w:rFonts w:ascii="Arial" w:cs="Arial" w:eastAsia="Arial" w:hAnsi="Arial"/>
          <w:sz w:val="19"/>
          <w:szCs w:val="19"/>
          <w:color w:val="auto"/>
        </w:rPr>
        <w:t>Unless restricted by the Certificate of Incorporation, any action required or permitted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taken by the Board of Directors or any committee thereof may be taken without a meeting if all members of the Board of Directors or such committee, as the case may be, consent thereto in writing or by electronic transmission, and the writing or writings are filed with the minutes of the proceedings of the Board of Directors or such committee, as the case may be. Such filing shall be in paper form if the minutes are maintained in paper form and shall be in electronic form if the minutes are maintained in electronic form.</w:t>
      </w:r>
    </w:p>
    <w:p>
      <w:pPr>
        <w:spacing w:after="0" w:line="138" w:lineRule="exact"/>
        <w:rPr>
          <w:rFonts w:ascii="Arial" w:cs="Arial" w:eastAsia="Arial" w:hAnsi="Arial"/>
          <w:sz w:val="19"/>
          <w:szCs w:val="19"/>
          <w:color w:val="auto"/>
        </w:rPr>
      </w:pPr>
    </w:p>
    <w:p>
      <w:pPr>
        <w:jc w:val="both"/>
        <w:ind w:left="-20" w:firstLine="885"/>
        <w:spacing w:after="0" w:line="289" w:lineRule="auto"/>
        <w:tabs>
          <w:tab w:leader="none" w:pos="1211"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Meetings by Telephone or Similar Communications. </w:t>
      </w:r>
      <w:r>
        <w:rPr>
          <w:rFonts w:ascii="Arial" w:cs="Arial" w:eastAsia="Arial" w:hAnsi="Arial"/>
          <w:sz w:val="19"/>
          <w:szCs w:val="19"/>
          <w:color w:val="auto"/>
        </w:rPr>
        <w:t>Unless restricted by the Certificate of Incorporation, any one</w:t>
      </w:r>
      <w:r>
        <w:rPr>
          <w:rFonts w:ascii="Arial" w:cs="Arial" w:eastAsia="Arial" w:hAnsi="Arial"/>
          <w:sz w:val="19"/>
          <w:szCs w:val="19"/>
          <w:b w:val="1"/>
          <w:bCs w:val="1"/>
          <w:color w:val="auto"/>
        </w:rPr>
        <w:t xml:space="preserve"> </w:t>
      </w:r>
      <w:r>
        <w:rPr>
          <w:rFonts w:ascii="Arial" w:cs="Arial" w:eastAsia="Arial" w:hAnsi="Arial"/>
          <w:sz w:val="19"/>
          <w:szCs w:val="19"/>
          <w:color w:val="auto"/>
        </w:rPr>
        <w:t>or more members of the Board of Directors or any committee thereof may participate in a meeting of the Board of Directors or such committee by means of a conference telephone or other communications equipment by means of which all persons participating in the meeting can hear each other. Participation by such means shall constitute presence in person at a meeting.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COMMITTEES</w:t>
      </w:r>
    </w:p>
    <w:p>
      <w:pPr>
        <w:spacing w:after="0" w:line="182" w:lineRule="exact"/>
        <w:rPr>
          <w:sz w:val="20"/>
          <w:szCs w:val="20"/>
          <w:color w:val="auto"/>
        </w:rPr>
      </w:pPr>
    </w:p>
    <w:p>
      <w:pPr>
        <w:ind w:left="-20" w:right="340" w:firstLine="872"/>
        <w:spacing w:after="0" w:line="239" w:lineRule="auto"/>
        <w:tabs>
          <w:tab w:leader="none" w:pos="1198"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Committees. </w:t>
      </w:r>
      <w:r>
        <w:rPr>
          <w:rFonts w:ascii="Arial" w:cs="Arial" w:eastAsia="Arial" w:hAnsi="Arial"/>
          <w:sz w:val="22"/>
          <w:szCs w:val="22"/>
          <w:color w:val="auto"/>
        </w:rPr>
        <w:t>The Board of Directors, by resolutions adopted by a majority of the whole Board, may appoint such</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or committees as it shall deem advisable and with such functions and duties as the Board of Directors shall prescribe. The following Committees of the Board of Directors shall be established in addition to any additional Committee the Board of Directors may in its discretion establish as described herein:</w:t>
      </w:r>
    </w:p>
    <w:p>
      <w:pPr>
        <w:spacing w:after="0" w:line="180" w:lineRule="exact"/>
        <w:rPr>
          <w:rFonts w:ascii="Arial" w:cs="Arial" w:eastAsia="Arial" w:hAnsi="Arial"/>
          <w:sz w:val="22"/>
          <w:szCs w:val="22"/>
          <w:color w:val="auto"/>
        </w:rPr>
      </w:pPr>
    </w:p>
    <w:p>
      <w:pPr>
        <w:ind w:left="860" w:right="20" w:firstLine="816"/>
        <w:spacing w:after="0" w:line="275" w:lineRule="auto"/>
        <w:tabs>
          <w:tab w:leader="none" w:pos="1976" w:val="left"/>
        </w:tabs>
        <w:numPr>
          <w:ilvl w:val="1"/>
          <w:numId w:val="64"/>
        </w:numPr>
        <w:rPr>
          <w:rFonts w:ascii="Arial" w:cs="Arial" w:eastAsia="Arial" w:hAnsi="Arial"/>
          <w:sz w:val="19"/>
          <w:szCs w:val="19"/>
          <w:color w:val="auto"/>
        </w:rPr>
      </w:pPr>
      <w:r>
        <w:rPr>
          <w:rFonts w:ascii="Arial" w:cs="Arial" w:eastAsia="Arial" w:hAnsi="Arial"/>
          <w:sz w:val="19"/>
          <w:szCs w:val="19"/>
          <w:b w:val="1"/>
          <w:bCs w:val="1"/>
          <w:color w:val="auto"/>
        </w:rPr>
        <w:t>Audit Committee</w:t>
      </w:r>
      <w:r>
        <w:rPr>
          <w:rFonts w:ascii="Arial" w:cs="Arial" w:eastAsia="Arial" w:hAnsi="Arial"/>
          <w:sz w:val="19"/>
          <w:szCs w:val="19"/>
          <w:color w:val="auto"/>
        </w:rPr>
        <w:t>. There shall be an Audit Committee composed of at least of three directors. The</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the Audit Committee shall not be “interested persons” of the Corporation, as such term is defined in the 1940 Act, and shall be “independent directors” as defined in applicable listing standards and regulations. The Audit Committee shall have and may exercise those rights, powers and authority of the Board of Directors as may from time to time be granted to it by the Board of Directors; provided, however, that in addition to any such rights, powers or authority, the Audit Committee shall issue instructions to and receive reports from outside accounting firms and serve as the liaison between the Corporation and the said firms; and review all potential conflict-of-interest situations arising in respect of the Corporation’s affairs and involving the Corporation’s affiliates or employees, and to make a report, oral or written, to the full Board of Directors with recommendations for their resolutions.</w:t>
      </w:r>
    </w:p>
    <w:p>
      <w:pPr>
        <w:spacing w:after="0" w:line="150" w:lineRule="exact"/>
        <w:rPr>
          <w:rFonts w:ascii="Arial" w:cs="Arial" w:eastAsia="Arial" w:hAnsi="Arial"/>
          <w:sz w:val="19"/>
          <w:szCs w:val="19"/>
          <w:color w:val="auto"/>
        </w:rPr>
      </w:pPr>
    </w:p>
    <w:p>
      <w:pPr>
        <w:ind w:left="860" w:right="20" w:firstLine="816"/>
        <w:spacing w:after="0" w:line="237" w:lineRule="auto"/>
        <w:tabs>
          <w:tab w:leader="none" w:pos="1976" w:val="left"/>
        </w:tabs>
        <w:numPr>
          <w:ilvl w:val="1"/>
          <w:numId w:val="64"/>
        </w:numPr>
        <w:rPr>
          <w:rFonts w:ascii="Arial" w:cs="Arial" w:eastAsia="Arial" w:hAnsi="Arial"/>
          <w:sz w:val="22"/>
          <w:szCs w:val="22"/>
          <w:color w:val="auto"/>
        </w:rPr>
      </w:pPr>
      <w:r>
        <w:rPr>
          <w:rFonts w:ascii="Arial" w:cs="Arial" w:eastAsia="Arial" w:hAnsi="Arial"/>
          <w:sz w:val="22"/>
          <w:szCs w:val="22"/>
          <w:b w:val="1"/>
          <w:bCs w:val="1"/>
          <w:color w:val="auto"/>
        </w:rPr>
        <w:t>IPO Committee</w:t>
      </w:r>
      <w:r>
        <w:rPr>
          <w:rFonts w:ascii="Arial" w:cs="Arial" w:eastAsia="Arial" w:hAnsi="Arial"/>
          <w:sz w:val="22"/>
          <w:szCs w:val="22"/>
          <w:color w:val="auto"/>
        </w:rPr>
        <w:t>. There shall be an IPO Committee composed of at least three directors. The IPO</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shall serve in an advisory capacity to the entire Board of Directors with respect to matters relating to an initial public offering of the Corporation, including: (i) the preparation and filing with the Securities and Exchange Commission under the Securities Act of 1933, as amended, of one or more Registration Statements on Form S-1, with exhibits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including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558" w:right="239" w:bottom="1440" w:gutter="0" w:footer="0" w:header="0"/>
        </w:sectPr>
      </w:pPr>
    </w:p>
    <w:bookmarkStart w:id="81" w:name="page82"/>
    <w:bookmarkEnd w:id="81"/>
    <w:p>
      <w:pPr>
        <w:ind w:left="860" w:right="60"/>
        <w:spacing w:after="0" w:line="245" w:lineRule="exact"/>
        <w:rPr>
          <w:sz w:val="20"/>
          <w:szCs w:val="20"/>
          <w:color w:val="auto"/>
        </w:rPr>
      </w:pPr>
      <w:r>
        <w:rPr>
          <w:rFonts w:ascii="Arial" w:cs="Arial" w:eastAsia="Arial" w:hAnsi="Arial"/>
          <w:sz w:val="19"/>
          <w:szCs w:val="19"/>
          <w:color w:val="auto"/>
        </w:rPr>
        <w:t>post</w:t>
      </w:r>
      <w:r>
        <w:rPr>
          <w:rFonts w:ascii="MS PGothic" w:cs="MS PGothic" w:eastAsia="MS PGothic" w:hAnsi="MS PGothic"/>
          <w:sz w:val="19"/>
          <w:szCs w:val="19"/>
          <w:color w:val="auto"/>
        </w:rPr>
        <w:t>‑</w:t>
      </w:r>
      <w:r>
        <w:rPr>
          <w:rFonts w:ascii="Arial" w:cs="Arial" w:eastAsia="Arial" w:hAnsi="Arial"/>
          <w:sz w:val="19"/>
          <w:szCs w:val="19"/>
          <w:color w:val="auto"/>
        </w:rPr>
        <w:t>effective amendments, and any supplements to the prospectus or prospectuses contained therein as counsel for the Corporation may deem necessary or advisable or appropriate; (ii) the issuance and sale of shares of the Corporation’s common stock (the “</w:t>
      </w:r>
      <w:r>
        <w:rPr>
          <w:rFonts w:ascii="Arial" w:cs="Arial" w:eastAsia="Arial" w:hAnsi="Arial"/>
          <w:sz w:val="19"/>
          <w:szCs w:val="19"/>
          <w:u w:val="single" w:color="auto"/>
          <w:color w:val="auto"/>
        </w:rPr>
        <w:t>Common Stock</w:t>
      </w:r>
      <w:r>
        <w:rPr>
          <w:rFonts w:ascii="Arial" w:cs="Arial" w:eastAsia="Arial" w:hAnsi="Arial"/>
          <w:sz w:val="19"/>
          <w:szCs w:val="19"/>
          <w:color w:val="auto"/>
        </w:rPr>
        <w:t>”), par value $0.01 per share, plus the grant of an option to purchase (and the issuance and sale upon exercise of such option) additional shares of Common Stock to cover over-allotments, if any, to a group of underwriters (the “</w:t>
      </w:r>
      <w:r>
        <w:rPr>
          <w:rFonts w:ascii="Arial" w:cs="Arial" w:eastAsia="Arial" w:hAnsi="Arial"/>
          <w:sz w:val="19"/>
          <w:szCs w:val="19"/>
          <w:u w:val="single" w:color="auto"/>
          <w:color w:val="auto"/>
        </w:rPr>
        <w:t>Underwriters</w:t>
      </w:r>
      <w:r>
        <w:rPr>
          <w:rFonts w:ascii="Arial" w:cs="Arial" w:eastAsia="Arial" w:hAnsi="Arial"/>
          <w:sz w:val="19"/>
          <w:szCs w:val="19"/>
          <w:color w:val="auto"/>
        </w:rPr>
        <w:t>”); (iii) the negotiation and finalization of the terms and conditions of an Underwriting Agreement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 between the Corporation and the Underwriters relating to the public offering of shares of the Common Stock, including the determination of the consideration to be obtained by the Corporation upon the sale of shares of the Common Stock to the Underwriters pursuant to the Underwriting Agreement;</w:t>
      </w:r>
    </w:p>
    <w:p>
      <w:pPr>
        <w:spacing w:after="0" w:line="4" w:lineRule="exact"/>
        <w:rPr>
          <w:sz w:val="20"/>
          <w:szCs w:val="20"/>
          <w:color w:val="auto"/>
        </w:rPr>
      </w:pPr>
    </w:p>
    <w:p>
      <w:pPr>
        <w:ind w:left="860" w:right="100" w:firstLine="5"/>
        <w:spacing w:after="0" w:line="270" w:lineRule="auto"/>
        <w:tabs>
          <w:tab w:leader="none" w:pos="122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determination that, when issued and paid for pursuant to the Underwriting Agreement, all shares of the Common Stock, sold by the Corporation to the Underwriters, shall be validly issued, fully paid and nonassessable; and (v) the authorization of the Chairman of the Board, the President and Chief Executive Officer, the Chief Financial Officer and the General Counsel, and each of them, to take all such further action, and to execute and deliver all such further instruments and documents, and to make such filings, in the name and on behalf of the Corporation, and whether under its corporate seal attested by its Secretary or otherwise, and to cause the Corporation to pay such expenses, as in their judgment shall be necessary or desirable in order fully to carry out the intent and accomplish the purpose of the foregoing, the taking of any such further action, the execution of any such further instruments or documents, the making of any such filings or the payment of any such expenses to be conclusive evidence of such judgment. Notwithstanding anything to the contrary contained in this Article IV, any determination to (x) pursue an initial public offering of the Company or (y) take any action with respect to the matters described in Section (A)(2) of this Article IV shall, in either case, be prescribed by a resolution passed by a majority of the entire Board of Directors; provided, however, that in making such determination, the Board of Directors shall take into consideration any recommendations of the IPO Committee.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860" w:right="20" w:firstLine="816"/>
        <w:spacing w:after="0" w:line="274" w:lineRule="auto"/>
        <w:tabs>
          <w:tab w:leader="none" w:pos="1976" w:val="left"/>
        </w:tabs>
        <w:numPr>
          <w:ilvl w:val="1"/>
          <w:numId w:val="65"/>
        </w:numPr>
        <w:rPr>
          <w:rFonts w:ascii="Arial" w:cs="Arial" w:eastAsia="Arial" w:hAnsi="Arial"/>
          <w:sz w:val="19"/>
          <w:szCs w:val="19"/>
          <w:color w:val="auto"/>
        </w:rPr>
      </w:pPr>
      <w:r>
        <w:rPr>
          <w:rFonts w:ascii="Arial" w:cs="Arial" w:eastAsia="Arial" w:hAnsi="Arial"/>
          <w:sz w:val="19"/>
          <w:szCs w:val="19"/>
          <w:b w:val="1"/>
          <w:bCs w:val="1"/>
          <w:color w:val="auto"/>
        </w:rPr>
        <w:t>Other Committees</w:t>
      </w:r>
      <w:r>
        <w:rPr>
          <w:rFonts w:ascii="Arial" w:cs="Arial" w:eastAsia="Arial" w:hAnsi="Arial"/>
          <w:sz w:val="19"/>
          <w:szCs w:val="19"/>
          <w:color w:val="auto"/>
        </w:rPr>
        <w:t>. The Board of Directors, by resolution passed by a majority of the entire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may designate one or more additional committees, each committee to consist of one or more of the directors of the Corporation. Subject to subsection (1) of this Section (A), the Board of Directors may designate one or more directors as alternate members of any committee, who may replace any absent or disqualified member at any meeting of the committee. Except to the extent restricted by statute or the Certificate of Incorporation, each such committee, to the extent provided in the resolution creating it, shall have and may exercise all the powers and authority of the Board of Directors and may authorize the seal of the Corporation to be affixed to all papers which require it. Each such committee shall serve at the pleasure of the Board of Directors and shall have such name as may be determined from time to time by resolution adopted by the Board of Directors. Each committee shall keep regular minutes of its meetings and report the same to the Board of Directors.</w:t>
      </w:r>
    </w:p>
    <w:p>
      <w:pPr>
        <w:spacing w:after="0" w:line="153" w:lineRule="exact"/>
        <w:rPr>
          <w:sz w:val="20"/>
          <w:szCs w:val="20"/>
          <w:color w:val="auto"/>
        </w:rPr>
      </w:pPr>
    </w:p>
    <w:p>
      <w:pPr>
        <w:ind w:left="-20" w:firstLine="885"/>
        <w:spacing w:after="0" w:line="243" w:lineRule="auto"/>
        <w:tabs>
          <w:tab w:leader="none" w:pos="120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 xml:space="preserve">Committee Rules. </w:t>
      </w:r>
      <w:r>
        <w:rPr>
          <w:rFonts w:ascii="Arial" w:cs="Arial" w:eastAsia="Arial" w:hAnsi="Arial"/>
          <w:sz w:val="22"/>
          <w:szCs w:val="22"/>
          <w:color w:val="auto"/>
        </w:rPr>
        <w:t>Each committee of the Board of Directors may fix its own rules of procedure and shall hold its</w:t>
      </w:r>
      <w:r>
        <w:rPr>
          <w:rFonts w:ascii="Arial" w:cs="Arial" w:eastAsia="Arial" w:hAnsi="Arial"/>
          <w:sz w:val="22"/>
          <w:szCs w:val="22"/>
          <w:b w:val="1"/>
          <w:bCs w:val="1"/>
          <w:color w:val="auto"/>
        </w:rPr>
        <w:t xml:space="preserve"> </w:t>
      </w:r>
      <w:r>
        <w:rPr>
          <w:rFonts w:ascii="Arial" w:cs="Arial" w:eastAsia="Arial" w:hAnsi="Arial"/>
          <w:sz w:val="22"/>
          <w:szCs w:val="22"/>
          <w:color w:val="auto"/>
        </w:rPr>
        <w:t>meetings as provided by such rules, except as may otherwise be provided by a resolution of the Board of Directors designating such committee or in these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564" w:right="239" w:bottom="1440" w:gutter="0" w:footer="0" w:header="0"/>
        </w:sectPr>
      </w:pPr>
    </w:p>
    <w:bookmarkStart w:id="82" w:name="page83"/>
    <w:bookmarkEnd w:id="82"/>
    <w:p>
      <w:pPr>
        <w:ind w:right="40"/>
        <w:spacing w:after="0" w:line="279" w:lineRule="auto"/>
        <w:rPr>
          <w:sz w:val="20"/>
          <w:szCs w:val="20"/>
          <w:color w:val="auto"/>
        </w:rPr>
      </w:pPr>
      <w:r>
        <w:rPr>
          <w:rFonts w:ascii="Arial" w:cs="Arial" w:eastAsia="Arial" w:hAnsi="Arial"/>
          <w:sz w:val="19"/>
          <w:szCs w:val="19"/>
          <w:color w:val="auto"/>
        </w:rPr>
        <w:t>Bylaws. Unless otherwise provided in such a resolution or in these Bylaws, the presence of at least a majority of the members of the committee shall be necessary to constitute a quorum. Unless otherwise provided by resolution or in these Bylaws, in the event that a member and that member’s alternate, if alternates are designated by the Board of Directors as provided in Section (A)(2) of this Article IV,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OFFICERS</w:t>
      </w:r>
    </w:p>
    <w:p>
      <w:pPr>
        <w:spacing w:after="0" w:line="182" w:lineRule="exact"/>
        <w:rPr>
          <w:sz w:val="20"/>
          <w:szCs w:val="20"/>
          <w:color w:val="auto"/>
        </w:rPr>
      </w:pPr>
    </w:p>
    <w:p>
      <w:pPr>
        <w:ind w:right="20" w:firstLine="885"/>
        <w:spacing w:after="0" w:line="273" w:lineRule="auto"/>
        <w:tabs>
          <w:tab w:leader="none" w:pos="1231"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 xml:space="preserve">Number and Qualifications. </w:t>
      </w:r>
      <w:r>
        <w:rPr>
          <w:rFonts w:ascii="Arial" w:cs="Arial" w:eastAsia="Arial" w:hAnsi="Arial"/>
          <w:sz w:val="19"/>
          <w:szCs w:val="19"/>
          <w:color w:val="auto"/>
        </w:rPr>
        <w:t>The officers of the Corporation, who need not be employees of the Corporation,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elected by the Board of Directors and shall include the Chief Executive Officer, the Chief Financial Officer, the Chief Compliance Officer, and the Secretary. The Corporation, at the discretion of the Board of Directors, may also have such other officers as are desired, including a Chairman of the Board of Directors, a President, one or more Vice Presidents, a Chief Operating Officer, a Chief Investment Officer, a Treasurer, one or more Assistant Treasurers, one or more Assistant Secretaries, and such other officers as may be necessary or desirable for the business of the Corporation. If there are two or more Vice Presidents, then one or more may be designated as Executive Vice President, Senior Vice President, Assistant Vice President or other similar or dissimilar title. At the time of the election of officers, the directors may by resolution determine the order of their rank. Any number of offices may be held by the same person, and no officer (except the Chairman of the Board of Directors, if any) need be a director. In its discretion, the Board of Directors may choose not to fill any office for any period as it may deem advisable, except that the offices of Chief Executive Officer and the Secretary shall be filled as expeditiously as possible.</w:t>
      </w:r>
    </w:p>
    <w:p>
      <w:pPr>
        <w:spacing w:after="0" w:line="156" w:lineRule="exact"/>
        <w:rPr>
          <w:rFonts w:ascii="Arial" w:cs="Arial" w:eastAsia="Arial" w:hAnsi="Arial"/>
          <w:sz w:val="19"/>
          <w:szCs w:val="19"/>
          <w:color w:val="auto"/>
        </w:rPr>
      </w:pPr>
    </w:p>
    <w:p>
      <w:pPr>
        <w:ind w:right="160" w:firstLine="885"/>
        <w:spacing w:after="0" w:line="248" w:lineRule="auto"/>
        <w:tabs>
          <w:tab w:leader="none" w:pos="1220" w:val="left"/>
        </w:tabs>
        <w:numPr>
          <w:ilvl w:val="0"/>
          <w:numId w:val="67"/>
        </w:numPr>
        <w:rPr>
          <w:rFonts w:ascii="Arial" w:cs="Arial" w:eastAsia="Arial" w:hAnsi="Arial"/>
          <w:sz w:val="21"/>
          <w:szCs w:val="21"/>
          <w:color w:val="auto"/>
        </w:rPr>
      </w:pPr>
      <w:r>
        <w:rPr>
          <w:rFonts w:ascii="Arial" w:cs="Arial" w:eastAsia="Arial" w:hAnsi="Arial"/>
          <w:sz w:val="21"/>
          <w:szCs w:val="21"/>
          <w:b w:val="1"/>
          <w:bCs w:val="1"/>
          <w:color w:val="auto"/>
        </w:rPr>
        <w:t xml:space="preserve">Election and Term of Office. </w:t>
      </w:r>
      <w:r>
        <w:rPr>
          <w:rFonts w:ascii="Arial" w:cs="Arial" w:eastAsia="Arial" w:hAnsi="Arial"/>
          <w:sz w:val="21"/>
          <w:szCs w:val="21"/>
          <w:color w:val="auto"/>
        </w:rPr>
        <w:t>The officers of the Corporation shall be elected annually by the Board of Directors at</w:t>
      </w:r>
      <w:r>
        <w:rPr>
          <w:rFonts w:ascii="Arial" w:cs="Arial" w:eastAsia="Arial" w:hAnsi="Arial"/>
          <w:sz w:val="21"/>
          <w:szCs w:val="21"/>
          <w:b w:val="1"/>
          <w:bCs w:val="1"/>
          <w:color w:val="auto"/>
        </w:rPr>
        <w:t xml:space="preserve"> </w:t>
      </w:r>
      <w:r>
        <w:rPr>
          <w:rFonts w:ascii="Arial" w:cs="Arial" w:eastAsia="Arial" w:hAnsi="Arial"/>
          <w:sz w:val="21"/>
          <w:szCs w:val="21"/>
          <w:color w:val="auto"/>
        </w:rPr>
        <w:t>its first meeting held after each annual meeting of stockholders or as soon thereafter as is convenient. The Chairman of the Board of Directors (if one is elected) and Chief Executive Officer shall be elected annually by the Board of Directors at the first meeting of the Board of Directors held after each annual meeting of stockholders or as soon thereafter as is convenient. Vacancies may be filled or new offices created and filled at any meeting of the Board of Directors. Each officer shall hold office until his successor shall have been duly elected and shall have qualified, or until his death, or until he or she shall have resigned or have been removed, as hereinafter provided in these Bylaws.</w:t>
      </w:r>
    </w:p>
    <w:p>
      <w:pPr>
        <w:spacing w:after="0" w:line="171" w:lineRule="exact"/>
        <w:rPr>
          <w:rFonts w:ascii="Arial" w:cs="Arial" w:eastAsia="Arial" w:hAnsi="Arial"/>
          <w:sz w:val="21"/>
          <w:szCs w:val="21"/>
          <w:color w:val="auto"/>
        </w:rPr>
      </w:pPr>
    </w:p>
    <w:p>
      <w:pPr>
        <w:ind w:firstLine="885"/>
        <w:spacing w:after="0" w:line="239" w:lineRule="auto"/>
        <w:tabs>
          <w:tab w:leader="none" w:pos="122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Resignations. </w:t>
      </w:r>
      <w:r>
        <w:rPr>
          <w:rFonts w:ascii="Arial" w:cs="Arial" w:eastAsia="Arial" w:hAnsi="Arial"/>
          <w:sz w:val="22"/>
          <w:szCs w:val="22"/>
          <w:color w:val="auto"/>
        </w:rPr>
        <w:t>Any officer of the Corporation may resign at any time by giving written notice of his resignation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Any such resignation shall take effect at the time specified therein or, if the time when it shall become effective shall not be specified therein, immediately upon receipt. Unless otherwise specified therein, the acceptance of any such resignation shall not be necessary to make it effective.</w:t>
      </w:r>
    </w:p>
    <w:p>
      <w:pPr>
        <w:spacing w:after="0" w:line="180" w:lineRule="exact"/>
        <w:rPr>
          <w:rFonts w:ascii="Arial" w:cs="Arial" w:eastAsia="Arial" w:hAnsi="Arial"/>
          <w:sz w:val="22"/>
          <w:szCs w:val="22"/>
          <w:color w:val="auto"/>
        </w:rPr>
      </w:pPr>
    </w:p>
    <w:p>
      <w:pPr>
        <w:ind w:right="40" w:firstLine="885"/>
        <w:spacing w:after="0" w:line="256" w:lineRule="auto"/>
        <w:tabs>
          <w:tab w:leader="none" w:pos="1231"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Removal. </w:t>
      </w:r>
      <w:r>
        <w:rPr>
          <w:rFonts w:ascii="Arial" w:cs="Arial" w:eastAsia="Arial" w:hAnsi="Arial"/>
          <w:sz w:val="22"/>
          <w:szCs w:val="22"/>
          <w:color w:val="auto"/>
        </w:rPr>
        <w:t>Any officer of the Corporation may be removed, either with or without cause, at any time, by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at any meeting thereof.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4" w:right="259" w:bottom="1440" w:gutter="0" w:footer="0" w:header="0"/>
        </w:sectPr>
      </w:pPr>
    </w:p>
    <w:bookmarkStart w:id="83" w:name="page84"/>
    <w:bookmarkEnd w:id="83"/>
    <w:p>
      <w:pPr>
        <w:ind w:left="-40" w:firstLine="885"/>
        <w:spacing w:after="0" w:line="335" w:lineRule="auto"/>
        <w:tabs>
          <w:tab w:leader="none" w:pos="1167"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Vacancies. </w:t>
      </w:r>
      <w:r>
        <w:rPr>
          <w:rFonts w:ascii="Arial" w:cs="Arial" w:eastAsia="Arial" w:hAnsi="Arial"/>
          <w:sz w:val="19"/>
          <w:szCs w:val="19"/>
          <w:color w:val="auto"/>
        </w:rPr>
        <w:t>Any vacancy occurring in any office because of death, resignation, removal, disqualification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may be filled by the Board of Directors for the unexpired portion of the term by the Board of Directors then in office.</w:t>
      </w:r>
    </w:p>
    <w:p>
      <w:pPr>
        <w:spacing w:after="0" w:line="92" w:lineRule="exact"/>
        <w:rPr>
          <w:rFonts w:ascii="Arial" w:cs="Arial" w:eastAsia="Arial" w:hAnsi="Arial"/>
          <w:sz w:val="19"/>
          <w:szCs w:val="19"/>
          <w:color w:val="auto"/>
        </w:rPr>
      </w:pPr>
    </w:p>
    <w:p>
      <w:pPr>
        <w:ind w:left="-40" w:right="60" w:firstLine="885"/>
        <w:spacing w:after="0" w:line="243" w:lineRule="auto"/>
        <w:tabs>
          <w:tab w:leader="none" w:pos="1155"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Chairman of the Board. </w:t>
      </w:r>
      <w:r>
        <w:rPr>
          <w:rFonts w:ascii="Arial" w:cs="Arial" w:eastAsia="Arial" w:hAnsi="Arial"/>
          <w:sz w:val="22"/>
          <w:szCs w:val="22"/>
          <w:color w:val="auto"/>
        </w:rPr>
        <w:t>The Chairman of the Board of Directors (if one is elected) shall, if present, preside at all</w:t>
      </w:r>
      <w:r>
        <w:rPr>
          <w:rFonts w:ascii="Arial" w:cs="Arial" w:eastAsia="Arial" w:hAnsi="Arial"/>
          <w:sz w:val="22"/>
          <w:szCs w:val="22"/>
          <w:b w:val="1"/>
          <w:bCs w:val="1"/>
          <w:color w:val="auto"/>
        </w:rPr>
        <w:t xml:space="preserve"> </w:t>
      </w:r>
      <w:r>
        <w:rPr>
          <w:rFonts w:ascii="Arial" w:cs="Arial" w:eastAsia="Arial" w:hAnsi="Arial"/>
          <w:sz w:val="22"/>
          <w:szCs w:val="22"/>
          <w:color w:val="auto"/>
        </w:rPr>
        <w:t>meetings of the Board of Directors and exercise and perform such other powers and duties as from time to time may be assigned to him or her by the Board of Directors or prescribed by these Bylaws.</w:t>
      </w:r>
    </w:p>
    <w:p>
      <w:pPr>
        <w:spacing w:after="0" w:line="176" w:lineRule="exact"/>
        <w:rPr>
          <w:rFonts w:ascii="Arial" w:cs="Arial" w:eastAsia="Arial" w:hAnsi="Arial"/>
          <w:sz w:val="22"/>
          <w:szCs w:val="22"/>
          <w:color w:val="auto"/>
        </w:rPr>
      </w:pPr>
    </w:p>
    <w:p>
      <w:pPr>
        <w:ind w:left="-40" w:right="40" w:firstLine="885"/>
        <w:spacing w:after="0" w:line="273" w:lineRule="auto"/>
        <w:tabs>
          <w:tab w:leader="none" w:pos="1191"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Chief Executive Officer. </w:t>
      </w:r>
      <w:r>
        <w:rPr>
          <w:rFonts w:ascii="Arial" w:cs="Arial" w:eastAsia="Arial" w:hAnsi="Arial"/>
          <w:sz w:val="19"/>
          <w:szCs w:val="19"/>
          <w:color w:val="auto"/>
        </w:rPr>
        <w:t>The Chief Executive Officer shall be the chief executive officer of the Corporation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powers and perform the duties incident to that position. He or she shall, in the absence of the Chairman of the Board of Directors, or if a Chairman of the Board of Directors shall not have been elected, preside at each meeting of the Board of Directors or the stockholders. He or she shall have the right to attend the meetings of the Board of Directors and all committees of the Board of Directors. Subject to the powers of the Board of Directors, he or she shall be in the general and active charge of the entire business and affairs of the Corporation, including authority over its officers, agents and employees, and shall have such other duties as may from time to time be assigned to him or her by the Board of Directors. The Chief Executive Officer shall be responsible for implementing all orders and resolutions of the Board of Directors, and shall execute bonds, mortgages and other contracts required to be executed under the seal of the Corporation, except when required or permitted by law to be otherwise signed and executed and except when the signing and execution thereof shall be expressly delegated by the Board of Directors or the Chief Executive Officer to some other officer or agent of the Corporation.</w:t>
      </w:r>
    </w:p>
    <w:p>
      <w:pPr>
        <w:spacing w:after="0" w:line="156" w:lineRule="exact"/>
        <w:rPr>
          <w:rFonts w:ascii="Arial" w:cs="Arial" w:eastAsia="Arial" w:hAnsi="Arial"/>
          <w:sz w:val="19"/>
          <w:szCs w:val="19"/>
          <w:color w:val="auto"/>
        </w:rPr>
      </w:pPr>
    </w:p>
    <w:p>
      <w:pPr>
        <w:ind w:left="1200" w:hanging="355"/>
        <w:spacing w:after="0"/>
        <w:tabs>
          <w:tab w:leader="none" w:pos="120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Chief Financial Officer; Treasurer. </w:t>
      </w:r>
      <w:r>
        <w:rPr>
          <w:rFonts w:ascii="Arial" w:cs="Arial" w:eastAsia="Arial" w:hAnsi="Arial"/>
          <w:sz w:val="22"/>
          <w:szCs w:val="22"/>
          <w:color w:val="auto"/>
        </w:rPr>
        <w:t>The Chief Financial Officer:</w:t>
      </w:r>
    </w:p>
    <w:p>
      <w:pPr>
        <w:spacing w:after="0" w:line="212" w:lineRule="exact"/>
        <w:rPr>
          <w:rFonts w:ascii="Arial" w:cs="Arial" w:eastAsia="Arial" w:hAnsi="Arial"/>
          <w:sz w:val="22"/>
          <w:szCs w:val="22"/>
          <w:color w:val="auto"/>
        </w:rPr>
      </w:pPr>
    </w:p>
    <w:p>
      <w:pPr>
        <w:ind w:left="1960" w:hanging="304"/>
        <w:spacing w:after="0"/>
        <w:tabs>
          <w:tab w:leader="none" w:pos="1960" w:val="left"/>
        </w:tabs>
        <w:numPr>
          <w:ilvl w:val="1"/>
          <w:numId w:val="68"/>
        </w:numPr>
        <w:rPr>
          <w:rFonts w:ascii="Arial" w:cs="Arial" w:eastAsia="Arial" w:hAnsi="Arial"/>
          <w:sz w:val="19"/>
          <w:szCs w:val="19"/>
          <w:color w:val="auto"/>
        </w:rPr>
      </w:pPr>
      <w:r>
        <w:rPr>
          <w:rFonts w:ascii="Arial" w:cs="Arial" w:eastAsia="Arial" w:hAnsi="Arial"/>
          <w:sz w:val="19"/>
          <w:szCs w:val="19"/>
          <w:color w:val="auto"/>
        </w:rPr>
        <w:t>Shall have charge and custody of, and be responsible for, all the funds and securities of the Corporation;</w:t>
      </w:r>
    </w:p>
    <w:p>
      <w:pPr>
        <w:spacing w:after="0" w:line="240" w:lineRule="exact"/>
        <w:rPr>
          <w:rFonts w:ascii="Arial" w:cs="Arial" w:eastAsia="Arial" w:hAnsi="Arial"/>
          <w:sz w:val="19"/>
          <w:szCs w:val="19"/>
          <w:color w:val="auto"/>
        </w:rPr>
      </w:pPr>
    </w:p>
    <w:p>
      <w:pPr>
        <w:ind w:left="1960" w:hanging="304"/>
        <w:spacing w:after="0"/>
        <w:tabs>
          <w:tab w:leader="none" w:pos="1960" w:val="left"/>
        </w:tabs>
        <w:numPr>
          <w:ilvl w:val="1"/>
          <w:numId w:val="68"/>
        </w:numPr>
        <w:rPr>
          <w:rFonts w:ascii="Arial" w:cs="Arial" w:eastAsia="Arial" w:hAnsi="Arial"/>
          <w:sz w:val="19"/>
          <w:szCs w:val="19"/>
          <w:color w:val="auto"/>
        </w:rPr>
      </w:pPr>
      <w:r>
        <w:rPr>
          <w:rFonts w:ascii="Arial" w:cs="Arial" w:eastAsia="Arial" w:hAnsi="Arial"/>
          <w:sz w:val="19"/>
          <w:szCs w:val="19"/>
          <w:color w:val="auto"/>
        </w:rPr>
        <w:t>Shall keep full and accurate accounts of receipts and disbursements in books belonging to the Corporation;</w:t>
      </w:r>
    </w:p>
    <w:p>
      <w:pPr>
        <w:spacing w:after="0" w:line="240" w:lineRule="exact"/>
        <w:rPr>
          <w:rFonts w:ascii="Arial" w:cs="Arial" w:eastAsia="Arial" w:hAnsi="Arial"/>
          <w:sz w:val="19"/>
          <w:szCs w:val="19"/>
          <w:color w:val="auto"/>
        </w:rPr>
      </w:pPr>
    </w:p>
    <w:p>
      <w:pPr>
        <w:ind w:left="840" w:right="120" w:firstLine="816"/>
        <w:spacing w:after="0" w:line="251" w:lineRule="auto"/>
        <w:tabs>
          <w:tab w:leader="none" w:pos="1956" w:val="left"/>
        </w:tabs>
        <w:numPr>
          <w:ilvl w:val="1"/>
          <w:numId w:val="68"/>
        </w:numPr>
        <w:rPr>
          <w:rFonts w:ascii="Arial" w:cs="Arial" w:eastAsia="Arial" w:hAnsi="Arial"/>
          <w:sz w:val="22"/>
          <w:szCs w:val="22"/>
          <w:color w:val="auto"/>
        </w:rPr>
      </w:pPr>
      <w:r>
        <w:rPr>
          <w:rFonts w:ascii="Arial" w:cs="Arial" w:eastAsia="Arial" w:hAnsi="Arial"/>
          <w:sz w:val="22"/>
          <w:szCs w:val="22"/>
          <w:color w:val="auto"/>
        </w:rPr>
        <w:t>Shall deposit all moneys and other valuables to the credit of the Corporation in such depositories as may be designated by the Board of Directors or pursuant to its direction;</w:t>
      </w:r>
    </w:p>
    <w:p>
      <w:pPr>
        <w:spacing w:after="0" w:line="173" w:lineRule="exact"/>
        <w:rPr>
          <w:rFonts w:ascii="Arial" w:cs="Arial" w:eastAsia="Arial" w:hAnsi="Arial"/>
          <w:sz w:val="22"/>
          <w:szCs w:val="22"/>
          <w:color w:val="auto"/>
        </w:rPr>
      </w:pPr>
    </w:p>
    <w:p>
      <w:pPr>
        <w:ind w:left="1960" w:hanging="304"/>
        <w:spacing w:after="0"/>
        <w:tabs>
          <w:tab w:leader="none" w:pos="1960" w:val="left"/>
        </w:tabs>
        <w:numPr>
          <w:ilvl w:val="1"/>
          <w:numId w:val="68"/>
        </w:numPr>
        <w:rPr>
          <w:rFonts w:ascii="Arial" w:cs="Arial" w:eastAsia="Arial" w:hAnsi="Arial"/>
          <w:sz w:val="21"/>
          <w:szCs w:val="21"/>
          <w:color w:val="auto"/>
        </w:rPr>
      </w:pPr>
      <w:r>
        <w:rPr>
          <w:rFonts w:ascii="Arial" w:cs="Arial" w:eastAsia="Arial" w:hAnsi="Arial"/>
          <w:sz w:val="21"/>
          <w:szCs w:val="21"/>
          <w:color w:val="auto"/>
        </w:rPr>
        <w:t>Shall receive, and give receipts for, moneys due and payable to the Corporation from any source</w:t>
      </w:r>
    </w:p>
    <w:p>
      <w:pPr>
        <w:spacing w:after="0" w:line="19" w:lineRule="exact"/>
        <w:rPr>
          <w:rFonts w:ascii="Arial" w:cs="Arial" w:eastAsia="Arial" w:hAnsi="Arial"/>
          <w:sz w:val="21"/>
          <w:szCs w:val="21"/>
          <w:color w:val="auto"/>
        </w:rPr>
      </w:pPr>
    </w:p>
    <w:p>
      <w:pPr>
        <w:ind w:left="840"/>
        <w:spacing w:after="0"/>
        <w:rPr>
          <w:rFonts w:ascii="Arial" w:cs="Arial" w:eastAsia="Arial" w:hAnsi="Arial"/>
          <w:sz w:val="21"/>
          <w:szCs w:val="21"/>
          <w:color w:val="auto"/>
        </w:rPr>
      </w:pPr>
      <w:r>
        <w:rPr>
          <w:rFonts w:ascii="Arial" w:cs="Arial" w:eastAsia="Arial" w:hAnsi="Arial"/>
          <w:sz w:val="22"/>
          <w:szCs w:val="22"/>
          <w:color w:val="auto"/>
        </w:rPr>
        <w:t>whatsoever;</w:t>
      </w:r>
    </w:p>
    <w:p>
      <w:pPr>
        <w:spacing w:after="0" w:line="188" w:lineRule="exact"/>
        <w:rPr>
          <w:rFonts w:ascii="Arial" w:cs="Arial" w:eastAsia="Arial" w:hAnsi="Arial"/>
          <w:sz w:val="21"/>
          <w:szCs w:val="21"/>
          <w:color w:val="auto"/>
        </w:rPr>
      </w:pPr>
    </w:p>
    <w:p>
      <w:pPr>
        <w:ind w:left="840" w:right="740" w:firstLine="816"/>
        <w:spacing w:after="0" w:line="251" w:lineRule="auto"/>
        <w:tabs>
          <w:tab w:leader="none" w:pos="1956" w:val="left"/>
        </w:tabs>
        <w:numPr>
          <w:ilvl w:val="1"/>
          <w:numId w:val="68"/>
        </w:numPr>
        <w:rPr>
          <w:rFonts w:ascii="Arial" w:cs="Arial" w:eastAsia="Arial" w:hAnsi="Arial"/>
          <w:sz w:val="22"/>
          <w:szCs w:val="22"/>
          <w:color w:val="auto"/>
        </w:rPr>
      </w:pPr>
      <w:r>
        <w:rPr>
          <w:rFonts w:ascii="Arial" w:cs="Arial" w:eastAsia="Arial" w:hAnsi="Arial"/>
          <w:sz w:val="22"/>
          <w:szCs w:val="22"/>
          <w:color w:val="auto"/>
        </w:rPr>
        <w:t>Shall disburse the funds of the Corporation and supervise the investments of its funds, taking proper vouchers therefore;</w:t>
      </w:r>
    </w:p>
    <w:p>
      <w:pPr>
        <w:spacing w:after="0" w:line="173" w:lineRule="exact"/>
        <w:rPr>
          <w:rFonts w:ascii="Arial" w:cs="Arial" w:eastAsia="Arial" w:hAnsi="Arial"/>
          <w:sz w:val="22"/>
          <w:szCs w:val="22"/>
          <w:color w:val="auto"/>
        </w:rPr>
      </w:pPr>
    </w:p>
    <w:p>
      <w:pPr>
        <w:ind w:left="840" w:right="520" w:firstLine="816"/>
        <w:spacing w:after="0" w:line="251" w:lineRule="auto"/>
        <w:tabs>
          <w:tab w:leader="none" w:pos="1956" w:val="left"/>
        </w:tabs>
        <w:numPr>
          <w:ilvl w:val="1"/>
          <w:numId w:val="68"/>
        </w:numPr>
        <w:rPr>
          <w:rFonts w:ascii="Arial" w:cs="Arial" w:eastAsia="Arial" w:hAnsi="Arial"/>
          <w:sz w:val="22"/>
          <w:szCs w:val="22"/>
          <w:color w:val="auto"/>
        </w:rPr>
      </w:pPr>
      <w:r>
        <w:rPr>
          <w:rFonts w:ascii="Arial" w:cs="Arial" w:eastAsia="Arial" w:hAnsi="Arial"/>
          <w:sz w:val="22"/>
          <w:szCs w:val="22"/>
          <w:color w:val="auto"/>
        </w:rPr>
        <w:t>Shall render to the Board of Directors, whenever the Board of Directors may require, an account of the financial condition of the Corporation;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558" w:right="259" w:bottom="1440" w:gutter="0" w:footer="0" w:header="0"/>
        </w:sectPr>
      </w:pPr>
    </w:p>
    <w:bookmarkStart w:id="84" w:name="page85"/>
    <w:bookmarkEnd w:id="84"/>
    <w:p>
      <w:pPr>
        <w:ind w:left="880" w:right="120" w:firstLine="816"/>
        <w:spacing w:after="0" w:line="328" w:lineRule="auto"/>
        <w:tabs>
          <w:tab w:leader="none" w:pos="1996" w:val="left"/>
        </w:tabs>
        <w:numPr>
          <w:ilvl w:val="0"/>
          <w:numId w:val="69"/>
        </w:numPr>
        <w:rPr>
          <w:rFonts w:ascii="Arial" w:cs="Arial" w:eastAsia="Arial" w:hAnsi="Arial"/>
          <w:sz w:val="19"/>
          <w:szCs w:val="19"/>
          <w:color w:val="auto"/>
        </w:rPr>
      </w:pPr>
      <w:r>
        <w:rPr>
          <w:rFonts w:ascii="Arial" w:cs="Arial" w:eastAsia="Arial" w:hAnsi="Arial"/>
          <w:sz w:val="19"/>
          <w:szCs w:val="19"/>
          <w:color w:val="auto"/>
        </w:rPr>
        <w:t>Shall in general, perform all duties incident to the office of Chief Financial Officer and such other duties as from time to time may be assigned to him or her by the Board of Directors or the Chief Executive Officer.</w:t>
      </w:r>
    </w:p>
    <w:p>
      <w:pPr>
        <w:spacing w:after="0" w:line="105" w:lineRule="exact"/>
        <w:rPr>
          <w:sz w:val="20"/>
          <w:szCs w:val="20"/>
          <w:color w:val="auto"/>
        </w:rPr>
      </w:pPr>
    </w:p>
    <w:p>
      <w:pPr>
        <w:ind w:right="360" w:firstLine="877"/>
        <w:spacing w:after="0" w:line="238" w:lineRule="auto"/>
        <w:rPr>
          <w:sz w:val="20"/>
          <w:szCs w:val="20"/>
          <w:color w:val="auto"/>
        </w:rPr>
      </w:pPr>
      <w:r>
        <w:rPr>
          <w:rFonts w:ascii="Arial" w:cs="Arial" w:eastAsia="Arial" w:hAnsi="Arial"/>
          <w:sz w:val="22"/>
          <w:szCs w:val="22"/>
          <w:color w:val="auto"/>
        </w:rPr>
        <w:t>The Chief Financial Officer may also be the Treasurer of the Corporation if so determined by the Board of Directors. The Treasurer shall assist the Chief Financial Officer in the performance of his duties and shall perform such other duties as may be required by law or as from time to time may be assigned to such officer by the Board of Directors or the Chief Executive Officer.</w:t>
      </w:r>
    </w:p>
    <w:p>
      <w:pPr>
        <w:spacing w:after="0" w:line="179" w:lineRule="exact"/>
        <w:rPr>
          <w:sz w:val="20"/>
          <w:szCs w:val="20"/>
          <w:color w:val="auto"/>
        </w:rPr>
      </w:pPr>
    </w:p>
    <w:p>
      <w:pPr>
        <w:ind w:left="1160" w:hanging="275"/>
        <w:spacing w:after="0"/>
        <w:tabs>
          <w:tab w:leader="none" w:pos="1160"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 xml:space="preserve">Secretary. </w:t>
      </w:r>
      <w:r>
        <w:rPr>
          <w:rFonts w:ascii="Arial" w:cs="Arial" w:eastAsia="Arial" w:hAnsi="Arial"/>
          <w:sz w:val="22"/>
          <w:szCs w:val="22"/>
          <w:color w:val="auto"/>
        </w:rPr>
        <w:t>The Secretary:</w:t>
      </w:r>
    </w:p>
    <w:p>
      <w:pPr>
        <w:spacing w:after="0" w:line="212" w:lineRule="exact"/>
        <w:rPr>
          <w:rFonts w:ascii="Arial" w:cs="Arial" w:eastAsia="Arial" w:hAnsi="Arial"/>
          <w:sz w:val="22"/>
          <w:szCs w:val="22"/>
          <w:color w:val="auto"/>
        </w:rPr>
      </w:pPr>
    </w:p>
    <w:p>
      <w:pPr>
        <w:ind w:left="880" w:right="40" w:firstLine="816"/>
        <w:spacing w:after="0" w:line="251" w:lineRule="auto"/>
        <w:tabs>
          <w:tab w:leader="none" w:pos="1996" w:val="left"/>
        </w:tabs>
        <w:numPr>
          <w:ilvl w:val="1"/>
          <w:numId w:val="70"/>
        </w:numPr>
        <w:rPr>
          <w:rFonts w:ascii="Arial" w:cs="Arial" w:eastAsia="Arial" w:hAnsi="Arial"/>
          <w:sz w:val="22"/>
          <w:szCs w:val="22"/>
          <w:color w:val="auto"/>
        </w:rPr>
      </w:pPr>
      <w:r>
        <w:rPr>
          <w:rFonts w:ascii="Arial" w:cs="Arial" w:eastAsia="Arial" w:hAnsi="Arial"/>
          <w:sz w:val="22"/>
          <w:szCs w:val="22"/>
          <w:color w:val="auto"/>
        </w:rPr>
        <w:t>Shall keep or cause to be kept in one or more books provided for the purpose, the minutes of all meetings of the Board of Directors, the committees of the Board of Directors and the stockholders;</w:t>
      </w:r>
    </w:p>
    <w:p>
      <w:pPr>
        <w:spacing w:after="0" w:line="173" w:lineRule="exact"/>
        <w:rPr>
          <w:rFonts w:ascii="Arial" w:cs="Arial" w:eastAsia="Arial" w:hAnsi="Arial"/>
          <w:sz w:val="22"/>
          <w:szCs w:val="22"/>
          <w:color w:val="auto"/>
        </w:rPr>
      </w:pPr>
    </w:p>
    <w:p>
      <w:pPr>
        <w:ind w:left="2000" w:hanging="304"/>
        <w:spacing w:after="0"/>
        <w:tabs>
          <w:tab w:leader="none" w:pos="2000" w:val="left"/>
        </w:tabs>
        <w:numPr>
          <w:ilvl w:val="1"/>
          <w:numId w:val="70"/>
        </w:numPr>
        <w:rPr>
          <w:rFonts w:ascii="Arial" w:cs="Arial" w:eastAsia="Arial" w:hAnsi="Arial"/>
          <w:sz w:val="19"/>
          <w:szCs w:val="19"/>
          <w:color w:val="auto"/>
        </w:rPr>
      </w:pPr>
      <w:r>
        <w:rPr>
          <w:rFonts w:ascii="Arial" w:cs="Arial" w:eastAsia="Arial" w:hAnsi="Arial"/>
          <w:sz w:val="19"/>
          <w:szCs w:val="19"/>
          <w:color w:val="auto"/>
        </w:rPr>
        <w:t>Shall verify all notices are duly given in accordance with the provisions of these Bylaws and as required by</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law;</w:t>
      </w:r>
    </w:p>
    <w:p>
      <w:pPr>
        <w:spacing w:after="0" w:line="188" w:lineRule="exact"/>
        <w:rPr>
          <w:rFonts w:ascii="Arial" w:cs="Arial" w:eastAsia="Arial" w:hAnsi="Arial"/>
          <w:sz w:val="19"/>
          <w:szCs w:val="19"/>
          <w:color w:val="auto"/>
        </w:rPr>
      </w:pPr>
    </w:p>
    <w:p>
      <w:pPr>
        <w:ind w:left="880" w:right="240" w:firstLine="816"/>
        <w:spacing w:after="0" w:line="238" w:lineRule="auto"/>
        <w:tabs>
          <w:tab w:leader="none" w:pos="1996" w:val="left"/>
        </w:tabs>
        <w:numPr>
          <w:ilvl w:val="1"/>
          <w:numId w:val="70"/>
        </w:numPr>
        <w:rPr>
          <w:rFonts w:ascii="Arial" w:cs="Arial" w:eastAsia="Arial" w:hAnsi="Arial"/>
          <w:sz w:val="22"/>
          <w:szCs w:val="22"/>
          <w:color w:val="auto"/>
        </w:rPr>
      </w:pPr>
      <w:r>
        <w:rPr>
          <w:rFonts w:ascii="Arial" w:cs="Arial" w:eastAsia="Arial" w:hAnsi="Arial"/>
          <w:sz w:val="22"/>
          <w:szCs w:val="22"/>
          <w:color w:val="auto"/>
        </w:rPr>
        <w:t>Shall be custodian of the records and the seal of the Corporation and affix and attest the seal to all certificates for shares of the Corporation (unless the seal of the Corporation on such certificates shall be a facsimile, as hereinafter provided) and affix and attest the seal to all other documents to be executed on behalf of the Corporation under its seal;</w:t>
      </w:r>
    </w:p>
    <w:p>
      <w:pPr>
        <w:spacing w:after="0" w:line="185" w:lineRule="exact"/>
        <w:rPr>
          <w:rFonts w:ascii="Arial" w:cs="Arial" w:eastAsia="Arial" w:hAnsi="Arial"/>
          <w:sz w:val="22"/>
          <w:szCs w:val="22"/>
          <w:color w:val="auto"/>
        </w:rPr>
      </w:pPr>
    </w:p>
    <w:p>
      <w:pPr>
        <w:ind w:left="880" w:firstLine="816"/>
        <w:spacing w:after="0" w:line="251" w:lineRule="auto"/>
        <w:tabs>
          <w:tab w:leader="none" w:pos="1996" w:val="left"/>
        </w:tabs>
        <w:numPr>
          <w:ilvl w:val="1"/>
          <w:numId w:val="70"/>
        </w:numPr>
        <w:rPr>
          <w:rFonts w:ascii="Arial" w:cs="Arial" w:eastAsia="Arial" w:hAnsi="Arial"/>
          <w:sz w:val="22"/>
          <w:szCs w:val="22"/>
          <w:color w:val="auto"/>
        </w:rPr>
      </w:pPr>
      <w:r>
        <w:rPr>
          <w:rFonts w:ascii="Arial" w:cs="Arial" w:eastAsia="Arial" w:hAnsi="Arial"/>
          <w:sz w:val="22"/>
          <w:szCs w:val="22"/>
          <w:color w:val="auto"/>
        </w:rPr>
        <w:t>Shall verify that the books, reports, statements, certificates and other documents and records required by law to be kept and filed are properly kept and filed; and</w:t>
      </w:r>
    </w:p>
    <w:p>
      <w:pPr>
        <w:spacing w:after="0" w:line="173" w:lineRule="exact"/>
        <w:rPr>
          <w:rFonts w:ascii="Arial" w:cs="Arial" w:eastAsia="Arial" w:hAnsi="Arial"/>
          <w:sz w:val="22"/>
          <w:szCs w:val="22"/>
          <w:color w:val="auto"/>
        </w:rPr>
      </w:pPr>
    </w:p>
    <w:p>
      <w:pPr>
        <w:ind w:left="880" w:right="120" w:firstLine="816"/>
        <w:spacing w:after="0" w:line="251" w:lineRule="auto"/>
        <w:tabs>
          <w:tab w:leader="none" w:pos="1996" w:val="left"/>
        </w:tabs>
        <w:numPr>
          <w:ilvl w:val="1"/>
          <w:numId w:val="70"/>
        </w:numPr>
        <w:rPr>
          <w:rFonts w:ascii="Arial" w:cs="Arial" w:eastAsia="Arial" w:hAnsi="Arial"/>
          <w:sz w:val="22"/>
          <w:szCs w:val="22"/>
          <w:color w:val="auto"/>
        </w:rPr>
      </w:pPr>
      <w:r>
        <w:rPr>
          <w:rFonts w:ascii="Arial" w:cs="Arial" w:eastAsia="Arial" w:hAnsi="Arial"/>
          <w:sz w:val="22"/>
          <w:szCs w:val="22"/>
          <w:color w:val="auto"/>
        </w:rPr>
        <w:t>Shall, in general, perform all duties incident to the office of Secretary and such other duties as from time to time may be assigned to him or her by the Board of Directors or the Chief Executive Officer.</w:t>
      </w:r>
    </w:p>
    <w:p>
      <w:pPr>
        <w:spacing w:after="0" w:line="167" w:lineRule="exact"/>
        <w:rPr>
          <w:rFonts w:ascii="Arial" w:cs="Arial" w:eastAsia="Arial" w:hAnsi="Arial"/>
          <w:sz w:val="22"/>
          <w:szCs w:val="22"/>
          <w:color w:val="auto"/>
        </w:rPr>
      </w:pPr>
    </w:p>
    <w:p>
      <w:pPr>
        <w:ind w:right="20" w:firstLine="885"/>
        <w:spacing w:after="0" w:line="236" w:lineRule="auto"/>
        <w:tabs>
          <w:tab w:leader="none" w:pos="1159"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 xml:space="preserve">Chief Compliance Officer. </w:t>
      </w:r>
      <w:r>
        <w:rPr>
          <w:rFonts w:ascii="Arial" w:cs="Arial" w:eastAsia="Arial" w:hAnsi="Arial"/>
          <w:sz w:val="22"/>
          <w:szCs w:val="22"/>
          <w:color w:val="auto"/>
        </w:rPr>
        <w:t>The Chief Compliance Officer, subject to the direction of and reporting to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shall be responsible for 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1940 Act) of the Corporation. The Chief Compliance Officer shall perform such executive, supervisory and management functions and duties as may be assigned to him or her from time to time.</w:t>
      </w:r>
    </w:p>
    <w:p>
      <w:pPr>
        <w:spacing w:after="0" w:line="182" w:lineRule="exact"/>
        <w:rPr>
          <w:rFonts w:ascii="Arial" w:cs="Arial" w:eastAsia="Arial" w:hAnsi="Arial"/>
          <w:sz w:val="22"/>
          <w:szCs w:val="22"/>
          <w:color w:val="auto"/>
        </w:rPr>
      </w:pPr>
    </w:p>
    <w:p>
      <w:pPr>
        <w:jc w:val="both"/>
        <w:ind w:right="500" w:firstLine="885"/>
        <w:spacing w:after="0" w:line="243" w:lineRule="auto"/>
        <w:tabs>
          <w:tab w:leader="none" w:pos="1231"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 xml:space="preserve">Other Officers, Assistant Officers and Agents. </w:t>
      </w:r>
      <w:r>
        <w:rPr>
          <w:rFonts w:ascii="Arial" w:cs="Arial" w:eastAsia="Arial" w:hAnsi="Arial"/>
          <w:sz w:val="22"/>
          <w:szCs w:val="22"/>
          <w:color w:val="auto"/>
        </w:rPr>
        <w:t>Officers, assistant officers and agents, if any, other than those</w:t>
      </w:r>
      <w:r>
        <w:rPr>
          <w:rFonts w:ascii="Arial" w:cs="Arial" w:eastAsia="Arial" w:hAnsi="Arial"/>
          <w:sz w:val="22"/>
          <w:szCs w:val="22"/>
          <w:b w:val="1"/>
          <w:bCs w:val="1"/>
          <w:color w:val="auto"/>
        </w:rPr>
        <w:t xml:space="preserve"> </w:t>
      </w:r>
      <w:r>
        <w:rPr>
          <w:rFonts w:ascii="Arial" w:cs="Arial" w:eastAsia="Arial" w:hAnsi="Arial"/>
          <w:sz w:val="22"/>
          <w:szCs w:val="22"/>
          <w:color w:val="auto"/>
        </w:rPr>
        <w:t>whose duties are provided for in these Bylaws, shall have such authority and perform such duties as may from time to time be prescribed by resolution of the Board of Directors.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4" w:right="279" w:bottom="1440" w:gutter="0" w:footer="0" w:header="0"/>
        </w:sectPr>
      </w:pPr>
    </w:p>
    <w:bookmarkStart w:id="85" w:name="page86"/>
    <w:bookmarkEnd w:id="85"/>
    <w:p>
      <w:pPr>
        <w:ind w:right="100" w:firstLine="885"/>
        <w:spacing w:after="0" w:line="243" w:lineRule="auto"/>
        <w:tabs>
          <w:tab w:leader="none" w:pos="1207"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Officers’ Bonds or Other Security. </w:t>
      </w:r>
      <w:r>
        <w:rPr>
          <w:rFonts w:ascii="Arial" w:cs="Arial" w:eastAsia="Arial" w:hAnsi="Arial"/>
          <w:sz w:val="22"/>
          <w:szCs w:val="22"/>
          <w:color w:val="auto"/>
        </w:rPr>
        <w:t>If required by the Board of Directors, any officer of the Corporation shall give</w:t>
      </w:r>
      <w:r>
        <w:rPr>
          <w:rFonts w:ascii="Arial" w:cs="Arial" w:eastAsia="Arial" w:hAnsi="Arial"/>
          <w:sz w:val="22"/>
          <w:szCs w:val="22"/>
          <w:b w:val="1"/>
          <w:bCs w:val="1"/>
          <w:color w:val="auto"/>
        </w:rPr>
        <w:t xml:space="preserve"> </w:t>
      </w:r>
      <w:r>
        <w:rPr>
          <w:rFonts w:ascii="Arial" w:cs="Arial" w:eastAsia="Arial" w:hAnsi="Arial"/>
          <w:sz w:val="22"/>
          <w:szCs w:val="22"/>
          <w:color w:val="auto"/>
        </w:rPr>
        <w:t>a bond or other security for the faithful performance of his duties, in such amount and with such surety as the Board of Directors may require.</w:t>
      </w:r>
    </w:p>
    <w:p>
      <w:pPr>
        <w:spacing w:after="0" w:line="176" w:lineRule="exact"/>
        <w:rPr>
          <w:rFonts w:ascii="Arial" w:cs="Arial" w:eastAsia="Arial" w:hAnsi="Arial"/>
          <w:sz w:val="22"/>
          <w:szCs w:val="22"/>
          <w:color w:val="auto"/>
        </w:rPr>
      </w:pPr>
    </w:p>
    <w:p>
      <w:pPr>
        <w:jc w:val="both"/>
        <w:ind w:right="160" w:firstLine="885"/>
        <w:spacing w:after="0" w:line="239" w:lineRule="auto"/>
        <w:tabs>
          <w:tab w:leader="none" w:pos="1267"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Absence or Disability of Officers. </w:t>
      </w:r>
      <w:r>
        <w:rPr>
          <w:rFonts w:ascii="Arial" w:cs="Arial" w:eastAsia="Arial" w:hAnsi="Arial"/>
          <w:sz w:val="22"/>
          <w:szCs w:val="22"/>
          <w:color w:val="auto"/>
        </w:rPr>
        <w:t>In the case of the absence or disability of any officer of the Corporation and of</w:t>
      </w:r>
      <w:r>
        <w:rPr>
          <w:rFonts w:ascii="Arial" w:cs="Arial" w:eastAsia="Arial" w:hAnsi="Arial"/>
          <w:sz w:val="22"/>
          <w:szCs w:val="22"/>
          <w:b w:val="1"/>
          <w:bCs w:val="1"/>
          <w:color w:val="auto"/>
        </w:rPr>
        <w:t xml:space="preserve"> </w:t>
      </w:r>
      <w:r>
        <w:rPr>
          <w:rFonts w:ascii="Arial" w:cs="Arial" w:eastAsia="Arial" w:hAnsi="Arial"/>
          <w:sz w:val="22"/>
          <w:szCs w:val="22"/>
          <w:color w:val="auto"/>
        </w:rPr>
        <w:t>any person hereby 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INDEMNI FICATION; EXCULPATION</w:t>
      </w:r>
    </w:p>
    <w:p>
      <w:pPr>
        <w:spacing w:after="0" w:line="182" w:lineRule="exact"/>
        <w:rPr>
          <w:sz w:val="20"/>
          <w:szCs w:val="20"/>
          <w:color w:val="auto"/>
        </w:rPr>
      </w:pPr>
    </w:p>
    <w:p>
      <w:pPr>
        <w:ind w:right="60" w:firstLine="885"/>
        <w:spacing w:after="0" w:line="235" w:lineRule="auto"/>
        <w:tabs>
          <w:tab w:leader="none" w:pos="1231"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Indemnification and the right to advancement of expenses of the officers and directors of the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Corporation’s investment adviser (TSL Advisers, LLC, and hereinafter, the “</w:t>
      </w:r>
      <w:r>
        <w:rPr>
          <w:rFonts w:ascii="Arial" w:cs="Arial" w:eastAsia="Arial" w:hAnsi="Arial"/>
          <w:sz w:val="22"/>
          <w:szCs w:val="22"/>
          <w:u w:val="single" w:color="auto"/>
          <w:color w:val="auto"/>
        </w:rPr>
        <w:t>Adviser</w:t>
      </w:r>
      <w:r>
        <w:rPr>
          <w:rFonts w:ascii="Arial" w:cs="Arial" w:eastAsia="Arial" w:hAnsi="Arial"/>
          <w:sz w:val="22"/>
          <w:szCs w:val="22"/>
          <w:color w:val="auto"/>
        </w:rPr>
        <w:t>”) shall be governed by Articles VII and VIII of the Certificate of Incorporation. As permitted by Article VIII of the Certificate of Incorporation, the Corporation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w:t>
      </w:r>
    </w:p>
    <w:p>
      <w:pPr>
        <w:spacing w:after="0" w:line="189" w:lineRule="exact"/>
        <w:rPr>
          <w:rFonts w:ascii="Arial" w:cs="Arial" w:eastAsia="Arial" w:hAnsi="Arial"/>
          <w:sz w:val="22"/>
          <w:szCs w:val="22"/>
          <w:color w:val="auto"/>
        </w:rPr>
      </w:pPr>
    </w:p>
    <w:p>
      <w:pPr>
        <w:ind w:left="1420" w:hanging="7"/>
        <w:spacing w:after="0" w:line="249" w:lineRule="auto"/>
        <w:tabs>
          <w:tab w:leader="none" w:pos="1678" w:val="left"/>
        </w:tabs>
        <w:numPr>
          <w:ilvl w:val="1"/>
          <w:numId w:val="72"/>
        </w:numPr>
        <w:rPr>
          <w:rFonts w:ascii="Arial" w:cs="Arial" w:eastAsia="Arial" w:hAnsi="Arial"/>
          <w:sz w:val="21"/>
          <w:szCs w:val="21"/>
          <w:color w:val="auto"/>
        </w:rPr>
      </w:pPr>
      <w:r>
        <w:rPr>
          <w:rFonts w:ascii="Arial" w:cs="Arial" w:eastAsia="Arial" w:hAnsi="Arial"/>
          <w:sz w:val="21"/>
          <w:szCs w:val="21"/>
          <w:color w:val="auto"/>
        </w:rPr>
        <w:t>is or was an officer, director, or other corporate agent of the Adviser or its affiliates, including without limitation the Administrator (as defined in the Administration Agreement between TPG Specialty Lending, Inc. and TSL Advisers, LLC, as amended from time to time), or is or was a member of the Adviser’s Investment Review Committee (as defined in the Investment Advisory and Management Agreement Between TPG Specialty Lending, Inc. and TSL Advisers, LLC, as amended from time to time);</w:t>
      </w:r>
    </w:p>
    <w:p>
      <w:pPr>
        <w:spacing w:after="0" w:line="178" w:lineRule="exact"/>
        <w:rPr>
          <w:rFonts w:ascii="Arial" w:cs="Arial" w:eastAsia="Arial" w:hAnsi="Arial"/>
          <w:sz w:val="21"/>
          <w:szCs w:val="21"/>
          <w:color w:val="auto"/>
        </w:rPr>
      </w:pPr>
    </w:p>
    <w:p>
      <w:pPr>
        <w:ind w:left="1420" w:right="60" w:hanging="7"/>
        <w:spacing w:after="0" w:line="238" w:lineRule="auto"/>
        <w:tabs>
          <w:tab w:leader="none" w:pos="1738" w:val="left"/>
        </w:tabs>
        <w:numPr>
          <w:ilvl w:val="1"/>
          <w:numId w:val="72"/>
        </w:numPr>
        <w:rPr>
          <w:rFonts w:ascii="Arial" w:cs="Arial" w:eastAsia="Arial" w:hAnsi="Arial"/>
          <w:sz w:val="22"/>
          <w:szCs w:val="22"/>
          <w:color w:val="auto"/>
        </w:rPr>
      </w:pPr>
      <w:r>
        <w:rPr>
          <w:rFonts w:ascii="Arial" w:cs="Arial" w:eastAsia="Arial" w:hAnsi="Arial"/>
          <w:sz w:val="22"/>
          <w:szCs w:val="22"/>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or</w:t>
      </w:r>
    </w:p>
    <w:p>
      <w:pPr>
        <w:spacing w:after="0" w:line="185" w:lineRule="exact"/>
        <w:rPr>
          <w:rFonts w:ascii="Arial" w:cs="Arial" w:eastAsia="Arial" w:hAnsi="Arial"/>
          <w:sz w:val="22"/>
          <w:szCs w:val="22"/>
          <w:color w:val="auto"/>
        </w:rPr>
      </w:pPr>
    </w:p>
    <w:p>
      <w:pPr>
        <w:ind w:left="1420" w:right="1060" w:hanging="7"/>
        <w:spacing w:after="0" w:line="251" w:lineRule="auto"/>
        <w:tabs>
          <w:tab w:leader="none" w:pos="1798" w:val="left"/>
        </w:tabs>
        <w:numPr>
          <w:ilvl w:val="1"/>
          <w:numId w:val="72"/>
        </w:numPr>
        <w:rPr>
          <w:rFonts w:ascii="Arial" w:cs="Arial" w:eastAsia="Arial" w:hAnsi="Arial"/>
          <w:sz w:val="22"/>
          <w:szCs w:val="22"/>
          <w:color w:val="auto"/>
        </w:rPr>
      </w:pPr>
      <w:r>
        <w:rPr>
          <w:rFonts w:ascii="Arial" w:cs="Arial" w:eastAsia="Arial" w:hAnsi="Arial"/>
          <w:sz w:val="22"/>
          <w:szCs w:val="22"/>
          <w:color w:val="auto"/>
        </w:rPr>
        <w:t>is or was serving as an employee or agent of the Corporation to whom the Corporation has granted indemnification rights</w:t>
      </w:r>
    </w:p>
    <w:p>
      <w:pPr>
        <w:spacing w:after="0" w:line="173"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(each such person, an “</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on the same general terms set forth in Article VIII of the Certificate of Incorporation, the terms of which are incorporated herein </w:t>
      </w:r>
      <w:r>
        <w:rPr>
          <w:rFonts w:ascii="Arial" w:cs="Arial" w:eastAsia="Arial" w:hAnsi="Arial"/>
          <w:sz w:val="22"/>
          <w:szCs w:val="22"/>
          <w:i w:val="1"/>
          <w:iCs w:val="1"/>
          <w:color w:val="auto"/>
        </w:rPr>
        <w:t>mutatis mutandi</w:t>
      </w:r>
      <w:r>
        <w:rPr>
          <w:rFonts w:ascii="Arial" w:cs="Arial" w:eastAsia="Arial" w:hAnsi="Arial"/>
          <w:sz w:val="22"/>
          <w:szCs w:val="22"/>
          <w:color w:val="auto"/>
        </w:rPr>
        <w:t>.</w:t>
      </w:r>
    </w:p>
    <w:p>
      <w:pPr>
        <w:spacing w:after="0" w:line="173" w:lineRule="exact"/>
        <w:rPr>
          <w:sz w:val="20"/>
          <w:szCs w:val="20"/>
          <w:color w:val="auto"/>
        </w:rPr>
      </w:pPr>
    </w:p>
    <w:p>
      <w:pPr>
        <w:ind w:right="240" w:firstLine="877"/>
        <w:spacing w:after="0" w:line="238" w:lineRule="auto"/>
        <w:rPr>
          <w:sz w:val="20"/>
          <w:szCs w:val="20"/>
          <w:color w:val="auto"/>
        </w:rPr>
      </w:pPr>
      <w:r>
        <w:rPr>
          <w:rFonts w:ascii="Arial" w:cs="Arial" w:eastAsia="Arial" w:hAnsi="Arial"/>
          <w:sz w:val="22"/>
          <w:szCs w:val="22"/>
          <w:color w:val="auto"/>
        </w:rPr>
        <w:t>Notwithstanding the foregoing, indemnification under Article VIII of the Certificate of Incorporation shall not be permitted if the Indemnitee did not act in good faith with the reasonable belief that its conduct was in, or not opposed to, the best interest of the Corporation, or if the Indemnitee’s conduct constituted gross negligence, bad faith, reckless disregard, or willful misconduct.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8" w:right="279" w:bottom="1440" w:gutter="0" w:footer="0" w:header="0"/>
        </w:sectPr>
      </w:pPr>
    </w:p>
    <w:bookmarkStart w:id="86" w:name="page87"/>
    <w:bookmarkEnd w:id="86"/>
    <w:p>
      <w:pPr>
        <w:ind w:left="-20" w:right="460" w:firstLine="885"/>
        <w:spacing w:after="0" w:line="335" w:lineRule="auto"/>
        <w:tabs>
          <w:tab w:leader="none" w:pos="1200"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Any determination by any court of competent jurisdiction of the invalidity of any provision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VI will not affect the validity of any other provision of this Article VI, which will remain in full force and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STOCK CERTIFICAT ES AND THEIR TRANSFER</w:t>
      </w:r>
    </w:p>
    <w:p>
      <w:pPr>
        <w:spacing w:after="0" w:line="182" w:lineRule="exact"/>
        <w:rPr>
          <w:sz w:val="20"/>
          <w:szCs w:val="20"/>
          <w:color w:val="auto"/>
        </w:rPr>
      </w:pPr>
    </w:p>
    <w:p>
      <w:pPr>
        <w:ind w:left="-20" w:firstLine="885"/>
        <w:spacing w:after="0" w:line="272" w:lineRule="auto"/>
        <w:tabs>
          <w:tab w:leader="none" w:pos="1211"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 xml:space="preserve">Stock Certificates. </w:t>
      </w:r>
      <w:r>
        <w:rPr>
          <w:rFonts w:ascii="Arial" w:cs="Arial" w:eastAsia="Arial" w:hAnsi="Arial"/>
          <w:sz w:val="19"/>
          <w:szCs w:val="19"/>
          <w:color w:val="auto"/>
        </w:rPr>
        <w:t>The Board of Directors may issue stock certificates, or may provide by resolution or resolutions</w:t>
      </w:r>
      <w:r>
        <w:rPr>
          <w:rFonts w:ascii="Arial" w:cs="Arial" w:eastAsia="Arial" w:hAnsi="Arial"/>
          <w:sz w:val="19"/>
          <w:szCs w:val="19"/>
          <w:b w:val="1"/>
          <w:bCs w:val="1"/>
          <w:color w:val="auto"/>
        </w:rPr>
        <w:t xml:space="preserve"> </w:t>
      </w:r>
      <w:r>
        <w:rPr>
          <w:rFonts w:ascii="Arial" w:cs="Arial" w:eastAsia="Arial" w:hAnsi="Arial"/>
          <w:sz w:val="19"/>
          <w:szCs w:val="19"/>
          <w:color w:val="auto"/>
        </w:rPr>
        <w:t>that some or all of any or all classes or series of stock of the Corporation shall be uncertificated shares of stock. Notwithstanding the adoption of such a resolution by the Board of Directors, every holder of stock represented by a certificate and, upon request, every holder of uncertificated shares shall be entitled to have a certificate, signed by, or in the name of the Corporation by, the Chief Executive Officer or other officer of the Corporation and by the Treasurer or an Assistant Treasurer or the Secretary or an Assistant Secretary of the Corporation, certifying the number of shares owned by him or her in the Corporation. A certificate representing shares issued by the Corporation shall, if the Corporation is authorized to issue more than one class or series of stock, set forth upon the face or back of the certificate, or shall state that the Corporation will furnish to any stockholder upon request and without charge, a full statement of the designations, preferences and relative, participating, optional or other special rights of each class of stock or series thereof and the qualifications, limitations or restrictions of such preferences and/or rights. The Corporation shall furnish to any holder of uncertificated shares, upon request and without charge, a full statement of the designations, preferences and relative, participating, optional or other special rights of each class of stock or series thereof and the qualifications, limitations or restrictions of such preferences and/or rights. Any request by a holder for a certificate shall be in writing and directed to the Secretary of the Corporation.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0" w:right="200" w:firstLine="885"/>
        <w:spacing w:after="0" w:line="289" w:lineRule="auto"/>
        <w:tabs>
          <w:tab w:leader="none" w:pos="1200"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 xml:space="preserve">Facsimile Signatures. </w:t>
      </w:r>
      <w:r>
        <w:rPr>
          <w:rFonts w:ascii="Arial" w:cs="Arial" w:eastAsia="Arial" w:hAnsi="Arial"/>
          <w:sz w:val="19"/>
          <w:szCs w:val="19"/>
          <w:color w:val="auto"/>
        </w:rPr>
        <w:t>Any or all of the signatures on a certificate may be a facsimile, engraved or printed. In case</w:t>
      </w:r>
      <w:r>
        <w:rPr>
          <w:rFonts w:ascii="Arial" w:cs="Arial" w:eastAsia="Arial" w:hAnsi="Arial"/>
          <w:sz w:val="19"/>
          <w:szCs w:val="19"/>
          <w:b w:val="1"/>
          <w:bCs w:val="1"/>
          <w:color w:val="auto"/>
        </w:rPr>
        <w:t xml:space="preserve"> </w:t>
      </w:r>
      <w:r>
        <w:rPr>
          <w:rFonts w:ascii="Arial" w:cs="Arial" w:eastAsia="Arial" w:hAnsi="Arial"/>
          <w:sz w:val="19"/>
          <w:szCs w:val="19"/>
          <w:color w:val="auto"/>
        </w:rPr>
        <w:t>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36" w:lineRule="exact"/>
        <w:rPr>
          <w:rFonts w:ascii="Arial" w:cs="Arial" w:eastAsia="Arial" w:hAnsi="Arial"/>
          <w:sz w:val="19"/>
          <w:szCs w:val="19"/>
          <w:color w:val="auto"/>
        </w:rPr>
      </w:pPr>
    </w:p>
    <w:p>
      <w:pPr>
        <w:ind w:left="-20" w:firstLine="885"/>
        <w:spacing w:after="0" w:line="280" w:lineRule="auto"/>
        <w:tabs>
          <w:tab w:leader="none" w:pos="1200"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 xml:space="preserve">Lost Certificates. </w:t>
      </w:r>
      <w:r>
        <w:rPr>
          <w:rFonts w:ascii="Arial" w:cs="Arial" w:eastAsia="Arial" w:hAnsi="Arial"/>
          <w:sz w:val="19"/>
          <w:szCs w:val="19"/>
          <w:color w:val="auto"/>
        </w:rPr>
        <w:t>The Board of Directors may direct a new certificate or certificates to be issued in place of any</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or certificates theretofore issued by the Corporation alleged to have been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in such sum as it may direct sufficient to indemnify it against any claim that may be made against the Corporation on account of the alleged loss, theft or destruction of any such certificate or the issuance of such new certificate.</w:t>
      </w:r>
    </w:p>
    <w:p>
      <w:pPr>
        <w:spacing w:after="0" w:line="145" w:lineRule="exact"/>
        <w:rPr>
          <w:rFonts w:ascii="Arial" w:cs="Arial" w:eastAsia="Arial" w:hAnsi="Arial"/>
          <w:sz w:val="19"/>
          <w:szCs w:val="19"/>
          <w:color w:val="auto"/>
        </w:rPr>
      </w:pPr>
    </w:p>
    <w:p>
      <w:pPr>
        <w:ind w:left="-20" w:right="220" w:firstLine="885"/>
        <w:spacing w:after="0" w:line="301" w:lineRule="auto"/>
        <w:tabs>
          <w:tab w:leader="none" w:pos="1211"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 xml:space="preserve">Transfers of Stock. </w:t>
      </w:r>
      <w:r>
        <w:rPr>
          <w:rFonts w:ascii="Arial" w:cs="Arial" w:eastAsia="Arial" w:hAnsi="Arial"/>
          <w:sz w:val="19"/>
          <w:szCs w:val="19"/>
          <w:color w:val="auto"/>
        </w:rPr>
        <w:t>Upon surrender to the Corporation or the transfer agent of the Corporation of a certificate for</w:t>
      </w:r>
      <w:r>
        <w:rPr>
          <w:rFonts w:ascii="Arial" w:cs="Arial" w:eastAsia="Arial" w:hAnsi="Arial"/>
          <w:sz w:val="19"/>
          <w:szCs w:val="19"/>
          <w:b w:val="1"/>
          <w:bCs w:val="1"/>
          <w:color w:val="auto"/>
        </w:rPr>
        <w:t xml:space="preserve"> </w:t>
      </w:r>
      <w:r>
        <w:rPr>
          <w:rFonts w:ascii="Arial" w:cs="Arial" w:eastAsia="Arial" w:hAnsi="Arial"/>
          <w:sz w:val="19"/>
          <w:szCs w:val="19"/>
          <w:color w:val="auto"/>
        </w:rPr>
        <w:t>shares duly endorsed or accompanied by proper evidence of succession, assignment or authority to transfer, it shall be the duty of the Corporation to issue a new certificate to the person entitled thereto, cancel the old certificate and record the transaction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8" w:right="259" w:bottom="1440" w:gutter="0" w:footer="0" w:header="0"/>
        </w:sectPr>
      </w:pPr>
    </w:p>
    <w:bookmarkStart w:id="87" w:name="page88"/>
    <w:bookmarkEnd w:id="87"/>
    <w:p>
      <w:pPr>
        <w:ind w:right="100"/>
        <w:spacing w:after="0" w:line="238" w:lineRule="auto"/>
        <w:rPr>
          <w:sz w:val="20"/>
          <w:szCs w:val="20"/>
          <w:color w:val="auto"/>
        </w:rPr>
      </w:pPr>
      <w:r>
        <w:rPr>
          <w:rFonts w:ascii="Arial" w:cs="Arial" w:eastAsia="Arial" w:hAnsi="Arial"/>
          <w:sz w:val="22"/>
          <w:szCs w:val="22"/>
          <w:color w:val="auto"/>
        </w:rPr>
        <w:t>upon its records; provided, however, that the Corporation shall be entitled to recognize and enforce any lawful restriction on transfer. Whenever any transfer of stock shall be made for collateral security, and not absolutely, it shall be so expressed in the entry of transfer if, when the certificates are presented to the Corporation for transfer, both the transferor and the transferee request the Corporation to do so.</w:t>
      </w:r>
    </w:p>
    <w:p>
      <w:pPr>
        <w:spacing w:after="0" w:line="179" w:lineRule="exact"/>
        <w:rPr>
          <w:sz w:val="20"/>
          <w:szCs w:val="20"/>
          <w:color w:val="auto"/>
        </w:rPr>
      </w:pPr>
    </w:p>
    <w:p>
      <w:pPr>
        <w:ind w:right="720" w:firstLine="885"/>
        <w:spacing w:after="0" w:line="256" w:lineRule="auto"/>
        <w:tabs>
          <w:tab w:leader="none" w:pos="1207" w:val="left"/>
        </w:tabs>
        <w:numPr>
          <w:ilvl w:val="1"/>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Transfer Agents and Registrars. </w:t>
      </w:r>
      <w:r>
        <w:rPr>
          <w:rFonts w:ascii="Arial" w:cs="Arial" w:eastAsia="Arial" w:hAnsi="Arial"/>
          <w:sz w:val="22"/>
          <w:szCs w:val="22"/>
          <w:color w:val="auto"/>
        </w:rPr>
        <w:t>The Board of Directors may appoint, or authorize any officer or officers to</w:t>
      </w:r>
      <w:r>
        <w:rPr>
          <w:rFonts w:ascii="Arial" w:cs="Arial" w:eastAsia="Arial" w:hAnsi="Arial"/>
          <w:sz w:val="22"/>
          <w:szCs w:val="22"/>
          <w:b w:val="1"/>
          <w:bCs w:val="1"/>
          <w:color w:val="auto"/>
        </w:rPr>
        <w:t xml:space="preserve"> </w:t>
      </w:r>
      <w:r>
        <w:rPr>
          <w:rFonts w:ascii="Arial" w:cs="Arial" w:eastAsia="Arial" w:hAnsi="Arial"/>
          <w:sz w:val="22"/>
          <w:szCs w:val="22"/>
          <w:color w:val="auto"/>
        </w:rPr>
        <w:t>appoint, one or more transfer agents and one or more registrars.</w:t>
      </w:r>
    </w:p>
    <w:p>
      <w:pPr>
        <w:spacing w:after="0" w:line="162" w:lineRule="exact"/>
        <w:rPr>
          <w:rFonts w:ascii="Arial" w:cs="Arial" w:eastAsia="Arial" w:hAnsi="Arial"/>
          <w:sz w:val="22"/>
          <w:szCs w:val="22"/>
          <w:color w:val="auto"/>
        </w:rPr>
      </w:pPr>
    </w:p>
    <w:p>
      <w:pPr>
        <w:ind w:right="400" w:firstLine="885"/>
        <w:spacing w:after="0" w:line="243" w:lineRule="auto"/>
        <w:tabs>
          <w:tab w:leader="none" w:pos="1195" w:val="left"/>
        </w:tabs>
        <w:numPr>
          <w:ilvl w:val="1"/>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Regulations. </w:t>
      </w:r>
      <w:r>
        <w:rPr>
          <w:rFonts w:ascii="Arial" w:cs="Arial" w:eastAsia="Arial" w:hAnsi="Arial"/>
          <w:sz w:val="22"/>
          <w:szCs w:val="22"/>
          <w:color w:val="auto"/>
        </w:rPr>
        <w:t>The Board of Directors may make such additional rules and regulations, not inconsistent with these</w:t>
      </w:r>
      <w:r>
        <w:rPr>
          <w:rFonts w:ascii="Arial" w:cs="Arial" w:eastAsia="Arial" w:hAnsi="Arial"/>
          <w:sz w:val="22"/>
          <w:szCs w:val="22"/>
          <w:b w:val="1"/>
          <w:bCs w:val="1"/>
          <w:color w:val="auto"/>
        </w:rPr>
        <w:t xml:space="preserve"> </w:t>
      </w:r>
      <w:r>
        <w:rPr>
          <w:rFonts w:ascii="Arial" w:cs="Arial" w:eastAsia="Arial" w:hAnsi="Arial"/>
          <w:sz w:val="22"/>
          <w:szCs w:val="22"/>
          <w:color w:val="auto"/>
        </w:rPr>
        <w:t>Bylaws, as it may deem expedient concerning the issue, transfer and registration of certificates for shares of stock of the Corporation.</w:t>
      </w:r>
    </w:p>
    <w:p>
      <w:pPr>
        <w:spacing w:after="0" w:line="176" w:lineRule="exact"/>
        <w:rPr>
          <w:rFonts w:ascii="Arial" w:cs="Arial" w:eastAsia="Arial" w:hAnsi="Arial"/>
          <w:sz w:val="22"/>
          <w:szCs w:val="22"/>
          <w:color w:val="auto"/>
        </w:rPr>
      </w:pPr>
    </w:p>
    <w:p>
      <w:pPr>
        <w:ind w:firstLine="885"/>
        <w:spacing w:after="0" w:line="273" w:lineRule="auto"/>
        <w:tabs>
          <w:tab w:leader="none" w:pos="1231" w:val="left"/>
        </w:tabs>
        <w:numPr>
          <w:ilvl w:val="1"/>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Fixing the Record Date. </w:t>
      </w:r>
      <w:r>
        <w:rPr>
          <w:rFonts w:ascii="Arial" w:cs="Arial" w:eastAsia="Arial" w:hAnsi="Arial"/>
          <w:sz w:val="19"/>
          <w:szCs w:val="19"/>
          <w:color w:val="auto"/>
        </w:rPr>
        <w:t>In order that the Corporation may determine the stockholders entitled to notice of or to vote</w:t>
      </w:r>
      <w:r>
        <w:rPr>
          <w:rFonts w:ascii="Arial" w:cs="Arial" w:eastAsia="Arial" w:hAnsi="Arial"/>
          <w:sz w:val="19"/>
          <w:szCs w:val="19"/>
          <w:b w:val="1"/>
          <w:bCs w:val="1"/>
          <w:color w:val="auto"/>
        </w:rPr>
        <w:t xml:space="preserve"> </w:t>
      </w:r>
      <w:r>
        <w:rPr>
          <w:rFonts w:ascii="Arial" w:cs="Arial" w:eastAsia="Arial" w:hAnsi="Arial"/>
          <w:sz w:val="19"/>
          <w:szCs w:val="19"/>
          <w:color w:val="auto"/>
        </w:rPr>
        <w:t>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w:t>
      </w:r>
    </w:p>
    <w:p>
      <w:pPr>
        <w:spacing w:after="0" w:line="2" w:lineRule="exact"/>
        <w:rPr>
          <w:rFonts w:ascii="Arial" w:cs="Arial" w:eastAsia="Arial" w:hAnsi="Arial"/>
          <w:sz w:val="19"/>
          <w:szCs w:val="19"/>
          <w:color w:val="auto"/>
        </w:rPr>
      </w:pPr>
    </w:p>
    <w:p>
      <w:pPr>
        <w:ind w:right="220" w:firstLine="8"/>
        <w:spacing w:after="0" w:line="275" w:lineRule="auto"/>
        <w:tabs>
          <w:tab w:leader="none" w:pos="414"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nor less than ten (10) days before the date of such meeting, nor more than sixty (60) days prior to any other action. If no record date is fixed by the Board of Directors, the record date for determining stockholders entitled to notice of or to vote at a meeting of stockholders shall be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48" w:lineRule="exact"/>
        <w:rPr>
          <w:rFonts w:ascii="Arial" w:cs="Arial" w:eastAsia="Arial" w:hAnsi="Arial"/>
          <w:sz w:val="19"/>
          <w:szCs w:val="19"/>
          <w:color w:val="auto"/>
        </w:rPr>
      </w:pPr>
    </w:p>
    <w:p>
      <w:pPr>
        <w:ind w:firstLine="885"/>
        <w:spacing w:after="0" w:line="251" w:lineRule="auto"/>
        <w:tabs>
          <w:tab w:leader="none" w:pos="1231" w:val="left"/>
        </w:tabs>
        <w:numPr>
          <w:ilvl w:val="1"/>
          <w:numId w:val="76"/>
        </w:numPr>
        <w:rPr>
          <w:rFonts w:ascii="Arial" w:cs="Arial" w:eastAsia="Arial" w:hAnsi="Arial"/>
          <w:sz w:val="21"/>
          <w:szCs w:val="21"/>
          <w:color w:val="auto"/>
        </w:rPr>
      </w:pPr>
      <w:r>
        <w:rPr>
          <w:rFonts w:ascii="Arial" w:cs="Arial" w:eastAsia="Arial" w:hAnsi="Arial"/>
          <w:sz w:val="21"/>
          <w:szCs w:val="21"/>
          <w:b w:val="1"/>
          <w:bCs w:val="1"/>
          <w:color w:val="auto"/>
        </w:rPr>
        <w:t xml:space="preserve">Registered Stockholders. </w:t>
      </w:r>
      <w:r>
        <w:rPr>
          <w:rFonts w:ascii="Arial" w:cs="Arial" w:eastAsia="Arial" w:hAnsi="Arial"/>
          <w:sz w:val="21"/>
          <w:szCs w:val="21"/>
          <w:color w:val="auto"/>
        </w:rPr>
        <w:t>The Corporation shall be entitled to recognize the exclusive right of a person registered on</w:t>
      </w:r>
      <w:r>
        <w:rPr>
          <w:rFonts w:ascii="Arial" w:cs="Arial" w:eastAsia="Arial" w:hAnsi="Arial"/>
          <w:sz w:val="21"/>
          <w:szCs w:val="21"/>
          <w:b w:val="1"/>
          <w:bCs w:val="1"/>
          <w:color w:val="auto"/>
        </w:rPr>
        <w:t xml:space="preserve"> </w:t>
      </w:r>
      <w:r>
        <w:rPr>
          <w:rFonts w:ascii="Arial" w:cs="Arial" w:eastAsia="Arial" w:hAnsi="Arial"/>
          <w:sz w:val="21"/>
          <w:szCs w:val="21"/>
          <w:color w:val="auto"/>
        </w:rPr>
        <w:t>its records as the 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GENERAL PROVISIONS</w:t>
      </w:r>
    </w:p>
    <w:p>
      <w:pPr>
        <w:spacing w:after="0" w:line="182" w:lineRule="exact"/>
        <w:rPr>
          <w:sz w:val="20"/>
          <w:szCs w:val="20"/>
          <w:color w:val="auto"/>
        </w:rPr>
      </w:pPr>
    </w:p>
    <w:p>
      <w:pPr>
        <w:jc w:val="both"/>
        <w:ind w:right="300" w:firstLine="885"/>
        <w:spacing w:after="0" w:line="239" w:lineRule="auto"/>
        <w:tabs>
          <w:tab w:leader="none" w:pos="1231"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Subject to the provisions of statutes and the Certificate of Incorporation, dividends upon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stock of the Corporation may be declared by the Board of Directors at any regular or special meeting. Dividends may be paid in cash, in property or in shares of stock of the Corporation, unless otherwise provided by statute or the Certificate of Incorporation.</w:t>
      </w:r>
    </w:p>
    <w:p>
      <w:pPr>
        <w:spacing w:after="0" w:line="180" w:lineRule="exact"/>
        <w:rPr>
          <w:rFonts w:ascii="Arial" w:cs="Arial" w:eastAsia="Arial" w:hAnsi="Arial"/>
          <w:sz w:val="22"/>
          <w:szCs w:val="22"/>
          <w:color w:val="auto"/>
        </w:rPr>
      </w:pPr>
    </w:p>
    <w:p>
      <w:pPr>
        <w:ind w:right="180" w:firstLine="885"/>
        <w:spacing w:after="0" w:line="256" w:lineRule="auto"/>
        <w:tabs>
          <w:tab w:leader="none" w:pos="1220"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 xml:space="preserve">Reserves. </w:t>
      </w:r>
      <w:r>
        <w:rPr>
          <w:rFonts w:ascii="Arial" w:cs="Arial" w:eastAsia="Arial" w:hAnsi="Arial"/>
          <w:sz w:val="22"/>
          <w:szCs w:val="22"/>
          <w:color w:val="auto"/>
        </w:rPr>
        <w:t>Before payment of any dividend, there may be set aside out of any funds of the Corporation available for</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dividends such sum or sums as the Board of Directors may, from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4" w:right="259" w:bottom="1440" w:gutter="0" w:footer="0" w:header="0"/>
        </w:sectPr>
      </w:pPr>
    </w:p>
    <w:bookmarkStart w:id="88" w:name="page89"/>
    <w:bookmarkEnd w:id="88"/>
    <w:p>
      <w:pPr>
        <w:ind w:right="240"/>
        <w:spacing w:after="0" w:line="238" w:lineRule="auto"/>
        <w:rPr>
          <w:sz w:val="20"/>
          <w:szCs w:val="20"/>
          <w:color w:val="auto"/>
        </w:rPr>
      </w:pPr>
      <w:r>
        <w:rPr>
          <w:rFonts w:ascii="Arial" w:cs="Arial" w:eastAsia="Arial" w:hAnsi="Arial"/>
          <w:sz w:val="22"/>
          <w:szCs w:val="22"/>
          <w:color w:val="auto"/>
        </w:rPr>
        <w:t>time to time, in its absolute discretion, think proper as a reserve or reserves to meet contingencies, or for equalizing dividends, or for repairing or maintaining any property of the Corporation or for such other purpose as the Board of Directors may think conducive to the interests of the Corporation. The Board of Directors may modify or abolish any such reserves in the manner in which it was created.</w:t>
      </w:r>
    </w:p>
    <w:p>
      <w:pPr>
        <w:spacing w:after="0" w:line="179" w:lineRule="exact"/>
        <w:rPr>
          <w:sz w:val="20"/>
          <w:szCs w:val="20"/>
          <w:color w:val="auto"/>
        </w:rPr>
      </w:pPr>
    </w:p>
    <w:p>
      <w:pPr>
        <w:ind w:right="260" w:firstLine="885"/>
        <w:spacing w:after="0" w:line="256" w:lineRule="auto"/>
        <w:tabs>
          <w:tab w:leader="none" w:pos="1220"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 xml:space="preserve">Seal. </w:t>
      </w:r>
      <w:r>
        <w:rPr>
          <w:rFonts w:ascii="Arial" w:cs="Arial" w:eastAsia="Arial" w:hAnsi="Arial"/>
          <w:sz w:val="22"/>
          <w:szCs w:val="22"/>
          <w:color w:val="auto"/>
        </w:rPr>
        <w:t>The seal of the Corporation shall be in such form as shall be approved by the Board of Directors, which form</w:t>
      </w:r>
      <w:r>
        <w:rPr>
          <w:rFonts w:ascii="Arial" w:cs="Arial" w:eastAsia="Arial" w:hAnsi="Arial"/>
          <w:sz w:val="22"/>
          <w:szCs w:val="22"/>
          <w:b w:val="1"/>
          <w:bCs w:val="1"/>
          <w:color w:val="auto"/>
        </w:rPr>
        <w:t xml:space="preserve"> </w:t>
      </w:r>
      <w:r>
        <w:rPr>
          <w:rFonts w:ascii="Arial" w:cs="Arial" w:eastAsia="Arial" w:hAnsi="Arial"/>
          <w:sz w:val="22"/>
          <w:szCs w:val="22"/>
          <w:color w:val="auto"/>
        </w:rPr>
        <w:t>may be changed by resolution of the Board of Directors.</w:t>
      </w:r>
    </w:p>
    <w:p>
      <w:pPr>
        <w:spacing w:after="0" w:line="162" w:lineRule="exact"/>
        <w:rPr>
          <w:rFonts w:ascii="Arial" w:cs="Arial" w:eastAsia="Arial" w:hAnsi="Arial"/>
          <w:sz w:val="22"/>
          <w:szCs w:val="22"/>
          <w:color w:val="auto"/>
        </w:rPr>
      </w:pPr>
    </w:p>
    <w:p>
      <w:pPr>
        <w:ind w:right="240" w:firstLine="885"/>
        <w:spacing w:after="0" w:line="256" w:lineRule="auto"/>
        <w:tabs>
          <w:tab w:leader="none" w:pos="1231"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 xml:space="preserve">Fiscal Year. </w:t>
      </w:r>
      <w:r>
        <w:rPr>
          <w:rFonts w:ascii="Arial" w:cs="Arial" w:eastAsia="Arial" w:hAnsi="Arial"/>
          <w:sz w:val="22"/>
          <w:szCs w:val="22"/>
          <w:color w:val="auto"/>
        </w:rPr>
        <w:t>The fiscal year of the Corporation shall end on December 31 of each calendar year and may thereafter</w:t>
      </w:r>
      <w:r>
        <w:rPr>
          <w:rFonts w:ascii="Arial" w:cs="Arial" w:eastAsia="Arial" w:hAnsi="Arial"/>
          <w:sz w:val="22"/>
          <w:szCs w:val="22"/>
          <w:b w:val="1"/>
          <w:bCs w:val="1"/>
          <w:color w:val="auto"/>
        </w:rPr>
        <w:t xml:space="preserve"> </w:t>
      </w:r>
      <w:r>
        <w:rPr>
          <w:rFonts w:ascii="Arial" w:cs="Arial" w:eastAsia="Arial" w:hAnsi="Arial"/>
          <w:sz w:val="22"/>
          <w:szCs w:val="22"/>
          <w:color w:val="auto"/>
        </w:rPr>
        <w:t>be changed by resolution of the Board of Directors.</w:t>
      </w:r>
    </w:p>
    <w:p>
      <w:pPr>
        <w:spacing w:after="0" w:line="162" w:lineRule="exact"/>
        <w:rPr>
          <w:rFonts w:ascii="Arial" w:cs="Arial" w:eastAsia="Arial" w:hAnsi="Arial"/>
          <w:sz w:val="22"/>
          <w:szCs w:val="22"/>
          <w:color w:val="auto"/>
        </w:rPr>
      </w:pPr>
    </w:p>
    <w:p>
      <w:pPr>
        <w:jc w:val="both"/>
        <w:ind w:right="280" w:firstLine="885"/>
        <w:spacing w:after="0" w:line="239" w:lineRule="auto"/>
        <w:tabs>
          <w:tab w:leader="none" w:pos="1207"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 xml:space="preserve">Checks, Notes, Drafts; Etc. </w:t>
      </w:r>
      <w:r>
        <w:rPr>
          <w:rFonts w:ascii="Arial" w:cs="Arial" w:eastAsia="Arial" w:hAnsi="Arial"/>
          <w:sz w:val="22"/>
          <w:szCs w:val="22"/>
          <w:color w:val="auto"/>
        </w:rPr>
        <w:t>All checks, notes, drafts or other orders for the payment of money of the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signed, endorsed or accepted in the name of the Corporation by such officer, officers, person or persons as from time to time may be designated by the Board of Directors or by an officer or officers authorized by the Board of Directors to make such designation.</w:t>
      </w:r>
    </w:p>
    <w:p>
      <w:pPr>
        <w:spacing w:after="0" w:line="180" w:lineRule="exact"/>
        <w:rPr>
          <w:rFonts w:ascii="Arial" w:cs="Arial" w:eastAsia="Arial" w:hAnsi="Arial"/>
          <w:sz w:val="22"/>
          <w:szCs w:val="22"/>
          <w:color w:val="auto"/>
        </w:rPr>
      </w:pPr>
    </w:p>
    <w:p>
      <w:pPr>
        <w:ind w:firstLine="885"/>
        <w:spacing w:after="0" w:line="301" w:lineRule="auto"/>
        <w:tabs>
          <w:tab w:leader="none" w:pos="1195" w:val="left"/>
        </w:tabs>
        <w:numPr>
          <w:ilvl w:val="0"/>
          <w:numId w:val="78"/>
        </w:numPr>
        <w:rPr>
          <w:rFonts w:ascii="Arial" w:cs="Arial" w:eastAsia="Arial" w:hAnsi="Arial"/>
          <w:sz w:val="19"/>
          <w:szCs w:val="19"/>
          <w:color w:val="auto"/>
        </w:rPr>
      </w:pPr>
      <w:r>
        <w:rPr>
          <w:rFonts w:ascii="Arial" w:cs="Arial" w:eastAsia="Arial" w:hAnsi="Arial"/>
          <w:sz w:val="19"/>
          <w:szCs w:val="19"/>
          <w:b w:val="1"/>
          <w:bCs w:val="1"/>
          <w:color w:val="auto"/>
        </w:rPr>
        <w:t xml:space="preserve">Execution of Contracts, Deeds, Etc. </w:t>
      </w:r>
      <w:r>
        <w:rPr>
          <w:rFonts w:ascii="Arial" w:cs="Arial" w:eastAsia="Arial" w:hAnsi="Arial"/>
          <w:sz w:val="19"/>
          <w:szCs w:val="19"/>
          <w:color w:val="auto"/>
        </w:rPr>
        <w:t>The Board of Directors may authorize any officer or officers, agent or agents,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name and on behalf of the Corporation to enter into or execute and deliver any and all deeds, bonds, mortgages, contracts and other obligations or instruments, and such authority may be general or confined to specific instances.</w:t>
      </w:r>
    </w:p>
    <w:p>
      <w:pPr>
        <w:spacing w:after="0" w:line="123" w:lineRule="exact"/>
        <w:rPr>
          <w:rFonts w:ascii="Arial" w:cs="Arial" w:eastAsia="Arial" w:hAnsi="Arial"/>
          <w:sz w:val="19"/>
          <w:szCs w:val="19"/>
          <w:color w:val="auto"/>
        </w:rPr>
      </w:pPr>
    </w:p>
    <w:p>
      <w:pPr>
        <w:ind w:right="160" w:firstLine="885"/>
        <w:spacing w:after="0" w:line="247" w:lineRule="auto"/>
        <w:tabs>
          <w:tab w:leader="none" w:pos="1231" w:val="left"/>
        </w:tabs>
        <w:numPr>
          <w:ilvl w:val="0"/>
          <w:numId w:val="78"/>
        </w:numPr>
        <w:rPr>
          <w:rFonts w:ascii="Arial" w:cs="Arial" w:eastAsia="Arial" w:hAnsi="Arial"/>
          <w:sz w:val="21"/>
          <w:szCs w:val="21"/>
          <w:color w:val="auto"/>
        </w:rPr>
      </w:pPr>
      <w:r>
        <w:rPr>
          <w:rFonts w:ascii="Arial" w:cs="Arial" w:eastAsia="Arial" w:hAnsi="Arial"/>
          <w:sz w:val="21"/>
          <w:szCs w:val="21"/>
          <w:b w:val="1"/>
          <w:bCs w:val="1"/>
          <w:color w:val="auto"/>
        </w:rPr>
        <w:t xml:space="preserve">Inspection of Books and Records. </w:t>
      </w:r>
      <w:r>
        <w:rPr>
          <w:rFonts w:ascii="Arial" w:cs="Arial" w:eastAsia="Arial" w:hAnsi="Arial"/>
          <w:sz w:val="21"/>
          <w:szCs w:val="21"/>
          <w:color w:val="auto"/>
        </w:rPr>
        <w:t>Any stockholder of record, in person or by attorney or other agent, shall, upon</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of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72" w:lineRule="exact"/>
        <w:rPr>
          <w:rFonts w:ascii="Arial" w:cs="Arial" w:eastAsia="Arial" w:hAnsi="Arial"/>
          <w:sz w:val="21"/>
          <w:szCs w:val="21"/>
          <w:color w:val="auto"/>
        </w:rPr>
      </w:pPr>
    </w:p>
    <w:p>
      <w:pPr>
        <w:ind w:right="20" w:firstLine="885"/>
        <w:spacing w:after="0" w:line="239" w:lineRule="auto"/>
        <w:tabs>
          <w:tab w:leader="none" w:pos="1231"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 xml:space="preserve">References to Days. </w:t>
      </w:r>
      <w:r>
        <w:rPr>
          <w:rFonts w:ascii="Arial" w:cs="Arial" w:eastAsia="Arial" w:hAnsi="Arial"/>
          <w:sz w:val="22"/>
          <w:szCs w:val="22"/>
          <w:color w:val="auto"/>
        </w:rPr>
        <w:t>For purposes of these Bylaws, all references herein to “days” shall mean calendar days unless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expressly indicated to mean business days. Any period of time referenced herein that is scheduled to end on a day that is not a calendar day and any event that is scheduled to occur on a day that is not a calendar day, unless otherwise expressly indicated, shall instead end or occur on the next succeeding business day.</w:t>
      </w:r>
    </w:p>
    <w:p>
      <w:pPr>
        <w:spacing w:after="0" w:line="180" w:lineRule="exact"/>
        <w:rPr>
          <w:rFonts w:ascii="Arial" w:cs="Arial" w:eastAsia="Arial" w:hAnsi="Arial"/>
          <w:sz w:val="22"/>
          <w:szCs w:val="22"/>
          <w:color w:val="auto"/>
        </w:rPr>
      </w:pPr>
    </w:p>
    <w:p>
      <w:pPr>
        <w:ind w:right="20" w:firstLine="885"/>
        <w:spacing w:after="0" w:line="239" w:lineRule="auto"/>
        <w:tabs>
          <w:tab w:leader="none" w:pos="1147"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 xml:space="preserve">Inconsistent Provisions. </w:t>
      </w:r>
      <w:r>
        <w:rPr>
          <w:rFonts w:ascii="Arial" w:cs="Arial" w:eastAsia="Arial" w:hAnsi="Arial"/>
          <w:sz w:val="22"/>
          <w:szCs w:val="22"/>
          <w:color w:val="auto"/>
        </w:rPr>
        <w:t>In the event that any provision of these Bylaws is or becomes inconsistent with any</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the Certificate of 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4"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AMENDMENTS</w:t>
      </w:r>
    </w:p>
    <w:p>
      <w:pPr>
        <w:spacing w:after="0" w:line="188"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Except as otherwise provided in these Bylaws, these Bylaws may be amended or repealed or new Bylaws adopted only in accordance with Article VI of the Certificate of Incorporation.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564" w:right="2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1040" w:hanging="519"/>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Date: November 7, 2016</w:t>
            </w:r>
          </w:p>
        </w:tc>
        <w:tc>
          <w:tcPr>
            <w:tcW w:w="7040" w:type="dxa"/>
            <w:vAlign w:val="bottom"/>
            <w:gridSpan w:val="2"/>
          </w:tcPr>
          <w:p>
            <w:pPr>
              <w:ind w:left="2600"/>
              <w:spacing w:after="0"/>
              <w:rPr>
                <w:sz w:val="20"/>
                <w:szCs w:val="20"/>
                <w:color w:val="auto"/>
              </w:rPr>
            </w:pPr>
            <w:r>
              <w:rPr>
                <w:rFonts w:ascii="Arial" w:cs="Arial" w:eastAsia="Arial" w:hAnsi="Arial"/>
                <w:sz w:val="18"/>
                <w:szCs w:val="18"/>
                <w:color w:val="auto"/>
              </w:rPr>
              <w:t>By:  /s/ Joshua Easterly</w:t>
            </w:r>
          </w:p>
        </w:tc>
      </w:tr>
      <w:tr>
        <w:trPr>
          <w:trHeight w:val="195"/>
        </w:trPr>
        <w:tc>
          <w:tcPr>
            <w:tcW w:w="43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4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33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117" w:lineRule="exact"/>
        <w:rPr>
          <w:sz w:val="20"/>
          <w:szCs w:val="20"/>
          <w:color w:val="auto"/>
        </w:rPr>
      </w:pPr>
    </w:p>
    <w:p>
      <w:pPr>
        <w:ind w:left="1040" w:hanging="519"/>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Date: November 7, 2016</w:t>
            </w:r>
          </w:p>
        </w:tc>
        <w:tc>
          <w:tcPr>
            <w:tcW w:w="7040" w:type="dxa"/>
            <w:vAlign w:val="bottom"/>
            <w:gridSpan w:val="2"/>
          </w:tcPr>
          <w:p>
            <w:pPr>
              <w:ind w:left="2600"/>
              <w:spacing w:after="0"/>
              <w:rPr>
                <w:sz w:val="20"/>
                <w:szCs w:val="20"/>
                <w:color w:val="auto"/>
              </w:rPr>
            </w:pPr>
            <w:r>
              <w:rPr>
                <w:rFonts w:ascii="Arial" w:cs="Arial" w:eastAsia="Arial" w:hAnsi="Arial"/>
                <w:sz w:val="18"/>
                <w:szCs w:val="18"/>
                <w:color w:val="auto"/>
              </w:rPr>
              <w:t>By:  /s/ Michael Fishman</w:t>
            </w:r>
          </w:p>
        </w:tc>
      </w:tr>
      <w:tr>
        <w:trPr>
          <w:trHeight w:val="195"/>
        </w:trPr>
        <w:tc>
          <w:tcPr>
            <w:tcW w:w="43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4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33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1040" w:hanging="519"/>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Date: November 7, 2016</w:t>
            </w:r>
          </w:p>
        </w:tc>
        <w:tc>
          <w:tcPr>
            <w:tcW w:w="7040" w:type="dxa"/>
            <w:vAlign w:val="bottom"/>
            <w:gridSpan w:val="2"/>
          </w:tcPr>
          <w:p>
            <w:pPr>
              <w:ind w:left="2600"/>
              <w:spacing w:after="0"/>
              <w:rPr>
                <w:sz w:val="20"/>
                <w:szCs w:val="20"/>
                <w:color w:val="auto"/>
              </w:rPr>
            </w:pPr>
            <w:r>
              <w:rPr>
                <w:rFonts w:ascii="Arial" w:cs="Arial" w:eastAsia="Arial" w:hAnsi="Arial"/>
                <w:sz w:val="18"/>
                <w:szCs w:val="18"/>
                <w:color w:val="auto"/>
              </w:rPr>
              <w:t>By:  /s/ Ian Simmonds</w:t>
            </w:r>
          </w:p>
        </w:tc>
      </w:tr>
      <w:tr>
        <w:trPr>
          <w:trHeight w:val="195"/>
        </w:trPr>
        <w:tc>
          <w:tcPr>
            <w:tcW w:w="43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4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3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September 30, 2016, as filed with the Securities and Exchange Commission on the date hereof (the “Report”), Joshua Easterly and Michael Fishman, as Co-Chief Executive Officers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1040" w:hanging="519"/>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80"/>
              <w:spacing w:after="0"/>
              <w:rPr>
                <w:sz w:val="20"/>
                <w:szCs w:val="20"/>
                <w:color w:val="auto"/>
              </w:rPr>
            </w:pPr>
            <w:r>
              <w:rPr>
                <w:rFonts w:ascii="Arial" w:cs="Arial" w:eastAsia="Arial" w:hAnsi="Arial"/>
                <w:sz w:val="18"/>
                <w:szCs w:val="18"/>
                <w:color w:val="auto"/>
              </w:rPr>
              <w:t>Co-Chief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tcPr>
          <w:p>
            <w:pPr>
              <w:ind w:left="180"/>
              <w:spacing w:after="0"/>
              <w:rPr>
                <w:sz w:val="20"/>
                <w:szCs w:val="20"/>
                <w:color w:val="auto"/>
              </w:rPr>
            </w:pPr>
            <w:r>
              <w:rPr>
                <w:rFonts w:ascii="Arial" w:cs="Arial" w:eastAsia="Arial" w:hAnsi="Arial"/>
                <w:sz w:val="18"/>
                <w:szCs w:val="18"/>
                <w:color w:val="auto"/>
              </w:rPr>
              <w:t>November 7, 2016</w:t>
            </w: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Fishman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80"/>
              <w:spacing w:after="0" w:line="195" w:lineRule="exact"/>
              <w:rPr>
                <w:sz w:val="20"/>
                <w:szCs w:val="20"/>
                <w:color w:val="auto"/>
              </w:rPr>
            </w:pPr>
            <w:r>
              <w:rPr>
                <w:rFonts w:ascii="Arial" w:cs="Arial" w:eastAsia="Arial" w:hAnsi="Arial"/>
                <w:sz w:val="18"/>
                <w:szCs w:val="18"/>
                <w:color w:val="auto"/>
              </w:rPr>
              <w:t>Michael Fishman</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80"/>
              <w:spacing w:after="0"/>
              <w:rPr>
                <w:sz w:val="20"/>
                <w:szCs w:val="20"/>
                <w:color w:val="auto"/>
              </w:rPr>
            </w:pPr>
            <w:r>
              <w:rPr>
                <w:rFonts w:ascii="Arial" w:cs="Arial" w:eastAsia="Arial" w:hAnsi="Arial"/>
                <w:sz w:val="18"/>
                <w:szCs w:val="18"/>
                <w:color w:val="auto"/>
              </w:rPr>
              <w:t>Co-Chief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tcPr>
          <w:p>
            <w:pPr>
              <w:ind w:left="180"/>
              <w:spacing w:after="0"/>
              <w:rPr>
                <w:sz w:val="20"/>
                <w:szCs w:val="20"/>
                <w:color w:val="auto"/>
              </w:rPr>
            </w:pPr>
            <w:r>
              <w:rPr>
                <w:rFonts w:ascii="Arial" w:cs="Arial" w:eastAsia="Arial" w:hAnsi="Arial"/>
                <w:sz w:val="18"/>
                <w:szCs w:val="18"/>
                <w:color w:val="auto"/>
              </w:rPr>
              <w:t>November 7, 2016</w:t>
            </w: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8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tcPr>
          <w:p>
            <w:pPr>
              <w:ind w:left="180"/>
              <w:spacing w:after="0"/>
              <w:rPr>
                <w:sz w:val="20"/>
                <w:szCs w:val="20"/>
                <w:color w:val="auto"/>
              </w:rPr>
            </w:pPr>
            <w:r>
              <w:rPr>
                <w:rFonts w:ascii="Arial" w:cs="Arial" w:eastAsia="Arial" w:hAnsi="Arial"/>
                <w:sz w:val="18"/>
                <w:szCs w:val="18"/>
                <w:color w:val="auto"/>
              </w:rPr>
              <w:t>November 7, 2016</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5"/>
    </w:lvl>
  </w:abstractNum>
  <w:abstractNum w:abstractNumId="5">
    <w:nsid w:val="725A06FB"/>
    <w:multiLevelType w:val="hybridMultilevel"/>
    <w:lvl w:ilvl="0">
      <w:lvlJc w:val="left"/>
      <w:lvlText w:val="%1"/>
      <w:numFmt w:val="decimal"/>
      <w:start w:val="1"/>
    </w:lvl>
    <w:lvl w:ilvl="1">
      <w:lvlJc w:val="left"/>
      <w:lvlText w:val="(%2)"/>
      <w:numFmt w:val="lowerLetter"/>
      <w:start w:val="1"/>
    </w:lvl>
  </w:abstractNum>
  <w:abstractNum w:abstractNumId="6">
    <w:nsid w:val="2CD89A32"/>
    <w:multiLevelType w:val="hybridMultilevel"/>
    <w:lvl w:ilvl="0">
      <w:lvlJc w:val="left"/>
      <w:lvlText w:val="(%1)"/>
      <w:numFmt w:val="decimal"/>
      <w:start w:val="8"/>
    </w:lvl>
    <w:lvl w:ilvl="1">
      <w:lvlJc w:val="left"/>
      <w:lvlText w:val="%2"/>
      <w:numFmt w:val="lowerLetter"/>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decimal"/>
      <w:start w:val="7"/>
    </w:lvl>
  </w:abstractNum>
  <w:abstractNum w:abstractNumId="9">
    <w:nsid w:val="4B588F54"/>
    <w:multiLevelType w:val="hybridMultilevel"/>
    <w:lvl w:ilvl="0">
      <w:lvlJc w:val="left"/>
      <w:lvlText w:val="%1"/>
      <w:numFmt w:val="decimal"/>
      <w:start w:val="1"/>
    </w:lvl>
    <w:lvl w:ilvl="1">
      <w:lvlJc w:val="left"/>
      <w:lvlText w:val="(%2)"/>
      <w:numFmt w:val="lowerLetter"/>
      <w:start w:val="1"/>
    </w:lvl>
  </w:abstractNum>
  <w:abstractNum w:abstractNumId="10">
    <w:nsid w:val="542289EC"/>
    <w:multiLevelType w:val="hybridMultilevel"/>
    <w:lvl w:ilvl="0">
      <w:lvlJc w:val="left"/>
      <w:lvlText w:val="(%1)"/>
      <w:numFmt w:val="decimal"/>
      <w:start w:val="8"/>
    </w:lvl>
    <w:lvl w:ilvl="1">
      <w:lvlJc w:val="left"/>
      <w:lvlText w:val="%2"/>
      <w:numFmt w:val="lowerLetter"/>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lowerRoman"/>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lvl w:ilvl="1">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decimal"/>
      <w:start w:val="10"/>
    </w:lvl>
  </w:abstractNum>
  <w:abstractNum w:abstractNumId="30">
    <w:nsid w:val="39386575"/>
    <w:multiLevelType w:val="hybridMultilevel"/>
    <w:lvl w:ilvl="0">
      <w:lvlJc w:val="left"/>
      <w:lvlText w:val="%1."/>
      <w:numFmt w:val="decimal"/>
      <w:start w:val="1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
      <w:numFmt w:val="bullet"/>
      <w:start w:val="1"/>
    </w:lvl>
    <w:lvl w:ilvl="1">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1"/>
      <w:numFmt w:val="decimal"/>
      <w:start w:val="32"/>
    </w:lvl>
  </w:abstractNum>
  <w:abstractNum w:abstractNumId="51">
    <w:nsid w:val="1F48EAA1"/>
    <w:multiLevelType w:val="hybridMultilevel"/>
    <w:lvl w:ilvl="0">
      <w:lvlJc w:val="left"/>
      <w:lvlText w:val="%1"/>
      <w:numFmt w:val="decimal"/>
      <w:start w:val="1"/>
    </w:lvl>
    <w:lvl w:ilvl="1">
      <w:lvlJc w:val="left"/>
      <w:lvlText w:val="%2."/>
      <w:numFmt w:val="decimal"/>
      <w:start w:val="1"/>
    </w:lvl>
  </w:abstractNum>
  <w:abstractNum w:abstractNumId="52">
    <w:nsid w:val="1381823A"/>
    <w:multiLevelType w:val="hybridMultilevel"/>
    <w:lvl w:ilvl="0">
      <w:lvlJc w:val="left"/>
      <w:lvlText w:val="%1."/>
      <w:numFmt w:val="decimal"/>
      <w:start w:val="3"/>
    </w:lvl>
    <w:lvl w:ilvl="1">
      <w:lvlJc w:val="left"/>
      <w:lvlText w:val="%2"/>
      <w:numFmt w:val="decimal"/>
      <w:start w:val="1"/>
    </w:lvl>
  </w:abstractNum>
  <w:abstractNum w:abstractNumId="53">
    <w:nsid w:val="5DB70AE5"/>
    <w:multiLevelType w:val="hybridMultilevel"/>
    <w:lvl w:ilvl="0">
      <w:lvlJc w:val="left"/>
      <w:lvlText w:val="(%1)"/>
      <w:numFmt w:val="upperLetter"/>
      <w:start w:val="1"/>
    </w:lvl>
  </w:abstractNum>
  <w:abstractNum w:abstractNumId="54">
    <w:nsid w:val="100F8FCA"/>
    <w:multiLevelType w:val="hybridMultilevel"/>
    <w:lvl w:ilvl="0">
      <w:lvlJc w:val="left"/>
      <w:lvlText w:val="(%1)"/>
      <w:numFmt w:val="upperLetter"/>
      <w:start w:val="5"/>
    </w:lvl>
  </w:abstractNum>
  <w:abstractNum w:abstractNumId="55">
    <w:nsid w:val="6590700B"/>
    <w:multiLevelType w:val="hybridMultilevel"/>
    <w:lvl w:ilvl="0">
      <w:lvlJc w:val="left"/>
      <w:lvlText w:val="%1"/>
      <w:numFmt w:val="lowerRoman"/>
      <w:start w:val="1"/>
    </w:lvl>
    <w:lvl w:ilvl="1">
      <w:lvlJc w:val="left"/>
      <w:lvlText w:val="(%2)"/>
      <w:numFmt w:val="upperLetter"/>
      <w:start w:val="10"/>
    </w:lvl>
  </w:abstractNum>
  <w:abstractNum w:abstractNumId="56">
    <w:nsid w:val="15014ACB"/>
    <w:multiLevelType w:val="hybridMultilevel"/>
    <w:lvl w:ilvl="0">
      <w:lvlJc w:val="left"/>
      <w:lvlText w:val="(%1)"/>
      <w:numFmt w:val="lowerRoman"/>
      <w:start w:val="1"/>
    </w:lvl>
    <w:lvl w:ilvl="1">
      <w:lvlJc w:val="left"/>
      <w:lvlText w:val="%2"/>
      <w:numFmt w:val="upperLetter"/>
      <w:start w:val="1"/>
    </w:lvl>
  </w:abstractNum>
  <w:abstractNum w:abstractNumId="57">
    <w:nsid w:val="5F5E7FD0"/>
    <w:multiLevelType w:val="hybridMultilevel"/>
    <w:lvl w:ilvl="0">
      <w:lvlJc w:val="left"/>
      <w:lvlText w:val="(%1)"/>
      <w:numFmt w:val="lowerRoman"/>
      <w:start w:val="2"/>
    </w:lvl>
  </w:abstractNum>
  <w:abstractNum w:abstractNumId="58">
    <w:nsid w:val="98A3148"/>
    <w:multiLevelType w:val="hybridMultilevel"/>
    <w:lvl w:ilvl="0">
      <w:lvlJc w:val="left"/>
      <w:lvlText w:val="(%1)"/>
      <w:numFmt w:val="upperLetter"/>
      <w:start w:val="12"/>
    </w:lvl>
  </w:abstractNum>
  <w:abstractNum w:abstractNumId="59">
    <w:nsid w:val="799D0247"/>
    <w:multiLevelType w:val="hybridMultilevel"/>
    <w:lvl w:ilvl="0">
      <w:lvlJc w:val="left"/>
      <w:lvlText w:val="%1"/>
      <w:numFmt w:val="decimal"/>
      <w:start w:val="1"/>
    </w:lvl>
    <w:lvl w:ilvl="1">
      <w:lvlJc w:val="left"/>
      <w:lvlText w:val="(%2)"/>
      <w:numFmt w:val="upperLetter"/>
      <w:start w:val="1"/>
    </w:lvl>
  </w:abstractNum>
  <w:abstractNum w:abstractNumId="60">
    <w:nsid w:val="6B94764"/>
    <w:multiLevelType w:val="hybridMultilevel"/>
    <w:lvl w:ilvl="0">
      <w:lvlJc w:val="left"/>
      <w:lvlText w:val="(%1)"/>
      <w:numFmt w:val="decimal"/>
      <w:start w:val="2"/>
    </w:lvl>
    <w:lvl w:ilvl="1">
      <w:lvlJc w:val="left"/>
      <w:lvlText w:val="(%2)"/>
      <w:numFmt w:val="upperLetter"/>
      <w:start w:val="8"/>
    </w:lvl>
  </w:abstractNum>
  <w:abstractNum w:abstractNumId="61">
    <w:nsid w:val="42C296BD"/>
    <w:multiLevelType w:val="hybridMultilevel"/>
    <w:lvl w:ilvl="0">
      <w:lvlJc w:val="left"/>
      <w:lvlText w:val="(%1)"/>
      <w:numFmt w:val="decimal"/>
      <w:start w:val="12"/>
    </w:lvl>
    <w:lvl w:ilvl="1">
      <w:lvlJc w:val="left"/>
      <w:lvlText w:val="(%2)"/>
      <w:numFmt w:val="upperLetter"/>
      <w:start w:val="9"/>
    </w:lvl>
  </w:abstractNum>
  <w:abstractNum w:abstractNumId="62">
    <w:nsid w:val="168E121F"/>
    <w:multiLevelType w:val="hybridMultilevel"/>
    <w:lvl w:ilvl="0">
      <w:lvlJc w:val="left"/>
      <w:lvlText w:val="(%1)"/>
      <w:numFmt w:val="upperLetter"/>
      <w:start w:val="12"/>
    </w:lvl>
  </w:abstractNum>
  <w:abstractNum w:abstractNumId="63">
    <w:nsid w:val="1EBA5D23"/>
    <w:multiLevelType w:val="hybridMultilevel"/>
    <w:lvl w:ilvl="0">
      <w:lvlJc w:val="left"/>
      <w:lvlText w:val="(%1)"/>
      <w:numFmt w:val="upperLetter"/>
      <w:start w:val="1"/>
    </w:lvl>
    <w:lvl w:ilvl="1">
      <w:lvlJc w:val="left"/>
      <w:lvlText w:val="(%2)"/>
      <w:numFmt w:val="decimal"/>
      <w:start w:val="1"/>
    </w:lvl>
  </w:abstractNum>
  <w:abstractNum w:abstractNumId="64">
    <w:nsid w:val="661E3F1E"/>
    <w:multiLevelType w:val="hybridMultilevel"/>
    <w:lvl w:ilvl="0">
      <w:lvlJc w:val="left"/>
      <w:lvlText w:val="(%1)"/>
      <w:numFmt w:val="lowerRoman"/>
      <w:start w:val="4"/>
    </w:lvl>
    <w:lvl w:ilvl="1">
      <w:lvlJc w:val="left"/>
      <w:lvlText w:val="(%2)"/>
      <w:numFmt w:val="decimal"/>
      <w:start w:val="3"/>
    </w:lvl>
  </w:abstractNum>
  <w:abstractNum w:abstractNumId="65">
    <w:nsid w:val="5DC79EA8"/>
    <w:multiLevelType w:val="hybridMultilevel"/>
    <w:lvl w:ilvl="0">
      <w:lvlJc w:val="left"/>
      <w:lvlText w:val="(%1)"/>
      <w:numFmt w:val="upperLetter"/>
      <w:start w:val="2"/>
    </w:lvl>
  </w:abstractNum>
  <w:abstractNum w:abstractNumId="66">
    <w:nsid w:val="540A471C"/>
    <w:multiLevelType w:val="hybridMultilevel"/>
    <w:lvl w:ilvl="0">
      <w:lvlJc w:val="left"/>
      <w:lvlText w:val="(%1)"/>
      <w:numFmt w:val="upperLetter"/>
      <w:start w:val="1"/>
    </w:lvl>
  </w:abstractNum>
  <w:abstractNum w:abstractNumId="67">
    <w:nsid w:val="7BD3EE7B"/>
    <w:multiLevelType w:val="hybridMultilevel"/>
    <w:lvl w:ilvl="0">
      <w:lvlJc w:val="left"/>
      <w:lvlText w:val="(%1)"/>
      <w:numFmt w:val="upperLetter"/>
      <w:start w:val="5"/>
    </w:lvl>
    <w:lvl w:ilvl="1">
      <w:lvlJc w:val="left"/>
      <w:lvlText w:val="(%2)"/>
      <w:numFmt w:val="decimal"/>
      <w:start w:val="1"/>
    </w:lvl>
  </w:abstractNum>
  <w:abstractNum w:abstractNumId="68">
    <w:nsid w:val="51D9C564"/>
    <w:multiLevelType w:val="hybridMultilevel"/>
    <w:lvl w:ilvl="0">
      <w:lvlJc w:val="left"/>
      <w:lvlText w:val="(%1)"/>
      <w:numFmt w:val="decimal"/>
      <w:start w:val="7"/>
    </w:lvl>
  </w:abstractNum>
  <w:abstractNum w:abstractNumId="69">
    <w:nsid w:val="613EFDC5"/>
    <w:multiLevelType w:val="hybridMultilevel"/>
    <w:lvl w:ilvl="0">
      <w:lvlJc w:val="left"/>
      <w:lvlText w:val="(%1)"/>
      <w:numFmt w:val="upperLetter"/>
      <w:start w:val="9"/>
    </w:lvl>
    <w:lvl w:ilvl="1">
      <w:lvlJc w:val="left"/>
      <w:lvlText w:val="(%2)"/>
      <w:numFmt w:val="decimal"/>
      <w:start w:val="1"/>
    </w:lvl>
  </w:abstractNum>
  <w:abstractNum w:abstractNumId="70">
    <w:nsid w:val="BF72B14"/>
    <w:multiLevelType w:val="hybridMultilevel"/>
    <w:lvl w:ilvl="0">
      <w:lvlJc w:val="left"/>
      <w:lvlText w:val="(%1)"/>
      <w:numFmt w:val="upperLetter"/>
      <w:start w:val="12"/>
    </w:lvl>
  </w:abstractNum>
  <w:abstractNum w:abstractNumId="71">
    <w:nsid w:val="11447B73"/>
    <w:multiLevelType w:val="hybridMultilevel"/>
    <w:lvl w:ilvl="0">
      <w:lvlJc w:val="left"/>
      <w:lvlText w:val="(%1)"/>
      <w:numFmt w:val="upperLetter"/>
      <w:start w:val="1"/>
    </w:lvl>
    <w:lvl w:ilvl="1">
      <w:lvlJc w:val="left"/>
      <w:lvlText w:val="(%2)"/>
      <w:numFmt w:val="lowerRoman"/>
      <w:start w:val="1"/>
    </w:lvl>
  </w:abstractNum>
  <w:abstractNum w:abstractNumId="72">
    <w:nsid w:val="42963E5A"/>
    <w:multiLevelType w:val="hybridMultilevel"/>
    <w:lvl w:ilvl="0">
      <w:lvlJc w:val="left"/>
      <w:lvlText w:val="(%1)"/>
      <w:numFmt w:val="upperLetter"/>
      <w:start w:val="2"/>
    </w:lvl>
  </w:abstractNum>
  <w:abstractNum w:abstractNumId="73">
    <w:nsid w:val="A0382C5"/>
    <w:multiLevelType w:val="hybridMultilevel"/>
    <w:lvl w:ilvl="0">
      <w:lvlJc w:val="left"/>
      <w:lvlText w:val="(%1)"/>
      <w:numFmt w:val="upperLetter"/>
      <w:start w:val="1"/>
    </w:lvl>
  </w:abstractNum>
  <w:abstractNum w:abstractNumId="74">
    <w:nsid w:val="8F2B15E"/>
    <w:multiLevelType w:val="hybridMultilevel"/>
    <w:lvl w:ilvl="0">
      <w:lvlJc w:val="left"/>
      <w:lvlText w:val="%1"/>
      <w:numFmt w:val="decimal"/>
      <w:start w:val="1"/>
    </w:lvl>
    <w:lvl w:ilvl="1">
      <w:lvlJc w:val="left"/>
      <w:lvlText w:val="(%2)"/>
      <w:numFmt w:val="upperLetter"/>
      <w:start w:val="5"/>
    </w:lvl>
  </w:abstractNum>
  <w:abstractNum w:abstractNumId="75">
    <w:nsid w:val="1A32234B"/>
    <w:multiLevelType w:val="hybridMultilevel"/>
    <w:lvl w:ilvl="0">
      <w:lvlJc w:val="left"/>
      <w:lvlText w:val="(%1)"/>
      <w:numFmt w:val="decimal"/>
      <w:start w:val="60"/>
    </w:lvl>
    <w:lvl w:ilvl="1">
      <w:lvlJc w:val="left"/>
      <w:lvlText w:val="(%2)"/>
      <w:numFmt w:val="upperLetter"/>
      <w:start w:val="8"/>
    </w:lvl>
  </w:abstractNum>
  <w:abstractNum w:abstractNumId="76">
    <w:nsid w:val="3B0FD379"/>
    <w:multiLevelType w:val="hybridMultilevel"/>
    <w:lvl w:ilvl="0">
      <w:lvlJc w:val="left"/>
      <w:lvlText w:val="(%1)"/>
      <w:numFmt w:val="upperLetter"/>
      <w:start w:val="1"/>
    </w:lvl>
  </w:abstractNum>
  <w:abstractNum w:abstractNumId="77">
    <w:nsid w:val="68EB2F63"/>
    <w:multiLevelType w:val="hybridMultilevel"/>
    <w:lvl w:ilvl="0">
      <w:lvlJc w:val="left"/>
      <w:lvlText w:val="(%1)"/>
      <w:numFmt w:val="upperLetter"/>
      <w:start w:val="3"/>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2019-12-29T10:12:52Z</dcterms:created>
  <dcterms:modified xsi:type="dcterms:W3CDTF">2019-12-29T10:12:52Z</dcterms:modified>
</cp:coreProperties>
</file>