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slx-20230930.htm"/>
      <w:bookmarkStart w:id="1" w:name="kstslx20230930"/>
      <w:bookmarkEnd w:id="0"/>
      <w:bookmarkEnd w:id="1"/>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sz w:val="24"/>
              </w:rPr>
            </w:pP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4"/>
              </w:rPr>
              <w:t xml:space="preserve"> </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001-36364</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Sixth Street Specialty Lending,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4652" w:type="dxa"/>
        <w:jc w:val="left"/>
        <w:tblInd w:w="0" w:type="dxa"/>
        <w:tblLayout w:type="fixed"/>
        <w:tblCellMar>
          <w:top w:w="28" w:type="dxa"/>
          <w:left w:w="28" w:type="dxa"/>
          <w:bottom w:w="28" w:type="dxa"/>
          <w:right w:w="28" w:type="dxa"/>
        </w:tblCellMar>
      </w:tblPr>
      <w:tblGrid>
        <w:gridCol w:w="3166"/>
        <w:gridCol w:w="1486"/>
      </w:tblGrid>
      <w:tr>
        <w:trPr/>
        <w:tc>
          <w:tcPr>
            <w:tcW w:w="31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27-3380000</w:t>
            </w:r>
          </w:p>
        </w:tc>
      </w:tr>
      <w:tr>
        <w:trPr/>
        <w:tc>
          <w:tcPr>
            <w:tcW w:w="316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16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pPr>
            <w:r>
              <w:rPr/>
              <w:t> </w:t>
            </w:r>
          </w:p>
        </w:tc>
      </w:tr>
      <w:tr>
        <w:trPr/>
        <w:tc>
          <w:tcPr>
            <w:tcW w:w="316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2100 McKinney Avenue, Suite 1500,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TX</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75201</w:t>
            </w:r>
          </w:p>
        </w:tc>
      </w:tr>
      <w:tr>
        <w:trPr/>
        <w:tc>
          <w:tcPr>
            <w:tcW w:w="316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(469) 621-3001</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pBdr>
          <w:bottom w:val="single" w:sz="6"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53" w:type="dxa"/>
        <w:jc w:val="left"/>
        <w:tblInd w:w="0" w:type="dxa"/>
        <w:tblLayout w:type="fixed"/>
        <w:tblCellMar>
          <w:top w:w="28" w:type="dxa"/>
          <w:left w:w="28" w:type="dxa"/>
          <w:bottom w:w="28" w:type="dxa"/>
          <w:right w:w="28" w:type="dxa"/>
        </w:tblCellMar>
      </w:tblPr>
      <w:tblGrid>
        <w:gridCol w:w="3181"/>
        <w:gridCol w:w="1456"/>
        <w:gridCol w:w="3316"/>
      </w:tblGrid>
      <w:tr>
        <w:trPr/>
        <w:tc>
          <w:tcPr>
            <w:tcW w:w="31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Common Stock, par value $0.01 per share</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TSLX</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The New York Stock Exchange</w:t>
            </w:r>
          </w:p>
        </w:tc>
      </w:tr>
    </w:tbl>
    <w:p>
      <w:pPr>
        <w:pStyle w:val="TextBody"/>
        <w:bidi w:val="0"/>
        <w:spacing w:before="80" w:after="283"/>
        <w:jc w:val="left"/>
        <w:rPr>
          <w:rFonts w:ascii="Times New Roman" w:hAnsi="Times New Roman"/>
          <w:sz w:val="20"/>
        </w:rPr>
      </w:pPr>
      <w:r>
        <w:rPr>
          <w:rFonts w:ascii="Times New Roman" w:hAnsi="Times New Roman"/>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474" w:type="dxa"/>
        <w:jc w:val="left"/>
        <w:tblInd w:w="0" w:type="dxa"/>
        <w:tblLayout w:type="fixed"/>
        <w:tblCellMar>
          <w:top w:w="28" w:type="dxa"/>
          <w:left w:w="28" w:type="dxa"/>
          <w:bottom w:w="28" w:type="dxa"/>
          <w:right w:w="28" w:type="dxa"/>
        </w:tblCellMar>
      </w:tblPr>
      <w:tblGrid>
        <w:gridCol w:w="1666"/>
        <w:gridCol w:w="376"/>
        <w:gridCol w:w="207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Large accelerated filer</w:t>
            </w:r>
          </w:p>
        </w:tc>
        <w:tc>
          <w:tcPr>
            <w:tcW w:w="376" w:type="dxa"/>
            <w:tcBorders/>
            <w:vAlign w:val="center"/>
          </w:tcPr>
          <w:p>
            <w:pPr>
              <w:pStyle w:val="TableContents"/>
              <w:bidi w:val="0"/>
              <w:spacing w:before="0" w:after="283"/>
              <w:jc w:val="left"/>
              <w:rPr>
                <w:color w:val="000000"/>
              </w:rPr>
            </w:pPr>
            <w:r>
              <w:rPr>
                <w:color w:val="000000"/>
              </w:rPr>
              <w:t>☒</w:t>
            </w:r>
          </w:p>
        </w:tc>
        <w:tc>
          <w:tcPr>
            <w:tcW w:w="207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Non-accelerated filer</w:t>
            </w:r>
          </w:p>
        </w:tc>
        <w:tc>
          <w:tcPr>
            <w:tcW w:w="376" w:type="dxa"/>
            <w:tcBorders/>
            <w:vAlign w:val="center"/>
          </w:tcPr>
          <w:p>
            <w:pPr>
              <w:pStyle w:val="TableContents"/>
              <w:bidi w:val="0"/>
              <w:spacing w:before="0" w:after="283"/>
              <w:jc w:val="left"/>
              <w:rPr>
                <w:color w:val="000000"/>
              </w:rPr>
            </w:pPr>
            <w:r>
              <w:rPr>
                <w:color w:val="000000"/>
              </w:rPr>
              <w:t xml:space="preserve">☐ </w:t>
            </w:r>
          </w:p>
        </w:tc>
        <w:tc>
          <w:tcPr>
            <w:tcW w:w="207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Emerging growth company</w:t>
            </w:r>
            <w:r>
              <w:rPr>
                <w:rFonts w:ascii="Times New Roman" w:hAnsi="Times New Roman"/>
                <w:color w:val="000000"/>
                <w:sz w:val="16"/>
              </w:rPr>
              <w:t xml:space="preserve">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w:t>
      </w:r>
    </w:p>
    <w:p>
      <w:pPr>
        <w:pStyle w:val="TextBody"/>
        <w:bidi w:val="0"/>
        <w:spacing w:before="80" w:after="283"/>
        <w:jc w:val="left"/>
        <w:rPr>
          <w:rFonts w:ascii="Times New Roman" w:hAnsi="Times New Roman"/>
          <w:sz w:val="20"/>
        </w:rPr>
      </w:pPr>
      <w:r>
        <w:rPr>
          <w:rFonts w:ascii="Times New Roman" w:hAnsi="Times New Roman"/>
          <w:b w:val="false"/>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16"/>
        </w:rPr>
        <w:t>The number of shares of the registrant’s common stock, $.01 par value per share, outstanding at November 2, 2023 was 87,546,498.</w:t>
      </w:r>
      <w:r>
        <w:rPr>
          <w:rFonts w:ascii="Times New Roman" w:hAnsi="Times New Roman"/>
          <w:color w:val="000000"/>
          <w:sz w:val="20"/>
        </w:rPr>
        <w:t xml:space="preserve"> </w:t>
      </w:r>
    </w:p>
    <w:p>
      <w:pPr>
        <w:pStyle w:val="TextBody"/>
        <w:bidi w:val="0"/>
        <w:jc w:val="left"/>
        <w:rPr/>
      </w:pPr>
      <w:r>
        <w:rPr/>
        <w:t> </w:t>
      </w:r>
    </w:p>
    <w:p>
      <w:pPr>
        <w:pStyle w:val="TextBody"/>
        <w:pBdr>
          <w:bottom w:val="double" w:sz="6" w:space="1" w:color="000000"/>
        </w:pBdr>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77"/>
        <w:gridCol w:w="146"/>
        <w:gridCol w:w="8519"/>
        <w:gridCol w:w="146"/>
        <w:gridCol w:w="617"/>
      </w:tblGrid>
      <w:tr>
        <w:trPr/>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77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1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PART I.</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part_i_financial_information">
              <w:r>
                <w:rPr>
                  <w:rStyle w:val="InternetLink"/>
                  <w:rFonts w:ascii="Times New Roman" w:hAnsi="Times New Roman"/>
                  <w:b w:val="false"/>
                  <w:color w:val="0000FF"/>
                  <w:sz w:val="20"/>
                  <w:u w:val="single"/>
                </w:rPr>
                <w:t>FINANCIAL INFORMATION</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Financial Statements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consolidated_balance_sheets">
              <w:r>
                <w:rPr>
                  <w:rStyle w:val="InternetLink"/>
                  <w:rFonts w:ascii="Times New Roman" w:hAnsi="Times New Roman"/>
                  <w:b w:val="false"/>
                  <w:color w:val="0000FF"/>
                  <w:sz w:val="20"/>
                  <w:u w:val="single"/>
                </w:rPr>
                <w:t>Consolidated Balance Sheets as of September 30, 2023 (Unaudited) and December 31, 2022</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consolidated_statements_operations">
              <w:r>
                <w:rPr>
                  <w:rStyle w:val="InternetLink"/>
                  <w:rFonts w:ascii="Times New Roman" w:hAnsi="Times New Roman"/>
                  <w:b w:val="false"/>
                  <w:color w:val="0000FF"/>
                  <w:sz w:val="20"/>
                  <w:u w:val="single"/>
                </w:rPr>
                <w:t>Consolidated Statements of Operations for the three and nine months ended September 30, 2023 and 2022 (Unaudited)</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consolidated_schedule_investments_as_mar">
              <w:r>
                <w:rPr>
                  <w:rStyle w:val="InternetLink"/>
                  <w:rFonts w:ascii="Times New Roman" w:hAnsi="Times New Roman"/>
                  <w:b w:val="false"/>
                  <w:color w:val="0000FF"/>
                  <w:sz w:val="20"/>
                  <w:u w:val="single"/>
                </w:rPr>
                <w:t>Consolidated Schedules of Investments as of September 30, 2023 (Unaudited) and December 31, 2022</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consolidated_statements_changes_in_net_a">
              <w:r>
                <w:rPr>
                  <w:rStyle w:val="InternetLink"/>
                  <w:rFonts w:ascii="Times New Roman" w:hAnsi="Times New Roman"/>
                  <w:b w:val="false"/>
                  <w:color w:val="0000FF"/>
                  <w:sz w:val="20"/>
                  <w:u w:val="single"/>
                </w:rPr>
                <w:t>Consolidated Statements of Changes in Net Assets for the three and nine months ended September 30, 2023 and 2022 (Unaudited)</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consolidated_statements_cash_flows">
              <w:r>
                <w:rPr>
                  <w:rStyle w:val="InternetLink"/>
                  <w:rFonts w:ascii="Times New Roman" w:hAnsi="Times New Roman"/>
                  <w:b w:val="false"/>
                  <w:color w:val="0000FF"/>
                  <w:sz w:val="20"/>
                  <w:u w:val="single"/>
                </w:rPr>
                <w:t>Consolidated Statements of Cash Flows for the nine months ended September 30, 2023 and 2022 (Unaudited)</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notes_to_consolidated_financial_statemen">
              <w:r>
                <w:rPr>
                  <w:rStyle w:val="InternetLink"/>
                  <w:rFonts w:ascii="Times New Roman" w:hAnsi="Times New Roman"/>
                  <w:b w:val="false"/>
                  <w:color w:val="0000FF"/>
                  <w:sz w:val="20"/>
                  <w:u w:val="single"/>
                </w:rPr>
                <w:t>Notes to Consolidated Financial Statements (Unaudited)</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PART II.</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part_ii_or_information">
              <w:r>
                <w:rPr>
                  <w:rStyle w:val="InternetLink"/>
                  <w:rFonts w:ascii="Times New Roman" w:hAnsi="Times New Roman"/>
                  <w:b w:val="false"/>
                  <w:color w:val="0000FF"/>
                  <w:sz w:val="20"/>
                  <w:u w:val="single"/>
                </w:rPr>
                <w:t>OTHER INFORMATION</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2_unregistered_sales_of_equity">
              <w:r>
                <w:rPr>
                  <w:rStyle w:val="InternetLink"/>
                  <w:rFonts w:ascii="Times New Roman" w:hAnsi="Times New Roman"/>
                  <w:b w:val="false"/>
                  <w:color w:val="0000FF"/>
                  <w:sz w:val="20"/>
                  <w:u w:val="single"/>
                </w:rPr>
                <w:t>Unregistered Sales of Equity Securities and Use of Proceeds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u w:val="single"/>
                </w:rPr>
                <w:t>Other Information</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9442" w:type="dxa"/>
            <w:gridSpan w:val="3"/>
            <w:tcBorders/>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STATEMENT REGARDING FORWARD-LOOKING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 economic downturn, including the current and future economic effects of the COVID-19 pandemic, could impair our portfolio companies’ abilities to continue to operate, which could lead to the loss of some or all of our investments in those portfolio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such an economic downturn could also impact availability and pricing of our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inability to access the capital markets could impair our ability to raise capital and our investment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inflation could negatively impact our business, including our ability to access the debt markets on favorable terms, or could negatively impact our portfolio companies;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risks, uncertainties and other factors we identify in the section entitled “Risk Factors” in this report, in our Annual Report on Form 10-K for the year ended December 31, 2022, filed with the SEC on February 16, 2023, and elsewhere in our filings with the SEC.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“TSLX” and “TAO” marks are marks of Sixth Street.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_financial_information"/>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4" w:name="consolidated_balance_sheets"/>
      <w:bookmarkEnd w:id="4"/>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72"/>
        <w:gridCol w:w="146"/>
        <w:gridCol w:w="211"/>
        <w:gridCol w:w="931"/>
        <w:gridCol w:w="166"/>
        <w:gridCol w:w="146"/>
        <w:gridCol w:w="211"/>
        <w:gridCol w:w="931"/>
        <w:gridCol w:w="591"/>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vAlign w:val="center"/>
          </w:tcPr>
          <w:p>
            <w:pPr>
              <w:pStyle w:val="TableContents"/>
              <w:bidi w:val="0"/>
              <w:spacing w:before="0" w:after="283"/>
              <w:jc w:val="center"/>
              <w:rPr/>
            </w:pPr>
            <w:r>
              <w:rPr/>
              <w:t> </w:t>
            </w:r>
          </w:p>
        </w:tc>
      </w:tr>
      <w:tr>
        <w:trPr/>
        <w:tc>
          <w:tcPr>
            <w:tcW w:w="68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Investments at fair value</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Non-controlled, non-affiliated investments (amortized cost of $3,010,089</w:t>
            </w:r>
            <w:r>
              <w:rPr>
                <w:rFonts w:ascii="Times New Roman" w:hAnsi="Times New Roman"/>
                <w:color w:val="000000"/>
                <w:sz w:val="20"/>
              </w:rPr>
              <w:t> </w:t>
            </w:r>
            <w:r>
              <w:rPr>
                <w:rFonts w:ascii="Times New Roman" w:hAnsi="Times New Roman"/>
                <w:b w:val="false"/>
                <w:color w:val="000000"/>
                <w:sz w:val="20"/>
              </w:rPr>
              <w:t>and $2,707,442, respectively)</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3,052,300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2,717,170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Controlled, affiliated investments (amortized cost of $75,289</w:t>
            </w:r>
            <w:r>
              <w:rPr>
                <w:rFonts w:ascii="Times New Roman" w:hAnsi="Times New Roman"/>
                <w:color w:val="000000"/>
                <w:sz w:val="20"/>
              </w:rPr>
              <w:t> </w:t>
            </w:r>
            <w:r>
              <w:rPr>
                <w:rFonts w:ascii="Times New Roman" w:hAnsi="Times New Roman"/>
                <w:b w:val="false"/>
                <w:color w:val="000000"/>
                <w:sz w:val="20"/>
              </w:rPr>
              <w:t>and $67,284, respectively)</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70,755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Total investments at fair value (amortized cost of $3,085,378</w:t>
            </w:r>
            <w:r>
              <w:rPr>
                <w:rFonts w:ascii="Times New Roman" w:hAnsi="Times New Roman"/>
                <w:color w:val="000000"/>
                <w:sz w:val="20"/>
              </w:rPr>
              <w:t> </w:t>
            </w:r>
            <w:r>
              <w:rPr>
                <w:rFonts w:ascii="Times New Roman" w:hAnsi="Times New Roman"/>
                <w:b w:val="false"/>
                <w:color w:val="000000"/>
                <w:sz w:val="20"/>
              </w:rPr>
              <w:t>and $2,774,726, respectively)</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3,113,277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2,787,925</w:t>
            </w:r>
          </w:p>
        </w:tc>
        <w:tc>
          <w:tcPr>
            <w:tcW w:w="591" w:type="dxa"/>
            <w:tcBorders/>
            <w:shd w:fill="CFF0FC" w:val="cle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Cash and cash equivalents (restricted cash of $26,890</w:t>
            </w:r>
            <w:r>
              <w:rPr>
                <w:rFonts w:ascii="Times New Roman" w:hAnsi="Times New Roman"/>
                <w:color w:val="000000"/>
                <w:sz w:val="20"/>
              </w:rPr>
              <w:t> </w:t>
            </w:r>
            <w:r>
              <w:rPr>
                <w:rFonts w:ascii="Times New Roman" w:hAnsi="Times New Roman"/>
                <w:b w:val="false"/>
                <w:color w:val="000000"/>
                <w:sz w:val="20"/>
              </w:rPr>
              <w:t>and $15,437, respectively)</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25,647</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receivable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18,846</w:t>
            </w:r>
          </w:p>
        </w:tc>
        <w:tc>
          <w:tcPr>
            <w:tcW w:w="591" w:type="dxa"/>
            <w:tcBorders/>
            <w:shd w:fill="CFF0FC" w:val="cle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expenses and other assets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3,174,075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2,836,947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Debt (net of deferred financing costs of $23,436</w:t>
            </w:r>
            <w:r>
              <w:rPr>
                <w:rFonts w:ascii="Times New Roman" w:hAnsi="Times New Roman"/>
                <w:color w:val="000000"/>
                <w:sz w:val="20"/>
              </w:rPr>
              <w:t> </w:t>
            </w:r>
            <w:r>
              <w:rPr>
                <w:rFonts w:ascii="Times New Roman" w:hAnsi="Times New Roman"/>
                <w:b w:val="false"/>
                <w:color w:val="000000"/>
                <w:sz w:val="20"/>
              </w:rPr>
              <w:t>and $17,760, respectively)</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1,623,010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1,441,796</w:t>
            </w:r>
          </w:p>
        </w:tc>
        <w:tc>
          <w:tcPr>
            <w:tcW w:w="591" w:type="dxa"/>
            <w:tcBorders/>
            <w:shd w:fill="CFF0FC" w:val="cle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Management fees payable to affiliate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10,526</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Incentive fees on net investment income payable to affiliate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10,918</w:t>
            </w:r>
          </w:p>
        </w:tc>
        <w:tc>
          <w:tcPr>
            <w:tcW w:w="591" w:type="dxa"/>
            <w:tcBorders/>
            <w:shd w:fill="CFF0FC" w:val="cle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Incentive fees on net capital gains accrued to affiliate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6,064</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payables to affiliate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3,265</w:t>
            </w:r>
          </w:p>
        </w:tc>
        <w:tc>
          <w:tcPr>
            <w:tcW w:w="591" w:type="dxa"/>
            <w:tcBorders/>
            <w:shd w:fill="CFF0FC" w:val="cle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liabilities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22,809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1,688,253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1,495,378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8)</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Preferred stock, $0.01</w:t>
            </w:r>
            <w:r>
              <w:rPr>
                <w:rFonts w:ascii="Times New Roman" w:hAnsi="Times New Roman"/>
                <w:color w:val="000000"/>
                <w:sz w:val="20"/>
              </w:rPr>
              <w:t> </w:t>
            </w:r>
            <w:r>
              <w:rPr>
                <w:rFonts w:ascii="Times New Roman" w:hAnsi="Times New Roman"/>
                <w:b w:val="false"/>
                <w:color w:val="000000"/>
                <w:sz w:val="20"/>
              </w:rPr>
              <w:t>par value; 100,000,000</w:t>
            </w:r>
            <w:r>
              <w:rPr>
                <w:rFonts w:ascii="Times New Roman" w:hAnsi="Times New Roman"/>
                <w:color w:val="000000"/>
                <w:sz w:val="20"/>
              </w:rPr>
              <w:t> </w:t>
            </w:r>
            <w:r>
              <w:rPr>
                <w:rFonts w:ascii="Times New Roman" w:hAnsi="Times New Roman"/>
                <w:b w:val="false"/>
                <w:color w:val="000000"/>
                <w:sz w:val="20"/>
              </w:rPr>
              <w:t>shares authorized; no</w:t>
            </w:r>
            <w:r>
              <w:rPr>
                <w:rFonts w:ascii="Times New Roman" w:hAnsi="Times New Roman"/>
                <w:color w:val="000000"/>
                <w:sz w:val="20"/>
              </w:rPr>
              <w:t> </w:t>
            </w:r>
            <w:r>
              <w:rPr>
                <w:rFonts w:ascii="Times New Roman" w:hAnsi="Times New Roman"/>
                <w:b w:val="false"/>
                <w:color w:val="000000"/>
                <w:sz w:val="20"/>
              </w:rPr>
              <w:t>shares</w:t>
              <w:br/>
              <w:t>   issued and outstanding</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Common stock, $0.01</w:t>
            </w:r>
            <w:r>
              <w:rPr>
                <w:rFonts w:ascii="Times New Roman" w:hAnsi="Times New Roman"/>
                <w:color w:val="000000"/>
                <w:sz w:val="20"/>
              </w:rPr>
              <w:t> </w:t>
            </w:r>
            <w:r>
              <w:rPr>
                <w:rFonts w:ascii="Times New Roman" w:hAnsi="Times New Roman"/>
                <w:b w:val="false"/>
                <w:color w:val="000000"/>
                <w:sz w:val="20"/>
              </w:rPr>
              <w:t>par value; 400,000,000</w:t>
            </w:r>
            <w:r>
              <w:rPr>
                <w:rFonts w:ascii="Times New Roman" w:hAnsi="Times New Roman"/>
                <w:color w:val="000000"/>
                <w:sz w:val="20"/>
              </w:rPr>
              <w:t> </w:t>
            </w:r>
            <w:r>
              <w:rPr>
                <w:rFonts w:ascii="Times New Roman" w:hAnsi="Times New Roman"/>
                <w:b w:val="false"/>
                <w:color w:val="000000"/>
                <w:sz w:val="20"/>
              </w:rPr>
              <w:t>shares authorized, 88,210,748</w:t>
              <w:br/>
              <w:t>   and 82,053,537</w:t>
            </w:r>
            <w:r>
              <w:rPr>
                <w:rFonts w:ascii="Times New Roman" w:hAnsi="Times New Roman"/>
                <w:color w:val="000000"/>
                <w:sz w:val="20"/>
              </w:rPr>
              <w:t> </w:t>
            </w:r>
            <w:r>
              <w:rPr>
                <w:rFonts w:ascii="Times New Roman" w:hAnsi="Times New Roman"/>
                <w:b w:val="false"/>
                <w:color w:val="000000"/>
                <w:sz w:val="20"/>
              </w:rPr>
              <w:t>shares issued, respectively; and 87,546,498</w:t>
            </w:r>
            <w:r>
              <w:rPr>
                <w:rFonts w:ascii="Times New Roman" w:hAnsi="Times New Roman"/>
                <w:color w:val="000000"/>
                <w:sz w:val="20"/>
              </w:rPr>
              <w:t> </w:t>
            </w:r>
            <w:r>
              <w:rPr>
                <w:rFonts w:ascii="Times New Roman" w:hAnsi="Times New Roman"/>
                <w:b w:val="false"/>
                <w:color w:val="000000"/>
                <w:sz w:val="20"/>
              </w:rPr>
              <w:t>and 81,389,287</w:t>
              <w:br/>
              <w:t>   shares outstanding, respectively</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w:t>
            </w:r>
          </w:p>
        </w:tc>
        <w:tc>
          <w:tcPr>
            <w:tcW w:w="591" w:type="dxa"/>
            <w:tcBorders/>
            <w:shd w:fill="CFF0FC" w:val="cle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1,401,245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1,294,751</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Treasury stock at cost; 664,250</w:t>
            </w:r>
            <w:r>
              <w:rPr>
                <w:rFonts w:ascii="Times New Roman" w:hAnsi="Times New Roman"/>
                <w:color w:val="000000"/>
                <w:sz w:val="20"/>
              </w:rPr>
              <w:t> </w:t>
            </w:r>
            <w:r>
              <w:rPr>
                <w:rFonts w:ascii="Times New Roman" w:hAnsi="Times New Roman"/>
                <w:b w:val="false"/>
                <w:color w:val="000000"/>
                <w:sz w:val="20"/>
              </w:rPr>
              <w:t>and 664,250</w:t>
            </w:r>
            <w:r>
              <w:rPr>
                <w:rFonts w:ascii="Times New Roman" w:hAnsi="Times New Roman"/>
                <w:color w:val="000000"/>
                <w:sz w:val="20"/>
              </w:rPr>
              <w:t> </w:t>
            </w:r>
            <w:r>
              <w:rPr>
                <w:rFonts w:ascii="Times New Roman" w:hAnsi="Times New Roman"/>
                <w:b w:val="false"/>
                <w:color w:val="000000"/>
                <w:sz w:val="20"/>
              </w:rPr>
              <w:t>shares held, respectively</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(10,459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(10,459</w:t>
            </w:r>
          </w:p>
        </w:tc>
        <w:tc>
          <w:tcPr>
            <w:tcW w:w="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Distributable earnings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56,456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Net Assets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1,485,822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1,341,569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Liabilities and Net Assets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3,174,075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2,836,947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Asset Value Per Share</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b w:val="false"/>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5" w:name="consolidated_statements_operations"/>
      <w:bookmarkEnd w:id="5"/>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065"/>
        <w:gridCol w:w="146"/>
        <w:gridCol w:w="222"/>
        <w:gridCol w:w="1039"/>
        <w:gridCol w:w="166"/>
        <w:gridCol w:w="146"/>
        <w:gridCol w:w="222"/>
        <w:gridCol w:w="1039"/>
        <w:gridCol w:w="166"/>
        <w:gridCol w:w="146"/>
        <w:gridCol w:w="222"/>
        <w:gridCol w:w="1039"/>
        <w:gridCol w:w="166"/>
        <w:gridCol w:w="146"/>
        <w:gridCol w:w="222"/>
        <w:gridCol w:w="1039"/>
        <w:gridCol w:w="1014"/>
      </w:tblGrid>
      <w:tr>
        <w:trPr/>
        <w:tc>
          <w:tcPr>
            <w:tcW w:w="3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30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3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014" w:type="dxa"/>
            <w:tcBorders/>
            <w:shd w:fill="FFFFFF" w:val="clear"/>
            <w:vAlign w:val="center"/>
          </w:tcPr>
          <w:p>
            <w:pPr>
              <w:pStyle w:val="TableContents"/>
              <w:bidi w:val="0"/>
              <w:spacing w:before="0" w:after="283"/>
              <w:jc w:val="center"/>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Income</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014" w:type="dxa"/>
            <w:tcBorders/>
            <w:shd w:fill="CFF0FC" w:val="clear"/>
            <w:vAlign w:val="center"/>
          </w:tcPr>
          <w:p>
            <w:pPr>
              <w:pStyle w:val="TableContents"/>
              <w:bidi w:val="0"/>
              <w:spacing w:before="0" w:after="283"/>
              <w:jc w:val="right"/>
              <w:rPr/>
            </w:pPr>
            <w:r>
              <w:rPr/>
              <w:t> </w:t>
            </w:r>
          </w:p>
        </w:tc>
      </w:tr>
      <w:tr>
        <w:trPr/>
        <w:tc>
          <w:tcPr>
            <w:tcW w:w="306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 income from non-controlled, non-affiliated investments:</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014" w:type="dxa"/>
            <w:tcBorders/>
            <w:shd w:fill="FFFFFF" w:val="clear"/>
            <w:vAlign w:val="center"/>
          </w:tcPr>
          <w:p>
            <w:pPr>
              <w:pStyle w:val="TableContents"/>
              <w:bidi w:val="0"/>
              <w:spacing w:before="0" w:after="283"/>
              <w:ind w:left="0" w:right="0" w:firstLine="200"/>
              <w:jc w:val="right"/>
              <w:rPr/>
            </w:pPr>
            <w:r>
              <w:rPr/>
              <w:t> </w:t>
            </w:r>
          </w:p>
        </w:tc>
      </w:tr>
      <w:tr>
        <w:trPr/>
        <w:tc>
          <w:tcPr>
            <w:tcW w:w="30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Interest from investments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107,240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73,769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299,542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198,047</w:t>
            </w:r>
          </w:p>
        </w:tc>
        <w:tc>
          <w:tcPr>
            <w:tcW w:w="1014" w:type="dxa"/>
            <w:tcBorders/>
            <w:shd w:fill="CFF0FC" w:val="clear"/>
            <w:vAlign w:val="center"/>
          </w:tcPr>
          <w:p>
            <w:pPr>
              <w:pStyle w:val="TableContents"/>
              <w:bidi w:val="0"/>
              <w:spacing w:before="0" w:after="283"/>
              <w:ind w:left="0" w:right="0" w:firstLine="200"/>
              <w:jc w:val="left"/>
              <w:rPr/>
            </w:pPr>
            <w:r>
              <w:rPr/>
              <w:t> </w:t>
            </w:r>
          </w:p>
        </w:tc>
      </w:tr>
      <w:tr>
        <w:trPr/>
        <w:tc>
          <w:tcPr>
            <w:tcW w:w="30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Dividend income</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1,361</w:t>
            </w:r>
          </w:p>
        </w:tc>
        <w:tc>
          <w:tcPr>
            <w:tcW w:w="1014" w:type="dxa"/>
            <w:tcBorders/>
            <w:shd w:fill="FFFFFF" w:val="clear"/>
            <w:vAlign w:val="center"/>
          </w:tcPr>
          <w:p>
            <w:pPr>
              <w:pStyle w:val="TableContents"/>
              <w:bidi w:val="0"/>
              <w:spacing w:before="0" w:after="283"/>
              <w:ind w:left="0" w:right="0" w:firstLine="200"/>
              <w:jc w:val="left"/>
              <w:rPr/>
            </w:pPr>
            <w:r>
              <w:rPr/>
              <w:t> </w:t>
            </w:r>
          </w:p>
        </w:tc>
      </w:tr>
      <w:tr>
        <w:trPr/>
        <w:tc>
          <w:tcPr>
            <w:tcW w:w="30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income</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6,091</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5"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Total investment income from non-controlled, non-affiliated investments</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112,404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76,513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312,943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205,499</w:t>
            </w:r>
          </w:p>
        </w:tc>
        <w:tc>
          <w:tcPr>
            <w:tcW w:w="1014" w:type="dxa"/>
            <w:tcBorders/>
            <w:shd w:fill="FFFFFF" w:val="clear"/>
            <w:vAlign w:val="center"/>
          </w:tcPr>
          <w:p>
            <w:pPr>
              <w:pStyle w:val="TableContents"/>
              <w:bidi w:val="0"/>
              <w:spacing w:before="0" w:after="283"/>
              <w:jc w:val="left"/>
              <w:rPr/>
            </w:pPr>
            <w:r>
              <w:rPr/>
              <w:t> </w:t>
            </w:r>
          </w:p>
        </w:tc>
      </w:tr>
      <w:tr>
        <w:trPr/>
        <w:tc>
          <w:tcPr>
            <w:tcW w:w="306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 income from non-controlled, affiliated investments:</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014" w:type="dxa"/>
            <w:tcBorders/>
            <w:shd w:fill="CFF0FC" w:val="clear"/>
            <w:vAlign w:val="center"/>
          </w:tcPr>
          <w:p>
            <w:pPr>
              <w:pStyle w:val="TableContents"/>
              <w:bidi w:val="0"/>
              <w:spacing w:before="0" w:after="283"/>
              <w:ind w:left="0" w:right="0" w:firstLine="200"/>
              <w:jc w:val="right"/>
              <w:rPr/>
            </w:pPr>
            <w:r>
              <w:rPr/>
              <w:t> </w:t>
            </w:r>
          </w:p>
        </w:tc>
      </w:tr>
      <w:tr>
        <w:trPr/>
        <w:tc>
          <w:tcPr>
            <w:tcW w:w="30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Interest from investments</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5"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Total investment income from non-controlled, affiliated investments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w:t>
            </w:r>
          </w:p>
        </w:tc>
        <w:tc>
          <w:tcPr>
            <w:tcW w:w="1014" w:type="dxa"/>
            <w:tcBorders/>
            <w:shd w:fill="CFF0FC"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 income from controlled, affiliated investments:</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014" w:type="dxa"/>
            <w:tcBorders/>
            <w:shd w:fill="FFFFFF" w:val="clear"/>
            <w:vAlign w:val="center"/>
          </w:tcPr>
          <w:p>
            <w:pPr>
              <w:pStyle w:val="TableContents"/>
              <w:bidi w:val="0"/>
              <w:spacing w:before="0" w:after="283"/>
              <w:ind w:left="0" w:right="0" w:firstLine="200"/>
              <w:jc w:val="right"/>
              <w:rPr/>
            </w:pPr>
            <w:r>
              <w:rPr/>
              <w:t> </w:t>
            </w:r>
          </w:p>
        </w:tc>
      </w:tr>
      <w:tr>
        <w:trPr/>
        <w:tc>
          <w:tcPr>
            <w:tcW w:w="30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Interest from investments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3,520</w:t>
            </w:r>
          </w:p>
        </w:tc>
        <w:tc>
          <w:tcPr>
            <w:tcW w:w="1014" w:type="dxa"/>
            <w:tcBorders/>
            <w:shd w:fill="CFF0FC" w:val="clear"/>
            <w:vAlign w:val="center"/>
          </w:tcPr>
          <w:p>
            <w:pPr>
              <w:pStyle w:val="TableContents"/>
              <w:bidi w:val="0"/>
              <w:spacing w:before="0" w:after="283"/>
              <w:ind w:left="0" w:right="0" w:firstLine="200"/>
              <w:jc w:val="left"/>
              <w:rPr/>
            </w:pPr>
            <w:r>
              <w:rPr/>
              <w:t> </w:t>
            </w:r>
          </w:p>
        </w:tc>
      </w:tr>
      <w:tr>
        <w:trPr/>
        <w:tc>
          <w:tcPr>
            <w:tcW w:w="30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income</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5"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Total investment income from controlled, affiliated investments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3,523</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65"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114,435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318,546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209,155</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014" w:type="dxa"/>
            <w:tcBorders/>
            <w:shd w:fill="CFF0FC" w:val="clear"/>
            <w:vAlign w:val="center"/>
          </w:tcPr>
          <w:p>
            <w:pPr>
              <w:pStyle w:val="TableContents"/>
              <w:bidi w:val="0"/>
              <w:spacing w:before="0" w:after="283"/>
              <w:jc w:val="right"/>
              <w:rPr/>
            </w:pPr>
            <w:r>
              <w:rPr/>
              <w:t> </w:t>
            </w:r>
          </w:p>
        </w:tc>
      </w:tr>
      <w:tr>
        <w:trPr/>
        <w:tc>
          <w:tcPr>
            <w:tcW w:w="306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35,042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18,851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95,971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40,416</w:t>
            </w:r>
          </w:p>
        </w:tc>
        <w:tc>
          <w:tcPr>
            <w:tcW w:w="1014" w:type="dxa"/>
            <w:tcBorders/>
            <w:shd w:fill="FFFFFF" w:val="clear"/>
            <w:vAlign w:val="center"/>
          </w:tcPr>
          <w:p>
            <w:pPr>
              <w:pStyle w:val="TableContents"/>
              <w:bidi w:val="0"/>
              <w:spacing w:before="0" w:after="283"/>
              <w:jc w:val="left"/>
              <w:rPr/>
            </w:pPr>
            <w:r>
              <w:rPr/>
              <w:t> </w:t>
            </w:r>
          </w:p>
        </w:tc>
      </w:tr>
      <w:tr>
        <w:trPr/>
        <w:tc>
          <w:tcPr>
            <w:tcW w:w="306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Management fees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34,071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29,148</w:t>
            </w:r>
          </w:p>
        </w:tc>
        <w:tc>
          <w:tcPr>
            <w:tcW w:w="1014" w:type="dxa"/>
            <w:tcBorders/>
            <w:shd w:fill="CFF0FC"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Incentive fees on net investment income</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31,139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22,483</w:t>
            </w:r>
          </w:p>
        </w:tc>
        <w:tc>
          <w:tcPr>
            <w:tcW w:w="1014" w:type="dxa"/>
            <w:tcBorders/>
            <w:shd w:fill="FFFFFF" w:val="clear"/>
            <w:vAlign w:val="center"/>
          </w:tcPr>
          <w:p>
            <w:pPr>
              <w:pStyle w:val="TableContents"/>
              <w:bidi w:val="0"/>
              <w:spacing w:before="0" w:after="283"/>
              <w:jc w:val="left"/>
              <w:rPr/>
            </w:pPr>
            <w:r>
              <w:rPr/>
              <w:t> </w:t>
            </w:r>
          </w:p>
        </w:tc>
      </w:tr>
      <w:tr>
        <w:trPr/>
        <w:tc>
          <w:tcPr>
            <w:tcW w:w="306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Incentive fees on net capital gains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(7,720</w:t>
            </w:r>
          </w:p>
        </w:tc>
        <w:tc>
          <w:tcPr>
            <w:tcW w:w="10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06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Professional fees</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5,300</w:t>
            </w:r>
          </w:p>
        </w:tc>
        <w:tc>
          <w:tcPr>
            <w:tcW w:w="1014" w:type="dxa"/>
            <w:tcBorders/>
            <w:shd w:fill="FFFFFF" w:val="clear"/>
            <w:vAlign w:val="center"/>
          </w:tcPr>
          <w:p>
            <w:pPr>
              <w:pStyle w:val="TableContents"/>
              <w:bidi w:val="0"/>
              <w:spacing w:before="0" w:after="283"/>
              <w:jc w:val="left"/>
              <w:rPr/>
            </w:pPr>
            <w:r>
              <w:rPr/>
              <w:t> </w:t>
            </w:r>
          </w:p>
        </w:tc>
      </w:tr>
      <w:tr>
        <w:trPr/>
        <w:tc>
          <w:tcPr>
            <w:tcW w:w="306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Directors’ fees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546</w:t>
            </w:r>
          </w:p>
        </w:tc>
        <w:tc>
          <w:tcPr>
            <w:tcW w:w="1014" w:type="dxa"/>
            <w:tcBorders/>
            <w:shd w:fill="CFF0FC"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Other general and administrative</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4,013</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5"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Total expenses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94,186</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Management fees waived (Note 3)</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(201</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3065" w:type="dxa"/>
            <w:tcBorders/>
            <w:shd w:fill="CFF0FC"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Net Expenses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93,985</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 Before Income Taxes</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50,455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37,536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143,491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115,170</w:t>
            </w:r>
          </w:p>
        </w:tc>
        <w:tc>
          <w:tcPr>
            <w:tcW w:w="1014" w:type="dxa"/>
            <w:tcBorders/>
            <w:shd w:fill="FFFFFF" w:val="clear"/>
            <w:vAlign w:val="center"/>
          </w:tcPr>
          <w:p>
            <w:pPr>
              <w:pStyle w:val="TableContents"/>
              <w:bidi w:val="0"/>
              <w:spacing w:before="0" w:after="283"/>
              <w:jc w:val="left"/>
              <w:rPr/>
            </w:pPr>
            <w:r>
              <w:rPr/>
              <w:t> </w:t>
            </w:r>
          </w:p>
        </w:tc>
      </w:tr>
      <w:tr>
        <w:trPr/>
        <w:tc>
          <w:tcPr>
            <w:tcW w:w="306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 taxes, including excise taxes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1,456</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49,994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141,714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113,714</w:t>
            </w:r>
          </w:p>
        </w:tc>
        <w:tc>
          <w:tcPr>
            <w:tcW w:w="1014" w:type="dxa"/>
            <w:tcBorders/>
            <w:shd w:fill="FFFFFF" w:val="clear"/>
            <w:vAlign w:val="center"/>
          </w:tcPr>
          <w:p>
            <w:pPr>
              <w:pStyle w:val="TableContents"/>
              <w:bidi w:val="0"/>
              <w:spacing w:before="0" w:after="283"/>
              <w:jc w:val="left"/>
              <w:rPr/>
            </w:pPr>
            <w:r>
              <w:rPr/>
              <w:t> </w:t>
            </w:r>
          </w:p>
        </w:tc>
      </w:tr>
      <w:tr>
        <w:trPr/>
        <w:tc>
          <w:tcPr>
            <w:tcW w:w="30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and Realized Gains (Losses)</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014" w:type="dxa"/>
            <w:tcBorders/>
            <w:shd w:fill="CFF0FC" w:val="clear"/>
            <w:vAlign w:val="center"/>
          </w:tcPr>
          <w:p>
            <w:pPr>
              <w:pStyle w:val="TableContents"/>
              <w:bidi w:val="0"/>
              <w:spacing w:before="0" w:after="283"/>
              <w:jc w:val="right"/>
              <w:rPr/>
            </w:pPr>
            <w:r>
              <w:rPr/>
              <w:t> </w:t>
            </w:r>
          </w:p>
        </w:tc>
      </w:tr>
      <w:tr>
        <w:trPr/>
        <w:tc>
          <w:tcPr>
            <w:tcW w:w="306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change in unrealized gains (losses):</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014" w:type="dxa"/>
            <w:tcBorders/>
            <w:shd w:fill="FFFFFF" w:val="clear"/>
            <w:vAlign w:val="center"/>
          </w:tcPr>
          <w:p>
            <w:pPr>
              <w:pStyle w:val="TableContents"/>
              <w:bidi w:val="0"/>
              <w:spacing w:before="0" w:after="283"/>
              <w:ind w:left="0" w:right="0" w:firstLine="200"/>
              <w:jc w:val="right"/>
              <w:rPr/>
            </w:pPr>
            <w:r>
              <w:rPr/>
              <w:t> </w:t>
            </w:r>
          </w:p>
        </w:tc>
      </w:tr>
      <w:tr>
        <w:trPr/>
        <w:tc>
          <w:tcPr>
            <w:tcW w:w="30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Non-controlled, non-affiliated investments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13,067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(9,080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32,483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(71,428</w:t>
            </w:r>
          </w:p>
        </w:tc>
        <w:tc>
          <w:tcPr>
            <w:tcW w:w="101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30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Non-controlled, affiliated investments</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(14,350</w:t>
            </w:r>
          </w:p>
        </w:tc>
        <w:tc>
          <w:tcPr>
            <w:tcW w:w="101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30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Controlled, affiliated investments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(8,797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(2,686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(17,783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9,488</w:t>
            </w:r>
          </w:p>
        </w:tc>
        <w:tc>
          <w:tcPr>
            <w:tcW w:w="1014" w:type="dxa"/>
            <w:tcBorders/>
            <w:shd w:fill="CFF0FC" w:val="clear"/>
            <w:vAlign w:val="center"/>
          </w:tcPr>
          <w:p>
            <w:pPr>
              <w:pStyle w:val="TableContents"/>
              <w:bidi w:val="0"/>
              <w:spacing w:before="0" w:after="283"/>
              <w:ind w:left="0" w:right="0" w:firstLine="200"/>
              <w:jc w:val="left"/>
              <w:rPr/>
            </w:pPr>
            <w:r>
              <w:rPr/>
              <w:t> </w:t>
            </w:r>
          </w:p>
        </w:tc>
      </w:tr>
      <w:tr>
        <w:trPr/>
        <w:tc>
          <w:tcPr>
            <w:tcW w:w="30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Translation of other assets and liabilities in foreign currencies</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15,095</w:t>
            </w:r>
          </w:p>
        </w:tc>
        <w:tc>
          <w:tcPr>
            <w:tcW w:w="1014" w:type="dxa"/>
            <w:tcBorders/>
            <w:shd w:fill="FFFFFF" w:val="clear"/>
            <w:vAlign w:val="center"/>
          </w:tcPr>
          <w:p>
            <w:pPr>
              <w:pStyle w:val="TableContents"/>
              <w:bidi w:val="0"/>
              <w:spacing w:before="0" w:after="283"/>
              <w:ind w:left="0" w:right="0" w:firstLine="200"/>
              <w:jc w:val="left"/>
              <w:rPr/>
            </w:pPr>
            <w:r>
              <w:rPr/>
              <w:t> </w:t>
            </w:r>
          </w:p>
        </w:tc>
      </w:tr>
      <w:tr>
        <w:trPr/>
        <w:tc>
          <w:tcPr>
            <w:tcW w:w="30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Interest rate swaps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(7,184</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3065"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Total net change in unrealized gains (losses)</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(68,379</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06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Realized gains (losses):</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014" w:type="dxa"/>
            <w:tcBorders/>
            <w:shd w:fill="CFF0FC" w:val="clear"/>
            <w:vAlign w:val="center"/>
          </w:tcPr>
          <w:p>
            <w:pPr>
              <w:pStyle w:val="TableContents"/>
              <w:bidi w:val="0"/>
              <w:spacing w:before="0" w:after="283"/>
              <w:ind w:left="0" w:right="0" w:firstLine="200"/>
              <w:jc w:val="right"/>
              <w:rPr/>
            </w:pPr>
            <w:r>
              <w:rPr/>
              <w:t> </w:t>
            </w:r>
          </w:p>
        </w:tc>
      </w:tr>
      <w:tr>
        <w:trPr/>
        <w:tc>
          <w:tcPr>
            <w:tcW w:w="30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Non-controlled, non-affiliated investments</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708</w:t>
            </w:r>
          </w:p>
        </w:tc>
        <w:tc>
          <w:tcPr>
            <w:tcW w:w="1014" w:type="dxa"/>
            <w:tcBorders/>
            <w:shd w:fill="FFFFFF" w:val="clear"/>
            <w:vAlign w:val="center"/>
          </w:tcPr>
          <w:p>
            <w:pPr>
              <w:pStyle w:val="TableContents"/>
              <w:bidi w:val="0"/>
              <w:spacing w:before="0" w:after="283"/>
              <w:ind w:left="0" w:right="0" w:firstLine="200"/>
              <w:jc w:val="left"/>
              <w:rPr/>
            </w:pPr>
            <w:r>
              <w:rPr/>
              <w:t> </w:t>
            </w:r>
          </w:p>
        </w:tc>
      </w:tr>
      <w:tr>
        <w:trPr/>
        <w:tc>
          <w:tcPr>
            <w:tcW w:w="30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Non-controlled, affiliated investments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13,673</w:t>
            </w:r>
          </w:p>
        </w:tc>
        <w:tc>
          <w:tcPr>
            <w:tcW w:w="1014" w:type="dxa"/>
            <w:tcBorders/>
            <w:shd w:fill="CFF0FC" w:val="clear"/>
            <w:vAlign w:val="center"/>
          </w:tcPr>
          <w:p>
            <w:pPr>
              <w:pStyle w:val="TableContents"/>
              <w:bidi w:val="0"/>
              <w:spacing w:before="0" w:after="283"/>
              <w:ind w:left="0" w:right="0" w:firstLine="200"/>
              <w:jc w:val="left"/>
              <w:rPr/>
            </w:pPr>
            <w:r>
              <w:rPr/>
              <w:t> </w:t>
            </w:r>
          </w:p>
        </w:tc>
      </w:tr>
      <w:tr>
        <w:trPr/>
        <w:tc>
          <w:tcPr>
            <w:tcW w:w="30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Controlled, affiliated investments</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w:t>
            </w:r>
          </w:p>
        </w:tc>
        <w:tc>
          <w:tcPr>
            <w:tcW w:w="1014" w:type="dxa"/>
            <w:tcBorders/>
            <w:shd w:fill="FFFFFF" w:val="clear"/>
            <w:vAlign w:val="center"/>
          </w:tcPr>
          <w:p>
            <w:pPr>
              <w:pStyle w:val="TableContents"/>
              <w:bidi w:val="0"/>
              <w:spacing w:before="0" w:after="283"/>
              <w:ind w:left="0" w:right="0" w:firstLine="200"/>
              <w:jc w:val="left"/>
              <w:rPr/>
            </w:pPr>
            <w:r>
              <w:rPr/>
              <w:t> </w:t>
            </w:r>
          </w:p>
        </w:tc>
      </w:tr>
      <w:tr>
        <w:trPr/>
        <w:tc>
          <w:tcPr>
            <w:tcW w:w="30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Interest rate swaps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2,251</w:t>
            </w:r>
          </w:p>
        </w:tc>
        <w:tc>
          <w:tcPr>
            <w:tcW w:w="1014" w:type="dxa"/>
            <w:tcBorders/>
            <w:shd w:fill="CFF0FC" w:val="clear"/>
            <w:vAlign w:val="center"/>
          </w:tcPr>
          <w:p>
            <w:pPr>
              <w:pStyle w:val="TableContents"/>
              <w:bidi w:val="0"/>
              <w:spacing w:before="0" w:after="283"/>
              <w:ind w:left="0" w:right="0" w:firstLine="200"/>
              <w:jc w:val="left"/>
              <w:rPr/>
            </w:pPr>
            <w:r>
              <w:rPr/>
              <w:t> </w:t>
            </w:r>
          </w:p>
        </w:tc>
      </w:tr>
      <w:tr>
        <w:trPr/>
        <w:tc>
          <w:tcPr>
            <w:tcW w:w="30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Foreign currency transactions</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(231</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3065"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Total net realized gains (losses)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16,456</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065" w:type="dxa"/>
            <w:tcBorders/>
            <w:shd w:fill="FFFFFF"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Total Net Unrealized and Realized Gains (Losses)</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(51,923</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b w:val="false"/>
                <w:color w:val="000000"/>
                <w:sz w:val="16"/>
              </w:rPr>
            </w:pPr>
            <w:r>
              <w:rPr>
                <w:rFonts w:ascii="Times New Roman" w:hAnsi="Times New Roman"/>
                <w:b w:val="false"/>
                <w:color w:val="000000"/>
                <w:sz w:val="16"/>
              </w:rPr>
              <w:t>)</w:t>
            </w:r>
          </w:p>
        </w:tc>
      </w:tr>
      <w:tr>
        <w:trPr/>
        <w:tc>
          <w:tcPr>
            <w:tcW w:w="3065" w:type="dxa"/>
            <w:tcBorders/>
            <w:shd w:fill="CFF0FC"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Increase (Decrease) in Net Assets Resulting from Operations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34,431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170,862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61,791</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Earnings (Loss) per common share—basic and diluted</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0.80</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Weighted average shares of common stock outstanding—basic and diluted</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87,251,340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79,476,419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84,313,169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77,250,889</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jc w:val="center"/>
        <w:rPr>
          <w:rFonts w:ascii="Times New Roman" w:hAnsi="Times New Roman"/>
          <w:sz w:val="20"/>
        </w:rPr>
      </w:pPr>
      <w:r>
        <w:rPr>
          <w:rFonts w:ascii="Times New Roman" w:hAnsi="Times New Roman"/>
          <w:b w:val="false"/>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spacing w:before="240" w:after="283"/>
        <w:jc w:val="center"/>
        <w:rPr>
          <w:rFonts w:ascii="Times New Roman" w:hAnsi="Times New Roman"/>
          <w:b/>
          <w:color w:val="000000"/>
          <w:sz w:val="20"/>
        </w:rPr>
      </w:pPr>
      <w:bookmarkStart w:id="6" w:name="consolidated_schedule_investments_as_mar"/>
      <w:bookmarkEnd w:id="6"/>
      <w:r>
        <w:rPr>
          <w:rFonts w:ascii="Times New Roman" w:hAnsi="Times New Roman"/>
          <w:b/>
          <w:color w:val="000000"/>
          <w:sz w:val="20"/>
        </w:rPr>
        <w:t>Consolidated Schedule of Investments as of September 30, 2023</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94"/>
        <w:gridCol w:w="146"/>
        <w:gridCol w:w="1826"/>
        <w:gridCol w:w="146"/>
        <w:gridCol w:w="796"/>
        <w:gridCol w:w="146"/>
        <w:gridCol w:w="775"/>
        <w:gridCol w:w="146"/>
        <w:gridCol w:w="950"/>
        <w:gridCol w:w="146"/>
        <w:gridCol w:w="181"/>
        <w:gridCol w:w="721"/>
        <w:gridCol w:w="146"/>
        <w:gridCol w:w="181"/>
        <w:gridCol w:w="720"/>
        <w:gridCol w:w="146"/>
        <w:gridCol w:w="839"/>
      </w:tblGrid>
      <w:tr>
        <w:trPr/>
        <w:tc>
          <w:tcPr>
            <w:tcW w:w="2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Company </w:t>
            </w:r>
            <w:r>
              <w:rPr>
                <w:rFonts w:ascii="Times New Roman" w:hAnsi="Times New Roman"/>
                <w:b/>
                <w:color w:val="000000"/>
                <w:sz w:val="9"/>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br/>
              <w:t>Rate and</w:t>
              <w:br/>
              <w:t>Spread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Amortized</w:t>
              <w:br/>
              <w:t xml:space="preserve">Cost </w:t>
            </w:r>
            <w:r>
              <w:rPr>
                <w:rFonts w:ascii="Times New Roman" w:hAnsi="Times New Roman"/>
                <w:b/>
                <w:color w:val="000000"/>
                <w:sz w:val="9"/>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Value </w:t>
            </w:r>
            <w:r>
              <w:rPr>
                <w:rFonts w:ascii="Times New Roman" w:hAnsi="Times New Roman"/>
                <w:b/>
                <w:color w:val="000000"/>
                <w:sz w:val="9"/>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br/>
              <w:t>of Net Assets</w:t>
            </w:r>
          </w:p>
        </w:tc>
      </w:tr>
      <w:tr>
        <w:trPr/>
        <w:tc>
          <w:tcPr>
            <w:tcW w:w="2194"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pPr>
            <w:r>
              <w:rPr/>
              <w:t> </w:t>
            </w:r>
          </w:p>
        </w:tc>
      </w:tr>
      <w:tr>
        <w:trPr/>
        <w:tc>
          <w:tcPr>
            <w:tcW w:w="2194"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Automotive</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pPr>
            <w:r>
              <w:rPr/>
              <w:t> </w:t>
            </w:r>
          </w:p>
        </w:tc>
      </w:tr>
      <w:tr>
        <w:trPr/>
        <w:tc>
          <w:tcPr>
            <w:tcW w:w="2194"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Bestpass, Inc.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($39,900</w:t>
            </w:r>
            <w:r>
              <w:rPr>
                <w:rFonts w:ascii="Times New Roman" w:hAnsi="Times New Roman"/>
                <w:color w:val="000000"/>
                <w:sz w:val="20"/>
              </w:rPr>
              <w:t> </w:t>
            </w:r>
            <w:r>
              <w:rPr>
                <w:rFonts w:ascii="Times New Roman" w:hAnsi="Times New Roman"/>
                <w:b w:val="false"/>
                <w:color w:val="000000"/>
                <w:sz w:val="14"/>
              </w:rPr>
              <w:t>par, due 5/2029)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5/26/2023</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+ 5.75%</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11.07%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38,810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39,202</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w:t>
            </w:r>
          </w:p>
        </w:tc>
      </w:tr>
      <w:tr>
        <w:trPr/>
        <w:tc>
          <w:tcPr>
            <w:tcW w:w="2194"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Carlstar Group, LLC</w:t>
            </w:r>
            <w:r>
              <w:rPr>
                <w:rFonts w:ascii="Times New Roman" w:hAnsi="Times New Roman"/>
                <w:color w:val="000000"/>
                <w:sz w:val="14"/>
              </w:rPr>
              <w:t>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($26,118</w:t>
            </w:r>
            <w:r>
              <w:rPr>
                <w:rFonts w:ascii="Times New Roman" w:hAnsi="Times New Roman"/>
                <w:color w:val="000000"/>
                <w:sz w:val="20"/>
              </w:rPr>
              <w:t> </w:t>
            </w:r>
            <w:r>
              <w:rPr>
                <w:rFonts w:ascii="Times New Roman" w:hAnsi="Times New Roman"/>
                <w:b w:val="false"/>
                <w:color w:val="000000"/>
                <w:sz w:val="14"/>
              </w:rPr>
              <w:t>par, due 7/2027)</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7/8/2022</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+ 6.60%</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11.92%</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25,508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w:t>
            </w:r>
          </w:p>
        </w:tc>
      </w:tr>
      <w:tr>
        <w:trPr/>
        <w:tc>
          <w:tcPr>
            <w:tcW w:w="21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64,318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65,580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w:t>
            </w:r>
          </w:p>
        </w:tc>
      </w:tr>
      <w:tr>
        <w:trPr/>
        <w:tc>
          <w:tcPr>
            <w:tcW w:w="2194"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pPr>
            <w:r>
              <w:rPr/>
              <w:t> </w:t>
            </w:r>
          </w:p>
        </w:tc>
      </w:tr>
      <w:tr>
        <w:trPr/>
        <w:tc>
          <w:tcPr>
            <w:tcW w:w="2194"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Acceo Solutions, Inc.</w:t>
            </w:r>
            <w:r>
              <w:rPr>
                <w:rFonts w:ascii="Times New Roman" w:hAnsi="Times New Roman"/>
                <w:color w:val="000000"/>
                <w:sz w:val="14"/>
              </w:rPr>
              <w:t> </w:t>
            </w:r>
            <w:r>
              <w:rPr>
                <w:rFonts w:ascii="Times New Roman" w:hAnsi="Times New Roman"/>
                <w:b w:val="false"/>
                <w:color w:val="000000"/>
                <w:sz w:val="9"/>
              </w:rPr>
              <w:t>(3)(4)(5)</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(CAD 57,353</w:t>
            </w:r>
            <w:r>
              <w:rPr>
                <w:rFonts w:ascii="Times New Roman" w:hAnsi="Times New Roman"/>
                <w:color w:val="000000"/>
                <w:sz w:val="20"/>
              </w:rPr>
              <w:t> </w:t>
            </w:r>
            <w:r>
              <w:rPr>
                <w:rFonts w:ascii="Times New Roman" w:hAnsi="Times New Roman"/>
                <w:b w:val="false"/>
                <w:color w:val="000000"/>
                <w:sz w:val="14"/>
              </w:rPr>
              <w:t>par, due 10/2025)</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7/6/2018</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C + 4.75%</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43,340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42,633</w:t>
              <w:br/>
              <w:t> (CAD 57,640)</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w:t>
            </w:r>
          </w:p>
        </w:tc>
      </w:tr>
      <w:tr>
        <w:trPr/>
        <w:tc>
          <w:tcPr>
            <w:tcW w:w="2194"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Alpha Midco, Inc.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($68,794</w:t>
            </w:r>
            <w:r>
              <w:rPr>
                <w:rFonts w:ascii="Times New Roman" w:hAnsi="Times New Roman"/>
                <w:color w:val="000000"/>
                <w:sz w:val="20"/>
              </w:rPr>
              <w:t> </w:t>
            </w:r>
            <w:r>
              <w:rPr>
                <w:rFonts w:ascii="Times New Roman" w:hAnsi="Times New Roman"/>
                <w:b w:val="false"/>
                <w:color w:val="000000"/>
                <w:sz w:val="14"/>
              </w:rPr>
              <w:t>par, due 8/2025)</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8/15/2019</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+ 7.65%</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12.99%</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68,125</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69,660</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w:t>
            </w:r>
          </w:p>
        </w:tc>
      </w:tr>
      <w:tr>
        <w:trPr/>
        <w:tc>
          <w:tcPr>
            <w:tcW w:w="2194"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BCTO Ignition Purchaser, Inc.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holdco loan ($30,913</w:t>
            </w:r>
            <w:r>
              <w:rPr>
                <w:rFonts w:ascii="Times New Roman" w:hAnsi="Times New Roman"/>
                <w:color w:val="000000"/>
                <w:sz w:val="20"/>
              </w:rPr>
              <w:t> </w:t>
            </w:r>
            <w:r>
              <w:rPr>
                <w:rFonts w:ascii="Times New Roman" w:hAnsi="Times New Roman"/>
                <w:b w:val="false"/>
                <w:color w:val="000000"/>
                <w:sz w:val="14"/>
              </w:rPr>
              <w:t>par, due 10/2030)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4/18/2023</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+ 9.00%</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14.31% PIK</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30,045</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30,449</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w:t>
            </w:r>
          </w:p>
        </w:tc>
      </w:tr>
      <w:tr>
        <w:trPr/>
        <w:tc>
          <w:tcPr>
            <w:tcW w:w="2194"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Dye &amp; Durham Corp.</w:t>
            </w:r>
            <w:r>
              <w:rPr>
                <w:rFonts w:ascii="Times New Roman" w:hAnsi="Times New Roman"/>
                <w:color w:val="000000"/>
                <w:sz w:val="14"/>
              </w:rPr>
              <w:t> </w:t>
            </w:r>
            <w:r>
              <w:rPr>
                <w:rFonts w:ascii="Times New Roman" w:hAnsi="Times New Roman"/>
                <w:b w:val="false"/>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(CAD 36,778</w:t>
            </w:r>
            <w:r>
              <w:rPr>
                <w:rFonts w:ascii="Times New Roman" w:hAnsi="Times New Roman"/>
                <w:color w:val="000000"/>
                <w:sz w:val="20"/>
              </w:rPr>
              <w:t> </w:t>
            </w:r>
            <w:r>
              <w:rPr>
                <w:rFonts w:ascii="Times New Roman" w:hAnsi="Times New Roman"/>
                <w:b w:val="false"/>
                <w:color w:val="000000"/>
                <w:sz w:val="14"/>
              </w:rPr>
              <w:t>par, due 12/2027)</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12/3/2021</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C + 5.75%</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28,026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27,483</w:t>
              <w:br/>
              <w:t> (CAD 37,157)</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w:t>
            </w:r>
          </w:p>
        </w:tc>
      </w:tr>
      <w:tr>
        <w:trPr/>
        <w:tc>
          <w:tcPr>
            <w:tcW w:w="21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revolving loan (CAD 1,086</w:t>
            </w:r>
            <w:r>
              <w:rPr>
                <w:rFonts w:ascii="Times New Roman" w:hAnsi="Times New Roman"/>
                <w:color w:val="000000"/>
                <w:sz w:val="20"/>
              </w:rPr>
              <w:t> </w:t>
            </w:r>
            <w:r>
              <w:rPr>
                <w:rFonts w:ascii="Times New Roman" w:hAnsi="Times New Roman"/>
                <w:b w:val="false"/>
                <w:color w:val="000000"/>
                <w:sz w:val="14"/>
              </w:rPr>
              <w:t>par, due 12/2026)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12/3/2021</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C + 5.75%</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715</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804</w:t>
              <w:br/>
              <w:t> (CAD 1,086)</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194"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ExtraHop Networks, Inc.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($64,162</w:t>
            </w:r>
            <w:r>
              <w:rPr>
                <w:rFonts w:ascii="Times New Roman" w:hAnsi="Times New Roman"/>
                <w:color w:val="000000"/>
                <w:sz w:val="20"/>
              </w:rPr>
              <w:t> </w:t>
            </w:r>
            <w:r>
              <w:rPr>
                <w:rFonts w:ascii="Times New Roman" w:hAnsi="Times New Roman"/>
                <w:b w:val="false"/>
                <w:color w:val="000000"/>
                <w:sz w:val="14"/>
              </w:rPr>
              <w:t>par, due 7/2027)</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7/22/2021</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+ 7.60%</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12.92%</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63,157</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63,681</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w:t>
            </w:r>
          </w:p>
        </w:tc>
      </w:tr>
      <w:tr>
        <w:trPr/>
        <w:tc>
          <w:tcPr>
            <w:tcW w:w="2194"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ForeScout Technologies, Inc.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($2,788</w:t>
            </w:r>
            <w:r>
              <w:rPr>
                <w:rFonts w:ascii="Times New Roman" w:hAnsi="Times New Roman"/>
                <w:color w:val="000000"/>
                <w:sz w:val="20"/>
              </w:rPr>
              <w:t> </w:t>
            </w:r>
            <w:r>
              <w:rPr>
                <w:rFonts w:ascii="Times New Roman" w:hAnsi="Times New Roman"/>
                <w:b w:val="false"/>
                <w:color w:val="000000"/>
                <w:sz w:val="14"/>
              </w:rPr>
              <w:t>par, due 8/2026)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7/1/2022</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+ 9.10%</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14.49% (incl. 9.00% PIK)</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2,737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2,803</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1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($2,566</w:t>
            </w:r>
            <w:r>
              <w:rPr>
                <w:rFonts w:ascii="Times New Roman" w:hAnsi="Times New Roman"/>
                <w:color w:val="000000"/>
                <w:sz w:val="20"/>
              </w:rPr>
              <w:t> </w:t>
            </w:r>
            <w:r>
              <w:rPr>
                <w:rFonts w:ascii="Times New Roman" w:hAnsi="Times New Roman"/>
                <w:b w:val="false"/>
                <w:color w:val="000000"/>
                <w:sz w:val="14"/>
              </w:rPr>
              <w:t>par, due 8/2026)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8/17/2020</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+ 9.10%</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14.49% (incl. 9.00% PIK)</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2,554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2,572</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194"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Galileo Parent, Inc.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($64,904</w:t>
            </w:r>
            <w:r>
              <w:rPr>
                <w:rFonts w:ascii="Times New Roman" w:hAnsi="Times New Roman"/>
                <w:color w:val="000000"/>
                <w:sz w:val="20"/>
              </w:rPr>
              <w:t> </w:t>
            </w:r>
            <w:r>
              <w:rPr>
                <w:rFonts w:ascii="Times New Roman" w:hAnsi="Times New Roman"/>
                <w:b w:val="false"/>
                <w:color w:val="000000"/>
                <w:sz w:val="14"/>
              </w:rPr>
              <w:t>par, due 5/2030)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5/3/2023</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+ 7.25%</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63,030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63,930</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w:t>
            </w:r>
          </w:p>
        </w:tc>
      </w:tr>
      <w:tr>
        <w:trPr/>
        <w:tc>
          <w:tcPr>
            <w:tcW w:w="21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revolving loan ($4,471</w:t>
            </w:r>
            <w:r>
              <w:rPr>
                <w:rFonts w:ascii="Times New Roman" w:hAnsi="Times New Roman"/>
                <w:color w:val="000000"/>
                <w:sz w:val="20"/>
              </w:rPr>
              <w:t> </w:t>
            </w:r>
            <w:r>
              <w:rPr>
                <w:rFonts w:ascii="Times New Roman" w:hAnsi="Times New Roman"/>
                <w:b w:val="false"/>
                <w:color w:val="000000"/>
                <w:sz w:val="14"/>
              </w:rPr>
              <w:t>par, due 5/2029)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5/3/2023</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+ 7.25%</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4,189</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4,320</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2194"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Hornetsecurity Holding GmbH</w:t>
            </w:r>
            <w:r>
              <w:rPr>
                <w:rFonts w:ascii="Times New Roman" w:hAnsi="Times New Roman"/>
                <w:color w:val="000000"/>
                <w:sz w:val="14"/>
              </w:rPr>
              <w:t> </w:t>
            </w:r>
            <w:r>
              <w:rPr>
                <w:rFonts w:ascii="Times New Roman" w:hAnsi="Times New Roman"/>
                <w:b w:val="false"/>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3,335</w:t>
            </w:r>
            <w:r>
              <w:rPr>
                <w:rFonts w:ascii="Times New Roman" w:hAnsi="Times New Roman"/>
                <w:color w:val="000000"/>
                <w:sz w:val="20"/>
              </w:rPr>
              <w:t> </w:t>
            </w:r>
            <w:r>
              <w:rPr>
                <w:rFonts w:ascii="Times New Roman" w:hAnsi="Times New Roman"/>
                <w:b w:val="false"/>
                <w:color w:val="000000"/>
                <w:sz w:val="14"/>
              </w:rPr>
              <w:t>par, due 11/2029)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11/14/2022</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+ 6.50%</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10.30%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3,150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3,335</w:t>
              <w:br/>
              <w:t> (EUR 3,150)</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194"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Information Clearinghouse, LLC and MS Market Service, LLC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($17,685</w:t>
            </w:r>
            <w:r>
              <w:rPr>
                <w:rFonts w:ascii="Times New Roman" w:hAnsi="Times New Roman"/>
                <w:color w:val="000000"/>
                <w:sz w:val="20"/>
              </w:rPr>
              <w:t> </w:t>
            </w:r>
            <w:r>
              <w:rPr>
                <w:rFonts w:ascii="Times New Roman" w:hAnsi="Times New Roman"/>
                <w:b w:val="false"/>
                <w:color w:val="000000"/>
                <w:sz w:val="14"/>
              </w:rPr>
              <w:t>par, due 12/2026)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12/20/2021</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+ 6.65%</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12.05%</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17,361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17,596</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w:t>
            </w:r>
          </w:p>
        </w:tc>
      </w:tr>
      <w:tr>
        <w:trPr/>
        <w:tc>
          <w:tcPr>
            <w:tcW w:w="2194"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Mitnick Corporate Purchaser, Inc.</w:t>
            </w:r>
            <w:r>
              <w:rPr>
                <w:rFonts w:ascii="Times New Roman" w:hAnsi="Times New Roman"/>
                <w:color w:val="000000"/>
                <w:sz w:val="14"/>
              </w:rPr>
              <w:t> </w:t>
            </w:r>
            <w:r>
              <w:rPr>
                <w:rFonts w:ascii="Times New Roman" w:hAnsi="Times New Roman"/>
                <w:b w:val="false"/>
                <w:color w:val="000000"/>
                <w:sz w:val="9"/>
              </w:rPr>
              <w:t>(3)(9)</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($330</w:t>
            </w:r>
            <w:r>
              <w:rPr>
                <w:rFonts w:ascii="Times New Roman" w:hAnsi="Times New Roman"/>
                <w:color w:val="000000"/>
                <w:sz w:val="20"/>
              </w:rPr>
              <w:t> </w:t>
            </w:r>
            <w:r>
              <w:rPr>
                <w:rFonts w:ascii="Times New Roman" w:hAnsi="Times New Roman"/>
                <w:b w:val="false"/>
                <w:color w:val="000000"/>
                <w:sz w:val="14"/>
              </w:rPr>
              <w:t>par, due 5/2029)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5/2/2022</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+ 4.60%</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9.97%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317</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194"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Netwrix Corp.</w:t>
            </w:r>
            <w:r>
              <w:rPr>
                <w:rFonts w:ascii="Times New Roman" w:hAnsi="Times New Roman"/>
                <w:color w:val="000000"/>
                <w:sz w:val="14"/>
              </w:rPr>
              <w:t>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($36,456</w:t>
            </w:r>
            <w:r>
              <w:rPr>
                <w:rFonts w:ascii="Times New Roman" w:hAnsi="Times New Roman"/>
                <w:color w:val="000000"/>
                <w:sz w:val="20"/>
              </w:rPr>
              <w:t> </w:t>
            </w:r>
            <w:r>
              <w:rPr>
                <w:rFonts w:ascii="Times New Roman" w:hAnsi="Times New Roman"/>
                <w:b w:val="false"/>
                <w:color w:val="000000"/>
                <w:sz w:val="14"/>
              </w:rPr>
              <w:t>par, due 6/2029)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6/9/2022</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+ 5.00%</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10.30%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35,952</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36,456</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w:t>
            </w:r>
          </w:p>
        </w:tc>
      </w:tr>
      <w:tr>
        <w:trPr/>
        <w:tc>
          <w:tcPr>
            <w:tcW w:w="21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revolving loan ($718</w:t>
            </w:r>
            <w:r>
              <w:rPr>
                <w:rFonts w:ascii="Times New Roman" w:hAnsi="Times New Roman"/>
                <w:color w:val="000000"/>
                <w:sz w:val="20"/>
              </w:rPr>
              <w:t> </w:t>
            </w:r>
            <w:r>
              <w:rPr>
                <w:rFonts w:ascii="Times New Roman" w:hAnsi="Times New Roman"/>
                <w:b w:val="false"/>
                <w:color w:val="000000"/>
                <w:sz w:val="14"/>
              </w:rPr>
              <w:t>par, due 6/2029)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6/9/2022</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+ 5.00%</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682</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718</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194"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OutSystems Luxco SARL</w:t>
            </w:r>
            <w:r>
              <w:rPr>
                <w:rFonts w:ascii="Times New Roman" w:hAnsi="Times New Roman"/>
                <w:b w:val="false"/>
                <w:color w:val="000000"/>
                <w:sz w:val="9"/>
              </w:rPr>
              <w:t>(3)(4)(5)</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3,180</w:t>
            </w:r>
            <w:r>
              <w:rPr>
                <w:rFonts w:ascii="Times New Roman" w:hAnsi="Times New Roman"/>
                <w:color w:val="000000"/>
                <w:sz w:val="20"/>
              </w:rPr>
              <w:t> </w:t>
            </w:r>
            <w:r>
              <w:rPr>
                <w:rFonts w:ascii="Times New Roman" w:hAnsi="Times New Roman"/>
                <w:b w:val="false"/>
                <w:color w:val="000000"/>
                <w:sz w:val="14"/>
              </w:rPr>
              <w:t>par, due 12/2028)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12/8/2022</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+ 5.75%</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9.72%</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3,083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3,180</w:t>
              <w:br/>
              <w:t> (EUR 3,004)</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194"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ReliaQuest Holdings, LLC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($76,220</w:t>
            </w:r>
            <w:r>
              <w:rPr>
                <w:rFonts w:ascii="Times New Roman" w:hAnsi="Times New Roman"/>
                <w:color w:val="000000"/>
                <w:sz w:val="20"/>
              </w:rPr>
              <w:t> </w:t>
            </w:r>
            <w:r>
              <w:rPr>
                <w:rFonts w:ascii="Times New Roman" w:hAnsi="Times New Roman"/>
                <w:b w:val="false"/>
                <w:color w:val="000000"/>
                <w:sz w:val="14"/>
              </w:rPr>
              <w:t>par, due 10/2026)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10/8/2020</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+ 7.25%</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12.62%</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75,271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77,172</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w:t>
            </w:r>
          </w:p>
        </w:tc>
      </w:tr>
      <w:tr>
        <w:trPr/>
        <w:tc>
          <w:tcPr>
            <w:tcW w:w="2194"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Wrangler TopCo, LLC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($4,153</w:t>
            </w:r>
            <w:r>
              <w:rPr>
                <w:rFonts w:ascii="Times New Roman" w:hAnsi="Times New Roman"/>
                <w:color w:val="000000"/>
                <w:sz w:val="20"/>
              </w:rPr>
              <w:t> </w:t>
            </w:r>
            <w:r>
              <w:rPr>
                <w:rFonts w:ascii="Times New Roman" w:hAnsi="Times New Roman"/>
                <w:b w:val="false"/>
                <w:color w:val="000000"/>
                <w:sz w:val="14"/>
              </w:rPr>
              <w:t>par, due 7/2029)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7/7/2023</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+ 7.50%</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21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445,788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451,204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30.4%</w:t>
            </w:r>
          </w:p>
        </w:tc>
      </w:tr>
      <w:tr>
        <w:trPr/>
        <w:tc>
          <w:tcPr>
            <w:tcW w:w="2194"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Chemicals</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pPr>
            <w:r>
              <w:rPr/>
              <w:t> </w:t>
            </w:r>
          </w:p>
        </w:tc>
      </w:tr>
      <w:tr>
        <w:trPr/>
        <w:tc>
          <w:tcPr>
            <w:tcW w:w="2194"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Erling Lux Bidco SARL</w:t>
            </w:r>
            <w:r>
              <w:rPr>
                <w:rFonts w:ascii="Times New Roman" w:hAnsi="Times New Roman"/>
                <w:b w:val="false"/>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9,625</w:t>
            </w:r>
            <w:r>
              <w:rPr>
                <w:rFonts w:ascii="Times New Roman" w:hAnsi="Times New Roman"/>
                <w:color w:val="000000"/>
                <w:sz w:val="20"/>
              </w:rPr>
              <w:t> </w:t>
            </w:r>
            <w:r>
              <w:rPr>
                <w:rFonts w:ascii="Times New Roman" w:hAnsi="Times New Roman"/>
                <w:b w:val="false"/>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9/6/2022</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+ 6.75%</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9,514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10,257</w:t>
              <w:br/>
              <w:t> (EUR 9,688)</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0.7%</w:t>
            </w:r>
          </w:p>
        </w:tc>
      </w:tr>
      <w:tr>
        <w:trPr/>
        <w:tc>
          <w:tcPr>
            <w:tcW w:w="21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(GBP 10,217</w:t>
            </w:r>
            <w:r>
              <w:rPr>
                <w:rFonts w:ascii="Times New Roman" w:hAnsi="Times New Roman"/>
                <w:color w:val="000000"/>
                <w:sz w:val="20"/>
              </w:rPr>
              <w:t> </w:t>
            </w:r>
            <w:r>
              <w:rPr>
                <w:rFonts w:ascii="Times New Roman" w:hAnsi="Times New Roman"/>
                <w:b w:val="false"/>
                <w:color w:val="000000"/>
                <w:sz w:val="14"/>
              </w:rPr>
              <w:t>par, due 9/2028)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9/6/2022</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 + 6.75%</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11,276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12,533</w:t>
              <w:br/>
              <w:t> (GBP 10,269)</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0.8%</w:t>
            </w:r>
          </w:p>
        </w:tc>
      </w:tr>
      <w:tr>
        <w:trPr/>
        <w:tc>
          <w:tcPr>
            <w:tcW w:w="21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revolving loan (GBP 312</w:t>
            </w:r>
            <w:r>
              <w:rPr>
                <w:rFonts w:ascii="Times New Roman" w:hAnsi="Times New Roman"/>
                <w:color w:val="000000"/>
                <w:sz w:val="20"/>
              </w:rPr>
              <w:t> </w:t>
            </w:r>
            <w:r>
              <w:rPr>
                <w:rFonts w:ascii="Times New Roman" w:hAnsi="Times New Roman"/>
                <w:b w:val="false"/>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9/6/2022</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 + 6.75%</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11.94%</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382</w:t>
              <w:br/>
              <w:t> (GBP 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1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21,190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w:t>
            </w:r>
          </w:p>
        </w:tc>
      </w:tr>
      <w:tr>
        <w:trPr/>
        <w:tc>
          <w:tcPr>
            <w:tcW w:w="2194"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Communications</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pPr>
            <w:r>
              <w:rPr/>
              <w:t> </w:t>
            </w:r>
          </w:p>
        </w:tc>
      </w:tr>
      <w:tr>
        <w:trPr/>
        <w:tc>
          <w:tcPr>
            <w:tcW w:w="2194"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Banyan Software Holdings, LLC </w:t>
            </w:r>
            <w:r>
              <w:rPr>
                <w:rFonts w:ascii="Times New Roman" w:hAnsi="Times New Roman"/>
                <w:b w:val="false"/>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($19,850</w:t>
            </w:r>
            <w:r>
              <w:rPr>
                <w:rFonts w:ascii="Times New Roman" w:hAnsi="Times New Roman"/>
                <w:color w:val="000000"/>
                <w:sz w:val="20"/>
              </w:rPr>
              <w:t> </w:t>
            </w:r>
            <w:r>
              <w:rPr>
                <w:rFonts w:ascii="Times New Roman" w:hAnsi="Times New Roman"/>
                <w:b w:val="false"/>
                <w:color w:val="000000"/>
                <w:sz w:val="14"/>
              </w:rPr>
              <w:t>par, due 10/2026)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1/27/2023</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+ 7.35%</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12.67%</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18,803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19,651</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w:t>
            </w:r>
          </w:p>
        </w:tc>
      </w:tr>
      <w:tr>
        <w:trPr/>
        <w:tc>
          <w:tcPr>
            <w:tcW w:w="2194"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Celtra Technologies, Inc.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($34,256</w:t>
            </w:r>
            <w:r>
              <w:rPr>
                <w:rFonts w:ascii="Times New Roman" w:hAnsi="Times New Roman"/>
                <w:color w:val="000000"/>
                <w:sz w:val="20"/>
              </w:rPr>
              <w:t> </w:t>
            </w:r>
            <w:r>
              <w:rPr>
                <w:rFonts w:ascii="Times New Roman" w:hAnsi="Times New Roman"/>
                <w:b w:val="false"/>
                <w:color w:val="000000"/>
                <w:sz w:val="14"/>
              </w:rPr>
              <w:t>par, due 11/2026)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11/19/2021</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+ 7.10%</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12.42%</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33,521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33,742</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w:t>
            </w:r>
          </w:p>
        </w:tc>
      </w:tr>
      <w:tr>
        <w:trPr/>
        <w:tc>
          <w:tcPr>
            <w:tcW w:w="2194"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IntelePeer Holdings, Inc.</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First-lien loan ($33,925</w:t>
            </w:r>
            <w:r>
              <w:rPr>
                <w:rFonts w:ascii="Times New Roman" w:hAnsi="Times New Roman"/>
                <w:color w:val="000000"/>
                <w:sz w:val="14"/>
              </w:rPr>
              <w:t> </w:t>
            </w:r>
            <w:r>
              <w:rPr>
                <w:rFonts w:ascii="Times New Roman" w:hAnsi="Times New Roman"/>
                <w:b w:val="false"/>
                <w:color w:val="000000"/>
                <w:sz w:val="14"/>
              </w:rPr>
              <w:t xml:space="preserve">par, due 12/2024)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12/2/2019</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+ 8.40%</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13.79%</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33,899</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33,586</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w:t>
            </w:r>
          </w:p>
        </w:tc>
      </w:tr>
      <w:tr>
        <w:trPr/>
        <w:tc>
          <w:tcPr>
            <w:tcW w:w="21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Convertible note ($4,619</w:t>
            </w:r>
            <w:r>
              <w:rPr>
                <w:rFonts w:ascii="Times New Roman" w:hAnsi="Times New Roman"/>
                <w:color w:val="000000"/>
                <w:sz w:val="20"/>
              </w:rPr>
              <w:t> </w:t>
            </w:r>
            <w:r>
              <w:rPr>
                <w:rFonts w:ascii="Times New Roman" w:hAnsi="Times New Roman"/>
                <w:b w:val="false"/>
                <w:color w:val="000000"/>
                <w:sz w:val="14"/>
              </w:rPr>
              <w:t>par, due 5/2028)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5/12/2021</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7.00%</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7.00% PIK</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4,590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21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90,813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91,782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w:t>
            </w:r>
          </w:p>
        </w:tc>
      </w:tr>
      <w:tr>
        <w:trPr/>
        <w:tc>
          <w:tcPr>
            <w:tcW w:w="2194"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Education</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pPr>
            <w:r>
              <w:rPr/>
              <w:t> </w:t>
            </w:r>
          </w:p>
        </w:tc>
      </w:tr>
      <w:tr>
        <w:trPr/>
        <w:tc>
          <w:tcPr>
            <w:tcW w:w="2194"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Astra Acquisition Corp.</w:t>
            </w:r>
            <w:r>
              <w:rPr>
                <w:rFonts w:ascii="Times New Roman" w:hAnsi="Times New Roman"/>
                <w:color w:val="000000"/>
                <w:sz w:val="14"/>
              </w:rPr>
              <w:t>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Second-lien loan ($43,479</w:t>
            </w:r>
            <w:r>
              <w:rPr>
                <w:rFonts w:ascii="Times New Roman" w:hAnsi="Times New Roman"/>
                <w:color w:val="000000"/>
                <w:sz w:val="20"/>
              </w:rPr>
              <w:t> </w:t>
            </w:r>
            <w:r>
              <w:rPr>
                <w:rFonts w:ascii="Times New Roman" w:hAnsi="Times New Roman"/>
                <w:b w:val="false"/>
                <w:color w:val="000000"/>
                <w:sz w:val="14"/>
              </w:rPr>
              <w:t>par, due 10/2029)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10/25/2021</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+ 8.99%</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14.53%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42,796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34,566</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w:t>
            </w:r>
          </w:p>
        </w:tc>
      </w:tr>
      <w:tr>
        <w:trPr/>
        <w:tc>
          <w:tcPr>
            <w:tcW w:w="2194"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Destiny Solutions Parent Holding Company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($59,700</w:t>
            </w:r>
            <w:r>
              <w:rPr>
                <w:rFonts w:ascii="Times New Roman" w:hAnsi="Times New Roman"/>
                <w:color w:val="000000"/>
                <w:sz w:val="20"/>
              </w:rPr>
              <w:t> </w:t>
            </w:r>
            <w:r>
              <w:rPr>
                <w:rFonts w:ascii="Times New Roman" w:hAnsi="Times New Roman"/>
                <w:b w:val="false"/>
                <w:color w:val="000000"/>
                <w:sz w:val="14"/>
              </w:rPr>
              <w:t>par, due 6/2026)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6/8/2021</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+ 5.85%</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58,941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59,103</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w:t>
            </w:r>
          </w:p>
        </w:tc>
      </w:tr>
      <w:tr>
        <w:trPr/>
        <w:tc>
          <w:tcPr>
            <w:tcW w:w="2194"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EMS Linq, Inc.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($56,216</w:t>
            </w:r>
            <w:r>
              <w:rPr>
                <w:rFonts w:ascii="Times New Roman" w:hAnsi="Times New Roman"/>
                <w:color w:val="000000"/>
                <w:sz w:val="20"/>
              </w:rPr>
              <w:t> </w:t>
            </w:r>
            <w:r>
              <w:rPr>
                <w:rFonts w:ascii="Times New Roman" w:hAnsi="Times New Roman"/>
                <w:b w:val="false"/>
                <w:color w:val="000000"/>
                <w:sz w:val="14"/>
              </w:rPr>
              <w:t>par, due 12/2027)</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12/22/2021</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+ 6.35%</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11.67%</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54,916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w:t>
            </w:r>
          </w:p>
        </w:tc>
      </w:tr>
      <w:tr>
        <w:trPr/>
        <w:tc>
          <w:tcPr>
            <w:tcW w:w="21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156,977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148,585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w:t>
            </w:r>
          </w:p>
        </w:tc>
      </w:tr>
      <w:tr>
        <w:trPr/>
        <w:tc>
          <w:tcPr>
            <w:tcW w:w="2194"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pPr>
            <w:r>
              <w:rPr/>
              <w:t> </w:t>
            </w:r>
          </w:p>
        </w:tc>
      </w:tr>
      <w:tr>
        <w:trPr/>
        <w:tc>
          <w:tcPr>
            <w:tcW w:w="2194"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Alaska Bidco Oy </w:t>
            </w:r>
            <w:r>
              <w:rPr>
                <w:rFonts w:ascii="Times New Roman" w:hAnsi="Times New Roman"/>
                <w:b w:val="false"/>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727</w:t>
            </w:r>
            <w:r>
              <w:rPr>
                <w:rFonts w:ascii="Times New Roman" w:hAnsi="Times New Roman"/>
                <w:color w:val="000000"/>
                <w:sz w:val="20"/>
              </w:rPr>
              <w:t> </w:t>
            </w:r>
            <w:r>
              <w:rPr>
                <w:rFonts w:ascii="Times New Roman" w:hAnsi="Times New Roman"/>
                <w:b w:val="false"/>
                <w:color w:val="000000"/>
                <w:sz w:val="14"/>
              </w:rPr>
              <w:t>par, due 5/2030)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5/30/2023</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+ 6.25%</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10.39%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754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763</w:t>
              <w:br/>
              <w:t> (EUR 720)</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194"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BCTO Bluebill Buyer, Inc.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($28,164</w:t>
            </w:r>
            <w:r>
              <w:rPr>
                <w:rFonts w:ascii="Times New Roman" w:hAnsi="Times New Roman"/>
                <w:color w:val="000000"/>
                <w:sz w:val="20"/>
              </w:rPr>
              <w:t> </w:t>
            </w:r>
            <w:r>
              <w:rPr>
                <w:rFonts w:ascii="Times New Roman" w:hAnsi="Times New Roman"/>
                <w:b w:val="false"/>
                <w:color w:val="000000"/>
                <w:sz w:val="14"/>
              </w:rPr>
              <w:t>par, due 7/2029)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7/20/2023</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+ 7.25%</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27,122</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27,319</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w:t>
            </w:r>
          </w:p>
        </w:tc>
      </w:tr>
      <w:tr>
        <w:trPr/>
        <w:tc>
          <w:tcPr>
            <w:tcW w:w="2194"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BTRS Holdings, Inc.</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($46,580</w:t>
            </w:r>
            <w:r>
              <w:rPr>
                <w:rFonts w:ascii="Times New Roman" w:hAnsi="Times New Roman"/>
                <w:color w:val="000000"/>
                <w:sz w:val="20"/>
              </w:rPr>
              <w:t> </w:t>
            </w:r>
            <w:r>
              <w:rPr>
                <w:rFonts w:ascii="Times New Roman" w:hAnsi="Times New Roman"/>
                <w:b w:val="false"/>
                <w:color w:val="000000"/>
                <w:sz w:val="14"/>
              </w:rPr>
              <w:t>par, due 12/2028)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12/16/2022</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+ 8.00%</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13.41%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45,277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46,323</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w:t>
            </w:r>
          </w:p>
        </w:tc>
      </w:tr>
      <w:tr>
        <w:trPr/>
        <w:tc>
          <w:tcPr>
            <w:tcW w:w="2194"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Bear OpCo, LLC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($21,082</w:t>
            </w:r>
            <w:r>
              <w:rPr>
                <w:rFonts w:ascii="Times New Roman" w:hAnsi="Times New Roman"/>
                <w:color w:val="000000"/>
                <w:sz w:val="20"/>
              </w:rPr>
              <w:t> </w:t>
            </w:r>
            <w:r>
              <w:rPr>
                <w:rFonts w:ascii="Times New Roman" w:hAnsi="Times New Roman"/>
                <w:b w:val="false"/>
                <w:color w:val="000000"/>
                <w:sz w:val="14"/>
              </w:rPr>
              <w:t>par, due 10/2024)</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10/10/2019</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+ 7.65%</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12.97%</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20,953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21,345</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w:t>
            </w:r>
          </w:p>
        </w:tc>
      </w:tr>
      <w:tr>
        <w:trPr/>
        <w:tc>
          <w:tcPr>
            <w:tcW w:w="2194"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BlueSnap, Inc.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($42,000</w:t>
            </w:r>
            <w:r>
              <w:rPr>
                <w:rFonts w:ascii="Times New Roman" w:hAnsi="Times New Roman"/>
                <w:color w:val="000000"/>
                <w:sz w:val="20"/>
              </w:rPr>
              <w:t> </w:t>
            </w:r>
            <w:r>
              <w:rPr>
                <w:rFonts w:ascii="Times New Roman" w:hAnsi="Times New Roman"/>
                <w:b w:val="false"/>
                <w:color w:val="000000"/>
                <w:sz w:val="14"/>
              </w:rPr>
              <w:t>par, due 10/2024)</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10/25/2019</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+ 7.15%</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41,786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42,223</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w:t>
            </w:r>
          </w:p>
        </w:tc>
      </w:tr>
      <w:tr>
        <w:trPr/>
        <w:tc>
          <w:tcPr>
            <w:tcW w:w="2194"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Ibis Intermediate Co.</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($1,514</w:t>
            </w:r>
            <w:r>
              <w:rPr>
                <w:rFonts w:ascii="Times New Roman" w:hAnsi="Times New Roman"/>
                <w:color w:val="000000"/>
                <w:sz w:val="20"/>
              </w:rPr>
              <w:t> </w:t>
            </w:r>
            <w:r>
              <w:rPr>
                <w:rFonts w:ascii="Times New Roman" w:hAnsi="Times New Roman"/>
                <w:b w:val="false"/>
                <w:color w:val="000000"/>
                <w:sz w:val="14"/>
              </w:rPr>
              <w:t>par, due 5/2027)</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5/28/2021</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+ 4.65%</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10.07%</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1,359</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1,593</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194"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Ibis US Blocker Co.</w:t>
            </w:r>
            <w:r>
              <w:rPr>
                <w:rFonts w:ascii="Times New Roman" w:hAnsi="Times New Roman"/>
                <w:color w:val="000000"/>
                <w:sz w:val="14"/>
              </w:rPr>
              <w:t>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($15,419</w:t>
            </w:r>
            <w:r>
              <w:rPr>
                <w:rFonts w:ascii="Times New Roman" w:hAnsi="Times New Roman"/>
                <w:color w:val="000000"/>
                <w:sz w:val="20"/>
              </w:rPr>
              <w:t> </w:t>
            </w:r>
            <w:r>
              <w:rPr>
                <w:rFonts w:ascii="Times New Roman" w:hAnsi="Times New Roman"/>
                <w:b w:val="false"/>
                <w:color w:val="000000"/>
                <w:sz w:val="14"/>
              </w:rPr>
              <w:t>par, due 5/2028)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5/28/2021</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+ 8.40%</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13.82% PIK</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15,196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15,342</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w:t>
            </w:r>
          </w:p>
        </w:tc>
      </w:tr>
      <w:tr>
        <w:trPr/>
        <w:tc>
          <w:tcPr>
            <w:tcW w:w="2194"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Kyriba Corp.</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($20,382</w:t>
            </w:r>
            <w:r>
              <w:rPr>
                <w:rFonts w:ascii="Times New Roman" w:hAnsi="Times New Roman"/>
                <w:color w:val="000000"/>
                <w:sz w:val="20"/>
              </w:rPr>
              <w:t> </w:t>
            </w:r>
            <w:r>
              <w:rPr>
                <w:rFonts w:ascii="Times New Roman" w:hAnsi="Times New Roman"/>
                <w:b w:val="false"/>
                <w:color w:val="000000"/>
                <w:sz w:val="14"/>
              </w:rPr>
              <w:t>par, due 4/2025)</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4/9/2019</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+ 9.25%</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14.72% (incl. 9.00% PIK)</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20,255</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20,433</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w:t>
            </w:r>
          </w:p>
        </w:tc>
      </w:tr>
      <w:tr>
        <w:trPr/>
        <w:tc>
          <w:tcPr>
            <w:tcW w:w="21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10,617</w:t>
            </w:r>
            <w:r>
              <w:rPr>
                <w:rFonts w:ascii="Times New Roman" w:hAnsi="Times New Roman"/>
                <w:color w:val="000000"/>
                <w:sz w:val="20"/>
              </w:rPr>
              <w:t> </w:t>
            </w:r>
            <w:r>
              <w:rPr>
                <w:rFonts w:ascii="Times New Roman" w:hAnsi="Times New Roman"/>
                <w:b w:val="false"/>
                <w:color w:val="000000"/>
                <w:sz w:val="14"/>
              </w:rPr>
              <w:t>par, due 4/2025)</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4/9/2019</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+ 9.00%</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13.14% (incl. 9.00% PIK)</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11,782</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11,269</w:t>
              <w:br/>
              <w:t> (EUR 10,644)</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0.8%</w:t>
            </w:r>
          </w:p>
        </w:tc>
      </w:tr>
      <w:tr>
        <w:trPr/>
        <w:tc>
          <w:tcPr>
            <w:tcW w:w="21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revolving loan ($1,411</w:t>
            </w:r>
            <w:r>
              <w:rPr>
                <w:rFonts w:ascii="Times New Roman" w:hAnsi="Times New Roman"/>
                <w:color w:val="000000"/>
                <w:sz w:val="20"/>
              </w:rPr>
              <w:t> </w:t>
            </w:r>
            <w:r>
              <w:rPr>
                <w:rFonts w:ascii="Times New Roman" w:hAnsi="Times New Roman"/>
                <w:b w:val="false"/>
                <w:color w:val="000000"/>
                <w:sz w:val="14"/>
              </w:rPr>
              <w:t>par, due 4/2025)</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4/9/2019</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+ 7.50%</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12.97%</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1,399</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1,415</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1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revolving loan (EUR 336</w:t>
            </w:r>
            <w:r>
              <w:rPr>
                <w:rFonts w:ascii="Times New Roman" w:hAnsi="Times New Roman"/>
                <w:color w:val="000000"/>
                <w:sz w:val="20"/>
              </w:rPr>
              <w:t> </w:t>
            </w:r>
            <w:r>
              <w:rPr>
                <w:rFonts w:ascii="Times New Roman" w:hAnsi="Times New Roman"/>
                <w:b w:val="false"/>
                <w:color w:val="000000"/>
                <w:sz w:val="14"/>
              </w:rPr>
              <w:t>par, due 4/2025)</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4/9/2019</w:t>
            </w:r>
          </w:p>
        </w:tc>
        <w:tc>
          <w:tcPr>
            <w:tcW w:w="146" w:type="dxa"/>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+ 7.25%</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356</w:t>
              <w:br/>
              <w:t> (EUR 336)</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194"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Passport Labs, Inc.</w:t>
            </w:r>
          </w:p>
        </w:tc>
        <w:tc>
          <w:tcPr>
            <w:tcW w:w="146" w:type="dxa"/>
            <w:tcBorders/>
            <w:shd w:fill="FFFFFF" w:val="clear"/>
            <w:vAlign w:val="center"/>
          </w:tcPr>
          <w:p>
            <w:pPr>
              <w:pStyle w:val="TableContents"/>
              <w:bidi w:val="0"/>
              <w:spacing w:before="0" w:after="283"/>
              <w:jc w:val="right"/>
              <w:rPr/>
            </w:pPr>
            <w:r>
              <w:rPr/>
              <w:t> </w:t>
            </w:r>
          </w:p>
        </w:tc>
        <w:tc>
          <w:tcPr>
            <w:tcW w:w="182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First-lien loan ($24,349</w:t>
            </w:r>
            <w:r>
              <w:rPr>
                <w:rFonts w:ascii="Times New Roman" w:hAnsi="Times New Roman"/>
                <w:color w:val="000000"/>
                <w:sz w:val="14"/>
              </w:rPr>
              <w:t> </w:t>
            </w:r>
            <w:r>
              <w:rPr>
                <w:rFonts w:ascii="Times New Roman" w:hAnsi="Times New Roman"/>
                <w:b w:val="false"/>
                <w:color w:val="000000"/>
                <w:sz w:val="14"/>
              </w:rPr>
              <w:t xml:space="preserve">par, due 4/2026)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4/28/2021</w:t>
            </w:r>
          </w:p>
        </w:tc>
        <w:tc>
          <w:tcPr>
            <w:tcW w:w="146" w:type="dxa"/>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+ 8.40%</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13.79%</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24,174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24,294</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5"/>
        <w:gridCol w:w="146"/>
        <w:gridCol w:w="2376"/>
        <w:gridCol w:w="146"/>
        <w:gridCol w:w="649"/>
        <w:gridCol w:w="146"/>
        <w:gridCol w:w="831"/>
        <w:gridCol w:w="146"/>
        <w:gridCol w:w="1169"/>
        <w:gridCol w:w="146"/>
        <w:gridCol w:w="146"/>
        <w:gridCol w:w="586"/>
        <w:gridCol w:w="146"/>
        <w:gridCol w:w="146"/>
        <w:gridCol w:w="801"/>
        <w:gridCol w:w="146"/>
        <w:gridCol w:w="474"/>
      </w:tblGrid>
      <w:tr>
        <w:trPr/>
        <w:tc>
          <w:tcPr>
            <w:tcW w:w="2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0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Convertible Promissory Note A ($694</w:t>
            </w:r>
            <w:r>
              <w:rPr>
                <w:rFonts w:ascii="Times New Roman" w:hAnsi="Times New Roman"/>
                <w:color w:val="000000"/>
                <w:sz w:val="20"/>
              </w:rPr>
              <w:t> </w:t>
            </w:r>
            <w:r>
              <w:rPr>
                <w:rFonts w:ascii="Times New Roman" w:hAnsi="Times New Roman"/>
                <w:b w:val="false"/>
                <w:color w:val="000000"/>
                <w:sz w:val="14"/>
              </w:rPr>
              <w:t>par, due 9/2024)</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3/2/2023</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8.00%</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943</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Ping Identity Holding Corp.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($22,727</w:t>
            </w:r>
            <w:r>
              <w:rPr>
                <w:rFonts w:ascii="Times New Roman" w:hAnsi="Times New Roman"/>
                <w:color w:val="000000"/>
                <w:sz w:val="20"/>
              </w:rPr>
              <w:t> </w:t>
            </w:r>
            <w:r>
              <w:rPr>
                <w:rFonts w:ascii="Times New Roman" w:hAnsi="Times New Roman"/>
                <w:b w:val="false"/>
                <w:color w:val="000000"/>
                <w:sz w:val="14"/>
              </w:rPr>
              <w:t>par, due 10/2029)</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10/17/2022</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+ 7.00%</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22,165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23,040</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w:t>
            </w:r>
          </w:p>
        </w:tc>
      </w:tr>
      <w:tr>
        <w:trPr/>
        <w:tc>
          <w:tcPr>
            <w:tcW w:w="20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PrimeRevenue, Inc.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($15,007</w:t>
            </w:r>
            <w:r>
              <w:rPr>
                <w:rFonts w:ascii="Times New Roman" w:hAnsi="Times New Roman"/>
                <w:color w:val="000000"/>
                <w:sz w:val="20"/>
              </w:rPr>
              <w:t> </w:t>
            </w:r>
            <w:r>
              <w:rPr>
                <w:rFonts w:ascii="Times New Roman" w:hAnsi="Times New Roman"/>
                <w:b w:val="false"/>
                <w:color w:val="000000"/>
                <w:sz w:val="14"/>
              </w:rPr>
              <w:t>par, due 12/2024)</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12/31/2018</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+ 7.15%</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14,997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15,113</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TradingScreen, Inc.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($47,318</w:t>
            </w:r>
            <w:r>
              <w:rPr>
                <w:rFonts w:ascii="Times New Roman" w:hAnsi="Times New Roman"/>
                <w:color w:val="000000"/>
                <w:sz w:val="20"/>
              </w:rPr>
              <w:t> </w:t>
            </w:r>
            <w:r>
              <w:rPr>
                <w:rFonts w:ascii="Times New Roman" w:hAnsi="Times New Roman"/>
                <w:b w:val="false"/>
                <w:color w:val="000000"/>
                <w:sz w:val="14"/>
              </w:rPr>
              <w:t>par, due 4/2027)</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4/30/2021</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+ 6.35%</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46,421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47,081</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w:t>
            </w:r>
          </w:p>
        </w:tc>
      </w:tr>
      <w:tr>
        <w:trPr/>
        <w:tc>
          <w:tcPr>
            <w:tcW w:w="2005"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Volante Technologies, Inc.</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($2,500</w:t>
            </w:r>
            <w:r>
              <w:rPr>
                <w:rFonts w:ascii="Times New Roman" w:hAnsi="Times New Roman"/>
                <w:color w:val="000000"/>
                <w:sz w:val="20"/>
              </w:rPr>
              <w:t> </w:t>
            </w:r>
            <w:r>
              <w:rPr>
                <w:rFonts w:ascii="Times New Roman" w:hAnsi="Times New Roman"/>
                <w:b w:val="false"/>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9/29/2023</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16.50%</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16.50% PIK</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0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297,146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301,290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r>
      <w:tr>
        <w:trPr/>
        <w:tc>
          <w:tcPr>
            <w:tcW w:w="200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pPr>
            <w:r>
              <w:rPr/>
              <w:t> </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BCTO Ace Purchaser, Inc.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First-lien loan ($69,231</w:t>
            </w:r>
            <w:r>
              <w:rPr>
                <w:rFonts w:ascii="Times New Roman" w:hAnsi="Times New Roman"/>
                <w:color w:val="000000"/>
                <w:sz w:val="14"/>
              </w:rPr>
              <w:t> </w:t>
            </w:r>
            <w:r>
              <w:rPr>
                <w:rFonts w:ascii="Times New Roman" w:hAnsi="Times New Roman"/>
                <w:b w:val="false"/>
                <w:color w:val="000000"/>
                <w:sz w:val="14"/>
              </w:rPr>
              <w:t xml:space="preserve">par, due 11/2027) </w:t>
            </w:r>
            <w:r>
              <w:rPr>
                <w:rFonts w:ascii="Times New Roman" w:hAnsi="Times New Roman"/>
                <w:b w:val="false"/>
                <w:color w:val="000000"/>
                <w:sz w:val="9"/>
              </w:rPr>
              <w:t>(5)</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11/23/2020</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+ 8.45%</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13.87%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68,271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69,577</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w:t>
            </w:r>
          </w:p>
        </w:tc>
      </w:tr>
      <w:tr>
        <w:trPr/>
        <w:tc>
          <w:tcPr>
            <w:tcW w:w="20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Second-lien loan ($5,401</w:t>
            </w:r>
            <w:r>
              <w:rPr>
                <w:rFonts w:ascii="Times New Roman" w:hAnsi="Times New Roman"/>
                <w:color w:val="000000"/>
                <w:sz w:val="20"/>
              </w:rPr>
              <w:t> </w:t>
            </w:r>
            <w:r>
              <w:rPr>
                <w:rFonts w:ascii="Times New Roman" w:hAnsi="Times New Roman"/>
                <w:b w:val="false"/>
                <w:color w:val="000000"/>
                <w:sz w:val="14"/>
              </w:rPr>
              <w:t>par, due 1/2030)</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1/23/2023</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+ 10.70%</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16.05%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5,266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5,374</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0.4%</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Edge Bidco B.V </w:t>
            </w:r>
            <w:r>
              <w:rPr>
                <w:rFonts w:ascii="Times New Roman" w:hAnsi="Times New Roman"/>
                <w:b w:val="false"/>
                <w:color w:val="000000"/>
                <w:sz w:val="9"/>
              </w:rPr>
              <w:t>(3)(4)(5)</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3,520</w:t>
            </w:r>
            <w:r>
              <w:rPr>
                <w:rFonts w:ascii="Times New Roman" w:hAnsi="Times New Roman"/>
                <w:color w:val="000000"/>
                <w:sz w:val="20"/>
              </w:rPr>
              <w:t> </w:t>
            </w:r>
            <w:r>
              <w:rPr>
                <w:rFonts w:ascii="Times New Roman" w:hAnsi="Times New Roman"/>
                <w:b w:val="false"/>
                <w:color w:val="000000"/>
                <w:sz w:val="14"/>
              </w:rPr>
              <w:t>par, due 2/2029)</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2/24/2023</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+ 7.00%</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10.97% (incl. 3.25%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3,590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3,727</w:t>
              <w:br/>
              <w:t> (EUR 3,520)</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20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Homecare Software Solutions, LLC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($65,000</w:t>
            </w:r>
            <w:r>
              <w:rPr>
                <w:rFonts w:ascii="Times New Roman" w:hAnsi="Times New Roman"/>
                <w:color w:val="000000"/>
                <w:sz w:val="20"/>
              </w:rPr>
              <w:t> </w:t>
            </w:r>
            <w:r>
              <w:rPr>
                <w:rFonts w:ascii="Times New Roman" w:hAnsi="Times New Roman"/>
                <w:b w:val="false"/>
                <w:color w:val="000000"/>
                <w:sz w:val="14"/>
              </w:rPr>
              <w:t>par, due 10/2026)</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10/6/2021</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+ 5.70%</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11.03%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63,942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64,675</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Merative L.P.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($70,103</w:t>
            </w:r>
            <w:r>
              <w:rPr>
                <w:rFonts w:ascii="Times New Roman" w:hAnsi="Times New Roman"/>
                <w:color w:val="000000"/>
                <w:sz w:val="20"/>
              </w:rPr>
              <w:t> </w:t>
            </w:r>
            <w:r>
              <w:rPr>
                <w:rFonts w:ascii="Times New Roman" w:hAnsi="Times New Roman"/>
                <w:b w:val="false"/>
                <w:color w:val="000000"/>
                <w:sz w:val="14"/>
              </w:rPr>
              <w:t>par, due</w:t>
            </w:r>
            <w:r>
              <w:rPr>
                <w:rFonts w:ascii="Times New Roman" w:hAnsi="Times New Roman"/>
                <w:color w:val="000000"/>
                <w:sz w:val="20"/>
              </w:rPr>
              <w:t xml:space="preserve"> </w:t>
            </w:r>
            <w:r>
              <w:rPr>
                <w:rFonts w:ascii="Times New Roman" w:hAnsi="Times New Roman"/>
                <w:b w:val="false"/>
                <w:color w:val="000000"/>
                <w:sz w:val="14"/>
              </w:rPr>
              <w:t>6/2028)</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6/30/2022</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+ 7.25%</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68,127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69,052</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w:t>
            </w:r>
          </w:p>
        </w:tc>
      </w:tr>
      <w:tr>
        <w:trPr/>
        <w:tc>
          <w:tcPr>
            <w:tcW w:w="20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Raptor US Buyer II Corp.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($15,609</w:t>
            </w:r>
            <w:r>
              <w:rPr>
                <w:rFonts w:ascii="Times New Roman" w:hAnsi="Times New Roman"/>
                <w:color w:val="000000"/>
                <w:sz w:val="20"/>
              </w:rPr>
              <w:t> </w:t>
            </w:r>
            <w:r>
              <w:rPr>
                <w:rFonts w:ascii="Times New Roman" w:hAnsi="Times New Roman"/>
                <w:b w:val="false"/>
                <w:color w:val="000000"/>
                <w:sz w:val="14"/>
              </w:rPr>
              <w:t>par, due 3/2029)</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+ 6.75%</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15,083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15,413</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SL Buyer Corp.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($31,475</w:t>
            </w:r>
            <w:r>
              <w:rPr>
                <w:rFonts w:ascii="Times New Roman" w:hAnsi="Times New Roman"/>
                <w:color w:val="000000"/>
                <w:sz w:val="20"/>
              </w:rPr>
              <w:t> </w:t>
            </w:r>
            <w:r>
              <w:rPr>
                <w:rFonts w:ascii="Times New Roman" w:hAnsi="Times New Roman"/>
                <w:b w:val="false"/>
                <w:color w:val="000000"/>
                <w:sz w:val="14"/>
              </w:rPr>
              <w:t>par, due 7/2029)</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7/7/2023</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+ 7.00%</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12.32%</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w:t>
            </w:r>
          </w:p>
        </w:tc>
      </w:tr>
      <w:tr>
        <w:trPr/>
        <w:tc>
          <w:tcPr>
            <w:tcW w:w="20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254,375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258,338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17.5%</w:t>
            </w:r>
          </w:p>
        </w:tc>
      </w:tr>
      <w:tr>
        <w:trPr/>
        <w:tc>
          <w:tcPr>
            <w:tcW w:w="2005"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Hotel, Gaming and Leisure</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pPr>
            <w:r>
              <w:rPr/>
              <w:t> </w:t>
            </w:r>
          </w:p>
        </w:tc>
      </w:tr>
      <w:tr>
        <w:trPr/>
        <w:tc>
          <w:tcPr>
            <w:tcW w:w="20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ASG II, LLC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($60,693</w:t>
            </w:r>
            <w:r>
              <w:rPr>
                <w:rFonts w:ascii="Times New Roman" w:hAnsi="Times New Roman"/>
                <w:color w:val="000000"/>
                <w:sz w:val="20"/>
              </w:rPr>
              <w:t> </w:t>
            </w:r>
            <w:r>
              <w:rPr>
                <w:rFonts w:ascii="Times New Roman" w:hAnsi="Times New Roman"/>
                <w:b w:val="false"/>
                <w:color w:val="000000"/>
                <w:sz w:val="14"/>
              </w:rPr>
              <w:t>par, due 5/2028)</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5/25/2022</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+ 6.40%</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59,414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60,693</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IRGSE Holding Corp. </w:t>
            </w:r>
            <w:r>
              <w:rPr>
                <w:rFonts w:ascii="Times New Roman" w:hAnsi="Times New Roman"/>
                <w:b w:val="false"/>
                <w:color w:val="000000"/>
                <w:sz w:val="9"/>
              </w:rPr>
              <w:t>(3)(6)</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($30,261</w:t>
            </w:r>
            <w:r>
              <w:rPr>
                <w:rFonts w:ascii="Times New Roman" w:hAnsi="Times New Roman"/>
                <w:color w:val="000000"/>
                <w:sz w:val="20"/>
              </w:rPr>
              <w:t> </w:t>
            </w:r>
            <w:r>
              <w:rPr>
                <w:rFonts w:ascii="Times New Roman" w:hAnsi="Times New Roman"/>
                <w:b w:val="false"/>
                <w:color w:val="000000"/>
                <w:sz w:val="14"/>
              </w:rPr>
              <w:t>par, due 6/2024)</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9/29/2015</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+ 9.65%</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15.04%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28,594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30,034</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w:t>
            </w:r>
          </w:p>
        </w:tc>
      </w:tr>
      <w:tr>
        <w:trPr/>
        <w:tc>
          <w:tcPr>
            <w:tcW w:w="20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revolving loan ($24,752</w:t>
            </w:r>
            <w:r>
              <w:rPr>
                <w:rFonts w:ascii="Times New Roman" w:hAnsi="Times New Roman"/>
                <w:color w:val="000000"/>
                <w:sz w:val="20"/>
              </w:rPr>
              <w:t> </w:t>
            </w:r>
            <w:r>
              <w:rPr>
                <w:rFonts w:ascii="Times New Roman" w:hAnsi="Times New Roman"/>
                <w:b w:val="false"/>
                <w:color w:val="000000"/>
                <w:sz w:val="14"/>
              </w:rPr>
              <w:t>par, due 6/2024)</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9/29/2015</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+ 9.65%</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15.04%</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24,752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w:t>
            </w:r>
          </w:p>
        </w:tc>
      </w:tr>
      <w:tr>
        <w:trPr/>
        <w:tc>
          <w:tcPr>
            <w:tcW w:w="20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112,760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115,291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7.8%</w:t>
            </w:r>
          </w:p>
        </w:tc>
      </w:tr>
      <w:tr>
        <w:trPr/>
        <w:tc>
          <w:tcPr>
            <w:tcW w:w="200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pPr>
            <w:r>
              <w:rPr/>
              <w:t> </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Axonify, Inc. </w:t>
            </w:r>
            <w:r>
              <w:rPr>
                <w:rFonts w:ascii="Times New Roman" w:hAnsi="Times New Roman"/>
                <w:b w:val="false"/>
                <w:color w:val="000000"/>
                <w:sz w:val="9"/>
              </w:rPr>
              <w:t>(3)(4)(5)</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($40,920</w:t>
            </w:r>
            <w:r>
              <w:rPr>
                <w:rFonts w:ascii="Times New Roman" w:hAnsi="Times New Roman"/>
                <w:color w:val="000000"/>
                <w:sz w:val="20"/>
              </w:rPr>
              <w:t> </w:t>
            </w:r>
            <w:r>
              <w:rPr>
                <w:rFonts w:ascii="Times New Roman" w:hAnsi="Times New Roman"/>
                <w:b w:val="false"/>
                <w:color w:val="000000"/>
                <w:sz w:val="14"/>
              </w:rPr>
              <w:t>par, due 5/2027)</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5/5/2021</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+ 7.65%</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40,312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40,920</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w:t>
            </w:r>
          </w:p>
        </w:tc>
      </w:tr>
      <w:tr>
        <w:trPr/>
        <w:tc>
          <w:tcPr>
            <w:tcW w:w="20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bswift, LLC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($44,470</w:t>
            </w:r>
            <w:r>
              <w:rPr>
                <w:rFonts w:ascii="Times New Roman" w:hAnsi="Times New Roman"/>
                <w:color w:val="000000"/>
                <w:sz w:val="20"/>
              </w:rPr>
              <w:t> </w:t>
            </w:r>
            <w:r>
              <w:rPr>
                <w:rFonts w:ascii="Times New Roman" w:hAnsi="Times New Roman"/>
                <w:b w:val="false"/>
                <w:color w:val="000000"/>
                <w:sz w:val="14"/>
              </w:rPr>
              <w:t>par, due 11/2028)</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11/7/2022</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+ 6.63%</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43,287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44,582</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Elysian Finco Ltd. </w:t>
            </w:r>
            <w:r>
              <w:rPr>
                <w:rFonts w:ascii="Times New Roman" w:hAnsi="Times New Roman"/>
                <w:b w:val="false"/>
                <w:color w:val="000000"/>
                <w:sz w:val="9"/>
              </w:rPr>
              <w:t>(3)(4)(5)</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($18,955</w:t>
            </w:r>
            <w:r>
              <w:rPr>
                <w:rFonts w:ascii="Times New Roman" w:hAnsi="Times New Roman"/>
                <w:color w:val="000000"/>
                <w:sz w:val="20"/>
              </w:rPr>
              <w:t> </w:t>
            </w:r>
            <w:r>
              <w:rPr>
                <w:rFonts w:ascii="Times New Roman" w:hAnsi="Times New Roman"/>
                <w:b w:val="false"/>
                <w:color w:val="000000"/>
                <w:sz w:val="14"/>
              </w:rPr>
              <w:t>par, due 1/2028)</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1/31/2022</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+ 6.65%</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18,528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19,356</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w:t>
            </w:r>
          </w:p>
        </w:tc>
      </w:tr>
      <w:tr>
        <w:trPr/>
        <w:tc>
          <w:tcPr>
            <w:tcW w:w="20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Employment Hero Holdings Pty Ltd. </w:t>
            </w:r>
            <w:r>
              <w:rPr>
                <w:rFonts w:ascii="Times New Roman" w:hAnsi="Times New Roman"/>
                <w:b w:val="false"/>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(AUD 32,270</w:t>
            </w:r>
            <w:r>
              <w:rPr>
                <w:rFonts w:ascii="Times New Roman" w:hAnsi="Times New Roman"/>
                <w:color w:val="000000"/>
                <w:sz w:val="20"/>
              </w:rPr>
              <w:t> </w:t>
            </w:r>
            <w:r>
              <w:rPr>
                <w:rFonts w:ascii="Times New Roman" w:hAnsi="Times New Roman"/>
                <w:b w:val="false"/>
                <w:color w:val="000000"/>
                <w:sz w:val="14"/>
              </w:rPr>
              <w:t>par, due 12/2026)</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12/6/2021</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B + 6.50%</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10.72%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34,791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32,067</w:t>
              <w:br/>
              <w:t> (AUD 49,685)</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HireVue, Inc.</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($54,113</w:t>
            </w:r>
            <w:r>
              <w:rPr>
                <w:rFonts w:ascii="Times New Roman" w:hAnsi="Times New Roman"/>
                <w:color w:val="000000"/>
                <w:sz w:val="20"/>
              </w:rPr>
              <w:t> </w:t>
            </w:r>
            <w:r>
              <w:rPr>
                <w:rFonts w:ascii="Times New Roman" w:hAnsi="Times New Roman"/>
                <w:b w:val="false"/>
                <w:color w:val="000000"/>
                <w:sz w:val="14"/>
              </w:rPr>
              <w:t>par, due 5/2029)</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5/3/2023</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+ 7.25%</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52,422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53,350</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w:t>
            </w:r>
          </w:p>
        </w:tc>
      </w:tr>
      <w:tr>
        <w:trPr/>
        <w:tc>
          <w:tcPr>
            <w:tcW w:w="20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PageUp People, Ltd. </w:t>
            </w:r>
            <w:r>
              <w:rPr>
                <w:rFonts w:ascii="Times New Roman" w:hAnsi="Times New Roman"/>
                <w:b w:val="false"/>
                <w:color w:val="000000"/>
                <w:sz w:val="9"/>
              </w:rPr>
              <w:t>(3)(4)(5)</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(AUD 13,916</w:t>
            </w:r>
            <w:r>
              <w:rPr>
                <w:rFonts w:ascii="Times New Roman" w:hAnsi="Times New Roman"/>
                <w:color w:val="000000"/>
                <w:sz w:val="20"/>
              </w:rPr>
              <w:t> </w:t>
            </w:r>
            <w:r>
              <w:rPr>
                <w:rFonts w:ascii="Times New Roman" w:hAnsi="Times New Roman"/>
                <w:b w:val="false"/>
                <w:color w:val="000000"/>
                <w:sz w:val="14"/>
              </w:rPr>
              <w:t>par, due 12/2025)</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1/11/2018</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B + 5.25%</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9.36%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10,500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8,982</w:t>
              <w:br/>
              <w:t> (AUD 13,916)</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0.6%</w:t>
            </w:r>
          </w:p>
        </w:tc>
      </w:tr>
      <w:tr>
        <w:trPr/>
        <w:tc>
          <w:tcPr>
            <w:tcW w:w="20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(GBP 3,258</w:t>
            </w:r>
            <w:r>
              <w:rPr>
                <w:rFonts w:ascii="Times New Roman" w:hAnsi="Times New Roman"/>
                <w:color w:val="000000"/>
                <w:sz w:val="20"/>
              </w:rPr>
              <w:t> </w:t>
            </w:r>
            <w:r>
              <w:rPr>
                <w:rFonts w:ascii="Times New Roman" w:hAnsi="Times New Roman"/>
                <w:b w:val="false"/>
                <w:color w:val="000000"/>
                <w:sz w:val="14"/>
              </w:rPr>
              <w:t>par, due 12/2025)</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10/28/2021</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 + 5.28%</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10.47%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4,487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3,976</w:t>
              <w:br/>
              <w:t> (GBP 3,258)</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20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($11,441</w:t>
            </w:r>
            <w:r>
              <w:rPr>
                <w:rFonts w:ascii="Times New Roman" w:hAnsi="Times New Roman"/>
                <w:color w:val="000000"/>
                <w:sz w:val="20"/>
              </w:rPr>
              <w:t> </w:t>
            </w:r>
            <w:r>
              <w:rPr>
                <w:rFonts w:ascii="Times New Roman" w:hAnsi="Times New Roman"/>
                <w:b w:val="false"/>
                <w:color w:val="000000"/>
                <w:sz w:val="14"/>
              </w:rPr>
              <w:t>par, due 12/2025)</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10/28/2021</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+ 5.35%</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11,431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11,441</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0.8%</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PayScale Holdings, Inc.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($71,379</w:t>
            </w:r>
            <w:r>
              <w:rPr>
                <w:rFonts w:ascii="Times New Roman" w:hAnsi="Times New Roman"/>
                <w:color w:val="000000"/>
                <w:sz w:val="20"/>
              </w:rPr>
              <w:t> </w:t>
            </w:r>
            <w:r>
              <w:rPr>
                <w:rFonts w:ascii="Times New Roman" w:hAnsi="Times New Roman"/>
                <w:b w:val="false"/>
                <w:color w:val="000000"/>
                <w:sz w:val="14"/>
              </w:rPr>
              <w:t>par, due 5/2027)</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5/3/2019</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+ 6.35%</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70,985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71,379</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w:t>
            </w:r>
          </w:p>
        </w:tc>
      </w:tr>
      <w:tr>
        <w:trPr/>
        <w:tc>
          <w:tcPr>
            <w:tcW w:w="20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PrimePay Intermediate, LLC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($34,462</w:t>
            </w:r>
            <w:r>
              <w:rPr>
                <w:rFonts w:ascii="Times New Roman" w:hAnsi="Times New Roman"/>
                <w:color w:val="000000"/>
                <w:sz w:val="20"/>
              </w:rPr>
              <w:t> </w:t>
            </w:r>
            <w:r>
              <w:rPr>
                <w:rFonts w:ascii="Times New Roman" w:hAnsi="Times New Roman"/>
                <w:b w:val="false"/>
                <w:color w:val="000000"/>
                <w:sz w:val="14"/>
              </w:rPr>
              <w:t>par, due 12/2026)</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12/17/2021</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+ 7.15%</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12.54%</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33,697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34,290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w:t>
            </w:r>
          </w:p>
        </w:tc>
      </w:tr>
      <w:tr>
        <w:trPr/>
        <w:tc>
          <w:tcPr>
            <w:tcW w:w="20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320,440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320,343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21.6%</w:t>
            </w:r>
          </w:p>
        </w:tc>
      </w:tr>
      <w:tr>
        <w:trPr/>
        <w:tc>
          <w:tcPr>
            <w:tcW w:w="200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Insurance</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pPr>
            <w:r>
              <w:rPr/>
              <w:t> </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Disco Parent, Inc.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($4,545</w:t>
            </w:r>
            <w:r>
              <w:rPr>
                <w:rFonts w:ascii="Times New Roman" w:hAnsi="Times New Roman"/>
                <w:color w:val="000000"/>
                <w:sz w:val="20"/>
              </w:rPr>
              <w:t> </w:t>
            </w:r>
            <w:r>
              <w:rPr>
                <w:rFonts w:ascii="Times New Roman" w:hAnsi="Times New Roman"/>
                <w:b w:val="false"/>
                <w:color w:val="000000"/>
                <w:sz w:val="14"/>
              </w:rPr>
              <w:t>par, due 3/2029)</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3/30/2023</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+ 7.50%</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12.92%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4,431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4,495</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200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pPr>
            <w:r>
              <w:rPr/>
              <w:t> </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Arrow Buyer, Inc.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($33,125</w:t>
            </w:r>
            <w:r>
              <w:rPr>
                <w:rFonts w:ascii="Times New Roman" w:hAnsi="Times New Roman"/>
                <w:color w:val="000000"/>
                <w:sz w:val="20"/>
              </w:rPr>
              <w:t> </w:t>
            </w:r>
            <w:r>
              <w:rPr>
                <w:rFonts w:ascii="Times New Roman" w:hAnsi="Times New Roman"/>
                <w:b w:val="false"/>
                <w:color w:val="000000"/>
                <w:sz w:val="14"/>
              </w:rPr>
              <w:t>par, due 7/2030)</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6/30/2023</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+ 6.50%</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32,225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32,514</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w:t>
            </w:r>
          </w:p>
        </w:tc>
      </w:tr>
      <w:tr>
        <w:trPr/>
        <w:tc>
          <w:tcPr>
            <w:tcW w:w="20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Bayshore Intermediate #2, L.P.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($35,464</w:t>
            </w:r>
            <w:r>
              <w:rPr>
                <w:rFonts w:ascii="Times New Roman" w:hAnsi="Times New Roman"/>
                <w:color w:val="000000"/>
                <w:sz w:val="20"/>
              </w:rPr>
              <w:t> </w:t>
            </w:r>
            <w:r>
              <w:rPr>
                <w:rFonts w:ascii="Times New Roman" w:hAnsi="Times New Roman"/>
                <w:b w:val="false"/>
                <w:color w:val="000000"/>
                <w:sz w:val="14"/>
              </w:rPr>
              <w:t>par, due 10/2028)</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10/1/2021</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+ 7.60%</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13.00%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34,947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35,198</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w:t>
            </w:r>
          </w:p>
        </w:tc>
      </w:tr>
      <w:tr>
        <w:trPr/>
        <w:tc>
          <w:tcPr>
            <w:tcW w:w="20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revolving loan ($480</w:t>
            </w:r>
            <w:r>
              <w:rPr>
                <w:rFonts w:ascii="Times New Roman" w:hAnsi="Times New Roman"/>
                <w:color w:val="000000"/>
                <w:sz w:val="20"/>
              </w:rPr>
              <w:t> </w:t>
            </w:r>
            <w:r>
              <w:rPr>
                <w:rFonts w:ascii="Times New Roman" w:hAnsi="Times New Roman"/>
                <w:b w:val="false"/>
                <w:color w:val="000000"/>
                <w:sz w:val="14"/>
              </w:rPr>
              <w:t>par, due 10/2027)</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10/1/2021</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+ 6.60%</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461</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0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Coupa Holdings, LLC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($43,191</w:t>
            </w:r>
            <w:r>
              <w:rPr>
                <w:rFonts w:ascii="Times New Roman" w:hAnsi="Times New Roman"/>
                <w:color w:val="000000"/>
                <w:sz w:val="20"/>
              </w:rPr>
              <w:t> </w:t>
            </w:r>
            <w:r>
              <w:rPr>
                <w:rFonts w:ascii="Times New Roman" w:hAnsi="Times New Roman"/>
                <w:b w:val="false"/>
                <w:color w:val="000000"/>
                <w:sz w:val="14"/>
              </w:rPr>
              <w:t>par, due 2/2030)</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2/27/2023</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+ 7.50%</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42,092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43,066</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CrunchTime Information, Systems, Inc.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($59,651</w:t>
            </w:r>
            <w:r>
              <w:rPr>
                <w:rFonts w:ascii="Times New Roman" w:hAnsi="Times New Roman"/>
                <w:color w:val="000000"/>
                <w:sz w:val="20"/>
              </w:rPr>
              <w:t> </w:t>
            </w:r>
            <w:r>
              <w:rPr>
                <w:rFonts w:ascii="Times New Roman" w:hAnsi="Times New Roman"/>
                <w:b w:val="false"/>
                <w:color w:val="000000"/>
                <w:sz w:val="14"/>
              </w:rPr>
              <w:t>par, due 6/2028)</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6/17/2022</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+ 6.00%</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58,579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59,651</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w:t>
            </w:r>
          </w:p>
        </w:tc>
      </w:tr>
      <w:tr>
        <w:trPr/>
        <w:tc>
          <w:tcPr>
            <w:tcW w:w="20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EDB Parent, LLC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($61,858</w:t>
            </w:r>
            <w:r>
              <w:rPr>
                <w:rFonts w:ascii="Times New Roman" w:hAnsi="Times New Roman"/>
                <w:color w:val="000000"/>
                <w:sz w:val="20"/>
              </w:rPr>
              <w:t> </w:t>
            </w:r>
            <w:r>
              <w:rPr>
                <w:rFonts w:ascii="Times New Roman" w:hAnsi="Times New Roman"/>
                <w:b w:val="false"/>
                <w:color w:val="000000"/>
                <w:sz w:val="14"/>
              </w:rPr>
              <w:t>par, due 7/2028)</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7/7/2022</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+ 6.75%</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60,612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61,394</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Higher Logic, LLC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($53,658</w:t>
            </w:r>
            <w:r>
              <w:rPr>
                <w:rFonts w:ascii="Times New Roman" w:hAnsi="Times New Roman"/>
                <w:color w:val="000000"/>
                <w:sz w:val="20"/>
              </w:rPr>
              <w:t> </w:t>
            </w:r>
            <w:r>
              <w:rPr>
                <w:rFonts w:ascii="Times New Roman" w:hAnsi="Times New Roman"/>
                <w:b w:val="false"/>
                <w:color w:val="000000"/>
                <w:sz w:val="14"/>
              </w:rPr>
              <w:t>par, due 1/2025)</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6/18/2018</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+ 6.75%</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53,464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53,792</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w:t>
            </w:r>
          </w:p>
        </w:tc>
      </w:tr>
      <w:tr>
        <w:trPr/>
        <w:tc>
          <w:tcPr>
            <w:tcW w:w="20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LeanTaaS Holdings, Inc.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($35,413</w:t>
            </w:r>
            <w:r>
              <w:rPr>
                <w:rFonts w:ascii="Times New Roman" w:hAnsi="Times New Roman"/>
                <w:color w:val="000000"/>
                <w:sz w:val="20"/>
              </w:rPr>
              <w:t> </w:t>
            </w:r>
            <w:r>
              <w:rPr>
                <w:rFonts w:ascii="Times New Roman" w:hAnsi="Times New Roman"/>
                <w:b w:val="false"/>
                <w:color w:val="000000"/>
                <w:sz w:val="14"/>
              </w:rPr>
              <w:t>par, due 7/2028)</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7/12/2022</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+ 7.50%</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34,602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35,556</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Lithium Technologies, LLC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($57,009</w:t>
            </w:r>
            <w:r>
              <w:rPr>
                <w:rFonts w:ascii="Times New Roman" w:hAnsi="Times New Roman"/>
                <w:color w:val="000000"/>
                <w:sz w:val="20"/>
              </w:rPr>
              <w:t> </w:t>
            </w:r>
            <w:r>
              <w:rPr>
                <w:rFonts w:ascii="Times New Roman" w:hAnsi="Times New Roman"/>
                <w:b w:val="false"/>
                <w:color w:val="000000"/>
                <w:sz w:val="14"/>
              </w:rPr>
              <w:t>par, due 1/2025)</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10/3/2017</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+ 9.00%</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14.37% (incl. 4.50%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56,996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55,726</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w:t>
            </w:r>
          </w:p>
        </w:tc>
      </w:tr>
      <w:tr>
        <w:trPr/>
        <w:tc>
          <w:tcPr>
            <w:tcW w:w="20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Lucidworks, Inc.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($8,764</w:t>
            </w:r>
            <w:r>
              <w:rPr>
                <w:rFonts w:ascii="Times New Roman" w:hAnsi="Times New Roman"/>
                <w:color w:val="000000"/>
                <w:sz w:val="20"/>
              </w:rPr>
              <w:t> </w:t>
            </w:r>
            <w:r>
              <w:rPr>
                <w:rFonts w:ascii="Times New Roman" w:hAnsi="Times New Roman"/>
                <w:b w:val="false"/>
                <w:color w:val="000000"/>
                <w:sz w:val="14"/>
              </w:rPr>
              <w:t>par, due 2/2027)</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2/11/2022</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+ 7.50%</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12.82% (incl. 3.50%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8,763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8,717</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0.6%</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Piano Software, Inc.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($51,218</w:t>
            </w:r>
            <w:r>
              <w:rPr>
                <w:rFonts w:ascii="Times New Roman" w:hAnsi="Times New Roman"/>
                <w:color w:val="000000"/>
                <w:sz w:val="20"/>
              </w:rPr>
              <w:t> </w:t>
            </w:r>
            <w:r>
              <w:rPr>
                <w:rFonts w:ascii="Times New Roman" w:hAnsi="Times New Roman"/>
                <w:b w:val="false"/>
                <w:color w:val="000000"/>
                <w:sz w:val="14"/>
              </w:rPr>
              <w:t>par, due 2/2026)</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2/25/2021</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+ 7.10%</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12.42%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50,545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50,706</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w:t>
            </w:r>
          </w:p>
        </w:tc>
      </w:tr>
      <w:tr>
        <w:trPr/>
        <w:tc>
          <w:tcPr>
            <w:tcW w:w="20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SMA Technologies Holdings, LLC</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($36,833</w:t>
            </w:r>
            <w:r>
              <w:rPr>
                <w:rFonts w:ascii="Times New Roman" w:hAnsi="Times New Roman"/>
                <w:color w:val="000000"/>
                <w:sz w:val="20"/>
              </w:rPr>
              <w:t> </w:t>
            </w:r>
            <w:r>
              <w:rPr>
                <w:rFonts w:ascii="Times New Roman" w:hAnsi="Times New Roman"/>
                <w:b w:val="false"/>
                <w:color w:val="000000"/>
                <w:sz w:val="14"/>
              </w:rPr>
              <w:t>par, due 10/2028)</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10/31/2022</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+ 6.75%</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12.07%</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35,406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36,649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w:t>
            </w:r>
          </w:p>
        </w:tc>
      </w:tr>
      <w:tr>
        <w:trPr/>
        <w:tc>
          <w:tcPr>
            <w:tcW w:w="20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468,675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473,430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31.8%</w:t>
            </w:r>
          </w:p>
        </w:tc>
      </w:tr>
      <w:tr>
        <w:trPr/>
        <w:tc>
          <w:tcPr>
            <w:tcW w:w="200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Manufacturing</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pPr>
            <w:r>
              <w:rPr/>
              <w:t> </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ASP Unifrax Holdings, Inc. </w:t>
            </w:r>
            <w:r>
              <w:rPr>
                <w:rFonts w:ascii="Times New Roman" w:hAnsi="Times New Roman"/>
                <w:b w:val="false"/>
                <w:color w:val="000000"/>
                <w:sz w:val="9"/>
              </w:rPr>
              <w:t>(9)</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First-lien loan ($1,133</w:t>
            </w:r>
            <w:r>
              <w:rPr>
                <w:rFonts w:ascii="Times New Roman" w:hAnsi="Times New Roman"/>
                <w:color w:val="000000"/>
                <w:sz w:val="14"/>
              </w:rPr>
              <w:t> </w:t>
            </w:r>
            <w:r>
              <w:rPr>
                <w:rFonts w:ascii="Times New Roman" w:hAnsi="Times New Roman"/>
                <w:b w:val="false"/>
                <w:color w:val="000000"/>
                <w:sz w:val="14"/>
              </w:rPr>
              <w:t xml:space="preserve">par, due 12/2025)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8/25/2023</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+ 3.90%</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1,051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1,055</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0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First-lien loan (EUR 364</w:t>
            </w:r>
            <w:r>
              <w:rPr>
                <w:rFonts w:ascii="Times New Roman" w:hAnsi="Times New Roman"/>
                <w:color w:val="000000"/>
                <w:sz w:val="14"/>
              </w:rPr>
              <w:t> </w:t>
            </w:r>
            <w:r>
              <w:rPr>
                <w:rFonts w:ascii="Times New Roman" w:hAnsi="Times New Roman"/>
                <w:b w:val="false"/>
                <w:color w:val="000000"/>
                <w:sz w:val="14"/>
              </w:rPr>
              <w:t xml:space="preserve">par, due 12/2025)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9/14/2023</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+ 3.75%</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354</w:t>
              <w:br/>
              <w:t> (EUR 335)</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0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Unsecured Note ($227</w:t>
            </w:r>
            <w:r>
              <w:rPr>
                <w:rFonts w:ascii="Times New Roman" w:hAnsi="Times New Roman"/>
                <w:color w:val="000000"/>
                <w:sz w:val="20"/>
              </w:rPr>
              <w:t> </w:t>
            </w:r>
            <w:r>
              <w:rPr>
                <w:rFonts w:ascii="Times New Roman" w:hAnsi="Times New Roman"/>
                <w:b w:val="false"/>
                <w:color w:val="000000"/>
                <w:sz w:val="14"/>
              </w:rPr>
              <w:t>par, due</w:t>
            </w:r>
            <w:r>
              <w:rPr>
                <w:rFonts w:ascii="Times New Roman" w:hAnsi="Times New Roman"/>
                <w:color w:val="000000"/>
                <w:sz w:val="20"/>
              </w:rPr>
              <w:t xml:space="preserve"> </w:t>
            </w:r>
            <w:r>
              <w:rPr>
                <w:rFonts w:ascii="Times New Roman" w:hAnsi="Times New Roman"/>
                <w:b w:val="false"/>
                <w:color w:val="000000"/>
                <w:sz w:val="14"/>
              </w:rPr>
              <w:t>9/2029)</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8/31/2023</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7.50%</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0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Avalara, Inc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($38,636</w:t>
            </w:r>
            <w:r>
              <w:rPr>
                <w:rFonts w:ascii="Times New Roman" w:hAnsi="Times New Roman"/>
                <w:color w:val="000000"/>
                <w:sz w:val="20"/>
              </w:rPr>
              <w:t> </w:t>
            </w:r>
            <w:r>
              <w:rPr>
                <w:rFonts w:ascii="Times New Roman" w:hAnsi="Times New Roman"/>
                <w:b w:val="false"/>
                <w:color w:val="000000"/>
                <w:sz w:val="14"/>
              </w:rPr>
              <w:t>par, due 10/2028)</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10/19/2022</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+ 7.25%</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37,701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38,424</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w:t>
            </w:r>
          </w:p>
        </w:tc>
      </w:tr>
      <w:tr>
        <w:trPr/>
        <w:tc>
          <w:tcPr>
            <w:tcW w:w="20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Skylark UK DebtCo Limited </w:t>
            </w:r>
            <w:r>
              <w:rPr>
                <w:rFonts w:ascii="Times New Roman" w:hAnsi="Times New Roman"/>
                <w:b w:val="false"/>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($16,340</w:t>
            </w:r>
            <w:r>
              <w:rPr>
                <w:rFonts w:ascii="Times New Roman" w:hAnsi="Times New Roman"/>
                <w:color w:val="000000"/>
                <w:sz w:val="20"/>
              </w:rPr>
              <w:t> </w:t>
            </w:r>
            <w:r>
              <w:rPr>
                <w:rFonts w:ascii="Times New Roman" w:hAnsi="Times New Roman"/>
                <w:b w:val="false"/>
                <w:color w:val="000000"/>
                <w:sz w:val="14"/>
              </w:rPr>
              <w:t>par, due 9/2030)</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9/7/2023</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+ 6.25%</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15,705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15,697</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w:t>
            </w:r>
          </w:p>
        </w:tc>
      </w:tr>
      <w:tr>
        <w:trPr/>
        <w:tc>
          <w:tcPr>
            <w:tcW w:w="20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4,851</w:t>
            </w:r>
            <w:r>
              <w:rPr>
                <w:rFonts w:ascii="Times New Roman" w:hAnsi="Times New Roman"/>
                <w:color w:val="000000"/>
                <w:sz w:val="20"/>
              </w:rPr>
              <w:t> </w:t>
            </w:r>
            <w:r>
              <w:rPr>
                <w:rFonts w:ascii="Times New Roman" w:hAnsi="Times New Roman"/>
                <w:b w:val="false"/>
                <w:color w:val="000000"/>
                <w:sz w:val="14"/>
              </w:rPr>
              <w:t>par, due 2/2029)</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9/7/2023</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+ 6.25%</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5,051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5,021</w:t>
              <w:br/>
              <w:t> (EUR 4,742)</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20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(GBP 16,640</w:t>
            </w:r>
            <w:r>
              <w:rPr>
                <w:rFonts w:ascii="Times New Roman" w:hAnsi="Times New Roman"/>
                <w:color w:val="000000"/>
                <w:sz w:val="20"/>
              </w:rPr>
              <w:t> </w:t>
            </w:r>
            <w:r>
              <w:rPr>
                <w:rFonts w:ascii="Times New Roman" w:hAnsi="Times New Roman"/>
                <w:b w:val="false"/>
                <w:color w:val="000000"/>
                <w:sz w:val="14"/>
              </w:rPr>
              <w:t>par, due 12/2025)</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9/7/2023</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 + 6.25%</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11.44%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19,852</w:t>
              <w:br/>
              <w:t> (GBP 16,265)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w:t>
            </w:r>
          </w:p>
        </w:tc>
      </w:tr>
      <w:tr>
        <w:trPr/>
        <w:tc>
          <w:tcPr>
            <w:tcW w:w="20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80,526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w:t>
            </w:r>
          </w:p>
        </w:tc>
      </w:tr>
      <w:tr>
        <w:trPr/>
        <w:tc>
          <w:tcPr>
            <w:tcW w:w="2005"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Office Products</w:t>
            </w:r>
          </w:p>
        </w:tc>
        <w:tc>
          <w:tcPr>
            <w:tcW w:w="146" w:type="dxa"/>
            <w:tcBorders/>
            <w:shd w:fill="FFFFFF" w:val="clear"/>
            <w:vAlign w:val="center"/>
          </w:tcPr>
          <w:p>
            <w:pPr>
              <w:pStyle w:val="TableContents"/>
              <w:bidi w:val="0"/>
              <w:spacing w:before="0" w:after="283"/>
              <w:jc w:val="right"/>
              <w:rPr/>
            </w:pPr>
            <w:r>
              <w:rPr/>
              <w:t> </w:t>
            </w:r>
          </w:p>
        </w:tc>
        <w:tc>
          <w:tcPr>
            <w:tcW w:w="2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6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38"/>
        <w:gridCol w:w="146"/>
        <w:gridCol w:w="2235"/>
        <w:gridCol w:w="146"/>
        <w:gridCol w:w="612"/>
        <w:gridCol w:w="146"/>
        <w:gridCol w:w="786"/>
        <w:gridCol w:w="146"/>
        <w:gridCol w:w="1112"/>
        <w:gridCol w:w="146"/>
        <w:gridCol w:w="146"/>
        <w:gridCol w:w="691"/>
        <w:gridCol w:w="146"/>
        <w:gridCol w:w="146"/>
        <w:gridCol w:w="778"/>
        <w:gridCol w:w="146"/>
        <w:gridCol w:w="539"/>
      </w:tblGrid>
      <w:tr>
        <w:trPr/>
        <w:tc>
          <w:tcPr>
            <w:tcW w:w="21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13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USR Parent, Inc.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ABL FILO term loan ($17,500</w:t>
            </w:r>
            <w:r>
              <w:rPr>
                <w:rFonts w:ascii="Times New Roman" w:hAnsi="Times New Roman"/>
                <w:color w:val="000000"/>
                <w:sz w:val="20"/>
              </w:rPr>
              <w:t> </w:t>
            </w:r>
            <w:r>
              <w:rPr>
                <w:rFonts w:ascii="Times New Roman" w:hAnsi="Times New Roman"/>
                <w:b w:val="false"/>
                <w:color w:val="000000"/>
                <w:sz w:val="14"/>
              </w:rPr>
              <w:t>par, due 4/2027)</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4/25/2022</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+ 6.50%</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17,185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17,369</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w:t>
            </w:r>
          </w:p>
        </w:tc>
      </w:tr>
      <w:tr>
        <w:trPr/>
        <w:tc>
          <w:tcPr>
            <w:tcW w:w="2138"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Oil, Gas and Consumable Fuels</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pPr>
            <w:r>
              <w:rPr/>
              <w:t> </w:t>
            </w:r>
          </w:p>
        </w:tc>
      </w:tr>
      <w:tr>
        <w:trPr/>
        <w:tc>
          <w:tcPr>
            <w:tcW w:w="213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Laramie Energy, LLC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($27,317</w:t>
            </w:r>
            <w:r>
              <w:rPr>
                <w:rFonts w:ascii="Times New Roman" w:hAnsi="Times New Roman"/>
                <w:color w:val="000000"/>
                <w:sz w:val="20"/>
              </w:rPr>
              <w:t> </w:t>
            </w:r>
            <w:r>
              <w:rPr>
                <w:rFonts w:ascii="Times New Roman" w:hAnsi="Times New Roman"/>
                <w:b w:val="false"/>
                <w:color w:val="000000"/>
                <w:sz w:val="14"/>
              </w:rPr>
              <w:t>par, due 2/2027)</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2/21/2023</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+ 7.10%</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12.42%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26,724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27,055</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w:t>
            </w:r>
          </w:p>
        </w:tc>
      </w:tr>
      <w:tr>
        <w:trPr/>
        <w:tc>
          <w:tcPr>
            <w:tcW w:w="213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Murchison Oil and Gas, LLC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($29,478</w:t>
            </w:r>
            <w:r>
              <w:rPr>
                <w:rFonts w:ascii="Times New Roman" w:hAnsi="Times New Roman"/>
                <w:color w:val="000000"/>
                <w:sz w:val="20"/>
              </w:rPr>
              <w:t> </w:t>
            </w:r>
            <w:r>
              <w:rPr>
                <w:rFonts w:ascii="Times New Roman" w:hAnsi="Times New Roman"/>
                <w:b w:val="false"/>
                <w:color w:val="000000"/>
                <w:sz w:val="14"/>
              </w:rPr>
              <w:t>par, due 6/2026)</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6/30/2022</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+ 8.65%</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14.04%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28,986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29,887</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w:t>
            </w:r>
          </w:p>
        </w:tc>
      </w:tr>
      <w:tr>
        <w:trPr/>
        <w:tc>
          <w:tcPr>
            <w:tcW w:w="213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TRP Assets, LLC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($65,000</w:t>
            </w:r>
            <w:r>
              <w:rPr>
                <w:rFonts w:ascii="Times New Roman" w:hAnsi="Times New Roman"/>
                <w:color w:val="000000"/>
                <w:sz w:val="20"/>
              </w:rPr>
              <w:t> </w:t>
            </w:r>
            <w:r>
              <w:rPr>
                <w:rFonts w:ascii="Times New Roman" w:hAnsi="Times New Roman"/>
                <w:b w:val="false"/>
                <w:color w:val="000000"/>
                <w:sz w:val="14"/>
              </w:rPr>
              <w:t>par, due 12/2025)</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12/3/2021</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+ 7.76%</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13.15%</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64,299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67,310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4.5%</w:t>
            </w:r>
          </w:p>
        </w:tc>
      </w:tr>
      <w:tr>
        <w:trPr/>
        <w:tc>
          <w:tcPr>
            <w:tcW w:w="21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120,009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124,252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8.3%</w:t>
            </w:r>
          </w:p>
        </w:tc>
      </w:tr>
      <w:tr>
        <w:trPr/>
        <w:tc>
          <w:tcPr>
            <w:tcW w:w="2138"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pPr>
            <w:r>
              <w:rPr/>
              <w:t> </w:t>
            </w:r>
          </w:p>
        </w:tc>
      </w:tr>
      <w:tr>
        <w:trPr/>
        <w:tc>
          <w:tcPr>
            <w:tcW w:w="213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Omnigo Software, LLC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($40,045</w:t>
            </w:r>
            <w:r>
              <w:rPr>
                <w:rFonts w:ascii="Times New Roman" w:hAnsi="Times New Roman"/>
                <w:color w:val="000000"/>
                <w:sz w:val="20"/>
              </w:rPr>
              <w:t> </w:t>
            </w:r>
            <w:r>
              <w:rPr>
                <w:rFonts w:ascii="Times New Roman" w:hAnsi="Times New Roman"/>
                <w:b w:val="false"/>
                <w:color w:val="000000"/>
                <w:sz w:val="14"/>
              </w:rPr>
              <w:t>par, due 3/2026)</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3/31/2021</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+ 6.60%</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39,492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39,745</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w:t>
            </w:r>
          </w:p>
        </w:tc>
      </w:tr>
      <w:tr>
        <w:trPr/>
        <w:tc>
          <w:tcPr>
            <w:tcW w:w="2138"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Retail and Consumer Products</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pPr>
            <w:r>
              <w:rPr/>
              <w:t> </w:t>
            </w:r>
          </w:p>
        </w:tc>
      </w:tr>
      <w:tr>
        <w:trPr/>
        <w:tc>
          <w:tcPr>
            <w:tcW w:w="213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99 Cents Only Stores LLC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ABL FILO term loan ($25,000</w:t>
            </w:r>
            <w:r>
              <w:rPr>
                <w:rFonts w:ascii="Times New Roman" w:hAnsi="Times New Roman"/>
                <w:color w:val="000000"/>
                <w:sz w:val="20"/>
              </w:rPr>
              <w:t> </w:t>
            </w:r>
            <w:r>
              <w:rPr>
                <w:rFonts w:ascii="Times New Roman" w:hAnsi="Times New Roman"/>
                <w:b w:val="false"/>
                <w:color w:val="000000"/>
                <w:sz w:val="14"/>
              </w:rPr>
              <w:t>par, due</w:t>
            </w:r>
            <w:r>
              <w:rPr>
                <w:rFonts w:ascii="Times New Roman" w:hAnsi="Times New Roman"/>
                <w:color w:val="000000"/>
                <w:sz w:val="20"/>
              </w:rPr>
              <w:t xml:space="preserve"> </w:t>
            </w:r>
            <w:r>
              <w:rPr>
                <w:rFonts w:ascii="Times New Roman" w:hAnsi="Times New Roman"/>
                <w:b w:val="false"/>
                <w:color w:val="000000"/>
                <w:sz w:val="14"/>
              </w:rPr>
              <w:t>5/2025)</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9/6/2017</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+ 8.65%</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14.05%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24,845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25,000</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w:t>
            </w:r>
          </w:p>
        </w:tc>
      </w:tr>
      <w:tr>
        <w:trPr/>
        <w:tc>
          <w:tcPr>
            <w:tcW w:w="213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American Achievement, Corp. </w:t>
            </w:r>
            <w:r>
              <w:rPr>
                <w:rFonts w:ascii="Times New Roman" w:hAnsi="Times New Roman"/>
                <w:b w:val="false"/>
                <w:color w:val="000000"/>
                <w:sz w:val="9"/>
              </w:rPr>
              <w:t>(3)(14)</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($27,089</w:t>
            </w:r>
            <w:r>
              <w:rPr>
                <w:rFonts w:ascii="Times New Roman" w:hAnsi="Times New Roman"/>
                <w:color w:val="000000"/>
                <w:sz w:val="20"/>
              </w:rPr>
              <w:t> </w:t>
            </w:r>
            <w:r>
              <w:rPr>
                <w:rFonts w:ascii="Times New Roman" w:hAnsi="Times New Roman"/>
                <w:b w:val="false"/>
                <w:color w:val="000000"/>
                <w:sz w:val="14"/>
              </w:rPr>
              <w:t>par, due 9/2026)</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9/30/2015</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+ 6.35%</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11.68% (incl. 11.19%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26,260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20,452</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w:t>
            </w:r>
          </w:p>
        </w:tc>
      </w:tr>
      <w:tr>
        <w:trPr/>
        <w:tc>
          <w:tcPr>
            <w:tcW w:w="21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($1,355</w:t>
            </w:r>
            <w:r>
              <w:rPr>
                <w:rFonts w:ascii="Times New Roman" w:hAnsi="Times New Roman"/>
                <w:color w:val="000000"/>
                <w:sz w:val="20"/>
              </w:rPr>
              <w:t> </w:t>
            </w:r>
            <w:r>
              <w:rPr>
                <w:rFonts w:ascii="Times New Roman" w:hAnsi="Times New Roman"/>
                <w:b w:val="false"/>
                <w:color w:val="000000"/>
                <w:sz w:val="14"/>
              </w:rPr>
              <w:t>par, due 9/2026)</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6/10/2021</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+ 14.10%</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19.43% (incl. 18.93%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1,355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1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Subordinated note ($4,740</w:t>
            </w:r>
            <w:r>
              <w:rPr>
                <w:rFonts w:ascii="Times New Roman" w:hAnsi="Times New Roman"/>
                <w:color w:val="000000"/>
                <w:sz w:val="20"/>
              </w:rPr>
              <w:t> </w:t>
            </w:r>
            <w:r>
              <w:rPr>
                <w:rFonts w:ascii="Times New Roman" w:hAnsi="Times New Roman"/>
                <w:b w:val="false"/>
                <w:color w:val="000000"/>
                <w:sz w:val="14"/>
              </w:rPr>
              <w:t>par, due 9/2026)</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3/16/2021</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+ 1.15%</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6.40%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13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Bed Bath and Beyond Inc. </w:t>
            </w:r>
            <w:r>
              <w:rPr>
                <w:rFonts w:ascii="Times New Roman" w:hAnsi="Times New Roman"/>
                <w:b w:val="false"/>
                <w:color w:val="000000"/>
                <w:sz w:val="9"/>
              </w:rPr>
              <w:t>(3)(15)</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ABL FILO term loan ($15,375</w:t>
            </w:r>
            <w:r>
              <w:rPr>
                <w:rFonts w:ascii="Times New Roman" w:hAnsi="Times New Roman"/>
                <w:color w:val="000000"/>
                <w:sz w:val="20"/>
              </w:rPr>
              <w:t> </w:t>
            </w:r>
            <w:r>
              <w:rPr>
                <w:rFonts w:ascii="Times New Roman" w:hAnsi="Times New Roman"/>
                <w:b w:val="false"/>
                <w:color w:val="000000"/>
                <w:sz w:val="14"/>
              </w:rPr>
              <w:t>par, due 8/2027)</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9/2/2022</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+ 9.90%</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15,055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15,029</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w:t>
            </w:r>
          </w:p>
        </w:tc>
      </w:tr>
      <w:tr>
        <w:trPr/>
        <w:tc>
          <w:tcPr>
            <w:tcW w:w="21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Roll Up DIP term loan ($25,914</w:t>
            </w:r>
            <w:r>
              <w:rPr>
                <w:rFonts w:ascii="Times New Roman" w:hAnsi="Times New Roman"/>
                <w:color w:val="000000"/>
                <w:sz w:val="20"/>
              </w:rPr>
              <w:t> </w:t>
            </w:r>
            <w:r>
              <w:rPr>
                <w:rFonts w:ascii="Times New Roman" w:hAnsi="Times New Roman"/>
                <w:b w:val="false"/>
                <w:color w:val="000000"/>
                <w:sz w:val="14"/>
              </w:rPr>
              <w:t>par, due 9/2024)</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4/24/2023</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+ 7.90%</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13.22% (incl. 13.22%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25,914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25,331</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w:t>
            </w:r>
          </w:p>
        </w:tc>
      </w:tr>
      <w:tr>
        <w:trPr/>
        <w:tc>
          <w:tcPr>
            <w:tcW w:w="21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Super-Priority DIP term loan ($4,946</w:t>
            </w:r>
            <w:r>
              <w:rPr>
                <w:rFonts w:ascii="Times New Roman" w:hAnsi="Times New Roman"/>
                <w:color w:val="000000"/>
                <w:sz w:val="20"/>
              </w:rPr>
              <w:t> </w:t>
            </w:r>
            <w:r>
              <w:rPr>
                <w:rFonts w:ascii="Times New Roman" w:hAnsi="Times New Roman"/>
                <w:b w:val="false"/>
                <w:color w:val="000000"/>
                <w:sz w:val="14"/>
              </w:rPr>
              <w:t>par, due 9/2024)</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4/24/2023</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+ 7.90%</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4,946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4,835</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213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Cordance Operations, LLC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($47,006</w:t>
            </w:r>
            <w:r>
              <w:rPr>
                <w:rFonts w:ascii="Times New Roman" w:hAnsi="Times New Roman"/>
                <w:color w:val="000000"/>
                <w:sz w:val="20"/>
              </w:rPr>
              <w:t> </w:t>
            </w:r>
            <w:r>
              <w:rPr>
                <w:rFonts w:ascii="Times New Roman" w:hAnsi="Times New Roman"/>
                <w:b w:val="false"/>
                <w:color w:val="000000"/>
                <w:sz w:val="14"/>
              </w:rPr>
              <w:t>par, due 7/2028)</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7/25/2022</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+ 9.25%</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14.62%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46,095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47,006</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w:t>
            </w:r>
          </w:p>
        </w:tc>
      </w:tr>
      <w:tr>
        <w:trPr/>
        <w:tc>
          <w:tcPr>
            <w:tcW w:w="213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Neuintel, LLC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($57,701</w:t>
            </w:r>
            <w:r>
              <w:rPr>
                <w:rFonts w:ascii="Times New Roman" w:hAnsi="Times New Roman"/>
                <w:color w:val="000000"/>
                <w:sz w:val="20"/>
              </w:rPr>
              <w:t> </w:t>
            </w:r>
            <w:r>
              <w:rPr>
                <w:rFonts w:ascii="Times New Roman" w:hAnsi="Times New Roman"/>
                <w:b w:val="false"/>
                <w:color w:val="000000"/>
                <w:sz w:val="14"/>
              </w:rPr>
              <w:t>par, due 12/2026)</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12/20/2021</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+ 7.65%</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56,869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57,990</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w:t>
            </w:r>
          </w:p>
        </w:tc>
      </w:tr>
      <w:tr>
        <w:trPr/>
        <w:tc>
          <w:tcPr>
            <w:tcW w:w="213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Project P Intermediate 2, LLC</w:t>
            </w:r>
            <w:r>
              <w:rPr>
                <w:rFonts w:ascii="Times New Roman" w:hAnsi="Times New Roman"/>
                <w:color w:val="000000"/>
                <w:sz w:val="14"/>
              </w:rPr>
              <w:t>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ABL FILO term loan ($71,250</w:t>
            </w:r>
            <w:r>
              <w:rPr>
                <w:rFonts w:ascii="Times New Roman" w:hAnsi="Times New Roman"/>
                <w:color w:val="000000"/>
                <w:sz w:val="20"/>
              </w:rPr>
              <w:t> </w:t>
            </w:r>
            <w:r>
              <w:rPr>
                <w:rFonts w:ascii="Times New Roman" w:hAnsi="Times New Roman"/>
                <w:b w:val="false"/>
                <w:color w:val="000000"/>
                <w:sz w:val="14"/>
              </w:rPr>
              <w:t>par, due 5/2026)</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11/8/2021</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+ 8.10%</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13.42%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70,344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72,141</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w:t>
            </w:r>
          </w:p>
        </w:tc>
      </w:tr>
      <w:tr>
        <w:trPr/>
        <w:tc>
          <w:tcPr>
            <w:tcW w:w="213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Rapid Data GmbH Unternehmensberatung </w:t>
            </w:r>
            <w:r>
              <w:rPr>
                <w:rFonts w:ascii="Times New Roman" w:hAnsi="Times New Roman"/>
                <w:b w:val="false"/>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4,495</w:t>
            </w:r>
            <w:r>
              <w:rPr>
                <w:rFonts w:ascii="Times New Roman" w:hAnsi="Times New Roman"/>
                <w:color w:val="000000"/>
                <w:sz w:val="20"/>
              </w:rPr>
              <w:t> </w:t>
            </w:r>
            <w:r>
              <w:rPr>
                <w:rFonts w:ascii="Times New Roman" w:hAnsi="Times New Roman"/>
                <w:b w:val="false"/>
                <w:color w:val="000000"/>
                <w:sz w:val="14"/>
              </w:rPr>
              <w:t>par, due 7/2029)</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7/11/2023</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+ 6.50%</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4,666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4,625</w:t>
              <w:br/>
              <w:t> (EUR 4,368)</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213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Tango Management Consulting, LLC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($54,052</w:t>
            </w:r>
            <w:r>
              <w:rPr>
                <w:rFonts w:ascii="Times New Roman" w:hAnsi="Times New Roman"/>
                <w:color w:val="000000"/>
                <w:sz w:val="20"/>
              </w:rPr>
              <w:t> </w:t>
            </w:r>
            <w:r>
              <w:rPr>
                <w:rFonts w:ascii="Times New Roman" w:hAnsi="Times New Roman"/>
                <w:b w:val="false"/>
                <w:color w:val="000000"/>
                <w:sz w:val="14"/>
              </w:rPr>
              <w:t>par, due 12/2027)</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12/1/2021</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+ 6.85%</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53,318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53,512</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w:t>
            </w:r>
          </w:p>
        </w:tc>
      </w:tr>
      <w:tr>
        <w:trPr/>
        <w:tc>
          <w:tcPr>
            <w:tcW w:w="21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revolving loan ($9</w:t>
            </w:r>
            <w:r>
              <w:rPr>
                <w:rFonts w:ascii="Times New Roman" w:hAnsi="Times New Roman"/>
                <w:color w:val="000000"/>
                <w:sz w:val="20"/>
              </w:rPr>
              <w:t> </w:t>
            </w:r>
            <w:r>
              <w:rPr>
                <w:rFonts w:ascii="Times New Roman" w:hAnsi="Times New Roman"/>
                <w:b w:val="false"/>
                <w:color w:val="000000"/>
                <w:sz w:val="14"/>
              </w:rPr>
              <w:t>par, due 12/2027)</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12/1/2021</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P + 6.85%</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15.25%</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1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330,156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326,065</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21.9%</w:t>
            </w:r>
          </w:p>
        </w:tc>
      </w:tr>
      <w:tr>
        <w:trPr/>
        <w:tc>
          <w:tcPr>
            <w:tcW w:w="2138"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Transportation</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pPr>
            <w:r>
              <w:rPr/>
              <w:t> </w:t>
            </w:r>
          </w:p>
        </w:tc>
      </w:tr>
      <w:tr>
        <w:trPr/>
        <w:tc>
          <w:tcPr>
            <w:tcW w:w="213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Project44, Inc.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($35,139</w:t>
            </w:r>
            <w:r>
              <w:rPr>
                <w:rFonts w:ascii="Times New Roman" w:hAnsi="Times New Roman"/>
                <w:color w:val="000000"/>
                <w:sz w:val="20"/>
              </w:rPr>
              <w:t> </w:t>
            </w:r>
            <w:r>
              <w:rPr>
                <w:rFonts w:ascii="Times New Roman" w:hAnsi="Times New Roman"/>
                <w:b w:val="false"/>
                <w:color w:val="000000"/>
                <w:sz w:val="14"/>
              </w:rPr>
              <w:t>par, due 11/2027)</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11/12/2021</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+ 6.40%</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34,210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34,864</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w:t>
            </w:r>
          </w:p>
        </w:tc>
      </w:tr>
      <w:tr>
        <w:trPr/>
        <w:tc>
          <w:tcPr>
            <w:tcW w:w="213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Marcura Equities LTD </w:t>
            </w:r>
            <w:r>
              <w:rPr>
                <w:rFonts w:ascii="Times New Roman" w:hAnsi="Times New Roman"/>
                <w:b w:val="false"/>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($31,667</w:t>
            </w:r>
            <w:r>
              <w:rPr>
                <w:rFonts w:ascii="Times New Roman" w:hAnsi="Times New Roman"/>
                <w:color w:val="000000"/>
                <w:sz w:val="20"/>
              </w:rPr>
              <w:t> </w:t>
            </w:r>
            <w:r>
              <w:rPr>
                <w:rFonts w:ascii="Times New Roman" w:hAnsi="Times New Roman"/>
                <w:b w:val="false"/>
                <w:color w:val="000000"/>
                <w:sz w:val="14"/>
              </w:rPr>
              <w:t>par, due 8/2029)</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8/11/2023</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+ 7.75%</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13.14% (incl. 4.25%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30,641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31,146</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w:t>
            </w:r>
          </w:p>
        </w:tc>
      </w:tr>
      <w:tr>
        <w:trPr/>
        <w:tc>
          <w:tcPr>
            <w:tcW w:w="21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revolving loan ($1,667</w:t>
            </w:r>
            <w:r>
              <w:rPr>
                <w:rFonts w:ascii="Times New Roman" w:hAnsi="Times New Roman"/>
                <w:color w:val="000000"/>
                <w:sz w:val="20"/>
              </w:rPr>
              <w:t> </w:t>
            </w:r>
            <w:r>
              <w:rPr>
                <w:rFonts w:ascii="Times New Roman" w:hAnsi="Times New Roman"/>
                <w:b w:val="false"/>
                <w:color w:val="000000"/>
                <w:sz w:val="14"/>
              </w:rPr>
              <w:t>par, due 8/2029)</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8/11/2023</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+ 7.00%</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1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66,436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67,635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4.5%</w:t>
            </w:r>
          </w:p>
        </w:tc>
      </w:tr>
      <w:tr>
        <w:trPr/>
        <w:tc>
          <w:tcPr>
            <w:tcW w:w="21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138"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2,890,369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2,909,102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195.8%</w:t>
            </w:r>
          </w:p>
        </w:tc>
      </w:tr>
      <w:tr>
        <w:trPr/>
        <w:tc>
          <w:tcPr>
            <w:tcW w:w="21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pPr>
            <w:r>
              <w:rPr/>
              <w:t> </w:t>
            </w:r>
          </w:p>
        </w:tc>
      </w:tr>
      <w:tr>
        <w:trPr/>
        <w:tc>
          <w:tcPr>
            <w:tcW w:w="2138"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pPr>
            <w:r>
              <w:rPr/>
              <w:t> </w:t>
            </w:r>
          </w:p>
        </w:tc>
      </w:tr>
      <w:tr>
        <w:trPr/>
        <w:tc>
          <w:tcPr>
            <w:tcW w:w="2138"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pPr>
            <w:r>
              <w:rPr/>
              <w:t> </w:t>
            </w:r>
          </w:p>
        </w:tc>
      </w:tr>
      <w:tr>
        <w:trPr/>
        <w:tc>
          <w:tcPr>
            <w:tcW w:w="213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Dye &amp; Durham, Ltd. </w:t>
            </w:r>
            <w:r>
              <w:rPr>
                <w:rFonts w:ascii="Times New Roman" w:hAnsi="Times New Roman"/>
                <w:b w:val="false"/>
                <w:color w:val="000000"/>
                <w:sz w:val="9"/>
              </w:rPr>
              <w:t>(4)(10)</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Common Shares (126,968</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12/3/2021</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3,909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1,248</w:t>
              <w:br/>
              <w:t> (CAD 1,688)</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13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Mitnick TA Aggregator, LP</w:t>
            </w:r>
            <w:r>
              <w:rPr>
                <w:rFonts w:ascii="Times New Roman" w:hAnsi="Times New Roman"/>
                <w:color w:val="000000"/>
                <w:sz w:val="14"/>
              </w:rPr>
              <w:t> </w:t>
            </w:r>
            <w:r>
              <w:rPr>
                <w:rFonts w:ascii="Times New Roman" w:hAnsi="Times New Roman"/>
                <w:b w:val="false"/>
                <w:color w:val="000000"/>
                <w:sz w:val="9"/>
              </w:rPr>
              <w:t>(11)(13)</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Membership Interest (0.43% ownership)</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5/2/2022</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5,243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5,243</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0.4%</w:t>
            </w:r>
          </w:p>
        </w:tc>
      </w:tr>
      <w:tr>
        <w:trPr/>
        <w:tc>
          <w:tcPr>
            <w:tcW w:w="213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ReliaQuest, LLC </w:t>
            </w:r>
            <w:r>
              <w:rPr>
                <w:rFonts w:ascii="Times New Roman" w:hAnsi="Times New Roman"/>
                <w:b w:val="false"/>
                <w:color w:val="000000"/>
                <w:sz w:val="9"/>
              </w:rPr>
              <w:t>(11)(13)</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A-1 Units (567,683</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11/23/2021</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1,324</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1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A-2 Units (2,580</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6/21/2022</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13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Sprinklr, Inc. </w:t>
            </w:r>
            <w:r>
              <w:rPr>
                <w:rFonts w:ascii="Times New Roman" w:hAnsi="Times New Roman"/>
                <w:b w:val="false"/>
                <w:color w:val="000000"/>
                <w:sz w:val="9"/>
              </w:rPr>
              <w:t>(10)(11)</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Common Shares (315,005</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6/24/2021</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2,716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4,360</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213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Warrior TopCo LP </w:t>
            </w:r>
            <w:r>
              <w:rPr>
                <w:rFonts w:ascii="Times New Roman" w:hAnsi="Times New Roman"/>
                <w:b w:val="false"/>
                <w:color w:val="000000"/>
                <w:sz w:val="9"/>
              </w:rPr>
              <w:t>(11)(12)</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(423,728</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7/7/2023</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1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13,418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0.9%</w:t>
            </w:r>
          </w:p>
        </w:tc>
      </w:tr>
      <w:tr>
        <w:trPr/>
        <w:tc>
          <w:tcPr>
            <w:tcW w:w="2138"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Communications</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pPr>
            <w:r>
              <w:rPr/>
              <w:t> </w:t>
            </w:r>
          </w:p>
        </w:tc>
      </w:tr>
      <w:tr>
        <w:trPr/>
        <w:tc>
          <w:tcPr>
            <w:tcW w:w="213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Celtra Technologies, Inc. </w:t>
            </w:r>
            <w:r>
              <w:rPr>
                <w:rFonts w:ascii="Times New Roman" w:hAnsi="Times New Roman"/>
                <w:b w:val="false"/>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(1,250,000</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11/19/2021</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1,250</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13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IntelePeer Holdings, Inc. </w:t>
            </w:r>
            <w:r>
              <w:rPr>
                <w:rFonts w:ascii="Times New Roman" w:hAnsi="Times New Roman"/>
                <w:b w:val="false"/>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Series C Preferred Shares (1,816,295</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4/8/2021</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1,816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1,866</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1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Series D Preferred Shares (1,598,874</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4/8/2021</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2,004</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1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280,000</w:t>
            </w:r>
            <w:r>
              <w:rPr>
                <w:rFonts w:ascii="Times New Roman" w:hAnsi="Times New Roman"/>
                <w:color w:val="000000"/>
                <w:sz w:val="20"/>
              </w:rPr>
              <w:t> </w:t>
            </w:r>
            <w:r>
              <w:rPr>
                <w:rFonts w:ascii="Times New Roman" w:hAnsi="Times New Roman"/>
                <w:b w:val="false"/>
                <w:color w:val="000000"/>
                <w:sz w:val="14"/>
              </w:rPr>
              <w:t>Warrants</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2/28/2020</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1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106,592</w:t>
            </w:r>
            <w:r>
              <w:rPr>
                <w:rFonts w:ascii="Times New Roman" w:hAnsi="Times New Roman"/>
                <w:color w:val="000000"/>
                <w:sz w:val="20"/>
              </w:rPr>
              <w:t> </w:t>
            </w:r>
            <w:r>
              <w:rPr>
                <w:rFonts w:ascii="Times New Roman" w:hAnsi="Times New Roman"/>
                <w:b w:val="false"/>
                <w:color w:val="000000"/>
                <w:sz w:val="14"/>
              </w:rPr>
              <w:t>Warrants</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4/8/2021</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1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2138"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Education</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pPr>
            <w:r>
              <w:rPr/>
              <w:t> </w:t>
            </w:r>
          </w:p>
        </w:tc>
      </w:tr>
      <w:tr>
        <w:trPr/>
        <w:tc>
          <w:tcPr>
            <w:tcW w:w="213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Astra 2L Holdings II LLC</w:t>
            </w:r>
            <w:r>
              <w:rPr>
                <w:rFonts w:ascii="Times New Roman" w:hAnsi="Times New Roman"/>
                <w:color w:val="000000"/>
                <w:sz w:val="14"/>
              </w:rPr>
              <w:t> </w:t>
            </w:r>
            <w:r>
              <w:rPr>
                <w:rFonts w:ascii="Times New Roman" w:hAnsi="Times New Roman"/>
                <w:b w:val="false"/>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Membership Interest (10.17% ownership)</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1/13/2022</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3,255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594</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13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EMS Linq, Inc. </w:t>
            </w:r>
            <w:r>
              <w:rPr>
                <w:rFonts w:ascii="Times New Roman" w:hAnsi="Times New Roman"/>
                <w:b w:val="false"/>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B Units (5,522,526</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12/22/2021</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4,763</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0.4%</w:t>
            </w:r>
          </w:p>
        </w:tc>
      </w:tr>
      <w:tr>
        <w:trPr/>
        <w:tc>
          <w:tcPr>
            <w:tcW w:w="213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RMCF IV CIV XXXV,</w:t>
              <w:br/>
              <w:t xml:space="preserve">   LP. </w:t>
            </w:r>
            <w:r>
              <w:rPr>
                <w:rFonts w:ascii="Times New Roman" w:hAnsi="Times New Roman"/>
                <w:b w:val="false"/>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Partnership Interest (11.94% ownership)</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6/8/2021</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1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0.5%</w:t>
            </w:r>
          </w:p>
        </w:tc>
      </w:tr>
      <w:tr>
        <w:trPr/>
        <w:tc>
          <w:tcPr>
            <w:tcW w:w="2138"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pPr>
            <w:r>
              <w:rPr/>
              <w:t> </w:t>
            </w:r>
          </w:p>
        </w:tc>
      </w:tr>
      <w:tr>
        <w:trPr/>
        <w:tc>
          <w:tcPr>
            <w:tcW w:w="213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AvidXchange, Inc. </w:t>
            </w:r>
            <w:r>
              <w:rPr>
                <w:rFonts w:ascii="Times New Roman" w:hAnsi="Times New Roman"/>
                <w:b w:val="false"/>
                <w:color w:val="000000"/>
                <w:sz w:val="9"/>
              </w:rPr>
              <w:t>(10)(11)</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Common Shares (50,179</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10/15/2021</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476</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13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Newport Parent Holdings, LP </w:t>
            </w:r>
            <w:r>
              <w:rPr>
                <w:rFonts w:ascii="Times New Roman" w:hAnsi="Times New Roman"/>
                <w:b w:val="false"/>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A-2 Units (131,569</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12/10/2020</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4,177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9,607</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0.6%</w:t>
            </w:r>
          </w:p>
        </w:tc>
      </w:tr>
      <w:tr>
        <w:trPr/>
        <w:tc>
          <w:tcPr>
            <w:tcW w:w="213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Oxford Square Capital Corp. </w:t>
            </w:r>
            <w:r>
              <w:rPr>
                <w:rFonts w:ascii="Times New Roman" w:hAnsi="Times New Roman"/>
                <w:b w:val="false"/>
                <w:color w:val="000000"/>
                <w:sz w:val="9"/>
              </w:rPr>
              <w:t>(4)(10)</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Common Shares (1,620</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8/5/2015</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13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Passport Labs, Inc. </w:t>
            </w:r>
            <w:r>
              <w:rPr>
                <w:rFonts w:ascii="Times New Roman" w:hAnsi="Times New Roman"/>
                <w:b w:val="false"/>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23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17,534</w:t>
            </w:r>
            <w:r>
              <w:rPr>
                <w:rFonts w:ascii="Times New Roman" w:hAnsi="Times New Roman"/>
                <w:color w:val="000000"/>
                <w:sz w:val="20"/>
              </w:rPr>
              <w:t> </w:t>
            </w:r>
            <w:r>
              <w:rPr>
                <w:rFonts w:ascii="Times New Roman" w:hAnsi="Times New Roman"/>
                <w:b w:val="false"/>
                <w:color w:val="000000"/>
                <w:sz w:val="14"/>
              </w:rPr>
              <w:t>Warrants</w:t>
            </w:r>
          </w:p>
        </w:tc>
        <w:tc>
          <w:tcPr>
            <w:tcW w:w="146" w:type="dxa"/>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4/28/2021</w:t>
            </w:r>
          </w:p>
        </w:tc>
        <w:tc>
          <w:tcPr>
            <w:tcW w:w="146" w:type="dxa"/>
            <w:tcBorders/>
            <w:shd w:fill="CFF0FC" w:val="clear"/>
            <w:vAlign w:val="center"/>
          </w:tcPr>
          <w:p>
            <w:pPr>
              <w:pStyle w:val="TableContents"/>
              <w:bidi w:val="0"/>
              <w:spacing w:before="0" w:after="283"/>
              <w:jc w:val="right"/>
              <w:rPr/>
            </w:pPr>
            <w:r>
              <w:rPr/>
              <w:t> </w:t>
            </w:r>
          </w:p>
        </w:tc>
        <w:tc>
          <w:tcPr>
            <w:tcW w:w="7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13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TradingScreen, Inc. </w:t>
            </w:r>
            <w:r>
              <w:rPr>
                <w:rFonts w:ascii="Times New Roman" w:hAnsi="Times New Roman"/>
                <w:b w:val="false"/>
                <w:color w:val="000000"/>
                <w:sz w:val="9"/>
              </w:rPr>
              <w:t>(11)(13)</w:t>
            </w:r>
          </w:p>
        </w:tc>
        <w:tc>
          <w:tcPr>
            <w:tcW w:w="146" w:type="dxa"/>
            <w:tcBorders/>
            <w:shd w:fill="FFFFFF" w:val="clear"/>
            <w:vAlign w:val="center"/>
          </w:tcPr>
          <w:p>
            <w:pPr>
              <w:pStyle w:val="TableContents"/>
              <w:bidi w:val="0"/>
              <w:spacing w:before="0" w:after="283"/>
              <w:jc w:val="right"/>
              <w:rPr/>
            </w:pPr>
            <w:r>
              <w:rPr/>
              <w:t> </w:t>
            </w:r>
          </w:p>
        </w:tc>
        <w:tc>
          <w:tcPr>
            <w:tcW w:w="22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(600,000</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5/14/2021</w:t>
            </w:r>
          </w:p>
        </w:tc>
        <w:tc>
          <w:tcPr>
            <w:tcW w:w="146" w:type="dxa"/>
            <w:tcBorders/>
            <w:shd w:fill="FFFFFF" w:val="clear"/>
            <w:vAlign w:val="center"/>
          </w:tcPr>
          <w:p>
            <w:pPr>
              <w:pStyle w:val="TableContents"/>
              <w:bidi w:val="0"/>
              <w:spacing w:before="0" w:after="283"/>
              <w:jc w:val="right"/>
              <w:rPr/>
            </w:pPr>
            <w:r>
              <w:rPr/>
              <w:t> </w:t>
            </w:r>
          </w:p>
        </w:tc>
        <w:tc>
          <w:tcPr>
            <w:tcW w:w="7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41"/>
        <w:gridCol w:w="146"/>
        <w:gridCol w:w="2262"/>
        <w:gridCol w:w="146"/>
        <w:gridCol w:w="662"/>
        <w:gridCol w:w="146"/>
        <w:gridCol w:w="771"/>
        <w:gridCol w:w="146"/>
        <w:gridCol w:w="504"/>
        <w:gridCol w:w="146"/>
        <w:gridCol w:w="146"/>
        <w:gridCol w:w="511"/>
        <w:gridCol w:w="146"/>
        <w:gridCol w:w="146"/>
        <w:gridCol w:w="737"/>
        <w:gridCol w:w="146"/>
        <w:gridCol w:w="403"/>
      </w:tblGrid>
      <w:tr>
        <w:trPr/>
        <w:tc>
          <w:tcPr>
            <w:tcW w:w="3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5,231</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10,690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4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0.7%</w:t>
            </w:r>
          </w:p>
        </w:tc>
      </w:tr>
      <w:tr>
        <w:trPr/>
        <w:tc>
          <w:tcPr>
            <w:tcW w:w="30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pPr>
            <w:r>
              <w:rPr/>
              <w:t> </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Caris Life Sciences, Inc. </w:t>
            </w:r>
            <w:r>
              <w:rPr>
                <w:rFonts w:ascii="Times New Roman" w:hAnsi="Times New Roman"/>
                <w:b w:val="false"/>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Series C Preferred Shares (1,915,114</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10/13/2020</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6,703</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0.5%</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Series D Preferred Shares (1,240,740</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5/11/2021</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9,573</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0.6%</w:t>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633,376</w:t>
            </w:r>
            <w:r>
              <w:rPr>
                <w:rFonts w:ascii="Times New Roman" w:hAnsi="Times New Roman"/>
                <w:color w:val="000000"/>
                <w:sz w:val="20"/>
              </w:rPr>
              <w:t> </w:t>
            </w:r>
            <w:r>
              <w:rPr>
                <w:rFonts w:ascii="Times New Roman" w:hAnsi="Times New Roman"/>
                <w:b w:val="false"/>
                <w:color w:val="000000"/>
                <w:sz w:val="14"/>
              </w:rPr>
              <w:t>Warrants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9/21/2018</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1,196</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569,991</w:t>
            </w:r>
            <w:r>
              <w:rPr>
                <w:rFonts w:ascii="Times New Roman" w:hAnsi="Times New Roman"/>
                <w:color w:val="000000"/>
                <w:sz w:val="20"/>
              </w:rPr>
              <w:t> </w:t>
            </w:r>
            <w:r>
              <w:rPr>
                <w:rFonts w:ascii="Times New Roman" w:hAnsi="Times New Roman"/>
                <w:b w:val="false"/>
                <w:color w:val="000000"/>
                <w:sz w:val="14"/>
              </w:rPr>
              <w:t>Warrants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4/2/2020</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893</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Merative L.P. </w:t>
            </w:r>
            <w:r>
              <w:rPr>
                <w:rFonts w:ascii="Times New Roman" w:hAnsi="Times New Roman"/>
                <w:b w:val="false"/>
                <w:color w:val="000000"/>
                <w:sz w:val="9"/>
              </w:rPr>
              <w:t>(11)(13)</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989,691</w:t>
            </w:r>
            <w:r>
              <w:rPr>
                <w:rFonts w:ascii="Times New Roman" w:hAnsi="Times New Roman"/>
                <w:color w:val="000000"/>
                <w:sz w:val="20"/>
              </w:rPr>
              <w:t> </w:t>
            </w:r>
            <w:r>
              <w:rPr>
                <w:rFonts w:ascii="Times New Roman" w:hAnsi="Times New Roman"/>
                <w:b w:val="false"/>
                <w:color w:val="000000"/>
                <w:sz w:val="14"/>
              </w:rPr>
              <w:t>Class A-1 Units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6/30/2022</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9,897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9,897</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0.7%</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Raptor US Buyer II Corp. </w:t>
            </w:r>
            <w:r>
              <w:rPr>
                <w:rFonts w:ascii="Times New Roman" w:hAnsi="Times New Roman"/>
                <w:b w:val="false"/>
                <w:color w:val="000000"/>
                <w:sz w:val="9"/>
              </w:rPr>
              <w:t>(11)(12)</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2,027</w:t>
            </w:r>
            <w:r>
              <w:rPr>
                <w:rFonts w:ascii="Times New Roman" w:hAnsi="Times New Roman"/>
                <w:color w:val="000000"/>
                <w:sz w:val="20"/>
              </w:rPr>
              <w:t> </w:t>
            </w:r>
            <w:r>
              <w:rPr>
                <w:rFonts w:ascii="Times New Roman" w:hAnsi="Times New Roman"/>
                <w:b w:val="false"/>
                <w:color w:val="000000"/>
                <w:sz w:val="14"/>
              </w:rPr>
              <w:t>Ordinary Shares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2,027</w:t>
            </w:r>
            <w:r>
              <w:rPr>
                <w:rFonts w:ascii="Times New Roman" w:hAnsi="Times New Roman"/>
                <w:color w:val="000000"/>
                <w:sz w:val="20"/>
              </w:rPr>
              <w:t> </w:t>
            </w:r>
            <w:r>
              <w:rPr>
                <w:rFonts w:ascii="Times New Roman" w:hAnsi="Times New Roman"/>
                <w:b w:val="false"/>
                <w:color w:val="000000"/>
                <w:sz w:val="14"/>
              </w:rPr>
              <w:t>Class A</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2,027</w:t>
            </w:r>
            <w:r>
              <w:rPr>
                <w:rFonts w:ascii="Times New Roman" w:hAnsi="Times New Roman"/>
                <w:color w:val="000000"/>
                <w:sz w:val="20"/>
              </w:rPr>
              <w:t> </w:t>
            </w:r>
            <w:r>
              <w:rPr>
                <w:rFonts w:ascii="Times New Roman" w:hAnsi="Times New Roman"/>
                <w:b w:val="false"/>
                <w:color w:val="000000"/>
                <w:sz w:val="14"/>
              </w:rPr>
              <w:t>Class B</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2,027</w:t>
            </w:r>
            <w:r>
              <w:rPr>
                <w:rFonts w:ascii="Times New Roman" w:hAnsi="Times New Roman"/>
                <w:color w:val="000000"/>
                <w:sz w:val="20"/>
              </w:rPr>
              <w:t> </w:t>
            </w:r>
            <w:r>
              <w:rPr>
                <w:rFonts w:ascii="Times New Roman" w:hAnsi="Times New Roman"/>
                <w:b w:val="false"/>
                <w:color w:val="000000"/>
                <w:sz w:val="14"/>
              </w:rPr>
              <w:t>Class C</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2,027</w:t>
            </w:r>
            <w:r>
              <w:rPr>
                <w:rFonts w:ascii="Times New Roman" w:hAnsi="Times New Roman"/>
                <w:color w:val="000000"/>
                <w:sz w:val="20"/>
              </w:rPr>
              <w:t> </w:t>
            </w:r>
            <w:r>
              <w:rPr>
                <w:rFonts w:ascii="Times New Roman" w:hAnsi="Times New Roman"/>
                <w:b w:val="false"/>
                <w:color w:val="000000"/>
                <w:sz w:val="14"/>
              </w:rPr>
              <w:t>Class D</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2,027</w:t>
            </w:r>
            <w:r>
              <w:rPr>
                <w:rFonts w:ascii="Times New Roman" w:hAnsi="Times New Roman"/>
                <w:color w:val="000000"/>
                <w:sz w:val="20"/>
              </w:rPr>
              <w:t> </w:t>
            </w:r>
            <w:r>
              <w:rPr>
                <w:rFonts w:ascii="Times New Roman" w:hAnsi="Times New Roman"/>
                <w:b w:val="false"/>
                <w:color w:val="000000"/>
                <w:sz w:val="14"/>
              </w:rPr>
              <w:t>Class E</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2,027</w:t>
            </w:r>
            <w:r>
              <w:rPr>
                <w:rFonts w:ascii="Times New Roman" w:hAnsi="Times New Roman"/>
                <w:color w:val="000000"/>
                <w:sz w:val="20"/>
              </w:rPr>
              <w:t> </w:t>
            </w:r>
            <w:r>
              <w:rPr>
                <w:rFonts w:ascii="Times New Roman" w:hAnsi="Times New Roman"/>
                <w:b w:val="false"/>
                <w:color w:val="000000"/>
                <w:sz w:val="14"/>
              </w:rPr>
              <w:t>Class F</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2,027</w:t>
            </w:r>
            <w:r>
              <w:rPr>
                <w:rFonts w:ascii="Times New Roman" w:hAnsi="Times New Roman"/>
                <w:color w:val="000000"/>
                <w:sz w:val="20"/>
              </w:rPr>
              <w:t> </w:t>
            </w:r>
            <w:r>
              <w:rPr>
                <w:rFonts w:ascii="Times New Roman" w:hAnsi="Times New Roman"/>
                <w:b w:val="false"/>
                <w:color w:val="000000"/>
                <w:sz w:val="14"/>
              </w:rPr>
              <w:t>Class G</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2,027</w:t>
            </w:r>
            <w:r>
              <w:rPr>
                <w:rFonts w:ascii="Times New Roman" w:hAnsi="Times New Roman"/>
                <w:color w:val="000000"/>
                <w:sz w:val="20"/>
              </w:rPr>
              <w:t> </w:t>
            </w:r>
            <w:r>
              <w:rPr>
                <w:rFonts w:ascii="Times New Roman" w:hAnsi="Times New Roman"/>
                <w:b w:val="false"/>
                <w:color w:val="000000"/>
                <w:sz w:val="14"/>
              </w:rPr>
              <w:t>Class H</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2,027</w:t>
            </w:r>
            <w:r>
              <w:rPr>
                <w:rFonts w:ascii="Times New Roman" w:hAnsi="Times New Roman"/>
                <w:color w:val="000000"/>
                <w:sz w:val="20"/>
              </w:rPr>
              <w:t> </w:t>
            </w:r>
            <w:r>
              <w:rPr>
                <w:rFonts w:ascii="Times New Roman" w:hAnsi="Times New Roman"/>
                <w:b w:val="false"/>
                <w:color w:val="000000"/>
                <w:sz w:val="14"/>
              </w:rPr>
              <w:t>Class I</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3/24/2023</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w:t>
            </w:r>
          </w:p>
        </w:tc>
      </w:tr>
      <w:tr>
        <w:trPr/>
        <w:tc>
          <w:tcPr>
            <w:tcW w:w="304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Hotel, Gaming and Leisure</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pPr>
            <w:r>
              <w:rPr/>
              <w:t> </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IRGSE Holding Corp. </w:t>
            </w:r>
            <w:r>
              <w:rPr>
                <w:rFonts w:ascii="Times New Roman" w:hAnsi="Times New Roman"/>
                <w:b w:val="false"/>
                <w:color w:val="000000"/>
                <w:sz w:val="9"/>
              </w:rPr>
              <w:t>(7)(11)</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(33,790,171</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12/21/2018</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21,842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6,336</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0.4%</w:t>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C-1 Units (8,800,000</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12/21/2018</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0.4%</w:t>
            </w:r>
          </w:p>
        </w:tc>
      </w:tr>
      <w:tr>
        <w:trPr/>
        <w:tc>
          <w:tcPr>
            <w:tcW w:w="304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pPr>
            <w:r>
              <w:rPr/>
              <w:t> </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Axonify, Inc. </w:t>
            </w:r>
            <w:r>
              <w:rPr>
                <w:rFonts w:ascii="Times New Roman" w:hAnsi="Times New Roman"/>
                <w:b w:val="false"/>
                <w:color w:val="000000"/>
                <w:sz w:val="9"/>
              </w:rPr>
              <w:t>(4)(11)(13)</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A-1 Units (3,780,000</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5/5/2021</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3,780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3,837</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bswift, LLC</w:t>
            </w:r>
            <w:r>
              <w:rPr>
                <w:rFonts w:ascii="Times New Roman" w:hAnsi="Times New Roman"/>
                <w:color w:val="000000"/>
                <w:sz w:val="14"/>
              </w:rPr>
              <w:t> </w:t>
            </w:r>
            <w:r>
              <w:rPr>
                <w:rFonts w:ascii="Times New Roman" w:hAnsi="Times New Roman"/>
                <w:b w:val="false"/>
                <w:color w:val="000000"/>
                <w:sz w:val="9"/>
              </w:rPr>
              <w:t>(11)(12)</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A-1 Units (2,393,509</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11/7/2022</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2,394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2,394</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DaySmart Holdings, LLC </w:t>
            </w:r>
            <w:r>
              <w:rPr>
                <w:rFonts w:ascii="Times New Roman" w:hAnsi="Times New Roman"/>
                <w:b w:val="false"/>
                <w:color w:val="000000"/>
                <w:sz w:val="9"/>
              </w:rPr>
              <w:t>(11)(13)</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(166,811</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10/1/2019</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1,347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2,030</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Employment Hero Holdings Pty Ltd. </w:t>
            </w:r>
            <w:r>
              <w:rPr>
                <w:rFonts w:ascii="Times New Roman" w:hAnsi="Times New Roman"/>
                <w:b w:val="false"/>
                <w:color w:val="000000"/>
                <w:sz w:val="9"/>
              </w:rPr>
              <w:t>(4)(11)</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Series E Preferred Shares (113,250</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3/1/2022</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2,493</w:t>
              <w:br/>
              <w:t> (AUD 3,862)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0.8%</w:t>
            </w:r>
          </w:p>
        </w:tc>
      </w:tr>
      <w:tr>
        <w:trPr/>
        <w:tc>
          <w:tcPr>
            <w:tcW w:w="304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pPr>
            <w:r>
              <w:rPr/>
              <w:t> </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Bayshore Intermediate #2, L.P. </w:t>
            </w:r>
            <w:r>
              <w:rPr>
                <w:rFonts w:ascii="Times New Roman" w:hAnsi="Times New Roman"/>
                <w:b w:val="false"/>
                <w:color w:val="000000"/>
                <w:sz w:val="9"/>
              </w:rPr>
              <w:t>(11)(13)</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Co-Invest Common Units (8,837,008</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10/1/2021</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8,837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8,152</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0.5%</w:t>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Co-Invest 2 Common Units (3,493,701</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10/1/2021</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3,494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3,223</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Lucidworks, Inc. </w:t>
            </w:r>
            <w:r>
              <w:rPr>
                <w:rFonts w:ascii="Times New Roman" w:hAnsi="Times New Roman"/>
                <w:b w:val="false"/>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Series F Preferred Shares (199,054</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8/2/2019</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800</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Piano Software, Inc. </w:t>
            </w:r>
            <w:r>
              <w:rPr>
                <w:rFonts w:ascii="Times New Roman" w:hAnsi="Times New Roman"/>
                <w:b w:val="false"/>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Series C-1 Preferred Shares (418,527</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12/22/2021</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3,000</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Series C-2 Preferred Shares (27,588</w:t>
            </w:r>
            <w:r>
              <w:rPr>
                <w:rFonts w:ascii="Times New Roman" w:hAnsi="Times New Roman"/>
                <w:color w:val="000000"/>
                <w:sz w:val="14"/>
              </w:rPr>
              <w:t> </w:t>
            </w:r>
            <w:r>
              <w:rPr>
                <w:rFonts w:ascii="Times New Roman" w:hAnsi="Times New Roman"/>
                <w:b w:val="false"/>
                <w:color w:val="000000"/>
                <w:sz w:val="14"/>
              </w:rPr>
              <w:t>shares)</w:t>
            </w:r>
            <w:r>
              <w:rPr>
                <w:rFonts w:ascii="Times New Roman" w:hAnsi="Times New Roman"/>
                <w:b w:val="false"/>
                <w:color w:val="000000"/>
                <w:sz w:val="9"/>
              </w:rPr>
              <w:t>(12)</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11/18/2022</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198</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SMA Technologies Holdings, LLC</w:t>
            </w:r>
            <w:r>
              <w:rPr>
                <w:rFonts w:ascii="Times New Roman" w:hAnsi="Times New Roman"/>
                <w:color w:val="000000"/>
                <w:sz w:val="14"/>
              </w:rPr>
              <w:t> </w:t>
            </w:r>
            <w:r>
              <w:rPr>
                <w:rFonts w:ascii="Times New Roman" w:hAnsi="Times New Roman"/>
                <w:b w:val="false"/>
                <w:color w:val="000000"/>
                <w:sz w:val="9"/>
              </w:rPr>
              <w:t>(11)(12)</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(1,300</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11/21/2022</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1,300</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B Units (923,250</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11/21/2022</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17,629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16,673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w:t>
            </w:r>
          </w:p>
        </w:tc>
      </w:tr>
      <w:tr>
        <w:trPr/>
        <w:tc>
          <w:tcPr>
            <w:tcW w:w="30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Marketing Services</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pPr>
            <w:r>
              <w:rPr/>
              <w:t> </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Validity, Inc. </w:t>
            </w:r>
            <w:r>
              <w:rPr>
                <w:rFonts w:ascii="Times New Roman" w:hAnsi="Times New Roman"/>
                <w:b w:val="false"/>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Series A Preferred Shares (3,840,000</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5/31/2018</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3,840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10,944</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0.7%</w:t>
            </w:r>
          </w:p>
        </w:tc>
      </w:tr>
      <w:tr>
        <w:trPr/>
        <w:tc>
          <w:tcPr>
            <w:tcW w:w="30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Oil, Gas and Consumable Fuels</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pPr>
            <w:r>
              <w:rPr/>
              <w:t> </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Murchison Oil and Gas, LLC </w:t>
            </w:r>
            <w:r>
              <w:rPr>
                <w:rFonts w:ascii="Times New Roman" w:hAnsi="Times New Roman"/>
                <w:b w:val="false"/>
                <w:color w:val="000000"/>
                <w:sz w:val="9"/>
              </w:rPr>
              <w:t>(13)</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13,355</w:t>
            </w:r>
            <w:r>
              <w:rPr>
                <w:rFonts w:ascii="Times New Roman" w:hAnsi="Times New Roman"/>
                <w:color w:val="000000"/>
                <w:sz w:val="20"/>
              </w:rPr>
              <w:t> </w:t>
            </w:r>
            <w:r>
              <w:rPr>
                <w:rFonts w:ascii="Times New Roman" w:hAnsi="Times New Roman"/>
                <w:b w:val="false"/>
                <w:color w:val="000000"/>
                <w:sz w:val="14"/>
              </w:rPr>
              <w:t>Preferred Units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6/30/2022</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13,355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14,891</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TRP Assets, LLC </w:t>
            </w:r>
            <w:r>
              <w:rPr>
                <w:rFonts w:ascii="Times New Roman" w:hAnsi="Times New Roman"/>
                <w:b w:val="false"/>
                <w:color w:val="000000"/>
                <w:sz w:val="9"/>
              </w:rPr>
              <w:t>(11)(13)</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Partnership Interest (1.89% ownership)</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8/25/2022</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0.8%</w:t>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22,087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26,702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w:t>
            </w:r>
          </w:p>
        </w:tc>
      </w:tr>
      <w:tr>
        <w:trPr/>
        <w:tc>
          <w:tcPr>
            <w:tcW w:w="30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Pharmaceuticals</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pPr>
            <w:r>
              <w:rPr/>
              <w:t> </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TherapeuticsMD, Inc. </w:t>
            </w:r>
            <w:r>
              <w:rPr>
                <w:rFonts w:ascii="Times New Roman" w:hAnsi="Times New Roman"/>
                <w:b w:val="false"/>
                <w:color w:val="000000"/>
                <w:sz w:val="9"/>
              </w:rPr>
              <w:t>(4)(11)</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14,256</w:t>
            </w:r>
            <w:r>
              <w:rPr>
                <w:rFonts w:ascii="Times New Roman" w:hAnsi="Times New Roman"/>
                <w:color w:val="000000"/>
                <w:sz w:val="20"/>
              </w:rPr>
              <w:t> </w:t>
            </w:r>
            <w:r>
              <w:rPr>
                <w:rFonts w:ascii="Times New Roman" w:hAnsi="Times New Roman"/>
                <w:b w:val="false"/>
                <w:color w:val="000000"/>
                <w:sz w:val="14"/>
              </w:rPr>
              <w:t>Warrants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8/5/2020</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pPr>
            <w:r>
              <w:rPr/>
              <w:t> </w:t>
            </w:r>
          </w:p>
        </w:tc>
      </w:tr>
      <w:tr>
        <w:trPr/>
        <w:tc>
          <w:tcPr>
            <w:tcW w:w="304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Retail and Consumer Products</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pPr>
            <w:r>
              <w:rPr/>
              <w:t> </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American Achievement, Corp. </w:t>
            </w:r>
            <w:r>
              <w:rPr>
                <w:rFonts w:ascii="Times New Roman" w:hAnsi="Times New Roman"/>
                <w:b w:val="false"/>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(687</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3/16/2021</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Copper Bidco, LLC</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Trust Certificates (132,928</w:t>
            </w:r>
            <w:r>
              <w:rPr>
                <w:rFonts w:ascii="Times New Roman" w:hAnsi="Times New Roman"/>
                <w:color w:val="000000"/>
                <w:sz w:val="20"/>
              </w:rPr>
              <w:t> </w:t>
            </w:r>
            <w:r>
              <w:rPr>
                <w:rFonts w:ascii="Times New Roman" w:hAnsi="Times New Roman"/>
                <w:b w:val="false"/>
                <w:color w:val="000000"/>
                <w:sz w:val="14"/>
              </w:rPr>
              <w:t>Certificates)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12/7/2020</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Trust Certificates (996,958</w:t>
            </w:r>
            <w:r>
              <w:rPr>
                <w:rFonts w:ascii="Times New Roman" w:hAnsi="Times New Roman"/>
                <w:color w:val="000000"/>
                <w:sz w:val="14"/>
              </w:rPr>
              <w:t> </w:t>
            </w:r>
            <w:r>
              <w:rPr>
                <w:rFonts w:ascii="Times New Roman" w:hAnsi="Times New Roman"/>
                <w:b w:val="false"/>
                <w:color w:val="000000"/>
                <w:sz w:val="14"/>
              </w:rPr>
              <w:t xml:space="preserve">Certificates) </w:t>
            </w:r>
            <w:r>
              <w:rPr>
                <w:rFonts w:ascii="Times New Roman" w:hAnsi="Times New Roman"/>
                <w:b w:val="false"/>
                <w:color w:val="000000"/>
                <w:sz w:val="9"/>
              </w:rPr>
              <w:t>(9)</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1/30/2021</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2,589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10,727</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0.7%</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Neuintel, LLC </w:t>
            </w:r>
            <w:r>
              <w:rPr>
                <w:rFonts w:ascii="Times New Roman" w:hAnsi="Times New Roman"/>
                <w:b w:val="false"/>
                <w:color w:val="000000"/>
                <w:sz w:val="9"/>
              </w:rPr>
              <w:t>(11)(13)</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(1,176,494</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12/21/2021</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0.9%</w:t>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pPr>
            <w:r>
              <w:rPr/>
              <w:t> </w:t>
            </w:r>
          </w:p>
        </w:tc>
      </w:tr>
      <w:tr>
        <w:trPr/>
        <w:tc>
          <w:tcPr>
            <w:tcW w:w="30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Structured Credit</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pPr>
            <w:r>
              <w:rPr/>
              <w:t> </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Allegro CLO Ltd, Series 2018-1A,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6/2031)</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5/26/2022</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+ 3.11%</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8.42%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953</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American Money Management Corp CLO Ltd, Series 2016-18A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($1,500</w:t>
            </w:r>
            <w:r>
              <w:rPr>
                <w:rFonts w:ascii="Times New Roman" w:hAnsi="Times New Roman"/>
                <w:color w:val="000000"/>
                <w:sz w:val="20"/>
              </w:rPr>
              <w:t> </w:t>
            </w:r>
            <w:r>
              <w:rPr>
                <w:rFonts w:ascii="Times New Roman" w:hAnsi="Times New Roman"/>
                <w:b w:val="false"/>
                <w:color w:val="000000"/>
                <w:sz w:val="14"/>
              </w:rPr>
              <w:t>par, due 5/2031)</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6/22/2022</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+ 3.31%</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1,356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1,455</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Ares CLO Ltd, Series 2021-59A</w:t>
            </w:r>
            <w:r>
              <w:rPr>
                <w:rFonts w:ascii="Times New Roman" w:hAnsi="Times New Roman"/>
                <w:color w:val="000000"/>
                <w:sz w:val="14"/>
              </w:rPr>
              <w:t>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4/2034)</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6/23/2022</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+ 6.51%</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906</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Ares Loan Funding I Ltd, Series 2021-ALFA, Class E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10/2034)</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6/24/2022</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+ 6.96%</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943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925</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Bain Capital Credit CLO Ltd, Series 2018-1A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($500</w:t>
            </w:r>
            <w:r>
              <w:rPr>
                <w:rFonts w:ascii="Times New Roman" w:hAnsi="Times New Roman"/>
                <w:color w:val="000000"/>
                <w:sz w:val="20"/>
              </w:rPr>
              <w:t> </w:t>
            </w:r>
            <w:r>
              <w:rPr>
                <w:rFonts w:ascii="Times New Roman" w:hAnsi="Times New Roman"/>
                <w:b w:val="false"/>
                <w:color w:val="000000"/>
                <w:sz w:val="14"/>
              </w:rPr>
              <w:t>par, due 4/2031)</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10/15/2020</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+ 5.61%</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10.96%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421</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Battalion CLO Ltd, Series 2021-21A</w:t>
            </w:r>
            <w:r>
              <w:rPr>
                <w:rFonts w:ascii="Times New Roman" w:hAnsi="Times New Roman"/>
                <w:color w:val="000000"/>
                <w:sz w:val="14"/>
              </w:rPr>
              <w:t>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($1,300</w:t>
            </w:r>
            <w:r>
              <w:rPr>
                <w:rFonts w:ascii="Times New Roman" w:hAnsi="Times New Roman"/>
                <w:color w:val="000000"/>
                <w:sz w:val="20"/>
              </w:rPr>
              <w:t> </w:t>
            </w:r>
            <w:r>
              <w:rPr>
                <w:rFonts w:ascii="Times New Roman" w:hAnsi="Times New Roman"/>
                <w:b w:val="false"/>
                <w:color w:val="000000"/>
                <w:sz w:val="14"/>
              </w:rPr>
              <w:t>par, due 7/2034)</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7/13/2022</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+ 3.56%</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8.87%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1,167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1,222</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Benefit Street Partners CLO Ltd, Series 2015-BR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($2,500</w:t>
            </w:r>
            <w:r>
              <w:rPr>
                <w:rFonts w:ascii="Times New Roman" w:hAnsi="Times New Roman"/>
                <w:color w:val="000000"/>
                <w:sz w:val="20"/>
              </w:rPr>
              <w:t> </w:t>
            </w:r>
            <w:r>
              <w:rPr>
                <w:rFonts w:ascii="Times New Roman" w:hAnsi="Times New Roman"/>
                <w:b w:val="false"/>
                <w:color w:val="000000"/>
                <w:sz w:val="14"/>
              </w:rPr>
              <w:t>par, due 7/2034)</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7/13/2022</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+ 4.11%</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9.44%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2,190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2,500</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Benefit Street Partners CLO Ltd, Series 2015-8A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($1,425</w:t>
            </w:r>
            <w:r>
              <w:rPr>
                <w:rFonts w:ascii="Times New Roman" w:hAnsi="Times New Roman"/>
                <w:color w:val="000000"/>
                <w:sz w:val="20"/>
              </w:rPr>
              <w:t> </w:t>
            </w:r>
            <w:r>
              <w:rPr>
                <w:rFonts w:ascii="Times New Roman" w:hAnsi="Times New Roman"/>
                <w:b w:val="false"/>
                <w:color w:val="000000"/>
                <w:sz w:val="14"/>
              </w:rPr>
              <w:t>par, due 1/2031)</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9/13/2022</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+ 3.01%</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8.34%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1,334</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6"/>
        <w:gridCol w:w="146"/>
        <w:gridCol w:w="2019"/>
        <w:gridCol w:w="146"/>
        <w:gridCol w:w="663"/>
        <w:gridCol w:w="146"/>
        <w:gridCol w:w="773"/>
        <w:gridCol w:w="146"/>
        <w:gridCol w:w="505"/>
        <w:gridCol w:w="146"/>
        <w:gridCol w:w="181"/>
        <w:gridCol w:w="691"/>
        <w:gridCol w:w="146"/>
        <w:gridCol w:w="181"/>
        <w:gridCol w:w="691"/>
        <w:gridCol w:w="146"/>
        <w:gridCol w:w="573"/>
      </w:tblGrid>
      <w:tr>
        <w:trPr/>
        <w:tc>
          <w:tcPr>
            <w:tcW w:w="2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Carlyle Global Market Strategies CLO Ltd, Series 2014-4RA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7/2030)</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5/26/2022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+ 3.16%</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8.47%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928</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Carlyle Global Market Strategies CLO Ltd, Series 2016-1, Ltd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($1,600</w:t>
            </w:r>
            <w:r>
              <w:rPr>
                <w:rFonts w:ascii="Times New Roman" w:hAnsi="Times New Roman"/>
                <w:color w:val="000000"/>
                <w:sz w:val="20"/>
              </w:rPr>
              <w:t> </w:t>
            </w:r>
            <w:r>
              <w:rPr>
                <w:rFonts w:ascii="Times New Roman" w:hAnsi="Times New Roman"/>
                <w:b w:val="false"/>
                <w:color w:val="000000"/>
                <w:sz w:val="14"/>
              </w:rPr>
              <w:t>par, due 4/2034)</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2/15/2023</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+ 6.86%</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12.19%</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1,427</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1,467</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Carlyle Global Market Strategies CLO Ltd, Series 2018-1A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($1,550</w:t>
            </w:r>
            <w:r>
              <w:rPr>
                <w:rFonts w:ascii="Times New Roman" w:hAnsi="Times New Roman"/>
                <w:color w:val="000000"/>
                <w:sz w:val="20"/>
              </w:rPr>
              <w:t> </w:t>
            </w:r>
            <w:r>
              <w:rPr>
                <w:rFonts w:ascii="Times New Roman" w:hAnsi="Times New Roman"/>
                <w:b w:val="false"/>
                <w:color w:val="000000"/>
                <w:sz w:val="14"/>
              </w:rPr>
              <w:t>par, due 4/2031)</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8/11/2020</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+ 6.01%</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1,386</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CarVal CLO III Ltd, Series 2019-2A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7/2032)</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6/30/2022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+ 6.70%</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12.03%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957</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Cedar Funding CLO Ltd, Series 2018-7A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1/2031)</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7/21/2022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+ 4.81%</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867</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CIFC CLO Ltd, Series 2018-3A</w:t>
            </w:r>
            <w:r>
              <w:rPr>
                <w:rFonts w:ascii="Times New Roman" w:hAnsi="Times New Roman"/>
                <w:color w:val="000000"/>
                <w:sz w:val="14"/>
              </w:rPr>
              <w:t>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7/2031)</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6/16/2022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+ 5.76%</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11.07%</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902</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928</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CIFC CLO Ltd, Series 2021-4A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7/2033)</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7/14/2022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+ 6.26%</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11.57%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950</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Crown Point CLO Ltd, Series 2021-10A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7/2034)</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6/14/2022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+ 7.11%</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12.44%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925</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Dryden Senior Loan Fund, Series 2018-55A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4/2031)</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7/25/2022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+ 3.11%</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8.42%</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925</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928</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Dryden Senior Loan Fund, Series 2020-86A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($1,500</w:t>
            </w:r>
            <w:r>
              <w:rPr>
                <w:rFonts w:ascii="Times New Roman" w:hAnsi="Times New Roman"/>
                <w:color w:val="000000"/>
                <w:sz w:val="20"/>
              </w:rPr>
              <w:t> </w:t>
            </w:r>
            <w:r>
              <w:rPr>
                <w:rFonts w:ascii="Times New Roman" w:hAnsi="Times New Roman"/>
                <w:b w:val="false"/>
                <w:color w:val="000000"/>
                <w:sz w:val="14"/>
              </w:rPr>
              <w:t>par, due 7/2034)</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8/17/2022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+ 6.76%</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12.07%</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1,451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1,358</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Eaton CLO Ltd, Series 2015-1A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($2,500</w:t>
            </w:r>
            <w:r>
              <w:rPr>
                <w:rFonts w:ascii="Times New Roman" w:hAnsi="Times New Roman"/>
                <w:color w:val="000000"/>
                <w:sz w:val="20"/>
              </w:rPr>
              <w:t> </w:t>
            </w:r>
            <w:r>
              <w:rPr>
                <w:rFonts w:ascii="Times New Roman" w:hAnsi="Times New Roman"/>
                <w:b w:val="false"/>
                <w:color w:val="000000"/>
                <w:sz w:val="14"/>
              </w:rPr>
              <w:t>par, due 1/2030)</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6/23/2022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+ 2.76%</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2,252</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2,394</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Eaton CLO Ltd, Series 2020-1A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10/2034)</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8/11/2022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+ 6.51%</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11.82%</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934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962</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GoldenTree CLO Ltd, Series 2020-7A</w:t>
            </w:r>
            <w:r>
              <w:rPr>
                <w:rFonts w:ascii="Times New Roman" w:hAnsi="Times New Roman"/>
                <w:color w:val="000000"/>
                <w:sz w:val="14"/>
              </w:rPr>
              <w:t>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4/2034)</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6/17/2022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+ 6.76%</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12.09%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984</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Gulf Stream Meridian, Series 2021-4A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($1,015</w:t>
            </w:r>
            <w:r>
              <w:rPr>
                <w:rFonts w:ascii="Times New Roman" w:hAnsi="Times New Roman"/>
                <w:color w:val="000000"/>
                <w:sz w:val="20"/>
              </w:rPr>
              <w:t> </w:t>
            </w:r>
            <w:r>
              <w:rPr>
                <w:rFonts w:ascii="Times New Roman" w:hAnsi="Times New Roman"/>
                <w:b w:val="false"/>
                <w:color w:val="000000"/>
                <w:sz w:val="14"/>
              </w:rPr>
              <w:t>par, due 7/2034)</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+ 6.61%</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11.98%</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941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920</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Gulf Stream Meridian, Series 2021-6A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($2,000</w:t>
            </w:r>
            <w:r>
              <w:rPr>
                <w:rFonts w:ascii="Times New Roman" w:hAnsi="Times New Roman"/>
                <w:color w:val="000000"/>
                <w:sz w:val="20"/>
              </w:rPr>
              <w:t> </w:t>
            </w:r>
            <w:r>
              <w:rPr>
                <w:rFonts w:ascii="Times New Roman" w:hAnsi="Times New Roman"/>
                <w:b w:val="false"/>
                <w:color w:val="000000"/>
                <w:sz w:val="14"/>
              </w:rPr>
              <w:t>par, due 1/2037)</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9/12/2022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+ 6.62%</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1,849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1,785</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Jefferson Mill CLO Ltd, Series 2015-1A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10/2031)</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5/23/2022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+ 3.81%</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937</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KKR CLO Ltd, 49A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7/2035)</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+ 8.26%</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13.33%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959</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Madison Park CLO, Series 2018-28A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7/2030)</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6/28/2022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+ 5.51%</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10.82%</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908</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948</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Magnetite CLO Ltd, Series 2021-30A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10/2034)</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6/13/2022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+ 6.46%</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956</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MidOcean Credit CLO Ltd, Series 2016-6A</w:t>
            </w:r>
            <w:r>
              <w:rPr>
                <w:rFonts w:ascii="Times New Roman" w:hAnsi="Times New Roman"/>
                <w:color w:val="000000"/>
                <w:sz w:val="14"/>
              </w:rPr>
              <w:t>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($3,500</w:t>
            </w:r>
            <w:r>
              <w:rPr>
                <w:rFonts w:ascii="Times New Roman" w:hAnsi="Times New Roman"/>
                <w:color w:val="000000"/>
                <w:sz w:val="20"/>
              </w:rPr>
              <w:t> </w:t>
            </w:r>
            <w:r>
              <w:rPr>
                <w:rFonts w:ascii="Times New Roman" w:hAnsi="Times New Roman"/>
                <w:b w:val="false"/>
                <w:color w:val="000000"/>
                <w:sz w:val="14"/>
              </w:rPr>
              <w:t>par, due 4/2033)</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5/23/2022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+ 3.78%</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3,165</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3,231</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MidOcean Credit CLO Ltd, Series 2018-9A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($1,100</w:t>
            </w:r>
            <w:r>
              <w:rPr>
                <w:rFonts w:ascii="Times New Roman" w:hAnsi="Times New Roman"/>
                <w:color w:val="000000"/>
                <w:sz w:val="20"/>
              </w:rPr>
              <w:t> </w:t>
            </w:r>
            <w:r>
              <w:rPr>
                <w:rFonts w:ascii="Times New Roman" w:hAnsi="Times New Roman"/>
                <w:b w:val="false"/>
                <w:color w:val="000000"/>
                <w:sz w:val="14"/>
              </w:rPr>
              <w:t>par, due 7/2031)</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+ 6.31%</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11.64%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952</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Octagon 57 LLC, Series 2021-1A</w:t>
            </w:r>
            <w:r>
              <w:rPr>
                <w:rFonts w:ascii="Times New Roman" w:hAnsi="Times New Roman"/>
                <w:color w:val="000000"/>
                <w:sz w:val="14"/>
              </w:rPr>
              <w:t>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10/2034)</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5/24/2022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+ 6.86%</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12.17%</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949</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916</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Octagon Investment Partners 18 Ltd, Series 2018-18A</w:t>
            </w:r>
            <w:r>
              <w:rPr>
                <w:rFonts w:ascii="Times New Roman" w:hAnsi="Times New Roman"/>
                <w:color w:val="000000"/>
                <w:sz w:val="14"/>
              </w:rPr>
              <w:t>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4/2031)</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7/26/2022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+ 2.96%</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925</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Octagon Investment Partners 38 Ltd, Series 2018-1A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($2,800</w:t>
            </w:r>
            <w:r>
              <w:rPr>
                <w:rFonts w:ascii="Times New Roman" w:hAnsi="Times New Roman"/>
                <w:color w:val="000000"/>
                <w:sz w:val="20"/>
              </w:rPr>
              <w:t> </w:t>
            </w:r>
            <w:r>
              <w:rPr>
                <w:rFonts w:ascii="Times New Roman" w:hAnsi="Times New Roman"/>
                <w:b w:val="false"/>
                <w:color w:val="000000"/>
                <w:sz w:val="14"/>
              </w:rPr>
              <w:t>par, due 7/2030)</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9/20/2022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+ 3.21%</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2,489</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2,620</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Park Avenue Institutional Advisers CLO Ltd, Series 2018-1A</w:t>
            </w:r>
            <w:r>
              <w:rPr>
                <w:rFonts w:ascii="Times New Roman" w:hAnsi="Times New Roman"/>
                <w:color w:val="000000"/>
                <w:sz w:val="14"/>
              </w:rPr>
              <w:t>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10/2031)</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9/23/2022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+ 3.59%</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8.92%</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868</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922</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Pikes Peak CLO, Series 2021-9A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($2,000</w:t>
            </w:r>
            <w:r>
              <w:rPr>
                <w:rFonts w:ascii="Times New Roman" w:hAnsi="Times New Roman"/>
                <w:color w:val="000000"/>
                <w:sz w:val="20"/>
              </w:rPr>
              <w:t> </w:t>
            </w:r>
            <w:r>
              <w:rPr>
                <w:rFonts w:ascii="Times New Roman" w:hAnsi="Times New Roman"/>
                <w:b w:val="false"/>
                <w:color w:val="000000"/>
                <w:sz w:val="14"/>
              </w:rPr>
              <w:t>par, due 10/2034)</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8/31/2022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+ 6.84%</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1,782</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1,894</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RR Ltd, Series 2020-8A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4/2033)</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8/22/2022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+ 6.66%</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980</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Signal Peak CLO LLC, Series 2018-5A</w:t>
            </w:r>
            <w:r>
              <w:rPr>
                <w:rFonts w:ascii="Times New Roman" w:hAnsi="Times New Roman"/>
                <w:color w:val="000000"/>
                <w:sz w:val="14"/>
              </w:rPr>
              <w:t>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($333</w:t>
            </w:r>
            <w:r>
              <w:rPr>
                <w:rFonts w:ascii="Times New Roman" w:hAnsi="Times New Roman"/>
                <w:color w:val="000000"/>
                <w:sz w:val="20"/>
              </w:rPr>
              <w:t> </w:t>
            </w:r>
            <w:r>
              <w:rPr>
                <w:rFonts w:ascii="Times New Roman" w:hAnsi="Times New Roman"/>
                <w:b w:val="false"/>
                <w:color w:val="000000"/>
                <w:sz w:val="14"/>
              </w:rPr>
              <w:t>par, due 4/2031)</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+ 5.91%</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297</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Southwick Park CLO Ltd, Series 2019-4A</w:t>
            </w:r>
            <w:r>
              <w:rPr>
                <w:rFonts w:ascii="Times New Roman" w:hAnsi="Times New Roman"/>
                <w:color w:val="000000"/>
                <w:sz w:val="14"/>
              </w:rPr>
              <w:t>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7/2032)</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5/25/2022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+ 6.51%</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931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925</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Stewart Park CLO Ltd, Series 2015-1A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($1,000</w:t>
            </w:r>
            <w:r>
              <w:rPr>
                <w:rFonts w:ascii="Times New Roman" w:hAnsi="Times New Roman"/>
                <w:color w:val="000000"/>
                <w:sz w:val="20"/>
              </w:rPr>
              <w:t> </w:t>
            </w:r>
            <w:r>
              <w:rPr>
                <w:rFonts w:ascii="Times New Roman" w:hAnsi="Times New Roman"/>
                <w:b w:val="false"/>
                <w:color w:val="000000"/>
                <w:sz w:val="14"/>
              </w:rPr>
              <w:t>par, due 1/2030)</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7/25/2022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+ 2.86%</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8.17%</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922</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Voya CLO Ltd, Series 2018-3A</w:t>
            </w:r>
            <w:r>
              <w:rPr>
                <w:rFonts w:ascii="Times New Roman" w:hAnsi="Times New Roman"/>
                <w:color w:val="000000"/>
                <w:sz w:val="14"/>
              </w:rPr>
              <w:t>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($2,750</w:t>
            </w:r>
            <w:r>
              <w:rPr>
                <w:rFonts w:ascii="Times New Roman" w:hAnsi="Times New Roman"/>
                <w:color w:val="000000"/>
                <w:sz w:val="20"/>
              </w:rPr>
              <w:t> </w:t>
            </w:r>
            <w:r>
              <w:rPr>
                <w:rFonts w:ascii="Times New Roman" w:hAnsi="Times New Roman"/>
                <w:b w:val="false"/>
                <w:color w:val="000000"/>
                <w:sz w:val="14"/>
              </w:rPr>
              <w:t>par, due 10/2031)</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6/22/2022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+ 6.01%</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11.32%</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2,435</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2,391</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Wind River CLO Ltd, Series 2014-2A</w:t>
            </w:r>
            <w:r>
              <w:rPr>
                <w:rFonts w:ascii="Times New Roman" w:hAnsi="Times New Roman"/>
                <w:color w:val="000000"/>
                <w:sz w:val="14"/>
              </w:rPr>
              <w:t>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($1,500</w:t>
            </w:r>
            <w:r>
              <w:rPr>
                <w:rFonts w:ascii="Times New Roman" w:hAnsi="Times New Roman"/>
                <w:color w:val="000000"/>
                <w:sz w:val="20"/>
              </w:rPr>
              <w:t> </w:t>
            </w:r>
            <w:r>
              <w:rPr>
                <w:rFonts w:ascii="Times New Roman" w:hAnsi="Times New Roman"/>
                <w:b w:val="false"/>
                <w:color w:val="000000"/>
                <w:sz w:val="14"/>
              </w:rPr>
              <w:t>par, due 1/2031)</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6/23/2022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+ 3.16%</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8.47%</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1,405</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1,339</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Wind River CLO Ltd, Series 2017-1A</w:t>
            </w:r>
            <w:r>
              <w:rPr>
                <w:rFonts w:ascii="Times New Roman" w:hAnsi="Times New Roman"/>
                <w:color w:val="000000"/>
                <w:sz w:val="14"/>
              </w:rPr>
              <w:t> </w:t>
            </w:r>
            <w:r>
              <w:rPr>
                <w:rFonts w:ascii="Times New Roman" w:hAnsi="Times New Roman"/>
                <w:b w:val="false"/>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($3,000</w:t>
            </w:r>
            <w:r>
              <w:rPr>
                <w:rFonts w:ascii="Times New Roman" w:hAnsi="Times New Roman"/>
                <w:color w:val="000000"/>
                <w:sz w:val="20"/>
              </w:rPr>
              <w:t> </w:t>
            </w:r>
            <w:r>
              <w:rPr>
                <w:rFonts w:ascii="Times New Roman" w:hAnsi="Times New Roman"/>
                <w:b w:val="false"/>
                <w:color w:val="000000"/>
                <w:sz w:val="14"/>
              </w:rPr>
              <w:t>par, due 4/2036)</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7/14/2022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+ 3.98%</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2,630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2,721</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Wind River CLO Ltd, Series 2018-3A </w:t>
            </w:r>
            <w:r>
              <w:rPr>
                <w:rFonts w:ascii="Times New Roman" w:hAnsi="Times New Roman"/>
                <w:b w:val="false"/>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Credit ($2,000</w:t>
            </w:r>
            <w:r>
              <w:rPr>
                <w:rFonts w:ascii="Times New Roman" w:hAnsi="Times New Roman"/>
                <w:color w:val="000000"/>
                <w:sz w:val="20"/>
              </w:rPr>
              <w:t> </w:t>
            </w:r>
            <w:r>
              <w:rPr>
                <w:rFonts w:ascii="Times New Roman" w:hAnsi="Times New Roman"/>
                <w:b w:val="false"/>
                <w:color w:val="000000"/>
                <w:sz w:val="14"/>
              </w:rPr>
              <w:t>par, due 1/2031)</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12/12/2022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+ 5.91%</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11.24%</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9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52,718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w:t>
            </w:r>
          </w:p>
        </w:tc>
      </w:tr>
      <w:tr>
        <w:trPr/>
        <w:tc>
          <w:tcPr>
            <w:tcW w:w="290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and Other Investments</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195,009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204,175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13.7%</w:t>
            </w:r>
          </w:p>
        </w:tc>
      </w:tr>
      <w:tr>
        <w:trPr/>
        <w:tc>
          <w:tcPr>
            <w:tcW w:w="290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Investments</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3,085,378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3,113,277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209.5%</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71"/>
        <w:gridCol w:w="146"/>
        <w:gridCol w:w="952"/>
        <w:gridCol w:w="146"/>
        <w:gridCol w:w="952"/>
        <w:gridCol w:w="146"/>
        <w:gridCol w:w="877"/>
        <w:gridCol w:w="146"/>
        <w:gridCol w:w="211"/>
        <w:gridCol w:w="781"/>
        <w:gridCol w:w="146"/>
        <w:gridCol w:w="146"/>
        <w:gridCol w:w="211"/>
        <w:gridCol w:w="736"/>
        <w:gridCol w:w="166"/>
        <w:gridCol w:w="146"/>
        <w:gridCol w:w="361"/>
        <w:gridCol w:w="594"/>
        <w:gridCol w:w="146"/>
        <w:gridCol w:w="146"/>
        <w:gridCol w:w="246"/>
        <w:gridCol w:w="737"/>
        <w:gridCol w:w="396"/>
      </w:tblGrid>
      <w:tr>
        <w:trPr/>
        <w:tc>
          <w:tcPr>
            <w:tcW w:w="1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92"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Swaps as of September 30, 2023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Receives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Pays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Market</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Upfront</w:t>
              <w:br/>
              <w:t>(Payments) /</w:t>
              <w:br/>
              <w:t>Receipts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Unrealized</w:t>
              <w:br/>
              <w:t>Gains / (Losses)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(a)</w:t>
            </w:r>
          </w:p>
        </w:tc>
        <w:tc>
          <w:tcPr>
            <w:tcW w:w="14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SOFR + 2.54%</w:t>
            </w:r>
          </w:p>
        </w:tc>
        <w:tc>
          <w:tcPr>
            <w:tcW w:w="14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3.875%</w:t>
            </w:r>
          </w:p>
        </w:tc>
        <w:tc>
          <w:tcPr>
            <w:tcW w:w="146" w:type="dxa"/>
            <w:tcBorders/>
            <w:shd w:fill="CFF0FC" w:val="clear"/>
            <w:vAlign w:val="center"/>
          </w:tcPr>
          <w:p>
            <w:pPr>
              <w:pStyle w:val="TableContents"/>
              <w:bidi w:val="0"/>
              <w:spacing w:before="0" w:after="283"/>
              <w:jc w:val="right"/>
              <w:rPr/>
            </w:pPr>
            <w:r>
              <w:rPr/>
              <w:t> </w:t>
            </w:r>
          </w:p>
        </w:tc>
        <w:tc>
          <w:tcPr>
            <w:tcW w:w="8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11/1/2024</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7"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jc w:val="left"/>
              <w:rPr/>
            </w:pPr>
            <w:r>
              <w:rPr/>
              <w:t> </w:t>
            </w:r>
          </w:p>
        </w:tc>
      </w:tr>
      <w:tr>
        <w:trPr/>
        <w:tc>
          <w:tcPr>
            <w:tcW w:w="16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(a)(b)(c)(d)</w:t>
            </w:r>
          </w:p>
        </w:tc>
        <w:tc>
          <w:tcPr>
            <w:tcW w:w="14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3.875%</w:t>
            </w:r>
          </w:p>
        </w:tc>
        <w:tc>
          <w:tcPr>
            <w:tcW w:w="14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SOFR + 2.51%</w:t>
            </w:r>
          </w:p>
        </w:tc>
        <w:tc>
          <w:tcPr>
            <w:tcW w:w="146" w:type="dxa"/>
            <w:tcBorders/>
            <w:shd w:fill="FFFFFF" w:val="clear"/>
            <w:vAlign w:val="center"/>
          </w:tcPr>
          <w:p>
            <w:pPr>
              <w:pStyle w:val="TableContents"/>
              <w:bidi w:val="0"/>
              <w:spacing w:before="0" w:after="283"/>
              <w:jc w:val="right"/>
              <w:rPr/>
            </w:pPr>
            <w:r>
              <w:rPr/>
              <w:t> </w:t>
            </w:r>
          </w:p>
        </w:tc>
        <w:tc>
          <w:tcPr>
            <w:tcW w:w="8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11/1/2024</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(12,882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3,611</w:t>
            </w:r>
          </w:p>
        </w:tc>
        <w:tc>
          <w:tcPr>
            <w:tcW w:w="396" w:type="dxa"/>
            <w:tcBorders/>
            <w:shd w:fill="FFFFFF" w:val="clear"/>
            <w:vAlign w:val="center"/>
          </w:tcPr>
          <w:p>
            <w:pPr>
              <w:pStyle w:val="TableContents"/>
              <w:bidi w:val="0"/>
              <w:spacing w:before="0" w:after="283"/>
              <w:jc w:val="left"/>
              <w:rPr/>
            </w:pPr>
            <w:r>
              <w:rPr/>
              <w:t> </w:t>
            </w:r>
          </w:p>
        </w:tc>
      </w:tr>
      <w:tr>
        <w:trPr/>
        <w:tc>
          <w:tcPr>
            <w:tcW w:w="16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(a)(b)(c)(d)</w:t>
            </w:r>
          </w:p>
        </w:tc>
        <w:tc>
          <w:tcPr>
            <w:tcW w:w="14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3.875%</w:t>
            </w:r>
          </w:p>
        </w:tc>
        <w:tc>
          <w:tcPr>
            <w:tcW w:w="14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SOFR + 2.72%</w:t>
            </w:r>
          </w:p>
        </w:tc>
        <w:tc>
          <w:tcPr>
            <w:tcW w:w="146" w:type="dxa"/>
            <w:tcBorders/>
            <w:shd w:fill="CFF0FC" w:val="clear"/>
            <w:vAlign w:val="center"/>
          </w:tcPr>
          <w:p>
            <w:pPr>
              <w:pStyle w:val="TableContents"/>
              <w:bidi w:val="0"/>
              <w:spacing w:before="0" w:after="283"/>
              <w:jc w:val="right"/>
              <w:rPr/>
            </w:pPr>
            <w:r>
              <w:rPr/>
              <w:t> </w:t>
            </w:r>
          </w:p>
        </w:tc>
        <w:tc>
          <w:tcPr>
            <w:tcW w:w="8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11/1/2024</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w:t>
            </w:r>
          </w:p>
        </w:tc>
        <w:tc>
          <w:tcPr>
            <w:tcW w:w="396" w:type="dxa"/>
            <w:tcBorders/>
            <w:shd w:fill="CFF0FC" w:val="clear"/>
            <w:vAlign w:val="center"/>
          </w:tcPr>
          <w:p>
            <w:pPr>
              <w:pStyle w:val="TableContents"/>
              <w:bidi w:val="0"/>
              <w:spacing w:before="0" w:after="283"/>
              <w:jc w:val="left"/>
              <w:rPr/>
            </w:pPr>
            <w:r>
              <w:rPr/>
              <w:t> </w:t>
            </w:r>
          </w:p>
        </w:tc>
      </w:tr>
      <w:tr>
        <w:trPr/>
        <w:tc>
          <w:tcPr>
            <w:tcW w:w="16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(a)(b)</w:t>
            </w:r>
          </w:p>
        </w:tc>
        <w:tc>
          <w:tcPr>
            <w:tcW w:w="14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2.50%</w:t>
            </w:r>
          </w:p>
        </w:tc>
        <w:tc>
          <w:tcPr>
            <w:tcW w:w="14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SOFR + 2.17%</w:t>
            </w:r>
          </w:p>
        </w:tc>
        <w:tc>
          <w:tcPr>
            <w:tcW w:w="146" w:type="dxa"/>
            <w:tcBorders/>
            <w:shd w:fill="FFFFFF" w:val="clear"/>
            <w:vAlign w:val="center"/>
          </w:tcPr>
          <w:p>
            <w:pPr>
              <w:pStyle w:val="TableContents"/>
              <w:bidi w:val="0"/>
              <w:spacing w:before="0" w:after="283"/>
              <w:jc w:val="right"/>
              <w:rPr/>
            </w:pPr>
            <w:r>
              <w:rPr/>
              <w:t> </w:t>
            </w:r>
          </w:p>
        </w:tc>
        <w:tc>
          <w:tcPr>
            <w:tcW w:w="8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8/1/2026</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(34,724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941</w:t>
            </w:r>
          </w:p>
        </w:tc>
        <w:tc>
          <w:tcPr>
            <w:tcW w:w="396" w:type="dxa"/>
            <w:tcBorders/>
            <w:shd w:fill="FFFFFF" w:val="clear"/>
            <w:vAlign w:val="center"/>
          </w:tcPr>
          <w:p>
            <w:pPr>
              <w:pStyle w:val="TableContents"/>
              <w:bidi w:val="0"/>
              <w:spacing w:before="0" w:after="283"/>
              <w:jc w:val="left"/>
              <w:rPr/>
            </w:pPr>
            <w:r>
              <w:rPr/>
              <w:t> </w:t>
            </w:r>
          </w:p>
        </w:tc>
      </w:tr>
      <w:tr>
        <w:trPr/>
        <w:tc>
          <w:tcPr>
            <w:tcW w:w="16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(a)(b)</w:t>
            </w:r>
          </w:p>
        </w:tc>
        <w:tc>
          <w:tcPr>
            <w:tcW w:w="14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6.95%</w:t>
            </w:r>
          </w:p>
        </w:tc>
        <w:tc>
          <w:tcPr>
            <w:tcW w:w="14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SOFR + 2.99%</w:t>
            </w:r>
          </w:p>
        </w:tc>
        <w:tc>
          <w:tcPr>
            <w:tcW w:w="146" w:type="dxa"/>
            <w:tcBorders/>
            <w:shd w:fill="CFF0FC" w:val="clear"/>
            <w:vAlign w:val="center"/>
          </w:tcPr>
          <w:p>
            <w:pPr>
              <w:pStyle w:val="TableContents"/>
              <w:bidi w:val="0"/>
              <w:spacing w:before="0" w:after="283"/>
              <w:jc w:val="right"/>
              <w:rPr/>
            </w:pPr>
            <w:r>
              <w:rPr/>
              <w:t> </w:t>
            </w:r>
          </w:p>
        </w:tc>
        <w:tc>
          <w:tcPr>
            <w:tcW w:w="8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8/14/2028</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(6,079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Hedge Accounting Swaps</w:t>
            </w:r>
          </w:p>
        </w:tc>
        <w:tc>
          <w:tcPr>
            <w:tcW w:w="14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7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(55,943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(860</w:t>
            </w:r>
          </w:p>
        </w:tc>
        <w:tc>
          <w:tcPr>
            <w:tcW w:w="3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6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collateral</w:t>
            </w:r>
          </w:p>
        </w:tc>
        <w:tc>
          <w:tcPr>
            <w:tcW w:w="14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87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7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derivatives</w:t>
            </w:r>
          </w:p>
        </w:tc>
        <w:tc>
          <w:tcPr>
            <w:tcW w:w="14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(860</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Contains a variable rate structure. Bears interest at a rate determined by SOFR.</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Instrument is used in a hedge accounting relationship. The associated change in fair value is recorded along with the change in fair value of the hedged item within interest expense.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0" w:after="0"/>
        <w:jc w:val="left"/>
        <w:rPr/>
      </w:pPr>
      <w:r>
        <w:rPr>
          <w:rFonts w:ascii="Times New Roman" w:hAnsi="Times New Roman"/>
          <w:b w:val="false"/>
          <w:color w:val="000000"/>
          <w:sz w:val="20"/>
        </w:rPr>
        <w:t>$2.5</w:t>
      </w:r>
      <w:r>
        <w:rPr>
          <w:color w:val="000000"/>
        </w:rPr>
        <w:t xml:space="preserve"> </w:t>
      </w:r>
      <w:r>
        <w:rPr>
          <w:rFonts w:ascii="Times New Roman" w:hAnsi="Times New Roman"/>
          <w:b w:val="false"/>
          <w:color w:val="000000"/>
          <w:sz w:val="20"/>
        </w:rPr>
        <w:t>million in aggregate notional value of these instruments is no longer designated as instruments in a hedge accounting relationship. The associated change in fair value of the de-designated portion is recorded within unrealized gain/(loss).</w:t>
      </w:r>
      <w:r>
        <w:rPr>
          <w:color w:val="000000"/>
        </w:rPr>
        <w:t xml:space="preserv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0" w:after="0"/>
        <w:jc w:val="left"/>
        <w:rPr/>
      </w:pPr>
      <w:r>
        <w:rPr>
          <w:rFonts w:ascii="Times New Roman" w:hAnsi="Times New Roman"/>
          <w:b w:val="false"/>
          <w:color w:val="000000"/>
          <w:sz w:val="20"/>
        </w:rPr>
        <w:t>The fair market value of this instrument is presented net with the $2.5</w:t>
      </w:r>
      <w:r>
        <w:rPr>
          <w:color w:val="000000"/>
        </w:rPr>
        <w:t xml:space="preserve"> </w:t>
      </w:r>
      <w:r>
        <w:rPr>
          <w:rFonts w:ascii="Times New Roman" w:hAnsi="Times New Roman"/>
          <w:b w:val="false"/>
          <w:color w:val="000000"/>
          <w:sz w:val="20"/>
        </w:rPr>
        <w:t xml:space="preserve">million in aggregate notional value of instruments no longer designated as instruments in a hedge accounting relationship.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Certain portfolio company investments are subject to contractual restrictions on sales.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amortized cost represents the original cost adjusted for the amortization of discounts and premiums, as applicable, on debt investments using the effective interest method.</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Investment contains a variable rate structure, subject to an interest rate floor. Variable rate investments bear interest at a rate that may be determined by reference to either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2023.</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11.0% of total assets as of September 30, 2023.</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0" w:after="0"/>
        <w:jc w:val="left"/>
        <w:rPr/>
      </w:pPr>
      <w:r>
        <w:rPr>
          <w:rFonts w:ascii="Times New Roman" w:hAnsi="Times New Roman"/>
          <w:b w:val="false"/>
          <w:color w:val="000000"/>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r>
        <w:rPr>
          <w:color w:val="000000"/>
        </w:rPr>
        <w:t xml:space="preserv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(6)</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2023 in which the Company was an Affiliated Person of and was deemed to Control a portfolio company are as follows:</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Controlled, Affiliated Investments during the nine months ended September 30,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2"/>
        <w:gridCol w:w="146"/>
        <w:gridCol w:w="201"/>
        <w:gridCol w:w="569"/>
        <w:gridCol w:w="146"/>
        <w:gridCol w:w="146"/>
        <w:gridCol w:w="225"/>
        <w:gridCol w:w="545"/>
        <w:gridCol w:w="146"/>
        <w:gridCol w:w="146"/>
        <w:gridCol w:w="290"/>
        <w:gridCol w:w="555"/>
        <w:gridCol w:w="146"/>
        <w:gridCol w:w="146"/>
        <w:gridCol w:w="200"/>
        <w:gridCol w:w="618"/>
        <w:gridCol w:w="151"/>
        <w:gridCol w:w="146"/>
        <w:gridCol w:w="240"/>
        <w:gridCol w:w="461"/>
        <w:gridCol w:w="146"/>
        <w:gridCol w:w="146"/>
        <w:gridCol w:w="237"/>
        <w:gridCol w:w="454"/>
        <w:gridCol w:w="146"/>
        <w:gridCol w:w="146"/>
        <w:gridCol w:w="210"/>
        <w:gridCol w:w="596"/>
        <w:gridCol w:w="146"/>
        <w:gridCol w:w="146"/>
        <w:gridCol w:w="270"/>
        <w:gridCol w:w="271"/>
        <w:gridCol w:w="146"/>
        <w:gridCol w:w="146"/>
        <w:gridCol w:w="181"/>
        <w:gridCol w:w="436"/>
        <w:gridCol w:w="197"/>
      </w:tblGrid>
      <w:tr>
        <w:trPr/>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br/>
              <w:t>Value at</w:t>
              <w:b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Gross</w:t>
              <w:br/>
              <w:t>Additions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Gross</w:t>
              <w:br/>
              <w:t>Reductions</w:t>
            </w:r>
            <w:r>
              <w:rPr>
                <w:rFonts w:ascii="Times New Roman" w:hAnsi="Times New Roman"/>
                <w:color w:val="000000"/>
                <w:sz w:val="14"/>
              </w:rPr>
              <w:t xml:space="preserve"> </w:t>
            </w:r>
            <w:r>
              <w:rPr>
                <w:rFonts w:ascii="Times New Roman" w:hAnsi="Times New Roman"/>
                <w:b/>
                <w:color w:val="000000"/>
                <w:sz w:val="14"/>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Change</w:t>
              <w:br/>
              <w:t>In Unrealized</w:t>
              <w:br/>
              <w:t>Gain/(Loss)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Transfers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br/>
              <w:t>Value at</w:t>
              <w:b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br/>
              <w:t>Income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2"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IRGSE Holding Corp.</w:t>
            </w:r>
          </w:p>
        </w:tc>
        <w:tc>
          <w:tcPr>
            <w:tcW w:w="146" w:type="dxa"/>
            <w:tcBorders/>
            <w:shd w:fill="CFF0FC" w:val="cle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(17,783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60,977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5,599</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62"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70,755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(17,783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60,977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5,599</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Gross additions include increases in the cost basis of investments resulting from new investments, payment-in-kind interest or dividends, the amortization of any unearned income or discounts on debt investments, as applicable.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xml:space="preserve">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 </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(7)</w:t>
      </w:r>
    </w:p>
    <w:p>
      <w:pPr>
        <w:pStyle w:val="TextBody"/>
        <w:bidi w:val="0"/>
        <w:spacing w:before="0" w:after="0"/>
        <w:jc w:val="left"/>
        <w:rPr/>
      </w:pPr>
      <w:r>
        <w:rPr>
          <w:rFonts w:ascii="Times New Roman" w:hAnsi="Times New Roman"/>
          <w:b w:val="false"/>
          <w:color w:val="000000"/>
          <w:sz w:val="20"/>
        </w:rPr>
        <w:t>As of September 30, 2023, the estimated cost basis of investments for U.S. federal tax purposes was $3,096,469, resulting in estimated gross unrealized gains and losses of $147,820</w:t>
      </w:r>
      <w:r>
        <w:rPr>
          <w:color w:val="000000"/>
        </w:rPr>
        <w:t xml:space="preserve"> </w:t>
      </w:r>
      <w:r>
        <w:rPr>
          <w:rFonts w:ascii="Times New Roman" w:hAnsi="Times New Roman"/>
          <w:b w:val="false"/>
          <w:color w:val="000000"/>
          <w:sz w:val="20"/>
        </w:rPr>
        <w:t>and $125,469, respectively.</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(8)</w:t>
      </w:r>
    </w:p>
    <w:p>
      <w:pPr>
        <w:pStyle w:val="TextBody"/>
        <w:bidi w:val="0"/>
        <w:spacing w:before="0" w:after="0"/>
        <w:jc w:val="left"/>
        <w:rPr/>
      </w:pPr>
      <w:r>
        <w:rPr>
          <w:rFonts w:ascii="Times New Roman" w:hAnsi="Times New Roman"/>
          <w:b w:val="false"/>
          <w:color w:val="000000"/>
          <w:sz w:val="20"/>
        </w:rPr>
        <w:t xml:space="preserve">In accordance with Financial Accounting Standards Board Accounting Standards Codification Topic 820, </w:t>
      </w:r>
      <w:r>
        <w:rPr>
          <w:rFonts w:ascii="Times New Roman" w:hAnsi="Times New Roman"/>
          <w:b w:val="false"/>
          <w:i/>
          <w:color w:val="000000"/>
          <w:sz w:val="20"/>
        </w:rPr>
        <w:t>Fair Value Measurements</w:t>
      </w:r>
      <w:r>
        <w:rPr>
          <w:color w:val="000000"/>
        </w:rPr>
        <w:t xml:space="preserve"> </w:t>
      </w:r>
      <w:r>
        <w:rPr>
          <w:rFonts w:ascii="Times New Roman" w:hAnsi="Times New Roman"/>
          <w:b w:val="false"/>
          <w:color w:val="000000"/>
          <w:sz w:val="20"/>
        </w:rPr>
        <w:t>(“ASC Topic 820”), unless otherwise indicated, the fair values of all investments were determined using significant unobservable inputs and are considered Level 3 investments. See Note 6 for further information related to investments at fair value.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(9)</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This investment is valued using observable inputs and is considered a Level 2 investment. See Note 6 for further information related to investments at fair value.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(10)</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This investment is valued using observable inputs and is considered a Level 1 investment. See Note 6 for further information related to investments at fair value.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This investment is non-income producing.</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(12)</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All or a portion of this security was acquired in a transaction exempt from registration under the Securities Act of 1933, and may be deemed to be “restricted securities” under the Securities Act. As of September 30, 2023, the aggregate fair value of these securities is $6,346, or 0.4% of the Company’s net assets.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(13)</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Ownership of equity investments may occur through a holding company or partnership.</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(14)</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Investment is on non-accrual status as of September 30, 2023.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(15)</w:t>
      </w:r>
    </w:p>
    <w:p>
      <w:pPr>
        <w:pStyle w:val="TextBody"/>
        <w:bidi w:val="0"/>
        <w:jc w:val="left"/>
        <w:rPr/>
      </w:pPr>
      <w:r>
        <w:rPr>
          <w:rFonts w:ascii="Times New Roman" w:hAnsi="Times New Roman"/>
          <w:b w:val="false"/>
          <w:color w:val="000000"/>
          <w:sz w:val="20"/>
        </w:rPr>
        <w:t>In addition to the principal amount outstanding and accrued interest owed on this investment, the Company is entitled to a separate Make-Whole Amount (the “Make-Whole”) of $11.4</w:t>
      </w:r>
      <w:r>
        <w:rPr>
          <w:color w:val="000000"/>
        </w:rPr>
        <w:t xml:space="preserve"> </w:t>
      </w:r>
      <w:r>
        <w:rPr>
          <w:rFonts w:ascii="Times New Roman" w:hAnsi="Times New Roman"/>
          <w:b w:val="false"/>
          <w:color w:val="000000"/>
          <w:sz w:val="20"/>
        </w:rPr>
        <w:t>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consolidated financial statements.</w:t>
      </w:r>
    </w:p>
    <w:p>
      <w:pPr>
        <w:pStyle w:val="TextBody"/>
        <w:bidi w:val="0"/>
        <w:spacing w:before="120" w:after="283"/>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Consolidated Schedule of Investments as of December 31, 2022</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87"/>
        <w:gridCol w:w="146"/>
        <w:gridCol w:w="1820"/>
        <w:gridCol w:w="146"/>
        <w:gridCol w:w="796"/>
        <w:gridCol w:w="146"/>
        <w:gridCol w:w="774"/>
        <w:gridCol w:w="146"/>
        <w:gridCol w:w="977"/>
        <w:gridCol w:w="146"/>
        <w:gridCol w:w="181"/>
        <w:gridCol w:w="721"/>
        <w:gridCol w:w="146"/>
        <w:gridCol w:w="181"/>
        <w:gridCol w:w="707"/>
        <w:gridCol w:w="146"/>
        <w:gridCol w:w="839"/>
      </w:tblGrid>
      <w:tr>
        <w:trPr/>
        <w:tc>
          <w:tcPr>
            <w:tcW w:w="21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7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7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39" w:type="dxa"/>
            <w:tcBorders/>
            <w:shd w:fill="FFFFFF" w:val="clear"/>
            <w:vAlign w:val="center"/>
          </w:tcPr>
          <w:p>
            <w:pPr>
              <w:pStyle w:val="TableContents"/>
              <w:bidi w:val="0"/>
              <w:spacing w:before="0" w:after="283"/>
              <w:jc w:val="left"/>
              <w:rPr>
                <w:sz w:val="4"/>
                <w:szCs w:val="4"/>
              </w:rPr>
            </w:pPr>
            <w:r>
              <w:rPr>
                <w:sz w:val="4"/>
                <w:szCs w:val="4"/>
              </w:rPr>
            </w:r>
          </w:p>
        </w:tc>
      </w:tr>
      <w:tr>
        <w:trPr/>
        <w:tc>
          <w:tcPr>
            <w:tcW w:w="2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Company </w:t>
            </w:r>
            <w:r>
              <w:rPr>
                <w:rFonts w:ascii="Times New Roman" w:hAnsi="Times New Roman"/>
                <w:b/>
                <w:color w:val="000000"/>
                <w:sz w:val="9"/>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br/>
              <w:t>Rate and</w:t>
              <w:br/>
              <w:t>Spread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Amortized</w:t>
              <w:br/>
              <w:t xml:space="preserve">Cost </w:t>
            </w:r>
            <w:r>
              <w:rPr>
                <w:rFonts w:ascii="Times New Roman" w:hAnsi="Times New Roman"/>
                <w:b/>
                <w:color w:val="000000"/>
                <w:sz w:val="9"/>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Value </w:t>
            </w:r>
            <w:r>
              <w:rPr>
                <w:rFonts w:ascii="Times New Roman" w:hAnsi="Times New Roman"/>
                <w:b/>
                <w:color w:val="000000"/>
                <w:sz w:val="9"/>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br/>
              <w:t>of Net Assets</w:t>
            </w:r>
          </w:p>
        </w:tc>
      </w:tr>
      <w:tr>
        <w:trPr/>
        <w:tc>
          <w:tcPr>
            <w:tcW w:w="2187"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pPr>
            <w:r>
              <w:rPr/>
              <w:t> </w:t>
            </w:r>
          </w:p>
        </w:tc>
      </w:tr>
      <w:tr>
        <w:trPr/>
        <w:tc>
          <w:tcPr>
            <w:tcW w:w="2187"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Automotive</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pPr>
            <w:r>
              <w:rPr/>
              <w:t> </w:t>
            </w:r>
          </w:p>
        </w:tc>
      </w:tr>
      <w:tr>
        <w:trPr/>
        <w:tc>
          <w:tcPr>
            <w:tcW w:w="21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Carlstar Group, LLC</w:t>
            </w:r>
            <w:r>
              <w:rPr>
                <w:rFonts w:ascii="Times New Roman" w:hAnsi="Times New Roman"/>
                <w:color w:val="000000"/>
                <w:sz w:val="14"/>
              </w:rPr>
              <w:t>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($33,575</w:t>
            </w:r>
            <w:r>
              <w:rPr>
                <w:rFonts w:ascii="Times New Roman" w:hAnsi="Times New Roman"/>
                <w:color w:val="000000"/>
                <w:sz w:val="20"/>
              </w:rPr>
              <w:t> </w:t>
            </w:r>
            <w:r>
              <w:rPr>
                <w:rFonts w:ascii="Times New Roman" w:hAnsi="Times New Roman"/>
                <w:b w:val="false"/>
                <w:color w:val="000000"/>
                <w:sz w:val="14"/>
              </w:rPr>
              <w:t>par, due 7/2027)</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7/8/2022</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+ 6.60%</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10.92%</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32,739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33,049</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w:t>
            </w:r>
          </w:p>
        </w:tc>
      </w:tr>
      <w:tr>
        <w:trPr/>
        <w:tc>
          <w:tcPr>
            <w:tcW w:w="2187"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pPr>
            <w:r>
              <w:rPr/>
              <w:t> </w:t>
            </w:r>
          </w:p>
        </w:tc>
      </w:tr>
      <w:tr>
        <w:trPr/>
        <w:tc>
          <w:tcPr>
            <w:tcW w:w="21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Acceo Solutions, Inc.</w:t>
            </w:r>
            <w:r>
              <w:rPr>
                <w:rFonts w:ascii="Times New Roman" w:hAnsi="Times New Roman"/>
                <w:color w:val="000000"/>
                <w:sz w:val="14"/>
              </w:rPr>
              <w:t> </w:t>
            </w:r>
            <w:r>
              <w:rPr>
                <w:rFonts w:ascii="Times New Roman" w:hAnsi="Times New Roman"/>
                <w:b w:val="false"/>
                <w:color w:val="000000"/>
                <w:sz w:val="9"/>
              </w:rPr>
              <w:t>(3)(4)(5)</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(CAD 57,353</w:t>
            </w:r>
            <w:r>
              <w:rPr>
                <w:rFonts w:ascii="Times New Roman" w:hAnsi="Times New Roman"/>
                <w:color w:val="000000"/>
                <w:sz w:val="20"/>
              </w:rPr>
              <w:t> </w:t>
            </w:r>
            <w:r>
              <w:rPr>
                <w:rFonts w:ascii="Times New Roman" w:hAnsi="Times New Roman"/>
                <w:b w:val="false"/>
                <w:color w:val="000000"/>
                <w:sz w:val="14"/>
              </w:rPr>
              <w:t>par, due 10/2025)</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7/6/2018</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C + 4.75%</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9.49%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43,241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14"/>
              </w:rPr>
              <w:t>42,540</w:t>
            </w:r>
            <w:r>
              <w:rPr>
                <w:rFonts w:ascii="Times New Roman" w:hAnsi="Times New Roman"/>
                <w:color w:val="000000"/>
                <w:sz w:val="20"/>
              </w:rPr>
              <w:t> </w:t>
            </w:r>
            <w:r>
              <w:rPr>
                <w:rFonts w:ascii="Times New Roman" w:hAnsi="Times New Roman"/>
                <w:b w:val="false"/>
                <w:color w:val="000000"/>
                <w:sz w:val="14"/>
              </w:rPr>
              <w:br/>
              <w:t>(CAD 57,640)</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w:t>
            </w:r>
          </w:p>
        </w:tc>
      </w:tr>
      <w:tr>
        <w:trPr/>
        <w:tc>
          <w:tcPr>
            <w:tcW w:w="21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Alpha Midco, Inc.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($68,720</w:t>
            </w:r>
            <w:r>
              <w:rPr>
                <w:rFonts w:ascii="Times New Roman" w:hAnsi="Times New Roman"/>
                <w:color w:val="000000"/>
                <w:sz w:val="20"/>
              </w:rPr>
              <w:t> </w:t>
            </w:r>
            <w:r>
              <w:rPr>
                <w:rFonts w:ascii="Times New Roman" w:hAnsi="Times New Roman"/>
                <w:b w:val="false"/>
                <w:color w:val="000000"/>
                <w:sz w:val="14"/>
              </w:rPr>
              <w:t>par, due</w:t>
            </w:r>
            <w:r>
              <w:rPr>
                <w:rFonts w:ascii="Times New Roman" w:hAnsi="Times New Roman"/>
                <w:color w:val="000000"/>
                <w:sz w:val="20"/>
              </w:rPr>
              <w:t xml:space="preserve"> </w:t>
            </w:r>
            <w:r>
              <w:rPr>
                <w:rFonts w:ascii="Times New Roman" w:hAnsi="Times New Roman"/>
                <w:b w:val="false"/>
                <w:color w:val="000000"/>
                <w:sz w:val="14"/>
              </w:rPr>
              <w:t>8/2025)</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8/15/2019</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+ 7.63%</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67,831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69,242</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w:t>
            </w:r>
          </w:p>
        </w:tc>
      </w:tr>
      <w:tr>
        <w:trPr/>
        <w:tc>
          <w:tcPr>
            <w:tcW w:w="21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Dye &amp; Durham Corp.</w:t>
            </w:r>
            <w:r>
              <w:rPr>
                <w:rFonts w:ascii="Times New Roman" w:hAnsi="Times New Roman"/>
                <w:color w:val="000000"/>
                <w:sz w:val="14"/>
              </w:rPr>
              <w:t> </w:t>
            </w:r>
            <w:r>
              <w:rPr>
                <w:rFonts w:ascii="Times New Roman" w:hAnsi="Times New Roman"/>
                <w:b w:val="false"/>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(CAD 34,220</w:t>
            </w:r>
            <w:r>
              <w:rPr>
                <w:rFonts w:ascii="Times New Roman" w:hAnsi="Times New Roman"/>
                <w:color w:val="000000"/>
                <w:sz w:val="20"/>
              </w:rPr>
              <w:t> </w:t>
            </w:r>
            <w:r>
              <w:rPr>
                <w:rFonts w:ascii="Times New Roman" w:hAnsi="Times New Roman"/>
                <w:b w:val="false"/>
                <w:color w:val="000000"/>
                <w:sz w:val="14"/>
              </w:rPr>
              <w:t>par, due 12/2027)</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12/3/2021</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C + 5.75%</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25,076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24,113</w:t>
              <w:br/>
              <w:t>(CAD 32,672)</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w:t>
            </w:r>
          </w:p>
        </w:tc>
      </w:tr>
      <w:tr>
        <w:trPr/>
        <w:tc>
          <w:tcPr>
            <w:tcW w:w="21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revolving loan (CAD 1,448</w:t>
            </w:r>
            <w:r>
              <w:rPr>
                <w:rFonts w:ascii="Times New Roman" w:hAnsi="Times New Roman"/>
                <w:color w:val="000000"/>
                <w:sz w:val="20"/>
              </w:rPr>
              <w:t> </w:t>
            </w:r>
            <w:r>
              <w:rPr>
                <w:rFonts w:ascii="Times New Roman" w:hAnsi="Times New Roman"/>
                <w:b w:val="false"/>
                <w:color w:val="000000"/>
                <w:sz w:val="14"/>
              </w:rPr>
              <w:t>par, due 12/2026)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12/3/2021</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P + 6.75%</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1,095</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1,069</w:t>
              <w:br/>
              <w:t>(CAD 1,448)</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1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ExtraHop Networks, Inc.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($57,950</w:t>
            </w:r>
            <w:r>
              <w:rPr>
                <w:rFonts w:ascii="Times New Roman" w:hAnsi="Times New Roman"/>
                <w:color w:val="000000"/>
                <w:sz w:val="20"/>
              </w:rPr>
              <w:t> </w:t>
            </w:r>
            <w:r>
              <w:rPr>
                <w:rFonts w:ascii="Times New Roman" w:hAnsi="Times New Roman"/>
                <w:b w:val="false"/>
                <w:color w:val="000000"/>
                <w:sz w:val="14"/>
              </w:rPr>
              <w:t>par, due</w:t>
            </w:r>
            <w:r>
              <w:rPr>
                <w:rFonts w:ascii="Times New Roman" w:hAnsi="Times New Roman"/>
                <w:color w:val="000000"/>
                <w:sz w:val="20"/>
              </w:rPr>
              <w:t xml:space="preserve"> </w:t>
            </w:r>
            <w:r>
              <w:rPr>
                <w:rFonts w:ascii="Times New Roman" w:hAnsi="Times New Roman"/>
                <w:b w:val="false"/>
                <w:color w:val="000000"/>
                <w:sz w:val="14"/>
              </w:rPr>
              <w:t>7/2027)</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7/22/2021</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+ 7.50%</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56,812</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56,791</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w:t>
            </w:r>
          </w:p>
        </w:tc>
      </w:tr>
      <w:tr>
        <w:trPr/>
        <w:tc>
          <w:tcPr>
            <w:tcW w:w="21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ForeScout Technologies, Inc.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($2,606</w:t>
            </w:r>
            <w:r>
              <w:rPr>
                <w:rFonts w:ascii="Times New Roman" w:hAnsi="Times New Roman"/>
                <w:color w:val="000000"/>
                <w:sz w:val="20"/>
              </w:rPr>
              <w:t> </w:t>
            </w:r>
            <w:r>
              <w:rPr>
                <w:rFonts w:ascii="Times New Roman" w:hAnsi="Times New Roman"/>
                <w:b w:val="false"/>
                <w:color w:val="000000"/>
                <w:sz w:val="14"/>
              </w:rPr>
              <w:t>par, due 8/2026)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7/1/2022</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+ 9.00%</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13.72% (incl. 9.00% PIK)</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2,533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2,489</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18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($6,502</w:t>
            </w:r>
            <w:r>
              <w:rPr>
                <w:rFonts w:ascii="Times New Roman" w:hAnsi="Times New Roman"/>
                <w:color w:val="000000"/>
                <w:sz w:val="20"/>
              </w:rPr>
              <w:t> </w:t>
            </w:r>
            <w:r>
              <w:rPr>
                <w:rFonts w:ascii="Times New Roman" w:hAnsi="Times New Roman"/>
                <w:b w:val="false"/>
                <w:color w:val="000000"/>
                <w:sz w:val="14"/>
              </w:rPr>
              <w:t>par, due</w:t>
            </w:r>
            <w:r>
              <w:rPr>
                <w:rFonts w:ascii="Times New Roman" w:hAnsi="Times New Roman"/>
                <w:color w:val="000000"/>
                <w:sz w:val="20"/>
              </w:rPr>
              <w:t xml:space="preserve"> </w:t>
            </w:r>
            <w:r>
              <w:rPr>
                <w:rFonts w:ascii="Times New Roman" w:hAnsi="Times New Roman"/>
                <w:b w:val="false"/>
                <w:color w:val="000000"/>
                <w:sz w:val="14"/>
              </w:rPr>
              <w:t>8/2026)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8/17/2020</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+ 9.50%</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14.23% (incl. 9.50% PIK)</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6,412</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6,421</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0.5%</w:t>
            </w:r>
          </w:p>
        </w:tc>
      </w:tr>
      <w:tr>
        <w:trPr/>
        <w:tc>
          <w:tcPr>
            <w:tcW w:w="21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Hornetsecurity Holding GmbH</w:t>
            </w:r>
            <w:r>
              <w:rPr>
                <w:rFonts w:ascii="Times New Roman" w:hAnsi="Times New Roman"/>
                <w:color w:val="000000"/>
                <w:sz w:val="14"/>
              </w:rPr>
              <w:t> </w:t>
            </w:r>
            <w:r>
              <w:rPr>
                <w:rFonts w:ascii="Times New Roman" w:hAnsi="Times New Roman"/>
                <w:b w:val="false"/>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3,150</w:t>
            </w:r>
            <w:r>
              <w:rPr>
                <w:rFonts w:ascii="Times New Roman" w:hAnsi="Times New Roman"/>
                <w:color w:val="000000"/>
                <w:sz w:val="20"/>
              </w:rPr>
              <w:t> </w:t>
            </w:r>
            <w:r>
              <w:rPr>
                <w:rFonts w:ascii="Times New Roman" w:hAnsi="Times New Roman"/>
                <w:b w:val="false"/>
                <w:color w:val="000000"/>
                <w:sz w:val="14"/>
              </w:rPr>
              <w:t>par, due</w:t>
            </w:r>
            <w:r>
              <w:rPr>
                <w:rFonts w:ascii="Times New Roman" w:hAnsi="Times New Roman"/>
                <w:color w:val="000000"/>
                <w:sz w:val="20"/>
              </w:rPr>
              <w:t xml:space="preserve"> </w:t>
            </w:r>
            <w:r>
              <w:rPr>
                <w:rFonts w:ascii="Times New Roman" w:hAnsi="Times New Roman"/>
                <w:b w:val="false"/>
                <w:color w:val="000000"/>
                <w:sz w:val="14"/>
              </w:rPr>
              <w:t>11/2029)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11/14/2022</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+ 6.50%</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3,140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3,213</w:t>
              <w:br/>
              <w:t>(EUR 3,011)</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1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Information Clearinghouse, LLC and MS Market Service, LLC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($17,820</w:t>
            </w:r>
            <w:r>
              <w:rPr>
                <w:rFonts w:ascii="Times New Roman" w:hAnsi="Times New Roman"/>
                <w:color w:val="000000"/>
                <w:sz w:val="20"/>
              </w:rPr>
              <w:t> </w:t>
            </w:r>
            <w:r>
              <w:rPr>
                <w:rFonts w:ascii="Times New Roman" w:hAnsi="Times New Roman"/>
                <w:b w:val="false"/>
                <w:color w:val="000000"/>
                <w:sz w:val="14"/>
              </w:rPr>
              <w:t>par, due</w:t>
            </w:r>
            <w:r>
              <w:rPr>
                <w:rFonts w:ascii="Times New Roman" w:hAnsi="Times New Roman"/>
                <w:color w:val="000000"/>
                <w:sz w:val="20"/>
              </w:rPr>
              <w:t xml:space="preserve"> </w:t>
            </w:r>
            <w:r>
              <w:rPr>
                <w:rFonts w:ascii="Times New Roman" w:hAnsi="Times New Roman"/>
                <w:b w:val="false"/>
                <w:color w:val="000000"/>
                <w:sz w:val="14"/>
              </w:rPr>
              <w:t>12/2026)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12/20/2021</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+ 6.65%</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17,433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17,375</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w:t>
            </w:r>
          </w:p>
        </w:tc>
      </w:tr>
      <w:tr>
        <w:trPr/>
        <w:tc>
          <w:tcPr>
            <w:tcW w:w="21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Mitnick Corporate Purchaser, Inc.</w:t>
            </w:r>
            <w:r>
              <w:rPr>
                <w:rFonts w:ascii="Times New Roman" w:hAnsi="Times New Roman"/>
                <w:color w:val="000000"/>
                <w:sz w:val="14"/>
              </w:rPr>
              <w:t> </w:t>
            </w:r>
            <w:r>
              <w:rPr>
                <w:rFonts w:ascii="Times New Roman" w:hAnsi="Times New Roman"/>
                <w:b w:val="false"/>
                <w:color w:val="000000"/>
                <w:sz w:val="9"/>
              </w:rPr>
              <w:t>(3)(10)</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($333</w:t>
            </w:r>
            <w:r>
              <w:rPr>
                <w:rFonts w:ascii="Times New Roman" w:hAnsi="Times New Roman"/>
                <w:color w:val="000000"/>
                <w:sz w:val="20"/>
              </w:rPr>
              <w:t> </w:t>
            </w:r>
            <w:r>
              <w:rPr>
                <w:rFonts w:ascii="Times New Roman" w:hAnsi="Times New Roman"/>
                <w:b w:val="false"/>
                <w:color w:val="000000"/>
                <w:sz w:val="14"/>
              </w:rPr>
              <w:t>par, due 5/2029)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5/2/2022</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+ 4.85%</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311</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1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Netwrix Corp.</w:t>
            </w:r>
            <w:r>
              <w:rPr>
                <w:rFonts w:ascii="Times New Roman" w:hAnsi="Times New Roman"/>
                <w:color w:val="000000"/>
                <w:sz w:val="14"/>
              </w:rPr>
              <w:t>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($36,119</w:t>
            </w:r>
            <w:r>
              <w:rPr>
                <w:rFonts w:ascii="Times New Roman" w:hAnsi="Times New Roman"/>
                <w:color w:val="000000"/>
                <w:sz w:val="20"/>
              </w:rPr>
              <w:t> </w:t>
            </w:r>
            <w:r>
              <w:rPr>
                <w:rFonts w:ascii="Times New Roman" w:hAnsi="Times New Roman"/>
                <w:b w:val="false"/>
                <w:color w:val="000000"/>
                <w:sz w:val="14"/>
              </w:rPr>
              <w:t>par, due 6/2029)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6/9/2022</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+ 5.00%</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35,515</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35,119</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w:t>
            </w:r>
          </w:p>
        </w:tc>
      </w:tr>
      <w:tr>
        <w:trPr/>
        <w:tc>
          <w:tcPr>
            <w:tcW w:w="21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OutSystems Luxco SARL</w:t>
            </w:r>
            <w:r>
              <w:rPr>
                <w:rFonts w:ascii="Times New Roman" w:hAnsi="Times New Roman"/>
                <w:b w:val="false"/>
                <w:color w:val="000000"/>
                <w:sz w:val="9"/>
              </w:rPr>
              <w:t>(3)(4)(5)</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3,004</w:t>
            </w:r>
            <w:r>
              <w:rPr>
                <w:rFonts w:ascii="Times New Roman" w:hAnsi="Times New Roman"/>
                <w:color w:val="000000"/>
                <w:sz w:val="20"/>
              </w:rPr>
              <w:t> </w:t>
            </w:r>
            <w:r>
              <w:rPr>
                <w:rFonts w:ascii="Times New Roman" w:hAnsi="Times New Roman"/>
                <w:b w:val="false"/>
                <w:color w:val="000000"/>
                <w:sz w:val="14"/>
              </w:rPr>
              <w:t>par, due 12/2028)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12/8/2022</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+ 5.75%</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3,060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3,112</w:t>
              <w:br/>
              <w:t>(EUR 2,916)</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1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ReliaQuest Holdings, LLC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($63,477</w:t>
            </w:r>
            <w:r>
              <w:rPr>
                <w:rFonts w:ascii="Times New Roman" w:hAnsi="Times New Roman"/>
                <w:color w:val="000000"/>
                <w:sz w:val="20"/>
              </w:rPr>
              <w:t> </w:t>
            </w:r>
            <w:r>
              <w:rPr>
                <w:rFonts w:ascii="Times New Roman" w:hAnsi="Times New Roman"/>
                <w:b w:val="false"/>
                <w:color w:val="000000"/>
                <w:sz w:val="14"/>
              </w:rPr>
              <w:t>par, due 10/2026)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10/8/2020</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+ 7.25%</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62,411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63,477</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w:t>
            </w:r>
          </w:p>
        </w:tc>
      </w:tr>
      <w:tr>
        <w:trPr/>
        <w:tc>
          <w:tcPr>
            <w:tcW w:w="21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TIBCO Software Inc. </w:t>
            </w:r>
            <w:r>
              <w:rPr>
                <w:rFonts w:ascii="Times New Roman" w:hAnsi="Times New Roman"/>
                <w:b w:val="false"/>
                <w:color w:val="000000"/>
                <w:sz w:val="9"/>
              </w:rPr>
              <w:t>(10)</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note ($13,000</w:t>
            </w:r>
            <w:r>
              <w:rPr>
                <w:rFonts w:ascii="Times New Roman" w:hAnsi="Times New Roman"/>
                <w:color w:val="000000"/>
                <w:sz w:val="20"/>
              </w:rPr>
              <w:t> </w:t>
            </w:r>
            <w:r>
              <w:rPr>
                <w:rFonts w:ascii="Times New Roman" w:hAnsi="Times New Roman"/>
                <w:b w:val="false"/>
                <w:color w:val="000000"/>
                <w:sz w:val="14"/>
              </w:rPr>
              <w:t>par, due</w:t>
            </w:r>
            <w:r>
              <w:rPr>
                <w:rFonts w:ascii="Times New Roman" w:hAnsi="Times New Roman"/>
                <w:color w:val="000000"/>
                <w:sz w:val="20"/>
              </w:rPr>
              <w:t xml:space="preserve"> </w:t>
            </w:r>
            <w:r>
              <w:rPr>
                <w:rFonts w:ascii="Times New Roman" w:hAnsi="Times New Roman"/>
                <w:b w:val="false"/>
                <w:color w:val="000000"/>
                <w:sz w:val="14"/>
              </w:rPr>
              <w:t>3/2029)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9/20/2022</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6.50%</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6.50%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10,924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10,944</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0.8%</w:t>
            </w:r>
          </w:p>
        </w:tc>
      </w:tr>
      <w:tr>
        <w:trPr/>
        <w:tc>
          <w:tcPr>
            <w:tcW w:w="218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First-lien loan ($12,000</w:t>
            </w:r>
            <w:r>
              <w:rPr>
                <w:rFonts w:ascii="Times New Roman" w:hAnsi="Times New Roman"/>
                <w:color w:val="000000"/>
                <w:sz w:val="14"/>
              </w:rPr>
              <w:t> </w:t>
            </w:r>
            <w:r>
              <w:rPr>
                <w:rFonts w:ascii="Times New Roman" w:hAnsi="Times New Roman"/>
                <w:b w:val="false"/>
                <w:color w:val="000000"/>
                <w:sz w:val="14"/>
              </w:rPr>
              <w:t>par, due 3/2029)</w:t>
            </w:r>
            <w:r>
              <w:rPr>
                <w:rFonts w:ascii="Times New Roman" w:hAnsi="Times New Roman"/>
                <w:color w:val="000000"/>
                <w:sz w:val="14"/>
              </w:rPr>
              <w:t>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9/20/2022</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+ 4.60%</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10,947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10,680</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0.8%</w:t>
            </w:r>
          </w:p>
        </w:tc>
      </w:tr>
      <w:tr>
        <w:trPr/>
        <w:tc>
          <w:tcPr>
            <w:tcW w:w="21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WideOrbit, Inc.</w:t>
            </w:r>
            <w:r>
              <w:rPr>
                <w:rFonts w:ascii="Times New Roman" w:hAnsi="Times New Roman"/>
                <w:color w:val="000000"/>
                <w:sz w:val="14"/>
              </w:rPr>
              <w:t>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($35,548</w:t>
            </w:r>
            <w:r>
              <w:rPr>
                <w:rFonts w:ascii="Times New Roman" w:hAnsi="Times New Roman"/>
                <w:color w:val="000000"/>
                <w:sz w:val="20"/>
              </w:rPr>
              <w:t> </w:t>
            </w:r>
            <w:r>
              <w:rPr>
                <w:rFonts w:ascii="Times New Roman" w:hAnsi="Times New Roman"/>
                <w:b w:val="false"/>
                <w:color w:val="000000"/>
                <w:sz w:val="14"/>
              </w:rPr>
              <w:t>par, due</w:t>
            </w:r>
            <w:r>
              <w:rPr>
                <w:rFonts w:ascii="Times New Roman" w:hAnsi="Times New Roman"/>
                <w:color w:val="000000"/>
                <w:sz w:val="20"/>
              </w:rPr>
              <w:t xml:space="preserve"> </w:t>
            </w:r>
            <w:r>
              <w:rPr>
                <w:rFonts w:ascii="Times New Roman" w:hAnsi="Times New Roman"/>
                <w:b w:val="false"/>
                <w:color w:val="000000"/>
                <w:sz w:val="14"/>
              </w:rPr>
              <w:t>7/2025)</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7/8/2020</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+ 8.50%</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w:t>
            </w:r>
          </w:p>
        </w:tc>
      </w:tr>
      <w:tr>
        <w:trPr/>
        <w:tc>
          <w:tcPr>
            <w:tcW w:w="218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381,976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383,243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28.5%</w:t>
            </w:r>
          </w:p>
        </w:tc>
      </w:tr>
      <w:tr>
        <w:trPr/>
        <w:tc>
          <w:tcPr>
            <w:tcW w:w="2187"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Chemicals</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pPr>
            <w:r>
              <w:rPr/>
              <w:t> </w:t>
            </w:r>
          </w:p>
        </w:tc>
      </w:tr>
      <w:tr>
        <w:trPr/>
        <w:tc>
          <w:tcPr>
            <w:tcW w:w="21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Erling Lux Bidco SARL</w:t>
            </w:r>
            <w:r>
              <w:rPr>
                <w:rFonts w:ascii="Times New Roman" w:hAnsi="Times New Roman"/>
                <w:b w:val="false"/>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7,239</w:t>
            </w:r>
            <w:r>
              <w:rPr>
                <w:rFonts w:ascii="Times New Roman" w:hAnsi="Times New Roman"/>
                <w:color w:val="000000"/>
                <w:sz w:val="20"/>
              </w:rPr>
              <w:t> </w:t>
            </w:r>
            <w:r>
              <w:rPr>
                <w:rFonts w:ascii="Times New Roman" w:hAnsi="Times New Roman"/>
                <w:b w:val="false"/>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9/6/2022</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+ 6.75%</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6,908</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7,326</w:t>
              <w:br/>
              <w:t>(EUR 6,864)</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0.5%</w:t>
            </w:r>
          </w:p>
        </w:tc>
      </w:tr>
      <w:tr>
        <w:trPr/>
        <w:tc>
          <w:tcPr>
            <w:tcW w:w="21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(GBP 10,217</w:t>
            </w:r>
            <w:r>
              <w:rPr>
                <w:rFonts w:ascii="Times New Roman" w:hAnsi="Times New Roman"/>
                <w:color w:val="000000"/>
                <w:sz w:val="20"/>
              </w:rPr>
              <w:t> </w:t>
            </w:r>
            <w:r>
              <w:rPr>
                <w:rFonts w:ascii="Times New Roman" w:hAnsi="Times New Roman"/>
                <w:b w:val="false"/>
                <w:color w:val="000000"/>
                <w:sz w:val="14"/>
              </w:rPr>
              <w:t>par, due</w:t>
            </w:r>
            <w:r>
              <w:rPr>
                <w:rFonts w:ascii="Times New Roman" w:hAnsi="Times New Roman"/>
                <w:color w:val="000000"/>
                <w:sz w:val="20"/>
              </w:rPr>
              <w:t xml:space="preserve"> </w:t>
            </w:r>
            <w:r>
              <w:rPr>
                <w:rFonts w:ascii="Times New Roman" w:hAnsi="Times New Roman"/>
                <w:b w:val="false"/>
                <w:color w:val="000000"/>
                <w:sz w:val="14"/>
              </w:rPr>
              <w:t>9/2028)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9/6/2022</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 + 6.75%</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10.20%</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11,922</w:t>
              <w:br/>
              <w:t>(GBP 9,911)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0.9%</w:t>
            </w:r>
          </w:p>
        </w:tc>
      </w:tr>
      <w:tr>
        <w:trPr/>
        <w:tc>
          <w:tcPr>
            <w:tcW w:w="218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18,153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w:t>
            </w:r>
          </w:p>
        </w:tc>
      </w:tr>
      <w:tr>
        <w:trPr/>
        <w:tc>
          <w:tcPr>
            <w:tcW w:w="2187"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Communications</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pPr>
            <w:r>
              <w:rPr/>
              <w:t> </w:t>
            </w:r>
          </w:p>
        </w:tc>
      </w:tr>
      <w:tr>
        <w:trPr/>
        <w:tc>
          <w:tcPr>
            <w:tcW w:w="21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Celtra Technologies, Inc.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($34,650</w:t>
            </w:r>
            <w:r>
              <w:rPr>
                <w:rFonts w:ascii="Times New Roman" w:hAnsi="Times New Roman"/>
                <w:color w:val="000000"/>
                <w:sz w:val="20"/>
              </w:rPr>
              <w:t> </w:t>
            </w:r>
            <w:r>
              <w:rPr>
                <w:rFonts w:ascii="Times New Roman" w:hAnsi="Times New Roman"/>
                <w:b w:val="false"/>
                <w:color w:val="000000"/>
                <w:sz w:val="14"/>
              </w:rPr>
              <w:t>par, due 11/2026)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11/19/2021</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+ 7.00%</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11.38%</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33,764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33,264</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w:t>
            </w:r>
          </w:p>
        </w:tc>
      </w:tr>
      <w:tr>
        <w:trPr/>
        <w:tc>
          <w:tcPr>
            <w:tcW w:w="218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IntelePeer Holdings, Inc.</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First-lien loan ($34,677</w:t>
            </w:r>
            <w:r>
              <w:rPr>
                <w:rFonts w:ascii="Times New Roman" w:hAnsi="Times New Roman"/>
                <w:color w:val="000000"/>
                <w:sz w:val="14"/>
              </w:rPr>
              <w:t> </w:t>
            </w:r>
            <w:r>
              <w:rPr>
                <w:rFonts w:ascii="Times New Roman" w:hAnsi="Times New Roman"/>
                <w:b w:val="false"/>
                <w:color w:val="000000"/>
                <w:sz w:val="14"/>
              </w:rPr>
              <w:t xml:space="preserve">par, due 12/2024)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12/2/2019</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+ 8.25%</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34,633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33,983</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w:t>
            </w:r>
          </w:p>
        </w:tc>
      </w:tr>
      <w:tr>
        <w:trPr/>
        <w:tc>
          <w:tcPr>
            <w:tcW w:w="218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Convertible note ($4,382</w:t>
            </w:r>
            <w:r>
              <w:rPr>
                <w:rFonts w:ascii="Times New Roman" w:hAnsi="Times New Roman"/>
                <w:color w:val="000000"/>
                <w:sz w:val="20"/>
              </w:rPr>
              <w:t> </w:t>
            </w:r>
            <w:r>
              <w:rPr>
                <w:rFonts w:ascii="Times New Roman" w:hAnsi="Times New Roman"/>
                <w:b w:val="false"/>
                <w:color w:val="000000"/>
                <w:sz w:val="14"/>
              </w:rPr>
              <w:t>par, due 5/2028)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5/12/2021</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6.50%</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6.50% PIK</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21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72,747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71,487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w:t>
            </w:r>
          </w:p>
        </w:tc>
      </w:tr>
      <w:tr>
        <w:trPr/>
        <w:tc>
          <w:tcPr>
            <w:tcW w:w="2187"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Education</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pPr>
            <w:r>
              <w:rPr/>
              <w:t> </w:t>
            </w:r>
          </w:p>
        </w:tc>
      </w:tr>
      <w:tr>
        <w:trPr/>
        <w:tc>
          <w:tcPr>
            <w:tcW w:w="21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Astra Acquisition Corp.</w:t>
            </w:r>
            <w:r>
              <w:rPr>
                <w:rFonts w:ascii="Times New Roman" w:hAnsi="Times New Roman"/>
                <w:color w:val="000000"/>
                <w:sz w:val="14"/>
              </w:rPr>
              <w:t>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Second-lien loan ($43,479</w:t>
            </w:r>
            <w:r>
              <w:rPr>
                <w:rFonts w:ascii="Times New Roman" w:hAnsi="Times New Roman"/>
                <w:color w:val="000000"/>
                <w:sz w:val="20"/>
              </w:rPr>
              <w:t> </w:t>
            </w:r>
            <w:r>
              <w:rPr>
                <w:rFonts w:ascii="Times New Roman" w:hAnsi="Times New Roman"/>
                <w:b w:val="false"/>
                <w:color w:val="000000"/>
                <w:sz w:val="14"/>
              </w:rPr>
              <w:t>par, due 10/2029)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10/25/2021</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+ 8.88%</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42,743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40,762</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w:t>
            </w:r>
          </w:p>
        </w:tc>
      </w:tr>
      <w:tr>
        <w:trPr/>
        <w:tc>
          <w:tcPr>
            <w:tcW w:w="21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Destiny Solutions Parent Holding Company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($60,000</w:t>
            </w:r>
            <w:r>
              <w:rPr>
                <w:rFonts w:ascii="Times New Roman" w:hAnsi="Times New Roman"/>
                <w:color w:val="000000"/>
                <w:sz w:val="20"/>
              </w:rPr>
              <w:t> </w:t>
            </w:r>
            <w:r>
              <w:rPr>
                <w:rFonts w:ascii="Times New Roman" w:hAnsi="Times New Roman"/>
                <w:b w:val="false"/>
                <w:color w:val="000000"/>
                <w:sz w:val="14"/>
              </w:rPr>
              <w:t>par, due 6/2026)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6/8/2021</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+ 5.75%</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59,046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58,350</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w:t>
            </w:r>
          </w:p>
        </w:tc>
      </w:tr>
      <w:tr>
        <w:trPr/>
        <w:tc>
          <w:tcPr>
            <w:tcW w:w="21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EMS Linq, Inc.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($56,216</w:t>
            </w:r>
            <w:r>
              <w:rPr>
                <w:rFonts w:ascii="Times New Roman" w:hAnsi="Times New Roman"/>
                <w:color w:val="000000"/>
                <w:sz w:val="20"/>
              </w:rPr>
              <w:t> </w:t>
            </w:r>
            <w:r>
              <w:rPr>
                <w:rFonts w:ascii="Times New Roman" w:hAnsi="Times New Roman"/>
                <w:b w:val="false"/>
                <w:color w:val="000000"/>
                <w:sz w:val="14"/>
              </w:rPr>
              <w:t>par, due</w:t>
            </w:r>
            <w:r>
              <w:rPr>
                <w:rFonts w:ascii="Times New Roman" w:hAnsi="Times New Roman"/>
                <w:color w:val="000000"/>
                <w:sz w:val="20"/>
              </w:rPr>
              <w:t xml:space="preserve"> </w:t>
            </w:r>
            <w:r>
              <w:rPr>
                <w:rFonts w:ascii="Times New Roman" w:hAnsi="Times New Roman"/>
                <w:b w:val="false"/>
                <w:color w:val="000000"/>
                <w:sz w:val="14"/>
              </w:rPr>
              <w:t>12/2027)</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12/22/2021</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+ 6.25%</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10.63%</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w:t>
            </w:r>
          </w:p>
        </w:tc>
      </w:tr>
      <w:tr>
        <w:trPr/>
        <w:tc>
          <w:tcPr>
            <w:tcW w:w="218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156,892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152,403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w:t>
            </w:r>
          </w:p>
        </w:tc>
      </w:tr>
      <w:tr>
        <w:trPr/>
        <w:tc>
          <w:tcPr>
            <w:tcW w:w="2187"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pPr>
            <w:r>
              <w:rPr/>
              <w:t> </w:t>
            </w:r>
          </w:p>
        </w:tc>
      </w:tr>
      <w:tr>
        <w:trPr/>
        <w:tc>
          <w:tcPr>
            <w:tcW w:w="21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BTRS Holdings, Inc.</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($45,180</w:t>
            </w:r>
            <w:r>
              <w:rPr>
                <w:rFonts w:ascii="Times New Roman" w:hAnsi="Times New Roman"/>
                <w:color w:val="000000"/>
                <w:sz w:val="20"/>
              </w:rPr>
              <w:t> </w:t>
            </w:r>
            <w:r>
              <w:rPr>
                <w:rFonts w:ascii="Times New Roman" w:hAnsi="Times New Roman"/>
                <w:b w:val="false"/>
                <w:color w:val="000000"/>
                <w:sz w:val="14"/>
              </w:rPr>
              <w:t>par, due</w:t>
            </w:r>
            <w:r>
              <w:rPr>
                <w:rFonts w:ascii="Times New Roman" w:hAnsi="Times New Roman"/>
                <w:color w:val="000000"/>
                <w:sz w:val="20"/>
              </w:rPr>
              <w:t xml:space="preserve"> </w:t>
            </w:r>
            <w:r>
              <w:rPr>
                <w:rFonts w:ascii="Times New Roman" w:hAnsi="Times New Roman"/>
                <w:b w:val="false"/>
                <w:color w:val="000000"/>
                <w:sz w:val="14"/>
              </w:rPr>
              <w:t>12/2028)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12/16/2022</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+ 8.00%</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43,688</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43,465</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w:t>
            </w:r>
          </w:p>
        </w:tc>
      </w:tr>
      <w:tr>
        <w:trPr/>
        <w:tc>
          <w:tcPr>
            <w:tcW w:w="21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Bear OpCo, LLC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($20,169</w:t>
            </w:r>
            <w:r>
              <w:rPr>
                <w:rFonts w:ascii="Times New Roman" w:hAnsi="Times New Roman"/>
                <w:color w:val="000000"/>
                <w:sz w:val="20"/>
              </w:rPr>
              <w:t> </w:t>
            </w:r>
            <w:r>
              <w:rPr>
                <w:rFonts w:ascii="Times New Roman" w:hAnsi="Times New Roman"/>
                <w:b w:val="false"/>
                <w:color w:val="000000"/>
                <w:sz w:val="14"/>
              </w:rPr>
              <w:t>par, due 10/2024)</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10/10/2019</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+ 7.65%</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11.97%</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19,953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20,169</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w:t>
            </w:r>
          </w:p>
        </w:tc>
      </w:tr>
      <w:tr>
        <w:trPr/>
        <w:tc>
          <w:tcPr>
            <w:tcW w:w="21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BlueSnap, Inc.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($42,000</w:t>
            </w:r>
            <w:r>
              <w:rPr>
                <w:rFonts w:ascii="Times New Roman" w:hAnsi="Times New Roman"/>
                <w:color w:val="000000"/>
                <w:sz w:val="20"/>
              </w:rPr>
              <w:t> </w:t>
            </w:r>
            <w:r>
              <w:rPr>
                <w:rFonts w:ascii="Times New Roman" w:hAnsi="Times New Roman"/>
                <w:b w:val="false"/>
                <w:color w:val="000000"/>
                <w:sz w:val="14"/>
              </w:rPr>
              <w:t>par, due 10/2024)</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10/25/2019</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+ 6.75%</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11.48%</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41,646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41,889</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w:t>
            </w:r>
          </w:p>
        </w:tc>
      </w:tr>
      <w:tr>
        <w:trPr/>
        <w:tc>
          <w:tcPr>
            <w:tcW w:w="21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G Treasury SS, LLC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($65,859</w:t>
            </w:r>
            <w:r>
              <w:rPr>
                <w:rFonts w:ascii="Times New Roman" w:hAnsi="Times New Roman"/>
                <w:color w:val="000000"/>
                <w:sz w:val="20"/>
              </w:rPr>
              <w:t> </w:t>
            </w:r>
            <w:r>
              <w:rPr>
                <w:rFonts w:ascii="Times New Roman" w:hAnsi="Times New Roman"/>
                <w:b w:val="false"/>
                <w:color w:val="000000"/>
                <w:sz w:val="14"/>
              </w:rPr>
              <w:t>par, due 4/2024)</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4/9/2018</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+ 8.40%</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12.94%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65,709</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65,859</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w:t>
            </w:r>
          </w:p>
        </w:tc>
      </w:tr>
      <w:tr>
        <w:trPr/>
        <w:tc>
          <w:tcPr>
            <w:tcW w:w="21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Ibis Intermediate Co.</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($1,526</w:t>
            </w:r>
            <w:r>
              <w:rPr>
                <w:rFonts w:ascii="Times New Roman" w:hAnsi="Times New Roman"/>
                <w:color w:val="000000"/>
                <w:sz w:val="20"/>
              </w:rPr>
              <w:t> </w:t>
            </w:r>
            <w:r>
              <w:rPr>
                <w:rFonts w:ascii="Times New Roman" w:hAnsi="Times New Roman"/>
                <w:b w:val="false"/>
                <w:color w:val="000000"/>
                <w:sz w:val="14"/>
              </w:rPr>
              <w:t>par, due 5/2027)</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5/28/2021</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+ 5.00%</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1,416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1,565</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1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Ibis US Blocker Co.</w:t>
            </w:r>
            <w:r>
              <w:rPr>
                <w:rFonts w:ascii="Times New Roman" w:hAnsi="Times New Roman"/>
                <w:color w:val="000000"/>
                <w:sz w:val="14"/>
              </w:rPr>
              <w:t>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($13,957</w:t>
            </w:r>
            <w:r>
              <w:rPr>
                <w:rFonts w:ascii="Times New Roman" w:hAnsi="Times New Roman"/>
                <w:color w:val="000000"/>
                <w:sz w:val="20"/>
              </w:rPr>
              <w:t> </w:t>
            </w:r>
            <w:r>
              <w:rPr>
                <w:rFonts w:ascii="Times New Roman" w:hAnsi="Times New Roman"/>
                <w:b w:val="false"/>
                <w:color w:val="000000"/>
                <w:sz w:val="14"/>
              </w:rPr>
              <w:t>par, due 5/2028)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5/28/2021</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+ 8.25%</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12.98% PIK</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13,713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13,643</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w:t>
            </w:r>
          </w:p>
        </w:tc>
      </w:tr>
      <w:tr>
        <w:trPr/>
        <w:tc>
          <w:tcPr>
            <w:tcW w:w="21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Jonas Collections and Recovery, Inc.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($19,125</w:t>
            </w:r>
            <w:r>
              <w:rPr>
                <w:rFonts w:ascii="Times New Roman" w:hAnsi="Times New Roman"/>
                <w:color w:val="000000"/>
                <w:sz w:val="20"/>
              </w:rPr>
              <w:t> </w:t>
            </w:r>
            <w:r>
              <w:rPr>
                <w:rFonts w:ascii="Times New Roman" w:hAnsi="Times New Roman"/>
                <w:b w:val="false"/>
                <w:color w:val="000000"/>
                <w:sz w:val="14"/>
              </w:rPr>
              <w:t>par, due 6/2026)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6/21/2021</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+ 5.25%</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10.40%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18,832</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18,790</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w:t>
            </w:r>
          </w:p>
        </w:tc>
      </w:tr>
      <w:tr>
        <w:trPr/>
        <w:tc>
          <w:tcPr>
            <w:tcW w:w="21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Kyriba Corp.</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($19,051</w:t>
            </w:r>
            <w:r>
              <w:rPr>
                <w:rFonts w:ascii="Times New Roman" w:hAnsi="Times New Roman"/>
                <w:color w:val="000000"/>
                <w:sz w:val="20"/>
              </w:rPr>
              <w:t> </w:t>
            </w:r>
            <w:r>
              <w:rPr>
                <w:rFonts w:ascii="Times New Roman" w:hAnsi="Times New Roman"/>
                <w:b w:val="false"/>
                <w:color w:val="000000"/>
                <w:sz w:val="14"/>
              </w:rPr>
              <w:t>par, due 4/2025)</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4/9/2019</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+ 9.00%</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13.73% (incl. 9.00% PIK)</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18,870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19,147</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w:t>
            </w:r>
          </w:p>
        </w:tc>
      </w:tr>
      <w:tr>
        <w:trPr/>
        <w:tc>
          <w:tcPr>
            <w:tcW w:w="218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(EUR 9,924</w:t>
            </w:r>
            <w:r>
              <w:rPr>
                <w:rFonts w:ascii="Times New Roman" w:hAnsi="Times New Roman"/>
                <w:color w:val="000000"/>
                <w:sz w:val="20"/>
              </w:rPr>
              <w:t> </w:t>
            </w:r>
            <w:r>
              <w:rPr>
                <w:rFonts w:ascii="Times New Roman" w:hAnsi="Times New Roman"/>
                <w:b w:val="false"/>
                <w:color w:val="000000"/>
                <w:sz w:val="14"/>
              </w:rPr>
              <w:t>par, due 4/2025)</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4/9/2019</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+ 9.00%</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11.20% (incl. 9.00% PIK)</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11,004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10,645</w:t>
              <w:br/>
              <w:t>(EUR 9,974)</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0.8%</w:t>
            </w:r>
          </w:p>
        </w:tc>
      </w:tr>
      <w:tr>
        <w:trPr/>
        <w:tc>
          <w:tcPr>
            <w:tcW w:w="21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revolving loan ($1,411</w:t>
            </w:r>
            <w:r>
              <w:rPr>
                <w:rFonts w:ascii="Times New Roman" w:hAnsi="Times New Roman"/>
                <w:color w:val="000000"/>
                <w:sz w:val="20"/>
              </w:rPr>
              <w:t> </w:t>
            </w:r>
            <w:r>
              <w:rPr>
                <w:rFonts w:ascii="Times New Roman" w:hAnsi="Times New Roman"/>
                <w:b w:val="false"/>
                <w:color w:val="000000"/>
                <w:sz w:val="14"/>
              </w:rPr>
              <w:t>par, due 4/2025)</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4/9/2019</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+ 7.25%</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11.98%</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1,394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1,418</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18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revolving loan (EUR 336</w:t>
            </w:r>
            <w:r>
              <w:rPr>
                <w:rFonts w:ascii="Times New Roman" w:hAnsi="Times New Roman"/>
                <w:color w:val="000000"/>
                <w:sz w:val="20"/>
              </w:rPr>
              <w:t> </w:t>
            </w:r>
            <w:r>
              <w:rPr>
                <w:rFonts w:ascii="Times New Roman" w:hAnsi="Times New Roman"/>
                <w:b w:val="false"/>
                <w:color w:val="000000"/>
                <w:sz w:val="14"/>
              </w:rPr>
              <w:t>par, due 4/2025)</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4/9/2019</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E + 7.25%</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9.45%</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372</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358</w:t>
              <w:br/>
              <w:t>(EUR 336)</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1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Passport Labs, Inc.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($23,390</w:t>
            </w:r>
            <w:r>
              <w:rPr>
                <w:rFonts w:ascii="Times New Roman" w:hAnsi="Times New Roman"/>
                <w:color w:val="000000"/>
                <w:sz w:val="20"/>
              </w:rPr>
              <w:t> </w:t>
            </w:r>
            <w:r>
              <w:rPr>
                <w:rFonts w:ascii="Times New Roman" w:hAnsi="Times New Roman"/>
                <w:b w:val="false"/>
                <w:color w:val="000000"/>
                <w:sz w:val="14"/>
              </w:rPr>
              <w:t>par, due 4/2026)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4/28/2021</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+ 8.25%</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12.58% (incl. 4.125% PIK)</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23,169</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22,783</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w:t>
            </w:r>
          </w:p>
        </w:tc>
      </w:tr>
      <w:tr>
        <w:trPr/>
        <w:tc>
          <w:tcPr>
            <w:tcW w:w="21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Ping Identity Holding Corp.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($22,727</w:t>
            </w:r>
            <w:r>
              <w:rPr>
                <w:rFonts w:ascii="Times New Roman" w:hAnsi="Times New Roman"/>
                <w:color w:val="000000"/>
                <w:sz w:val="20"/>
              </w:rPr>
              <w:t> </w:t>
            </w:r>
            <w:r>
              <w:rPr>
                <w:rFonts w:ascii="Times New Roman" w:hAnsi="Times New Roman"/>
                <w:b w:val="false"/>
                <w:color w:val="000000"/>
                <w:sz w:val="14"/>
              </w:rPr>
              <w:t>par, due 10/2029)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10/17/2022</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+ 7.00%</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11.32%</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22,116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21,977</w:t>
            </w:r>
          </w:p>
        </w:tc>
        <w:tc>
          <w:tcPr>
            <w:tcW w:w="146" w:type="dxa"/>
            <w:tcBorders/>
            <w:shd w:fill="CFF0FC" w:val="clear"/>
            <w:vAlign w:val="center"/>
          </w:tcPr>
          <w:p>
            <w:pPr>
              <w:pStyle w:val="TableContents"/>
              <w:bidi w:val="0"/>
              <w:spacing w:before="0" w:after="283"/>
              <w:jc w:val="righ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w:t>
            </w:r>
          </w:p>
        </w:tc>
      </w:tr>
      <w:tr>
        <w:trPr/>
        <w:tc>
          <w:tcPr>
            <w:tcW w:w="21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PrimeRevenue, Inc.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($22,507</w:t>
            </w:r>
            <w:r>
              <w:rPr>
                <w:rFonts w:ascii="Times New Roman" w:hAnsi="Times New Roman"/>
                <w:color w:val="000000"/>
                <w:sz w:val="20"/>
              </w:rPr>
              <w:t> </w:t>
            </w:r>
            <w:r>
              <w:rPr>
                <w:rFonts w:ascii="Times New Roman" w:hAnsi="Times New Roman"/>
                <w:b w:val="false"/>
                <w:color w:val="000000"/>
                <w:sz w:val="14"/>
              </w:rPr>
              <w:t>par, due 12/2023)</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12/31/2018</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+ 7.00%</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11.38%</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22,434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22,507</w:t>
            </w:r>
          </w:p>
        </w:tc>
        <w:tc>
          <w:tcPr>
            <w:tcW w:w="146" w:type="dxa"/>
            <w:tcBorders/>
            <w:shd w:fill="FFFFFF" w:val="clear"/>
            <w:vAlign w:val="center"/>
          </w:tcPr>
          <w:p>
            <w:pPr>
              <w:pStyle w:val="TableContents"/>
              <w:bidi w:val="0"/>
              <w:spacing w:before="0" w:after="283"/>
              <w:jc w:val="righ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w:t>
            </w:r>
          </w:p>
        </w:tc>
      </w:tr>
      <w:tr>
        <w:trPr/>
        <w:tc>
          <w:tcPr>
            <w:tcW w:w="21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TradingScreen, Inc.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($44,663</w:t>
            </w:r>
            <w:r>
              <w:rPr>
                <w:rFonts w:ascii="Times New Roman" w:hAnsi="Times New Roman"/>
                <w:color w:val="000000"/>
                <w:sz w:val="20"/>
              </w:rPr>
              <w:t> </w:t>
            </w:r>
            <w:r>
              <w:rPr>
                <w:rFonts w:ascii="Times New Roman" w:hAnsi="Times New Roman"/>
                <w:b w:val="false"/>
                <w:color w:val="000000"/>
                <w:sz w:val="14"/>
              </w:rPr>
              <w:t>par, due 4/2027)</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4/30/2021</w:t>
            </w:r>
          </w:p>
        </w:tc>
        <w:tc>
          <w:tcPr>
            <w:tcW w:w="146" w:type="dxa"/>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+ 6.25%</w:t>
            </w:r>
          </w:p>
        </w:tc>
        <w:tc>
          <w:tcPr>
            <w:tcW w:w="146" w:type="dxa"/>
            <w:tcBorders/>
            <w:shd w:fill="CFF0FC" w:val="clear"/>
            <w:vAlign w:val="center"/>
          </w:tcPr>
          <w:p>
            <w:pPr>
              <w:pStyle w:val="TableContents"/>
              <w:bidi w:val="0"/>
              <w:spacing w:before="0" w:after="283"/>
              <w:jc w:val="right"/>
              <w:rPr/>
            </w:pPr>
            <w:r>
              <w:rPr/>
              <w:t> </w:t>
            </w:r>
          </w:p>
        </w:tc>
        <w:tc>
          <w:tcPr>
            <w:tcW w:w="9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10.66%</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43,648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43,769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w:t>
            </w:r>
          </w:p>
        </w:tc>
      </w:tr>
      <w:tr>
        <w:trPr/>
        <w:tc>
          <w:tcPr>
            <w:tcW w:w="21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347,964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347,984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25.8%</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35"/>
        <w:gridCol w:w="146"/>
        <w:gridCol w:w="2018"/>
        <w:gridCol w:w="146"/>
        <w:gridCol w:w="796"/>
        <w:gridCol w:w="146"/>
        <w:gridCol w:w="807"/>
        <w:gridCol w:w="146"/>
        <w:gridCol w:w="1113"/>
        <w:gridCol w:w="146"/>
        <w:gridCol w:w="146"/>
        <w:gridCol w:w="721"/>
        <w:gridCol w:w="146"/>
        <w:gridCol w:w="146"/>
        <w:gridCol w:w="748"/>
        <w:gridCol w:w="146"/>
        <w:gridCol w:w="853"/>
      </w:tblGrid>
      <w:tr>
        <w:trPr/>
        <w:tc>
          <w:tcPr>
            <w:tcW w:w="18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1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1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r>
      <w:tr>
        <w:trPr/>
        <w:tc>
          <w:tcPr>
            <w:tcW w:w="1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Company </w:t>
            </w:r>
            <w:r>
              <w:rPr>
                <w:rFonts w:ascii="Times New Roman" w:hAnsi="Times New Roman"/>
                <w:b/>
                <w:color w:val="000000"/>
                <w:sz w:val="9"/>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br/>
              <w:t>Rate and</w:t>
              <w:br/>
              <w:t>Spread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Amortized</w:t>
              <w:br/>
              <w:t xml:space="preserve">Cost </w:t>
            </w:r>
            <w:r>
              <w:rPr>
                <w:rFonts w:ascii="Times New Roman" w:hAnsi="Times New Roman"/>
                <w:b/>
                <w:color w:val="000000"/>
                <w:sz w:val="9"/>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Value </w:t>
            </w:r>
            <w:r>
              <w:rPr>
                <w:rFonts w:ascii="Times New Roman" w:hAnsi="Times New Roman"/>
                <w:b/>
                <w:color w:val="000000"/>
                <w:sz w:val="9"/>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br/>
              <w:t>of Net Assets</w:t>
            </w:r>
          </w:p>
        </w:tc>
      </w:tr>
      <w:tr>
        <w:trPr/>
        <w:tc>
          <w:tcPr>
            <w:tcW w:w="183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pPr>
            <w:r>
              <w:rPr/>
              <w:t> </w:t>
            </w:r>
          </w:p>
        </w:tc>
      </w:tr>
      <w:tr>
        <w:trPr/>
        <w:tc>
          <w:tcPr>
            <w:tcW w:w="183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BCTO Ace Purchaser, Inc.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($63,565</w:t>
            </w:r>
            <w:r>
              <w:rPr>
                <w:rFonts w:ascii="Times New Roman" w:hAnsi="Times New Roman"/>
                <w:color w:val="000000"/>
                <w:sz w:val="20"/>
              </w:rPr>
              <w:t> </w:t>
            </w:r>
            <w:r>
              <w:rPr>
                <w:rFonts w:ascii="Times New Roman" w:hAnsi="Times New Roman"/>
                <w:b w:val="false"/>
                <w:color w:val="000000"/>
                <w:sz w:val="14"/>
              </w:rPr>
              <w:t>par, due 11/2026)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11/23/2020</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+ 7.70%</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62,440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62,930</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w:t>
            </w:r>
          </w:p>
        </w:tc>
      </w:tr>
      <w:tr>
        <w:trPr/>
        <w:tc>
          <w:tcPr>
            <w:tcW w:w="1835"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Caris Life Sciences, Inc.</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($5,000</w:t>
            </w:r>
            <w:r>
              <w:rPr>
                <w:rFonts w:ascii="Times New Roman" w:hAnsi="Times New Roman"/>
                <w:color w:val="000000"/>
                <w:sz w:val="20"/>
              </w:rPr>
              <w:t> </w:t>
            </w:r>
            <w:r>
              <w:rPr>
                <w:rFonts w:ascii="Times New Roman" w:hAnsi="Times New Roman"/>
                <w:b w:val="false"/>
                <w:color w:val="000000"/>
                <w:sz w:val="14"/>
              </w:rPr>
              <w:t>par, due 9/2023)</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9/21/2018</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11.30%</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4,967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5,100</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0.4%</w:t>
            </w:r>
          </w:p>
        </w:tc>
      </w:tr>
      <w:tr>
        <w:trPr/>
        <w:tc>
          <w:tcPr>
            <w:tcW w:w="18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($3,750</w:t>
            </w:r>
            <w:r>
              <w:rPr>
                <w:rFonts w:ascii="Times New Roman" w:hAnsi="Times New Roman"/>
                <w:color w:val="000000"/>
                <w:sz w:val="20"/>
              </w:rPr>
              <w:t> </w:t>
            </w:r>
            <w:r>
              <w:rPr>
                <w:rFonts w:ascii="Times New Roman" w:hAnsi="Times New Roman"/>
                <w:b w:val="false"/>
                <w:color w:val="000000"/>
                <w:sz w:val="14"/>
              </w:rPr>
              <w:t>par, due 4/2025)</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4/2/2020</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11.30%</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3,601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3,900</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183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Convertible note ($2,602</w:t>
            </w:r>
            <w:r>
              <w:rPr>
                <w:rFonts w:ascii="Times New Roman" w:hAnsi="Times New Roman"/>
                <w:color w:val="000000"/>
                <w:sz w:val="20"/>
              </w:rPr>
              <w:t> </w:t>
            </w:r>
            <w:r>
              <w:rPr>
                <w:rFonts w:ascii="Times New Roman" w:hAnsi="Times New Roman"/>
                <w:b w:val="false"/>
                <w:color w:val="000000"/>
                <w:sz w:val="14"/>
              </w:rPr>
              <w:t>par, due 9/2023)</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9/21/2018</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8.00%</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2,602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5,848</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0.4%</w:t>
            </w:r>
          </w:p>
        </w:tc>
      </w:tr>
      <w:tr>
        <w:trPr/>
        <w:tc>
          <w:tcPr>
            <w:tcW w:w="183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Homecare Software Solutions, LLC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($65,000</w:t>
            </w:r>
            <w:r>
              <w:rPr>
                <w:rFonts w:ascii="Times New Roman" w:hAnsi="Times New Roman"/>
                <w:color w:val="000000"/>
                <w:sz w:val="20"/>
              </w:rPr>
              <w:t> </w:t>
            </w:r>
            <w:r>
              <w:rPr>
                <w:rFonts w:ascii="Times New Roman" w:hAnsi="Times New Roman"/>
                <w:b w:val="false"/>
                <w:color w:val="000000"/>
                <w:sz w:val="14"/>
              </w:rPr>
              <w:t>par, due 10/2026)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10/6/2021</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+ 5.70%</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63,733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63,213</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w:t>
            </w:r>
          </w:p>
        </w:tc>
      </w:tr>
      <w:tr>
        <w:trPr/>
        <w:tc>
          <w:tcPr>
            <w:tcW w:w="183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Integrated Practice Solutions, Inc.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($46,312</w:t>
            </w:r>
            <w:r>
              <w:rPr>
                <w:rFonts w:ascii="Times New Roman" w:hAnsi="Times New Roman"/>
                <w:color w:val="000000"/>
                <w:sz w:val="20"/>
              </w:rPr>
              <w:t> </w:t>
            </w:r>
            <w:r>
              <w:rPr>
                <w:rFonts w:ascii="Times New Roman" w:hAnsi="Times New Roman"/>
                <w:b w:val="false"/>
                <w:color w:val="000000"/>
                <w:sz w:val="14"/>
              </w:rPr>
              <w:t>par, due 10/2024)</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6/30/2017</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+ 7.50%</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45,590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46,312</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w:t>
            </w:r>
          </w:p>
        </w:tc>
      </w:tr>
      <w:tr>
        <w:trPr/>
        <w:tc>
          <w:tcPr>
            <w:tcW w:w="183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Merative L.P.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($70,103</w:t>
            </w:r>
            <w:r>
              <w:rPr>
                <w:rFonts w:ascii="Times New Roman" w:hAnsi="Times New Roman"/>
                <w:color w:val="000000"/>
                <w:sz w:val="20"/>
              </w:rPr>
              <w:t> </w:t>
            </w:r>
            <w:r>
              <w:rPr>
                <w:rFonts w:ascii="Times New Roman" w:hAnsi="Times New Roman"/>
                <w:b w:val="false"/>
                <w:color w:val="000000"/>
                <w:sz w:val="14"/>
              </w:rPr>
              <w:t>par, due 6/2028)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6/30/2022</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+ 7.25%</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11.84%</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67,906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67,299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w:t>
            </w:r>
          </w:p>
        </w:tc>
      </w:tr>
      <w:tr>
        <w:trPr/>
        <w:tc>
          <w:tcPr>
            <w:tcW w:w="183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250,839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254,602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19.0%</w:t>
            </w:r>
          </w:p>
        </w:tc>
      </w:tr>
      <w:tr>
        <w:trPr/>
        <w:tc>
          <w:tcPr>
            <w:tcW w:w="1835"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Hotel, Gaming and Leisure</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pPr>
            <w:r>
              <w:rPr/>
              <w:t> </w:t>
            </w:r>
          </w:p>
        </w:tc>
      </w:tr>
      <w:tr>
        <w:trPr/>
        <w:tc>
          <w:tcPr>
            <w:tcW w:w="183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ASG II, LLC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($58,048</w:t>
            </w:r>
            <w:r>
              <w:rPr>
                <w:rFonts w:ascii="Times New Roman" w:hAnsi="Times New Roman"/>
                <w:color w:val="000000"/>
                <w:sz w:val="20"/>
              </w:rPr>
              <w:t> </w:t>
            </w:r>
            <w:r>
              <w:rPr>
                <w:rFonts w:ascii="Times New Roman" w:hAnsi="Times New Roman"/>
                <w:b w:val="false"/>
                <w:color w:val="000000"/>
                <w:sz w:val="14"/>
              </w:rPr>
              <w:t>par, due 5/2028)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5/25/2022</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+ 6.35%</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56,609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56,260</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w:t>
            </w:r>
          </w:p>
        </w:tc>
      </w:tr>
      <w:tr>
        <w:trPr/>
        <w:tc>
          <w:tcPr>
            <w:tcW w:w="183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IRGSE Holding Corp. </w:t>
            </w:r>
            <w:r>
              <w:rPr>
                <w:rFonts w:ascii="Times New Roman" w:hAnsi="Times New Roman"/>
                <w:b w:val="false"/>
                <w:color w:val="000000"/>
                <w:sz w:val="9"/>
              </w:rPr>
              <w:t>(3)(7)</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($30,261</w:t>
            </w:r>
            <w:r>
              <w:rPr>
                <w:rFonts w:ascii="Times New Roman" w:hAnsi="Times New Roman"/>
                <w:color w:val="000000"/>
                <w:sz w:val="20"/>
              </w:rPr>
              <w:t> </w:t>
            </w:r>
            <w:r>
              <w:rPr>
                <w:rFonts w:ascii="Times New Roman" w:hAnsi="Times New Roman"/>
                <w:b w:val="false"/>
                <w:color w:val="000000"/>
                <w:sz w:val="14"/>
              </w:rPr>
              <w:t>par, due 6/2023)</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9/29/2015</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+ 9.50%</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14.19%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28,595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29,807</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w:t>
            </w:r>
          </w:p>
        </w:tc>
      </w:tr>
      <w:tr>
        <w:trPr/>
        <w:tc>
          <w:tcPr>
            <w:tcW w:w="183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revolving loan ($16,747</w:t>
            </w:r>
            <w:r>
              <w:rPr>
                <w:rFonts w:ascii="Times New Roman" w:hAnsi="Times New Roman"/>
                <w:color w:val="000000"/>
                <w:sz w:val="20"/>
              </w:rPr>
              <w:t> </w:t>
            </w:r>
            <w:r>
              <w:rPr>
                <w:rFonts w:ascii="Times New Roman" w:hAnsi="Times New Roman"/>
                <w:b w:val="false"/>
                <w:color w:val="000000"/>
                <w:sz w:val="14"/>
              </w:rPr>
              <w:t>par, due 6/2023)</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9/29/2015</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+ 9.50%</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14.23%</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16,747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w:t>
            </w:r>
          </w:p>
        </w:tc>
      </w:tr>
      <w:tr>
        <w:trPr/>
        <w:tc>
          <w:tcPr>
            <w:tcW w:w="18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101,951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102,559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7.6%</w:t>
            </w:r>
          </w:p>
        </w:tc>
      </w:tr>
      <w:tr>
        <w:trPr/>
        <w:tc>
          <w:tcPr>
            <w:tcW w:w="183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pPr>
            <w:r>
              <w:rPr/>
              <w:t> </w:t>
            </w:r>
          </w:p>
        </w:tc>
      </w:tr>
      <w:tr>
        <w:trPr/>
        <w:tc>
          <w:tcPr>
            <w:tcW w:w="183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Axonify, Inc. </w:t>
            </w:r>
            <w:r>
              <w:rPr>
                <w:rFonts w:ascii="Times New Roman" w:hAnsi="Times New Roman"/>
                <w:b w:val="false"/>
                <w:color w:val="000000"/>
                <w:sz w:val="9"/>
              </w:rPr>
              <w:t>(3)(4)(5)</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($47,122</w:t>
            </w:r>
            <w:r>
              <w:rPr>
                <w:rFonts w:ascii="Times New Roman" w:hAnsi="Times New Roman"/>
                <w:color w:val="000000"/>
                <w:sz w:val="20"/>
              </w:rPr>
              <w:t> </w:t>
            </w:r>
            <w:r>
              <w:rPr>
                <w:rFonts w:ascii="Times New Roman" w:hAnsi="Times New Roman"/>
                <w:b w:val="false"/>
                <w:color w:val="000000"/>
                <w:sz w:val="14"/>
              </w:rPr>
              <w:t>par, due 5/2026)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5/5/2021</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+ 7.65%</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46,204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46,190</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w:t>
            </w:r>
          </w:p>
        </w:tc>
      </w:tr>
      <w:tr>
        <w:trPr/>
        <w:tc>
          <w:tcPr>
            <w:tcW w:w="183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bswift, LLC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($44,806</w:t>
            </w:r>
            <w:r>
              <w:rPr>
                <w:rFonts w:ascii="Times New Roman" w:hAnsi="Times New Roman"/>
                <w:color w:val="000000"/>
                <w:sz w:val="20"/>
              </w:rPr>
              <w:t> </w:t>
            </w:r>
            <w:r>
              <w:rPr>
                <w:rFonts w:ascii="Times New Roman" w:hAnsi="Times New Roman"/>
                <w:b w:val="false"/>
                <w:color w:val="000000"/>
                <w:sz w:val="14"/>
              </w:rPr>
              <w:t>par, due 11/2028)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11/7/2022</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+ 6.63%</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10.81%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43,430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43,574</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w:t>
            </w:r>
          </w:p>
        </w:tc>
      </w:tr>
      <w:tr>
        <w:trPr/>
        <w:tc>
          <w:tcPr>
            <w:tcW w:w="183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Elysian Finco Ltd. </w:t>
            </w:r>
            <w:r>
              <w:rPr>
                <w:rFonts w:ascii="Times New Roman" w:hAnsi="Times New Roman"/>
                <w:b w:val="false"/>
                <w:color w:val="000000"/>
                <w:sz w:val="9"/>
              </w:rPr>
              <w:t>(3)(4)(5)</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($17,314</w:t>
            </w:r>
            <w:r>
              <w:rPr>
                <w:rFonts w:ascii="Times New Roman" w:hAnsi="Times New Roman"/>
                <w:color w:val="000000"/>
                <w:sz w:val="20"/>
              </w:rPr>
              <w:t> </w:t>
            </w:r>
            <w:r>
              <w:rPr>
                <w:rFonts w:ascii="Times New Roman" w:hAnsi="Times New Roman"/>
                <w:b w:val="false"/>
                <w:color w:val="000000"/>
                <w:sz w:val="14"/>
              </w:rPr>
              <w:t>par, due 1/2028)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1/31/2022</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+ 6.65%</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10.99%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16,831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17,107</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w:t>
            </w:r>
          </w:p>
        </w:tc>
      </w:tr>
      <w:tr>
        <w:trPr/>
        <w:tc>
          <w:tcPr>
            <w:tcW w:w="183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Employment Hero Holdings Pty Ltd. </w:t>
            </w:r>
            <w:r>
              <w:rPr>
                <w:rFonts w:ascii="Times New Roman" w:hAnsi="Times New Roman"/>
                <w:b w:val="false"/>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(AUD 50,000</w:t>
            </w:r>
            <w:r>
              <w:rPr>
                <w:rFonts w:ascii="Times New Roman" w:hAnsi="Times New Roman"/>
                <w:color w:val="000000"/>
                <w:sz w:val="20"/>
              </w:rPr>
              <w:t> </w:t>
            </w:r>
            <w:r>
              <w:rPr>
                <w:rFonts w:ascii="Times New Roman" w:hAnsi="Times New Roman"/>
                <w:b w:val="false"/>
                <w:color w:val="000000"/>
                <w:sz w:val="14"/>
              </w:rPr>
              <w:t>par, due 12/2026)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12/6/2021</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B + 6.50%</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34,664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32,839</w:t>
              <w:br/>
              <w:t>(AUD 51,076)</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w:t>
            </w:r>
          </w:p>
        </w:tc>
      </w:tr>
      <w:tr>
        <w:trPr/>
        <w:tc>
          <w:tcPr>
            <w:tcW w:w="183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PageUp People, Ltd. </w:t>
            </w:r>
            <w:r>
              <w:rPr>
                <w:rFonts w:ascii="Times New Roman" w:hAnsi="Times New Roman"/>
                <w:b w:val="false"/>
                <w:color w:val="000000"/>
                <w:sz w:val="9"/>
              </w:rPr>
              <w:t>(3)(4)(5)</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(AUD 14,520</w:t>
            </w:r>
            <w:r>
              <w:rPr>
                <w:rFonts w:ascii="Times New Roman" w:hAnsi="Times New Roman"/>
                <w:color w:val="000000"/>
                <w:sz w:val="20"/>
              </w:rPr>
              <w:t> </w:t>
            </w:r>
            <w:r>
              <w:rPr>
                <w:rFonts w:ascii="Times New Roman" w:hAnsi="Times New Roman"/>
                <w:b w:val="false"/>
                <w:color w:val="000000"/>
                <w:sz w:val="14"/>
              </w:rPr>
              <w:t>par, due 12/2025)</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1/11/2018</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B + 5.50%</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10,899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9.534</w:t>
              <w:br/>
              <w:t>(AUD 14,059)</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0.7%</w:t>
            </w:r>
          </w:p>
        </w:tc>
      </w:tr>
      <w:tr>
        <w:trPr/>
        <w:tc>
          <w:tcPr>
            <w:tcW w:w="183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(GBP 3,766</w:t>
            </w:r>
            <w:r>
              <w:rPr>
                <w:rFonts w:ascii="Times New Roman" w:hAnsi="Times New Roman"/>
                <w:color w:val="000000"/>
                <w:sz w:val="20"/>
              </w:rPr>
              <w:t> </w:t>
            </w:r>
            <w:r>
              <w:rPr>
                <w:rFonts w:ascii="Times New Roman" w:hAnsi="Times New Roman"/>
                <w:b w:val="false"/>
                <w:color w:val="000000"/>
                <w:sz w:val="14"/>
              </w:rPr>
              <w:t>par, due 12/2025)</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10/28/2021</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 + 5.62%</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5,184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4,439</w:t>
              <w:br/>
              <w:t>(GBP 3,690)</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18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($12,011</w:t>
            </w:r>
            <w:r>
              <w:rPr>
                <w:rFonts w:ascii="Times New Roman" w:hAnsi="Times New Roman"/>
                <w:color w:val="000000"/>
                <w:sz w:val="20"/>
              </w:rPr>
              <w:t> </w:t>
            </w:r>
            <w:r>
              <w:rPr>
                <w:rFonts w:ascii="Times New Roman" w:hAnsi="Times New Roman"/>
                <w:b w:val="false"/>
                <w:color w:val="000000"/>
                <w:sz w:val="14"/>
              </w:rPr>
              <w:t>par, due 12/2025)</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10/28/2021</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+ 5.50%</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11,997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11,771</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0.9%</w:t>
            </w:r>
          </w:p>
        </w:tc>
      </w:tr>
      <w:tr>
        <w:trPr/>
        <w:tc>
          <w:tcPr>
            <w:tcW w:w="183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PayScale Holdings, Inc.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($68,775</w:t>
            </w:r>
            <w:r>
              <w:rPr>
                <w:rFonts w:ascii="Times New Roman" w:hAnsi="Times New Roman"/>
                <w:color w:val="000000"/>
                <w:sz w:val="20"/>
              </w:rPr>
              <w:t> </w:t>
            </w:r>
            <w:r>
              <w:rPr>
                <w:rFonts w:ascii="Times New Roman" w:hAnsi="Times New Roman"/>
                <w:b w:val="false"/>
                <w:color w:val="000000"/>
                <w:sz w:val="14"/>
              </w:rPr>
              <w:t>par, due 5/2024)</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5/3/2019</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+ 5.75%</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10.48%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68,199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67,572</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w:t>
            </w:r>
          </w:p>
        </w:tc>
      </w:tr>
      <w:tr>
        <w:trPr/>
        <w:tc>
          <w:tcPr>
            <w:tcW w:w="183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PrimePay Intermediate, LLC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($32,242</w:t>
            </w:r>
            <w:r>
              <w:rPr>
                <w:rFonts w:ascii="Times New Roman" w:hAnsi="Times New Roman"/>
                <w:color w:val="000000"/>
                <w:sz w:val="20"/>
              </w:rPr>
              <w:t> </w:t>
            </w:r>
            <w:r>
              <w:rPr>
                <w:rFonts w:ascii="Times New Roman" w:hAnsi="Times New Roman"/>
                <w:b w:val="false"/>
                <w:color w:val="000000"/>
                <w:sz w:val="14"/>
              </w:rPr>
              <w:t>par, due 12/2026)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12/17/2021</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+ 7.15%</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31,297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31,355</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w:t>
            </w:r>
          </w:p>
        </w:tc>
      </w:tr>
      <w:tr>
        <w:trPr/>
        <w:tc>
          <w:tcPr>
            <w:tcW w:w="183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Modern Hire, Inc.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($28,878</w:t>
            </w:r>
            <w:r>
              <w:rPr>
                <w:rFonts w:ascii="Times New Roman" w:hAnsi="Times New Roman"/>
                <w:color w:val="000000"/>
                <w:sz w:val="20"/>
              </w:rPr>
              <w:t> </w:t>
            </w:r>
            <w:r>
              <w:rPr>
                <w:rFonts w:ascii="Times New Roman" w:hAnsi="Times New Roman"/>
                <w:b w:val="false"/>
                <w:color w:val="000000"/>
                <w:sz w:val="14"/>
              </w:rPr>
              <w:t>par, due 5/2024)</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5/15/2019</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+ 7.00%</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28,624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28,950</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w:t>
            </w:r>
          </w:p>
        </w:tc>
      </w:tr>
      <w:tr>
        <w:trPr/>
        <w:tc>
          <w:tcPr>
            <w:tcW w:w="183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Workwell Acquisition Co.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($23,798</w:t>
            </w:r>
            <w:r>
              <w:rPr>
                <w:rFonts w:ascii="Times New Roman" w:hAnsi="Times New Roman"/>
                <w:color w:val="000000"/>
                <w:sz w:val="20"/>
              </w:rPr>
              <w:t> </w:t>
            </w:r>
            <w:r>
              <w:rPr>
                <w:rFonts w:ascii="Times New Roman" w:hAnsi="Times New Roman"/>
                <w:b w:val="false"/>
                <w:color w:val="000000"/>
                <w:sz w:val="14"/>
              </w:rPr>
              <w:t>par, due 10/2025)</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10/19/2020</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+ 7.40%</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11.80%</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w:t>
            </w:r>
          </w:p>
        </w:tc>
      </w:tr>
      <w:tr>
        <w:trPr/>
        <w:tc>
          <w:tcPr>
            <w:tcW w:w="183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320,762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316,772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23.4%</w:t>
            </w:r>
          </w:p>
        </w:tc>
      </w:tr>
      <w:tr>
        <w:trPr/>
        <w:tc>
          <w:tcPr>
            <w:tcW w:w="1835"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pPr>
            <w:r>
              <w:rPr/>
              <w:t> </w:t>
            </w:r>
          </w:p>
        </w:tc>
      </w:tr>
      <w:tr>
        <w:trPr/>
        <w:tc>
          <w:tcPr>
            <w:tcW w:w="183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Bayshore Intermediate #2, L.P.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($32,194</w:t>
            </w:r>
            <w:r>
              <w:rPr>
                <w:rFonts w:ascii="Times New Roman" w:hAnsi="Times New Roman"/>
                <w:color w:val="000000"/>
                <w:sz w:val="20"/>
              </w:rPr>
              <w:t> </w:t>
            </w:r>
            <w:r>
              <w:rPr>
                <w:rFonts w:ascii="Times New Roman" w:hAnsi="Times New Roman"/>
                <w:b w:val="false"/>
                <w:color w:val="000000"/>
                <w:sz w:val="14"/>
              </w:rPr>
              <w:t>par, due 10/2028)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10/1/2021</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+ 7.75%</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12.04%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31,631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31,308</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w:t>
            </w:r>
          </w:p>
        </w:tc>
      </w:tr>
      <w:tr>
        <w:trPr/>
        <w:tc>
          <w:tcPr>
            <w:tcW w:w="18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revolving loan ($780</w:t>
            </w:r>
            <w:r>
              <w:rPr>
                <w:rFonts w:ascii="Times New Roman" w:hAnsi="Times New Roman"/>
                <w:color w:val="000000"/>
                <w:sz w:val="20"/>
              </w:rPr>
              <w:t> </w:t>
            </w:r>
            <w:r>
              <w:rPr>
                <w:rFonts w:ascii="Times New Roman" w:hAnsi="Times New Roman"/>
                <w:b w:val="false"/>
                <w:color w:val="000000"/>
                <w:sz w:val="14"/>
              </w:rPr>
              <w:t>par, due 10/2027)</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10/1/2021</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+ 6.75%</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10.89%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737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714</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183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CrunchTime Information, Systems, Inc.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($53,121</w:t>
            </w:r>
            <w:r>
              <w:rPr>
                <w:rFonts w:ascii="Times New Roman" w:hAnsi="Times New Roman"/>
                <w:color w:val="000000"/>
                <w:sz w:val="20"/>
              </w:rPr>
              <w:t> </w:t>
            </w:r>
            <w:r>
              <w:rPr>
                <w:rFonts w:ascii="Times New Roman" w:hAnsi="Times New Roman"/>
                <w:b w:val="false"/>
                <w:color w:val="000000"/>
                <w:sz w:val="14"/>
              </w:rPr>
              <w:t>par, due 6/2028)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6/17/2022</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+ 6.00%</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10.32%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51,969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51,766</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w:t>
            </w:r>
          </w:p>
        </w:tc>
      </w:tr>
      <w:tr>
        <w:trPr/>
        <w:tc>
          <w:tcPr>
            <w:tcW w:w="183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EDB Parent, LLC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($56,963</w:t>
            </w:r>
            <w:r>
              <w:rPr>
                <w:rFonts w:ascii="Times New Roman" w:hAnsi="Times New Roman"/>
                <w:color w:val="000000"/>
                <w:sz w:val="20"/>
              </w:rPr>
              <w:t> </w:t>
            </w:r>
            <w:r>
              <w:rPr>
                <w:rFonts w:ascii="Times New Roman" w:hAnsi="Times New Roman"/>
                <w:b w:val="false"/>
                <w:color w:val="000000"/>
                <w:sz w:val="14"/>
              </w:rPr>
              <w:t>par, due 7/2028)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7/7/2022</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+ 7.00%</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11.58%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55,607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55,539</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w:t>
            </w:r>
          </w:p>
        </w:tc>
      </w:tr>
      <w:tr>
        <w:trPr/>
        <w:tc>
          <w:tcPr>
            <w:tcW w:w="183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Higher Logic, LLC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($55,820</w:t>
            </w:r>
            <w:r>
              <w:rPr>
                <w:rFonts w:ascii="Times New Roman" w:hAnsi="Times New Roman"/>
                <w:color w:val="000000"/>
                <w:sz w:val="20"/>
              </w:rPr>
              <w:t> </w:t>
            </w:r>
            <w:r>
              <w:rPr>
                <w:rFonts w:ascii="Times New Roman" w:hAnsi="Times New Roman"/>
                <w:b w:val="false"/>
                <w:color w:val="000000"/>
                <w:sz w:val="14"/>
              </w:rPr>
              <w:t>par, due</w:t>
            </w:r>
            <w:r>
              <w:rPr>
                <w:rFonts w:ascii="Times New Roman" w:hAnsi="Times New Roman"/>
                <w:color w:val="000000"/>
                <w:sz w:val="20"/>
              </w:rPr>
              <w:t xml:space="preserve"> </w:t>
            </w:r>
            <w:r>
              <w:rPr>
                <w:rFonts w:ascii="Times New Roman" w:hAnsi="Times New Roman"/>
                <w:b w:val="false"/>
                <w:color w:val="000000"/>
                <w:sz w:val="14"/>
              </w:rPr>
              <w:t>1/2025)</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6/18/2018</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+ 7.25%</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55,506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55,541</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w:t>
            </w:r>
          </w:p>
        </w:tc>
      </w:tr>
      <w:tr>
        <w:trPr/>
        <w:tc>
          <w:tcPr>
            <w:tcW w:w="183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LeanTaaS Holdings, Inc.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($27,782</w:t>
            </w:r>
            <w:r>
              <w:rPr>
                <w:rFonts w:ascii="Times New Roman" w:hAnsi="Times New Roman"/>
                <w:color w:val="000000"/>
                <w:sz w:val="20"/>
              </w:rPr>
              <w:t> </w:t>
            </w:r>
            <w:r>
              <w:rPr>
                <w:rFonts w:ascii="Times New Roman" w:hAnsi="Times New Roman"/>
                <w:b w:val="false"/>
                <w:color w:val="000000"/>
                <w:sz w:val="14"/>
              </w:rPr>
              <w:t>par, due 7/2028)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7/12/2022</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+ 7.50%</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12.08%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26,906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26,709</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w:t>
            </w:r>
          </w:p>
        </w:tc>
      </w:tr>
      <w:tr>
        <w:trPr/>
        <w:tc>
          <w:tcPr>
            <w:tcW w:w="183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Lithium Technologies, LLC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($54,700</w:t>
            </w:r>
            <w:r>
              <w:rPr>
                <w:rFonts w:ascii="Times New Roman" w:hAnsi="Times New Roman"/>
                <w:color w:val="000000"/>
                <w:sz w:val="20"/>
              </w:rPr>
              <w:t> </w:t>
            </w:r>
            <w:r>
              <w:rPr>
                <w:rFonts w:ascii="Times New Roman" w:hAnsi="Times New Roman"/>
                <w:b w:val="false"/>
                <w:color w:val="000000"/>
                <w:sz w:val="14"/>
              </w:rPr>
              <w:t>par, due 1/2024)</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10/3/2017</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+ 8.00%</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12.06%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54,651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53,469</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w:t>
            </w:r>
          </w:p>
        </w:tc>
      </w:tr>
      <w:tr>
        <w:trPr/>
        <w:tc>
          <w:tcPr>
            <w:tcW w:w="18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revolving loan ($1,320</w:t>
            </w:r>
            <w:r>
              <w:rPr>
                <w:rFonts w:ascii="Times New Roman" w:hAnsi="Times New Roman"/>
                <w:color w:val="000000"/>
                <w:sz w:val="20"/>
              </w:rPr>
              <w:t> </w:t>
            </w:r>
            <w:r>
              <w:rPr>
                <w:rFonts w:ascii="Times New Roman" w:hAnsi="Times New Roman"/>
                <w:b w:val="false"/>
                <w:color w:val="000000"/>
                <w:sz w:val="14"/>
              </w:rPr>
              <w:t>par, due 1/2024)</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10/3/2017</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+ 8.00%</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12.06%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1,245</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183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Lucidworks, Inc.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($8,330</w:t>
            </w:r>
            <w:r>
              <w:rPr>
                <w:rFonts w:ascii="Times New Roman" w:hAnsi="Times New Roman"/>
                <w:color w:val="000000"/>
                <w:sz w:val="20"/>
              </w:rPr>
              <w:t> </w:t>
            </w:r>
            <w:r>
              <w:rPr>
                <w:rFonts w:ascii="Times New Roman" w:hAnsi="Times New Roman"/>
                <w:b w:val="false"/>
                <w:color w:val="000000"/>
                <w:sz w:val="14"/>
              </w:rPr>
              <w:t>par, due 2/2027)</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2/11/2022</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+ 7.50%</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11.82% (incl. 3.50%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8,330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8,170</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0.6%</w:t>
            </w:r>
          </w:p>
        </w:tc>
      </w:tr>
      <w:tr>
        <w:trPr/>
        <w:tc>
          <w:tcPr>
            <w:tcW w:w="183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Piano Software, Inc.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($51,312</w:t>
            </w:r>
            <w:r>
              <w:rPr>
                <w:rFonts w:ascii="Times New Roman" w:hAnsi="Times New Roman"/>
                <w:color w:val="000000"/>
                <w:sz w:val="20"/>
              </w:rPr>
              <w:t> </w:t>
            </w:r>
            <w:r>
              <w:rPr>
                <w:rFonts w:ascii="Times New Roman" w:hAnsi="Times New Roman"/>
                <w:b w:val="false"/>
                <w:color w:val="000000"/>
                <w:sz w:val="14"/>
              </w:rPr>
              <w:t>par, due</w:t>
            </w:r>
            <w:r>
              <w:rPr>
                <w:rFonts w:ascii="Times New Roman" w:hAnsi="Times New Roman"/>
                <w:color w:val="000000"/>
                <w:sz w:val="20"/>
              </w:rPr>
              <w:t xml:space="preserve"> </w:t>
            </w:r>
            <w:r>
              <w:rPr>
                <w:rFonts w:ascii="Times New Roman" w:hAnsi="Times New Roman"/>
                <w:b w:val="false"/>
                <w:color w:val="000000"/>
                <w:sz w:val="14"/>
              </w:rPr>
              <w:t>2/2026)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2/25/2021</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+ 7.10%</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11.42%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50,454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50,029</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w:t>
            </w:r>
          </w:p>
        </w:tc>
      </w:tr>
      <w:tr>
        <w:trPr/>
        <w:tc>
          <w:tcPr>
            <w:tcW w:w="183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SMA Technologies Holdings, LLC</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($36,833</w:t>
            </w:r>
            <w:r>
              <w:rPr>
                <w:rFonts w:ascii="Times New Roman" w:hAnsi="Times New Roman"/>
                <w:color w:val="000000"/>
                <w:sz w:val="20"/>
              </w:rPr>
              <w:t> </w:t>
            </w:r>
            <w:r>
              <w:rPr>
                <w:rFonts w:ascii="Times New Roman" w:hAnsi="Times New Roman"/>
                <w:b w:val="false"/>
                <w:color w:val="000000"/>
                <w:sz w:val="14"/>
              </w:rPr>
              <w:t>par, due 10/2028)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10/31/2022</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+ 6.75%</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11.07%</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35,268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w:t>
            </w:r>
          </w:p>
        </w:tc>
      </w:tr>
      <w:tr>
        <w:trPr/>
        <w:tc>
          <w:tcPr>
            <w:tcW w:w="18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372,372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369,758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27.5%</w:t>
            </w:r>
          </w:p>
        </w:tc>
      </w:tr>
      <w:tr>
        <w:trPr/>
        <w:tc>
          <w:tcPr>
            <w:tcW w:w="183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Manufacturing</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pPr>
            <w:r>
              <w:rPr/>
              <w:t> </w:t>
            </w:r>
          </w:p>
        </w:tc>
      </w:tr>
      <w:tr>
        <w:trPr/>
        <w:tc>
          <w:tcPr>
            <w:tcW w:w="183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Avalara, Inc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($38,636</w:t>
            </w:r>
            <w:r>
              <w:rPr>
                <w:rFonts w:ascii="Times New Roman" w:hAnsi="Times New Roman"/>
                <w:color w:val="000000"/>
                <w:sz w:val="20"/>
              </w:rPr>
              <w:t> </w:t>
            </w:r>
            <w:r>
              <w:rPr>
                <w:rFonts w:ascii="Times New Roman" w:hAnsi="Times New Roman"/>
                <w:b w:val="false"/>
                <w:color w:val="000000"/>
                <w:sz w:val="14"/>
              </w:rPr>
              <w:t>par, due 10/2028)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10/19/2022</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+ 7.25%</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37,601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37,255</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w:t>
            </w:r>
          </w:p>
        </w:tc>
      </w:tr>
      <w:tr>
        <w:trPr/>
        <w:tc>
          <w:tcPr>
            <w:tcW w:w="183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Office Products</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pPr>
            <w:r>
              <w:rPr/>
              <w:t> </w:t>
            </w:r>
          </w:p>
        </w:tc>
      </w:tr>
      <w:tr>
        <w:trPr/>
        <w:tc>
          <w:tcPr>
            <w:tcW w:w="183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USR Parent, Inc.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ABL FILO term loan ($19,000</w:t>
            </w:r>
            <w:r>
              <w:rPr>
                <w:rFonts w:ascii="Times New Roman" w:hAnsi="Times New Roman"/>
                <w:color w:val="000000"/>
                <w:sz w:val="20"/>
              </w:rPr>
              <w:t> </w:t>
            </w:r>
            <w:r>
              <w:rPr>
                <w:rFonts w:ascii="Times New Roman" w:hAnsi="Times New Roman"/>
                <w:b w:val="false"/>
                <w:color w:val="000000"/>
                <w:sz w:val="14"/>
              </w:rPr>
              <w:t>par, due 4/2027)</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4/25/2022</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+ 6.50%</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10.62%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18,634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18,478</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w:t>
            </w:r>
          </w:p>
        </w:tc>
      </w:tr>
      <w:tr>
        <w:trPr/>
        <w:tc>
          <w:tcPr>
            <w:tcW w:w="183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Oil, Gas and Consumable Fuels</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pPr>
            <w:r>
              <w:rPr/>
              <w:t> </w:t>
            </w:r>
          </w:p>
        </w:tc>
      </w:tr>
      <w:tr>
        <w:trPr/>
        <w:tc>
          <w:tcPr>
            <w:tcW w:w="183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Murchison Oil and Gas, LLC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($26,873</w:t>
            </w:r>
            <w:r>
              <w:rPr>
                <w:rFonts w:ascii="Times New Roman" w:hAnsi="Times New Roman"/>
                <w:color w:val="000000"/>
                <w:sz w:val="20"/>
              </w:rPr>
              <w:t> </w:t>
            </w:r>
            <w:r>
              <w:rPr>
                <w:rFonts w:ascii="Times New Roman" w:hAnsi="Times New Roman"/>
                <w:b w:val="false"/>
                <w:color w:val="000000"/>
                <w:sz w:val="14"/>
              </w:rPr>
              <w:t>par, due 6/2026)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6/30/2022</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+ 8.65%</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26,345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26,781</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w:t>
            </w:r>
          </w:p>
        </w:tc>
      </w:tr>
      <w:tr>
        <w:trPr/>
        <w:tc>
          <w:tcPr>
            <w:tcW w:w="183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TRP Assets, LLC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($57,818</w:t>
            </w:r>
            <w:r>
              <w:rPr>
                <w:rFonts w:ascii="Times New Roman" w:hAnsi="Times New Roman"/>
                <w:color w:val="000000"/>
                <w:sz w:val="20"/>
              </w:rPr>
              <w:t> </w:t>
            </w:r>
            <w:r>
              <w:rPr>
                <w:rFonts w:ascii="Times New Roman" w:hAnsi="Times New Roman"/>
                <w:b w:val="false"/>
                <w:color w:val="000000"/>
                <w:sz w:val="14"/>
              </w:rPr>
              <w:t>par, due 12/2025)</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12/3/2021</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+ 7.76%</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12.34%</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56,927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58,468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w:t>
            </w:r>
          </w:p>
        </w:tc>
      </w:tr>
      <w:tr>
        <w:trPr/>
        <w:tc>
          <w:tcPr>
            <w:tcW w:w="18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83,272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6.4%</w:t>
            </w:r>
          </w:p>
        </w:tc>
      </w:tr>
      <w:tr>
        <w:trPr/>
        <w:tc>
          <w:tcPr>
            <w:tcW w:w="183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pPr>
            <w:r>
              <w:rPr/>
              <w:t> </w:t>
            </w:r>
          </w:p>
        </w:tc>
      </w:tr>
      <w:tr>
        <w:trPr/>
        <w:tc>
          <w:tcPr>
            <w:tcW w:w="183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Omnigo Software, LLC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($40,353</w:t>
            </w:r>
            <w:r>
              <w:rPr>
                <w:rFonts w:ascii="Times New Roman" w:hAnsi="Times New Roman"/>
                <w:color w:val="000000"/>
                <w:sz w:val="20"/>
              </w:rPr>
              <w:t> </w:t>
            </w:r>
            <w:r>
              <w:rPr>
                <w:rFonts w:ascii="Times New Roman" w:hAnsi="Times New Roman"/>
                <w:b w:val="false"/>
                <w:color w:val="000000"/>
                <w:sz w:val="14"/>
              </w:rPr>
              <w:t>par, due 3/2026)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3/31/2021</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+ 6.60%</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10.92%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39,655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39,445</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w:t>
            </w:r>
          </w:p>
        </w:tc>
      </w:tr>
      <w:tr>
        <w:trPr/>
        <w:tc>
          <w:tcPr>
            <w:tcW w:w="183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Retail and Consumer Products</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pPr>
            <w:r>
              <w:rPr/>
              <w:t> </w:t>
            </w:r>
          </w:p>
        </w:tc>
      </w:tr>
      <w:tr>
        <w:trPr/>
        <w:tc>
          <w:tcPr>
            <w:tcW w:w="183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99 Cents Only Stores LLC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ABL FILO term loan ($25,000</w:t>
            </w:r>
            <w:r>
              <w:rPr>
                <w:rFonts w:ascii="Times New Roman" w:hAnsi="Times New Roman"/>
                <w:color w:val="000000"/>
                <w:sz w:val="20"/>
              </w:rPr>
              <w:t> </w:t>
            </w:r>
            <w:r>
              <w:rPr>
                <w:rFonts w:ascii="Times New Roman" w:hAnsi="Times New Roman"/>
                <w:b w:val="false"/>
                <w:color w:val="000000"/>
                <w:sz w:val="14"/>
              </w:rPr>
              <w:t>par, due</w:t>
            </w:r>
            <w:r>
              <w:rPr>
                <w:rFonts w:ascii="Times New Roman" w:hAnsi="Times New Roman"/>
                <w:color w:val="000000"/>
                <w:sz w:val="20"/>
              </w:rPr>
              <w:t xml:space="preserve"> </w:t>
            </w:r>
            <w:r>
              <w:rPr>
                <w:rFonts w:ascii="Times New Roman" w:hAnsi="Times New Roman"/>
                <w:b w:val="false"/>
                <w:color w:val="000000"/>
                <w:sz w:val="14"/>
              </w:rPr>
              <w:t>5/2025)</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9/6/2017</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+ 8.50%</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24,782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25,063</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w:t>
            </w:r>
          </w:p>
        </w:tc>
      </w:tr>
      <w:tr>
        <w:trPr/>
        <w:tc>
          <w:tcPr>
            <w:tcW w:w="183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American Achievement, Corp.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01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($27,171</w:t>
            </w:r>
            <w:r>
              <w:rPr>
                <w:rFonts w:ascii="Times New Roman" w:hAnsi="Times New Roman"/>
                <w:color w:val="000000"/>
                <w:sz w:val="20"/>
              </w:rPr>
              <w:t> </w:t>
            </w:r>
            <w:r>
              <w:rPr>
                <w:rFonts w:ascii="Times New Roman" w:hAnsi="Times New Roman"/>
                <w:b w:val="false"/>
                <w:color w:val="000000"/>
                <w:sz w:val="14"/>
              </w:rPr>
              <w:t>par, due 9/2026)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9/30/2015</w:t>
            </w:r>
          </w:p>
        </w:tc>
        <w:tc>
          <w:tcPr>
            <w:tcW w:w="146" w:type="dxa"/>
            <w:tcBorders/>
            <w:shd w:fill="CFF0FC" w:val="clear"/>
            <w:vAlign w:val="center"/>
          </w:tcPr>
          <w:p>
            <w:pPr>
              <w:pStyle w:val="TableContents"/>
              <w:bidi w:val="0"/>
              <w:spacing w:before="0" w:after="283"/>
              <w:jc w:val="right"/>
              <w:rPr/>
            </w:pPr>
            <w:r>
              <w:rPr/>
              <w:t> </w:t>
            </w:r>
          </w:p>
        </w:tc>
        <w:tc>
          <w:tcPr>
            <w:tcW w:w="80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+ 6.25%</w:t>
            </w:r>
          </w:p>
        </w:tc>
        <w:tc>
          <w:tcPr>
            <w:tcW w:w="146" w:type="dxa"/>
            <w:tcBorders/>
            <w:shd w:fill="CFF0FC" w:val="clear"/>
            <w:vAlign w:val="center"/>
          </w:tcPr>
          <w:p>
            <w:pPr>
              <w:pStyle w:val="TableContents"/>
              <w:bidi w:val="0"/>
              <w:spacing w:before="0" w:after="283"/>
              <w:jc w:val="right"/>
              <w:rPr/>
            </w:pPr>
            <w:r>
              <w:rPr/>
              <w:t> </w:t>
            </w:r>
          </w:p>
        </w:tc>
        <w:tc>
          <w:tcPr>
            <w:tcW w:w="111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10.38% (incl. 9.88%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26,339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20,922</w:t>
            </w:r>
          </w:p>
        </w:tc>
        <w:tc>
          <w:tcPr>
            <w:tcW w:w="146" w:type="dxa"/>
            <w:tcBorders/>
            <w:shd w:fill="CFF0FC" w:val="clear"/>
            <w:vAlign w:val="center"/>
          </w:tcPr>
          <w:p>
            <w:pPr>
              <w:pStyle w:val="TableContents"/>
              <w:bidi w:val="0"/>
              <w:spacing w:before="0" w:after="283"/>
              <w:jc w:val="righ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w:t>
            </w:r>
          </w:p>
        </w:tc>
      </w:tr>
      <w:tr>
        <w:trPr/>
        <w:tc>
          <w:tcPr>
            <w:tcW w:w="18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First-lien loan ($1,363</w:t>
            </w:r>
            <w:r>
              <w:rPr>
                <w:rFonts w:ascii="Times New Roman" w:hAnsi="Times New Roman"/>
                <w:color w:val="000000"/>
                <w:sz w:val="14"/>
              </w:rPr>
              <w:t> </w:t>
            </w:r>
            <w:r>
              <w:rPr>
                <w:rFonts w:ascii="Times New Roman" w:hAnsi="Times New Roman"/>
                <w:b w:val="false"/>
                <w:color w:val="000000"/>
                <w:sz w:val="14"/>
              </w:rPr>
              <w:t xml:space="preserve">par, due 9/2026) </w:t>
            </w:r>
            <w:r>
              <w:rPr>
                <w:rFonts w:ascii="Times New Roman" w:hAnsi="Times New Roman"/>
                <w:b w:val="false"/>
                <w:color w:val="000000"/>
                <w:sz w:val="9"/>
              </w:rPr>
              <w:t>(15)</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6/10/2021</w:t>
            </w:r>
          </w:p>
        </w:tc>
        <w:tc>
          <w:tcPr>
            <w:tcW w:w="146" w:type="dxa"/>
            <w:tcBorders/>
            <w:shd w:fill="FFFFFF" w:val="clear"/>
            <w:vAlign w:val="center"/>
          </w:tcPr>
          <w:p>
            <w:pPr>
              <w:pStyle w:val="TableContents"/>
              <w:bidi w:val="0"/>
              <w:spacing w:before="0" w:after="283"/>
              <w:jc w:val="righ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+ 14.00%</w:t>
            </w:r>
          </w:p>
        </w:tc>
        <w:tc>
          <w:tcPr>
            <w:tcW w:w="146" w:type="dxa"/>
            <w:tcBorders/>
            <w:shd w:fill="FFFFFF" w:val="clear"/>
            <w:vAlign w:val="center"/>
          </w:tcPr>
          <w:p>
            <w:pPr>
              <w:pStyle w:val="TableContents"/>
              <w:bidi w:val="0"/>
              <w:spacing w:before="0" w:after="283"/>
              <w:jc w:val="right"/>
              <w:rPr/>
            </w:pPr>
            <w:r>
              <w:rPr/>
              <w:t> </w:t>
            </w:r>
          </w:p>
        </w:tc>
        <w:tc>
          <w:tcPr>
            <w:tcW w:w="111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18.13% (incl. 17.63%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1,362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78</w:t>
            </w:r>
          </w:p>
        </w:tc>
        <w:tc>
          <w:tcPr>
            <w:tcW w:w="146" w:type="dxa"/>
            <w:tcBorders/>
            <w:shd w:fill="FFFFFF" w:val="clear"/>
            <w:vAlign w:val="center"/>
          </w:tcPr>
          <w:p>
            <w:pPr>
              <w:pStyle w:val="TableContents"/>
              <w:bidi w:val="0"/>
              <w:spacing w:before="0" w:after="283"/>
              <w:jc w:val="righ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3"/>
        <w:gridCol w:w="146"/>
        <w:gridCol w:w="2149"/>
        <w:gridCol w:w="146"/>
        <w:gridCol w:w="796"/>
        <w:gridCol w:w="146"/>
        <w:gridCol w:w="823"/>
        <w:gridCol w:w="146"/>
        <w:gridCol w:w="744"/>
        <w:gridCol w:w="146"/>
        <w:gridCol w:w="146"/>
        <w:gridCol w:w="721"/>
        <w:gridCol w:w="146"/>
        <w:gridCol w:w="146"/>
        <w:gridCol w:w="795"/>
        <w:gridCol w:w="146"/>
        <w:gridCol w:w="860"/>
      </w:tblGrid>
      <w:tr>
        <w:trPr/>
        <w:tc>
          <w:tcPr>
            <w:tcW w:w="20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4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0" w:type="dxa"/>
            <w:tcBorders/>
            <w:shd w:fill="FFFFFF" w:val="clear"/>
            <w:vAlign w:val="center"/>
          </w:tcPr>
          <w:p>
            <w:pPr>
              <w:pStyle w:val="TableContents"/>
              <w:bidi w:val="0"/>
              <w:spacing w:before="0" w:after="283"/>
              <w:jc w:val="left"/>
              <w:rPr>
                <w:sz w:val="4"/>
                <w:szCs w:val="4"/>
              </w:rPr>
            </w:pPr>
            <w:r>
              <w:rPr>
                <w:sz w:val="4"/>
                <w:szCs w:val="4"/>
              </w:rPr>
            </w:r>
          </w:p>
        </w:tc>
      </w:tr>
      <w:tr>
        <w:trPr/>
        <w:tc>
          <w:tcPr>
            <w:tcW w:w="2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Company </w:t>
            </w:r>
            <w:r>
              <w:rPr>
                <w:rFonts w:ascii="Times New Roman" w:hAnsi="Times New Roman"/>
                <w:b/>
                <w:color w:val="000000"/>
                <w:sz w:val="9"/>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br/>
              <w:t>Rate and</w:t>
              <w:br/>
              <w:t>Spread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Amortized</w:t>
              <w:br/>
              <w:t xml:space="preserve">Cost </w:t>
            </w:r>
            <w:r>
              <w:rPr>
                <w:rFonts w:ascii="Times New Roman" w:hAnsi="Times New Roman"/>
                <w:b/>
                <w:color w:val="000000"/>
                <w:sz w:val="9"/>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Value </w:t>
            </w:r>
            <w:r>
              <w:rPr>
                <w:rFonts w:ascii="Times New Roman" w:hAnsi="Times New Roman"/>
                <w:b/>
                <w:color w:val="000000"/>
                <w:sz w:val="9"/>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br/>
              <w:t>of Net Assets</w:t>
            </w:r>
          </w:p>
        </w:tc>
      </w:tr>
      <w:tr>
        <w:trPr/>
        <w:tc>
          <w:tcPr>
            <w:tcW w:w="20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Subordinated note ($4,740</w:t>
            </w:r>
            <w:r>
              <w:rPr>
                <w:rFonts w:ascii="Times New Roman" w:hAnsi="Times New Roman"/>
                <w:color w:val="000000"/>
                <w:sz w:val="14"/>
              </w:rPr>
              <w:t> </w:t>
            </w:r>
            <w:r>
              <w:rPr>
                <w:rFonts w:ascii="Times New Roman" w:hAnsi="Times New Roman"/>
                <w:b w:val="false"/>
                <w:color w:val="000000"/>
                <w:sz w:val="14"/>
              </w:rPr>
              <w:t>par, due</w:t>
            </w:r>
            <w:r>
              <w:rPr>
                <w:rFonts w:ascii="Times New Roman" w:hAnsi="Times New Roman"/>
                <w:color w:val="000000"/>
                <w:sz w:val="14"/>
              </w:rPr>
              <w:t xml:space="preserve"> </w:t>
            </w:r>
            <w:r>
              <w:rPr>
                <w:rFonts w:ascii="Times New Roman" w:hAnsi="Times New Roman"/>
                <w:b w:val="false"/>
                <w:color w:val="000000"/>
                <w:sz w:val="14"/>
              </w:rPr>
              <w:t xml:space="preserve">9/2026) </w:t>
            </w:r>
            <w:r>
              <w:rPr>
                <w:rFonts w:ascii="Times New Roman" w:hAnsi="Times New Roman"/>
                <w:b w:val="false"/>
                <w:color w:val="000000"/>
                <w:sz w:val="9"/>
              </w:rPr>
              <w:t>(15)</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3/16/2021</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+ 1.00%</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4.75%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00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Bed Bath and Beyond Inc. </w:t>
            </w:r>
            <w:r>
              <w:rPr>
                <w:rFonts w:ascii="Times New Roman" w:hAnsi="Times New Roman"/>
                <w:b w:val="false"/>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ABL FILO term loan ($55,000</w:t>
            </w:r>
            <w:r>
              <w:rPr>
                <w:rFonts w:ascii="Times New Roman" w:hAnsi="Times New Roman"/>
                <w:color w:val="000000"/>
                <w:sz w:val="20"/>
              </w:rPr>
              <w:t> </w:t>
            </w:r>
            <w:r>
              <w:rPr>
                <w:rFonts w:ascii="Times New Roman" w:hAnsi="Times New Roman"/>
                <w:b w:val="false"/>
                <w:color w:val="000000"/>
                <w:sz w:val="14"/>
              </w:rPr>
              <w:t>par, due 8/2027)</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9/2/2022</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+ 7.90%</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53,696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53,900</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w:t>
            </w:r>
          </w:p>
        </w:tc>
      </w:tr>
      <w:tr>
        <w:trPr/>
        <w:tc>
          <w:tcPr>
            <w:tcW w:w="200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Cordance Operations, LLC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($32,907</w:t>
            </w:r>
            <w:r>
              <w:rPr>
                <w:rFonts w:ascii="Times New Roman" w:hAnsi="Times New Roman"/>
                <w:color w:val="000000"/>
                <w:sz w:val="20"/>
              </w:rPr>
              <w:t> </w:t>
            </w:r>
            <w:r>
              <w:rPr>
                <w:rFonts w:ascii="Times New Roman" w:hAnsi="Times New Roman"/>
                <w:b w:val="false"/>
                <w:color w:val="000000"/>
                <w:sz w:val="14"/>
              </w:rPr>
              <w:t>par, due 7/2028)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7/25/2022</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SOFR + 8.75%</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32,091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32,135</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w:t>
            </w:r>
          </w:p>
        </w:tc>
      </w:tr>
      <w:tr>
        <w:trPr/>
        <w:tc>
          <w:tcPr>
            <w:tcW w:w="200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Neuintel, LLC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($56,400</w:t>
            </w:r>
            <w:r>
              <w:rPr>
                <w:rFonts w:ascii="Times New Roman" w:hAnsi="Times New Roman"/>
                <w:color w:val="000000"/>
                <w:sz w:val="20"/>
              </w:rPr>
              <w:t> </w:t>
            </w:r>
            <w:r>
              <w:rPr>
                <w:rFonts w:ascii="Times New Roman" w:hAnsi="Times New Roman"/>
                <w:b w:val="false"/>
                <w:color w:val="000000"/>
                <w:sz w:val="14"/>
              </w:rPr>
              <w:t>par, due 12/2026)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12/20/2021</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+ 6.25%</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55,414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55,272</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w:t>
            </w:r>
          </w:p>
        </w:tc>
      </w:tr>
      <w:tr>
        <w:trPr/>
        <w:tc>
          <w:tcPr>
            <w:tcW w:w="200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Project P Intermediate 2, LLC</w:t>
            </w:r>
            <w:r>
              <w:rPr>
                <w:rFonts w:ascii="Times New Roman" w:hAnsi="Times New Roman"/>
                <w:color w:val="000000"/>
                <w:sz w:val="14"/>
              </w:rPr>
              <w:t> </w:t>
            </w:r>
            <w:r>
              <w:rPr>
                <w:rFonts w:ascii="Times New Roman" w:hAnsi="Times New Roman"/>
                <w:b w:val="false"/>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ABL FILO term loan ($73,125</w:t>
            </w:r>
            <w:r>
              <w:rPr>
                <w:rFonts w:ascii="Times New Roman" w:hAnsi="Times New Roman"/>
                <w:color w:val="000000"/>
                <w:sz w:val="20"/>
              </w:rPr>
              <w:t> </w:t>
            </w:r>
            <w:r>
              <w:rPr>
                <w:rFonts w:ascii="Times New Roman" w:hAnsi="Times New Roman"/>
                <w:b w:val="false"/>
                <w:color w:val="000000"/>
                <w:sz w:val="14"/>
              </w:rPr>
              <w:t>par, due 5/2026)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11/8/2021</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+ 8.00%</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12.41%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71,976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72,943</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w:t>
            </w:r>
          </w:p>
        </w:tc>
      </w:tr>
      <w:tr>
        <w:trPr/>
        <w:tc>
          <w:tcPr>
            <w:tcW w:w="200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Tango Management Consulting, LLC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($44,674</w:t>
            </w:r>
            <w:r>
              <w:rPr>
                <w:rFonts w:ascii="Times New Roman" w:hAnsi="Times New Roman"/>
                <w:color w:val="000000"/>
                <w:sz w:val="20"/>
              </w:rPr>
              <w:t> </w:t>
            </w:r>
            <w:r>
              <w:rPr>
                <w:rFonts w:ascii="Times New Roman" w:hAnsi="Times New Roman"/>
                <w:b w:val="false"/>
                <w:color w:val="000000"/>
                <w:sz w:val="14"/>
              </w:rPr>
              <w:t>par, due 12/2027)</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12/1/2021</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+ 6.75%</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10.49%</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w:t>
            </w:r>
          </w:p>
        </w:tc>
      </w:tr>
      <w:tr>
        <w:trPr/>
        <w:tc>
          <w:tcPr>
            <w:tcW w:w="20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309,957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303,381</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22.6%</w:t>
            </w:r>
          </w:p>
        </w:tc>
      </w:tr>
      <w:tr>
        <w:trPr/>
        <w:tc>
          <w:tcPr>
            <w:tcW w:w="2003"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Transportation</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pPr>
            <w:r>
              <w:rPr/>
              <w:t> </w:t>
            </w:r>
          </w:p>
        </w:tc>
      </w:tr>
      <w:tr>
        <w:trPr/>
        <w:tc>
          <w:tcPr>
            <w:tcW w:w="200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Project44, Inc.</w:t>
            </w:r>
            <w:r>
              <w:rPr>
                <w:rFonts w:ascii="Times New Roman" w:hAnsi="Times New Roman"/>
                <w:color w:val="000000"/>
                <w:sz w:val="14"/>
              </w:rPr>
              <w:t> </w:t>
            </w:r>
            <w:r>
              <w:rPr>
                <w:rFonts w:ascii="Times New Roman" w:hAnsi="Times New Roman"/>
                <w:b w:val="false"/>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First-lien loan ($35,139</w:t>
            </w:r>
            <w:r>
              <w:rPr>
                <w:rFonts w:ascii="Times New Roman" w:hAnsi="Times New Roman"/>
                <w:color w:val="000000"/>
                <w:sz w:val="20"/>
              </w:rPr>
              <w:t> </w:t>
            </w:r>
            <w:r>
              <w:rPr>
                <w:rFonts w:ascii="Times New Roman" w:hAnsi="Times New Roman"/>
                <w:b w:val="false"/>
                <w:color w:val="000000"/>
                <w:sz w:val="14"/>
              </w:rPr>
              <w:t>par, due 11/2027)</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11/12/2021</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+ 6.25%</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11.41%</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34,043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33,901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w:t>
            </w:r>
          </w:p>
        </w:tc>
      </w:tr>
      <w:tr>
        <w:trPr/>
        <w:tc>
          <w:tcPr>
            <w:tcW w:w="2003"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2,579,557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2,568,814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188.1%</w:t>
            </w:r>
          </w:p>
        </w:tc>
      </w:tr>
      <w:tr>
        <w:trPr/>
        <w:tc>
          <w:tcPr>
            <w:tcW w:w="20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pPr>
            <w:r>
              <w:rPr/>
              <w:t> </w:t>
            </w:r>
          </w:p>
        </w:tc>
      </w:tr>
      <w:tr>
        <w:trPr/>
        <w:tc>
          <w:tcPr>
            <w:tcW w:w="2003"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pPr>
            <w:r>
              <w:rPr/>
              <w:t> </w:t>
            </w:r>
          </w:p>
        </w:tc>
      </w:tr>
      <w:tr>
        <w:trPr/>
        <w:tc>
          <w:tcPr>
            <w:tcW w:w="2003"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pPr>
            <w:r>
              <w:rPr/>
              <w:t> </w:t>
            </w:r>
          </w:p>
        </w:tc>
      </w:tr>
      <w:tr>
        <w:trPr/>
        <w:tc>
          <w:tcPr>
            <w:tcW w:w="200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Dye &amp; Durham, Ltd. </w:t>
            </w:r>
            <w:r>
              <w:rPr>
                <w:rFonts w:ascii="Times New Roman" w:hAnsi="Times New Roman"/>
                <w:b w:val="false"/>
                <w:color w:val="000000"/>
                <w:sz w:val="9"/>
              </w:rPr>
              <w:t>(4)(11)</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Common Shares (126,968</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12/3/2021</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3,909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1,538</w:t>
              <w:br/>
              <w:t>(CAD 2,284)</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00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Mitnick TA Aggregator, LP</w:t>
            </w:r>
            <w:r>
              <w:rPr>
                <w:rFonts w:ascii="Times New Roman" w:hAnsi="Times New Roman"/>
                <w:color w:val="000000"/>
                <w:sz w:val="14"/>
              </w:rPr>
              <w:t> </w:t>
            </w:r>
            <w:r>
              <w:rPr>
                <w:rFonts w:ascii="Times New Roman" w:hAnsi="Times New Roman"/>
                <w:b w:val="false"/>
                <w:color w:val="000000"/>
                <w:sz w:val="9"/>
              </w:rPr>
              <w:t>(12)(13)(14)</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Membership Interest (0.43% ownership)</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5/2/2022</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5,243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5,243</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0.4%</w:t>
            </w:r>
          </w:p>
        </w:tc>
      </w:tr>
      <w:tr>
        <w:trPr/>
        <w:tc>
          <w:tcPr>
            <w:tcW w:w="200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ReliaQuest, LLC </w:t>
            </w:r>
            <w:r>
              <w:rPr>
                <w:rFonts w:ascii="Times New Roman" w:hAnsi="Times New Roman"/>
                <w:b w:val="false"/>
                <w:color w:val="000000"/>
                <w:sz w:val="9"/>
              </w:rPr>
              <w:t>(12)(14)</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A-1 Units (567,683</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11/23/2021</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1,512</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0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Class A-2 Units (2,580</w:t>
            </w:r>
            <w:r>
              <w:rPr>
                <w:rFonts w:ascii="Times New Roman" w:hAnsi="Times New Roman"/>
                <w:color w:val="000000"/>
                <w:sz w:val="14"/>
              </w:rPr>
              <w:t> </w:t>
            </w:r>
            <w:r>
              <w:rPr>
                <w:rFonts w:ascii="Times New Roman" w:hAnsi="Times New Roman"/>
                <w:b w:val="false"/>
                <w:color w:val="000000"/>
                <w:sz w:val="14"/>
              </w:rPr>
              <w:t>units)</w:t>
            </w:r>
            <w:r>
              <w:rPr>
                <w:rFonts w:ascii="Times New Roman" w:hAnsi="Times New Roman"/>
                <w:b w:val="false"/>
                <w:color w:val="000000"/>
                <w:sz w:val="9"/>
              </w:rPr>
              <w:t>(13)</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6/21/2022</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00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Sprinklr, Inc. </w:t>
            </w:r>
            <w:r>
              <w:rPr>
                <w:rFonts w:ascii="Times New Roman" w:hAnsi="Times New Roman"/>
                <w:b w:val="false"/>
                <w:color w:val="000000"/>
                <w:sz w:val="9"/>
              </w:rPr>
              <w:t>(11)(12)</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Common Shares (484,700</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6/24/2021</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4,180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3,960</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200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WideOrbit, Inc. </w:t>
            </w:r>
            <w:r>
              <w:rPr>
                <w:rFonts w:ascii="Times New Roman" w:hAnsi="Times New Roman"/>
                <w:b w:val="false"/>
                <w:color w:val="000000"/>
                <w:sz w:val="9"/>
              </w:rPr>
              <w:t>(12)</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1,567,807</w:t>
            </w:r>
            <w:r>
              <w:rPr>
                <w:rFonts w:ascii="Times New Roman" w:hAnsi="Times New Roman"/>
                <w:color w:val="000000"/>
                <w:sz w:val="20"/>
              </w:rPr>
              <w:t> </w:t>
            </w:r>
            <w:r>
              <w:rPr>
                <w:rFonts w:ascii="Times New Roman" w:hAnsi="Times New Roman"/>
                <w:b w:val="false"/>
                <w:color w:val="000000"/>
                <w:sz w:val="14"/>
              </w:rPr>
              <w:t>Warrants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7/8/2020</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0.4%</w:t>
            </w:r>
          </w:p>
        </w:tc>
      </w:tr>
      <w:tr>
        <w:trPr/>
        <w:tc>
          <w:tcPr>
            <w:tcW w:w="20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14,785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17,131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w:t>
            </w:r>
          </w:p>
        </w:tc>
      </w:tr>
      <w:tr>
        <w:trPr/>
        <w:tc>
          <w:tcPr>
            <w:tcW w:w="2003"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Communications</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pPr>
            <w:r>
              <w:rPr/>
              <w:t> </w:t>
            </w:r>
          </w:p>
        </w:tc>
      </w:tr>
      <w:tr>
        <w:trPr/>
        <w:tc>
          <w:tcPr>
            <w:tcW w:w="200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Celtra Technologies, Inc. </w:t>
            </w:r>
            <w:r>
              <w:rPr>
                <w:rFonts w:ascii="Times New Roman" w:hAnsi="Times New Roman"/>
                <w:b w:val="false"/>
                <w:color w:val="000000"/>
                <w:sz w:val="9"/>
              </w:rPr>
              <w:t>(12)</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(1,250,000</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11/19/2021</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1,250</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00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IntelePeer Holdings, Inc. </w:t>
            </w:r>
            <w:r>
              <w:rPr>
                <w:rFonts w:ascii="Times New Roman" w:hAnsi="Times New Roman"/>
                <w:b w:val="false"/>
                <w:color w:val="000000"/>
                <w:sz w:val="9"/>
              </w:rPr>
              <w:t>(12)</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Series C Preferred Shares (1,816,295</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4/8/2021</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1,816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1,794</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0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Series D Preferred Shares (1,598,874</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4/8/2021</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1,923</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0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280,000</w:t>
            </w:r>
            <w:r>
              <w:rPr>
                <w:rFonts w:ascii="Times New Roman" w:hAnsi="Times New Roman"/>
                <w:color w:val="000000"/>
                <w:sz w:val="20"/>
              </w:rPr>
              <w:t> </w:t>
            </w:r>
            <w:r>
              <w:rPr>
                <w:rFonts w:ascii="Times New Roman" w:hAnsi="Times New Roman"/>
                <w:b w:val="false"/>
                <w:color w:val="000000"/>
                <w:sz w:val="14"/>
              </w:rPr>
              <w:t>Warrants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2/28/2020</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0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106,592</w:t>
            </w:r>
            <w:r>
              <w:rPr>
                <w:rFonts w:ascii="Times New Roman" w:hAnsi="Times New Roman"/>
                <w:color w:val="000000"/>
                <w:sz w:val="20"/>
              </w:rPr>
              <w:t> </w:t>
            </w:r>
            <w:r>
              <w:rPr>
                <w:rFonts w:ascii="Times New Roman" w:hAnsi="Times New Roman"/>
                <w:b w:val="false"/>
                <w:color w:val="000000"/>
                <w:sz w:val="14"/>
              </w:rPr>
              <w:t>Warrants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4/8/2021</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0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2003"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Education</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pPr>
            <w:r>
              <w:rPr/>
              <w:t> </w:t>
            </w:r>
          </w:p>
        </w:tc>
      </w:tr>
      <w:tr>
        <w:trPr/>
        <w:tc>
          <w:tcPr>
            <w:tcW w:w="200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Astra 2L Holdings II LLC</w:t>
            </w:r>
            <w:r>
              <w:rPr>
                <w:rFonts w:ascii="Times New Roman" w:hAnsi="Times New Roman"/>
                <w:color w:val="000000"/>
                <w:sz w:val="14"/>
              </w:rPr>
              <w:t> </w:t>
            </w:r>
            <w:r>
              <w:rPr>
                <w:rFonts w:ascii="Times New Roman" w:hAnsi="Times New Roman"/>
                <w:b w:val="false"/>
                <w:color w:val="000000"/>
                <w:sz w:val="9"/>
              </w:rPr>
              <w:t>(12)(13)</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Membership Interest (10.17% ownership)</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1/13/2022</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3,255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2,555</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00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EMS Linq, Inc. </w:t>
            </w:r>
            <w:r>
              <w:rPr>
                <w:rFonts w:ascii="Times New Roman" w:hAnsi="Times New Roman"/>
                <w:b w:val="false"/>
                <w:color w:val="000000"/>
                <w:sz w:val="9"/>
              </w:rPr>
              <w:t>(12)</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B Units (5,522,526</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12/22/2021</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4,763</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0.4%</w:t>
            </w:r>
          </w:p>
        </w:tc>
      </w:tr>
      <w:tr>
        <w:trPr/>
        <w:tc>
          <w:tcPr>
            <w:tcW w:w="200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RMCF IV CIV XXXV,</w:t>
              <w:br/>
              <w:t xml:space="preserve">   LP. </w:t>
            </w:r>
            <w:r>
              <w:rPr>
                <w:rFonts w:ascii="Times New Roman" w:hAnsi="Times New Roman"/>
                <w:b w:val="false"/>
                <w:color w:val="000000"/>
                <w:sz w:val="9"/>
              </w:rPr>
              <w:t>(12)</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Partnership Interest (11.94% ownership)</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6/8/2021</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0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0.7%</w:t>
            </w:r>
          </w:p>
        </w:tc>
      </w:tr>
      <w:tr>
        <w:trPr/>
        <w:tc>
          <w:tcPr>
            <w:tcW w:w="2003"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pPr>
            <w:r>
              <w:rPr/>
              <w:t> </w:t>
            </w:r>
          </w:p>
        </w:tc>
      </w:tr>
      <w:tr>
        <w:trPr/>
        <w:tc>
          <w:tcPr>
            <w:tcW w:w="200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AvidXchange, Inc. </w:t>
            </w:r>
            <w:r>
              <w:rPr>
                <w:rFonts w:ascii="Times New Roman" w:hAnsi="Times New Roman"/>
                <w:b w:val="false"/>
                <w:color w:val="000000"/>
                <w:sz w:val="9"/>
              </w:rPr>
              <w:t>(11)(12)</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Common Shares (200,721</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10/15/2021</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1,995</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00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Newport Parent Holdings, LP </w:t>
            </w:r>
            <w:r>
              <w:rPr>
                <w:rFonts w:ascii="Times New Roman" w:hAnsi="Times New Roman"/>
                <w:b w:val="false"/>
                <w:color w:val="000000"/>
                <w:sz w:val="9"/>
              </w:rPr>
              <w:t>(12)</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A-2 Units (131,569</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12/10/2020</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4,177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4,845</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0.4%</w:t>
            </w:r>
          </w:p>
        </w:tc>
      </w:tr>
      <w:tr>
        <w:trPr/>
        <w:tc>
          <w:tcPr>
            <w:tcW w:w="200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Oxford Square Capital Corp. </w:t>
            </w:r>
            <w:r>
              <w:rPr>
                <w:rFonts w:ascii="Times New Roman" w:hAnsi="Times New Roman"/>
                <w:b w:val="false"/>
                <w:color w:val="000000"/>
                <w:sz w:val="9"/>
              </w:rPr>
              <w:t>(4)(11)</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Common Shares (1,620</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8/5/2015</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00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Passport Labs, Inc. </w:t>
            </w:r>
            <w:r>
              <w:rPr>
                <w:rFonts w:ascii="Times New Roman" w:hAnsi="Times New Roman"/>
                <w:b w:val="false"/>
                <w:color w:val="000000"/>
                <w:sz w:val="9"/>
              </w:rPr>
              <w:t>(12)</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17,534</w:t>
            </w:r>
            <w:r>
              <w:rPr>
                <w:rFonts w:ascii="Times New Roman" w:hAnsi="Times New Roman"/>
                <w:color w:val="000000"/>
                <w:sz w:val="20"/>
              </w:rPr>
              <w:t> </w:t>
            </w:r>
            <w:r>
              <w:rPr>
                <w:rFonts w:ascii="Times New Roman" w:hAnsi="Times New Roman"/>
                <w:b w:val="false"/>
                <w:color w:val="000000"/>
                <w:sz w:val="14"/>
              </w:rPr>
              <w:t>Warrants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4/28/2021</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00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TradingScreen, Inc. </w:t>
            </w:r>
            <w:r>
              <w:rPr>
                <w:rFonts w:ascii="Times New Roman" w:hAnsi="Times New Roman"/>
                <w:b w:val="false"/>
                <w:color w:val="000000"/>
                <w:sz w:val="9"/>
              </w:rPr>
              <w:t>(12)(14)</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(600,000</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5/14/2021</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0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5,997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0.5%</w:t>
            </w:r>
          </w:p>
        </w:tc>
      </w:tr>
      <w:tr>
        <w:trPr/>
        <w:tc>
          <w:tcPr>
            <w:tcW w:w="2003"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pPr>
            <w:r>
              <w:rPr/>
              <w:t> </w:t>
            </w:r>
          </w:p>
        </w:tc>
      </w:tr>
      <w:tr>
        <w:trPr/>
        <w:tc>
          <w:tcPr>
            <w:tcW w:w="200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Caris Life Sciences, Inc. </w:t>
            </w:r>
            <w:r>
              <w:rPr>
                <w:rFonts w:ascii="Times New Roman" w:hAnsi="Times New Roman"/>
                <w:b w:val="false"/>
                <w:color w:val="000000"/>
                <w:sz w:val="9"/>
              </w:rPr>
              <w:t>(12)</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Series C Preferred Shares (362,319</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10/13/2020</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1,310</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0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Series D Preferred Shares (1,240,740</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5/11/2021</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8,668</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0.6%</w:t>
            </w:r>
          </w:p>
        </w:tc>
      </w:tr>
      <w:tr>
        <w:trPr/>
        <w:tc>
          <w:tcPr>
            <w:tcW w:w="20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633,376</w:t>
            </w:r>
            <w:r>
              <w:rPr>
                <w:rFonts w:ascii="Times New Roman" w:hAnsi="Times New Roman"/>
                <w:color w:val="000000"/>
                <w:sz w:val="20"/>
              </w:rPr>
              <w:t> </w:t>
            </w:r>
            <w:r>
              <w:rPr>
                <w:rFonts w:ascii="Times New Roman" w:hAnsi="Times New Roman"/>
                <w:b w:val="false"/>
                <w:color w:val="000000"/>
                <w:sz w:val="14"/>
              </w:rPr>
              <w:t>Warrants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9/21/2018</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1,270</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0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569,991</w:t>
            </w:r>
            <w:r>
              <w:rPr>
                <w:rFonts w:ascii="Times New Roman" w:hAnsi="Times New Roman"/>
                <w:color w:val="000000"/>
                <w:sz w:val="20"/>
              </w:rPr>
              <w:t> </w:t>
            </w:r>
            <w:r>
              <w:rPr>
                <w:rFonts w:ascii="Times New Roman" w:hAnsi="Times New Roman"/>
                <w:b w:val="false"/>
                <w:color w:val="000000"/>
                <w:sz w:val="14"/>
              </w:rPr>
              <w:t>Warrants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4/2/2020</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959</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00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Merative L.P. </w:t>
            </w:r>
            <w:r>
              <w:rPr>
                <w:rFonts w:ascii="Times New Roman" w:hAnsi="Times New Roman"/>
                <w:b w:val="false"/>
                <w:color w:val="000000"/>
                <w:sz w:val="9"/>
              </w:rPr>
              <w:t>(12)(13)(14)</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989,691</w:t>
            </w:r>
            <w:r>
              <w:rPr>
                <w:rFonts w:ascii="Times New Roman" w:hAnsi="Times New Roman"/>
                <w:color w:val="000000"/>
                <w:sz w:val="20"/>
              </w:rPr>
              <w:t> </w:t>
            </w:r>
            <w:r>
              <w:rPr>
                <w:rFonts w:ascii="Times New Roman" w:hAnsi="Times New Roman"/>
                <w:b w:val="false"/>
                <w:color w:val="000000"/>
                <w:sz w:val="14"/>
              </w:rPr>
              <w:t>Class A-1 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6/30/2022</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9,897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9,897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0.7%</w:t>
            </w:r>
          </w:p>
        </w:tc>
      </w:tr>
      <w:tr>
        <w:trPr/>
        <w:tc>
          <w:tcPr>
            <w:tcW w:w="20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21,389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w:t>
            </w:r>
          </w:p>
        </w:tc>
      </w:tr>
      <w:tr>
        <w:trPr/>
        <w:tc>
          <w:tcPr>
            <w:tcW w:w="2003"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Hotel, Gaming and Leisure</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pPr>
            <w:r>
              <w:rPr/>
              <w:t> </w:t>
            </w:r>
          </w:p>
        </w:tc>
      </w:tr>
      <w:tr>
        <w:trPr/>
        <w:tc>
          <w:tcPr>
            <w:tcW w:w="200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IRGSE Holding Corp. </w:t>
            </w:r>
            <w:r>
              <w:rPr>
                <w:rFonts w:ascii="Times New Roman" w:hAnsi="Times New Roman"/>
                <w:b w:val="false"/>
                <w:color w:val="000000"/>
                <w:sz w:val="9"/>
              </w:rPr>
              <w:t>(7)(12)</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(33,790,171</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12/21/2018</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21,842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24,413</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w:t>
            </w:r>
          </w:p>
        </w:tc>
      </w:tr>
      <w:tr>
        <w:trPr/>
        <w:tc>
          <w:tcPr>
            <w:tcW w:w="20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C-1 Units (8,800,000</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12/21/2018</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0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w:t>
            </w:r>
          </w:p>
        </w:tc>
      </w:tr>
      <w:tr>
        <w:trPr/>
        <w:tc>
          <w:tcPr>
            <w:tcW w:w="2003"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pPr>
            <w:r>
              <w:rPr/>
              <w:t> </w:t>
            </w:r>
          </w:p>
        </w:tc>
      </w:tr>
      <w:tr>
        <w:trPr/>
        <w:tc>
          <w:tcPr>
            <w:tcW w:w="200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Axonify, Inc. </w:t>
            </w:r>
            <w:r>
              <w:rPr>
                <w:rFonts w:ascii="Times New Roman" w:hAnsi="Times New Roman"/>
                <w:b w:val="false"/>
                <w:color w:val="000000"/>
                <w:sz w:val="9"/>
              </w:rPr>
              <w:t>(4)(12)(14)</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A-1 Units (3,780,000</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5/5/2021</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3,780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4,262</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0.3%</w:t>
            </w:r>
          </w:p>
        </w:tc>
      </w:tr>
      <w:tr>
        <w:trPr/>
        <w:tc>
          <w:tcPr>
            <w:tcW w:w="200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bswift, LLC</w:t>
            </w:r>
            <w:r>
              <w:rPr>
                <w:rFonts w:ascii="Times New Roman" w:hAnsi="Times New Roman"/>
                <w:color w:val="000000"/>
                <w:sz w:val="14"/>
              </w:rPr>
              <w:t> </w:t>
            </w:r>
            <w:r>
              <w:rPr>
                <w:rFonts w:ascii="Times New Roman" w:hAnsi="Times New Roman"/>
                <w:b w:val="false"/>
                <w:color w:val="000000"/>
                <w:sz w:val="9"/>
              </w:rPr>
              <w:t>(12)(13)</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A-1 Units (2,393,509</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11/7/2022</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2,394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2,394</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00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ClearCompany, LLC </w:t>
            </w:r>
            <w:r>
              <w:rPr>
                <w:rFonts w:ascii="Times New Roman" w:hAnsi="Times New Roman"/>
                <w:b w:val="false"/>
                <w:color w:val="000000"/>
                <w:sz w:val="9"/>
              </w:rPr>
              <w:t>(12)(14)</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Series A Preferred Units (1,429,228</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8/24/2018</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2,014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4,869</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0.4%</w:t>
            </w:r>
          </w:p>
        </w:tc>
      </w:tr>
      <w:tr>
        <w:trPr/>
        <w:tc>
          <w:tcPr>
            <w:tcW w:w="200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DaySmart Holdings, LLC </w:t>
            </w:r>
            <w:r>
              <w:rPr>
                <w:rFonts w:ascii="Times New Roman" w:hAnsi="Times New Roman"/>
                <w:b w:val="false"/>
                <w:color w:val="000000"/>
                <w:sz w:val="9"/>
              </w:rPr>
              <w:t>(12)(14)</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(166,811</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10/1/2019</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1,347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1,798</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00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Employment Hero Holdings Pty Ltd. </w:t>
            </w:r>
            <w:r>
              <w:rPr>
                <w:rFonts w:ascii="Times New Roman" w:hAnsi="Times New Roman"/>
                <w:b w:val="false"/>
                <w:color w:val="000000"/>
                <w:sz w:val="9"/>
              </w:rPr>
              <w:t>(4)(12)(13)</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Series E Preferred Shares (113,250</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3/1/2022</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2,034</w:t>
              <w:br/>
              <w:t>(AUD 3,164)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0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w:t>
            </w:r>
          </w:p>
        </w:tc>
      </w:tr>
      <w:tr>
        <w:trPr/>
        <w:tc>
          <w:tcPr>
            <w:tcW w:w="2003"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pPr>
            <w:r>
              <w:rPr/>
              <w:t> </w:t>
            </w:r>
          </w:p>
        </w:tc>
      </w:tr>
      <w:tr>
        <w:trPr/>
        <w:tc>
          <w:tcPr>
            <w:tcW w:w="200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Bayshore Intermediate #2, L.P. </w:t>
            </w:r>
            <w:r>
              <w:rPr>
                <w:rFonts w:ascii="Times New Roman" w:hAnsi="Times New Roman"/>
                <w:b w:val="false"/>
                <w:color w:val="000000"/>
                <w:sz w:val="9"/>
              </w:rPr>
              <w:t>(12)(14)</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Common Units (12,330,709</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10/1/2021</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12,331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11,375</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0.8%</w:t>
            </w:r>
          </w:p>
        </w:tc>
      </w:tr>
      <w:tr>
        <w:trPr/>
        <w:tc>
          <w:tcPr>
            <w:tcW w:w="200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Lucidworks, Inc. </w:t>
            </w:r>
            <w:r>
              <w:rPr>
                <w:rFonts w:ascii="Times New Roman" w:hAnsi="Times New Roman"/>
                <w:b w:val="false"/>
                <w:color w:val="000000"/>
                <w:sz w:val="9"/>
              </w:rPr>
              <w:t>(12)</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Series F Preferred Shares (199,054</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8/2/2019</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800</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00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Piano Software, Inc. </w:t>
            </w:r>
            <w:r>
              <w:rPr>
                <w:rFonts w:ascii="Times New Roman" w:hAnsi="Times New Roman"/>
                <w:b w:val="false"/>
                <w:color w:val="000000"/>
                <w:sz w:val="9"/>
              </w:rPr>
              <w:t>(12)</w:t>
            </w:r>
          </w:p>
        </w:tc>
        <w:tc>
          <w:tcPr>
            <w:tcW w:w="146" w:type="dxa"/>
            <w:tcBorders/>
            <w:shd w:fill="CFF0FC" w:val="clear"/>
            <w:vAlign w:val="center"/>
          </w:tcPr>
          <w:p>
            <w:pPr>
              <w:pStyle w:val="TableContents"/>
              <w:bidi w:val="0"/>
              <w:spacing w:before="0" w:after="283"/>
              <w:jc w:val="right"/>
              <w:rPr/>
            </w:pPr>
            <w:r>
              <w:rPr/>
              <w:t> </w:t>
            </w:r>
          </w:p>
        </w:tc>
        <w:tc>
          <w:tcPr>
            <w:tcW w:w="21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Series C-1 Preferred Shares (418,527</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12/22/2021</w:t>
            </w:r>
          </w:p>
        </w:tc>
        <w:tc>
          <w:tcPr>
            <w:tcW w:w="146" w:type="dxa"/>
            <w:tcBorders/>
            <w:shd w:fill="CFF0FC" w:val="clear"/>
            <w:vAlign w:val="center"/>
          </w:tcPr>
          <w:p>
            <w:pPr>
              <w:pStyle w:val="TableContents"/>
              <w:bidi w:val="0"/>
              <w:spacing w:before="0" w:after="283"/>
              <w:jc w:val="right"/>
              <w:rPr/>
            </w:pPr>
            <w:r>
              <w:rPr/>
              <w:t> </w:t>
            </w:r>
          </w:p>
        </w:tc>
        <w:tc>
          <w:tcPr>
            <w:tcW w:w="8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4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3,000</w:t>
            </w:r>
          </w:p>
        </w:tc>
        <w:tc>
          <w:tcPr>
            <w:tcW w:w="146" w:type="dxa"/>
            <w:tcBorders/>
            <w:shd w:fill="CFF0FC" w:val="clear"/>
            <w:vAlign w:val="center"/>
          </w:tcPr>
          <w:p>
            <w:pPr>
              <w:pStyle w:val="TableContents"/>
              <w:bidi w:val="0"/>
              <w:spacing w:before="0" w:after="283"/>
              <w:jc w:val="right"/>
              <w:rPr/>
            </w:pPr>
            <w:r>
              <w:rPr/>
              <w:t> </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0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9"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Series C-2 Preferred Shares (27,588</w:t>
            </w:r>
            <w:r>
              <w:rPr>
                <w:rFonts w:ascii="Times New Roman" w:hAnsi="Times New Roman"/>
                <w:color w:val="000000"/>
                <w:sz w:val="14"/>
              </w:rPr>
              <w:t> </w:t>
            </w:r>
            <w:r>
              <w:rPr>
                <w:rFonts w:ascii="Times New Roman" w:hAnsi="Times New Roman"/>
                <w:b w:val="false"/>
                <w:color w:val="000000"/>
                <w:sz w:val="14"/>
              </w:rPr>
              <w:t>shares)</w:t>
            </w:r>
            <w:r>
              <w:rPr>
                <w:rFonts w:ascii="Times New Roman" w:hAnsi="Times New Roman"/>
                <w:b w:val="false"/>
                <w:color w:val="000000"/>
                <w:sz w:val="9"/>
              </w:rPr>
              <w:t>(13)</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11/18/2022</w:t>
            </w:r>
          </w:p>
        </w:tc>
        <w:tc>
          <w:tcPr>
            <w:tcW w:w="146" w:type="dxa"/>
            <w:tcBorders/>
            <w:shd w:fill="FFFFFF" w:val="clear"/>
            <w:vAlign w:val="center"/>
          </w:tcPr>
          <w:p>
            <w:pPr>
              <w:pStyle w:val="TableContents"/>
              <w:bidi w:val="0"/>
              <w:spacing w:before="0" w:after="283"/>
              <w:jc w:val="right"/>
              <w:rPr/>
            </w:pPr>
            <w:r>
              <w:rPr/>
              <w:t> </w:t>
            </w:r>
          </w:p>
        </w:tc>
        <w:tc>
          <w:tcPr>
            <w:tcW w:w="8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4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198</w:t>
            </w:r>
          </w:p>
        </w:tc>
        <w:tc>
          <w:tcPr>
            <w:tcW w:w="146" w:type="dxa"/>
            <w:tcBorders/>
            <w:shd w:fill="FFFFFF" w:val="clear"/>
            <w:vAlign w:val="center"/>
          </w:tcPr>
          <w:p>
            <w:pPr>
              <w:pStyle w:val="TableContents"/>
              <w:bidi w:val="0"/>
              <w:spacing w:before="0" w:after="283"/>
              <w:jc w:val="righ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7"/>
        <w:gridCol w:w="146"/>
        <w:gridCol w:w="1979"/>
        <w:gridCol w:w="146"/>
        <w:gridCol w:w="796"/>
        <w:gridCol w:w="146"/>
        <w:gridCol w:w="676"/>
        <w:gridCol w:w="146"/>
        <w:gridCol w:w="709"/>
        <w:gridCol w:w="146"/>
        <w:gridCol w:w="146"/>
        <w:gridCol w:w="721"/>
        <w:gridCol w:w="146"/>
        <w:gridCol w:w="146"/>
        <w:gridCol w:w="677"/>
        <w:gridCol w:w="146"/>
        <w:gridCol w:w="846"/>
      </w:tblGrid>
      <w:tr>
        <w:trPr/>
        <w:tc>
          <w:tcPr>
            <w:tcW w:w="24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7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6" w:type="dxa"/>
            <w:tcBorders/>
            <w:shd w:fill="FFFFFF" w:val="clear"/>
            <w:vAlign w:val="center"/>
          </w:tcPr>
          <w:p>
            <w:pPr>
              <w:pStyle w:val="TableContents"/>
              <w:bidi w:val="0"/>
              <w:spacing w:before="0" w:after="283"/>
              <w:jc w:val="left"/>
              <w:rPr>
                <w:sz w:val="4"/>
                <w:szCs w:val="4"/>
              </w:rPr>
            </w:pPr>
            <w:r>
              <w:rPr>
                <w:sz w:val="4"/>
                <w:szCs w:val="4"/>
              </w:rPr>
            </w:r>
          </w:p>
        </w:tc>
      </w:tr>
      <w:tr>
        <w:trPr/>
        <w:tc>
          <w:tcPr>
            <w:tcW w:w="2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Company </w:t>
            </w:r>
            <w:r>
              <w:rPr>
                <w:rFonts w:ascii="Times New Roman" w:hAnsi="Times New Roman"/>
                <w:b/>
                <w:color w:val="000000"/>
                <w:sz w:val="9"/>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br/>
              <w:t>Rate and</w:t>
              <w:br/>
              <w:t>Spread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Amortized</w:t>
              <w:br/>
              <w:t xml:space="preserve">Cost </w:t>
            </w:r>
            <w:r>
              <w:rPr>
                <w:rFonts w:ascii="Times New Roman" w:hAnsi="Times New Roman"/>
                <w:b/>
                <w:color w:val="000000"/>
                <w:sz w:val="9"/>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Value </w:t>
            </w:r>
            <w:r>
              <w:rPr>
                <w:rFonts w:ascii="Times New Roman" w:hAnsi="Times New Roman"/>
                <w:b/>
                <w:color w:val="000000"/>
                <w:sz w:val="9"/>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br/>
              <w:t>of Net Assets</w:t>
            </w:r>
          </w:p>
        </w:tc>
      </w:tr>
      <w:tr>
        <w:trPr/>
        <w:tc>
          <w:tcPr>
            <w:tcW w:w="24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SMA Technologies Holdings, LLC</w:t>
            </w:r>
            <w:r>
              <w:rPr>
                <w:rFonts w:ascii="Times New Roman" w:hAnsi="Times New Roman"/>
                <w:color w:val="000000"/>
                <w:sz w:val="14"/>
              </w:rPr>
              <w:t> </w:t>
            </w:r>
            <w:r>
              <w:rPr>
                <w:rFonts w:ascii="Times New Roman" w:hAnsi="Times New Roman"/>
                <w:b w:val="false"/>
                <w:color w:val="000000"/>
                <w:sz w:val="9"/>
              </w:rPr>
              <w:t>(12)(13)</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(1,300</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11/21/2022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1,300</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B Units (923,250</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11/21/2022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48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17,629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16,673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w:t>
            </w:r>
          </w:p>
        </w:tc>
      </w:tr>
      <w:tr>
        <w:trPr/>
        <w:tc>
          <w:tcPr>
            <w:tcW w:w="2487"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Marketing Services</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pPr>
            <w:r>
              <w:rPr/>
              <w:t> </w:t>
            </w:r>
          </w:p>
        </w:tc>
      </w:tr>
      <w:tr>
        <w:trPr/>
        <w:tc>
          <w:tcPr>
            <w:tcW w:w="24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Validity, Inc. </w:t>
            </w:r>
            <w:r>
              <w:rPr>
                <w:rFonts w:ascii="Times New Roman" w:hAnsi="Times New Roman"/>
                <w:b w:val="false"/>
                <w:color w:val="000000"/>
                <w:sz w:val="9"/>
              </w:rPr>
              <w:t>(12)</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Series A Preferred Shares (3,840,000</w:t>
            </w:r>
            <w:r>
              <w:rPr>
                <w:rFonts w:ascii="Times New Roman" w:hAnsi="Times New Roman"/>
                <w:color w:val="000000"/>
                <w:sz w:val="20"/>
              </w:rPr>
              <w:t> </w:t>
            </w:r>
            <w:r>
              <w:rPr>
                <w:rFonts w:ascii="Times New Roman" w:hAnsi="Times New Roman"/>
                <w:b w:val="false"/>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5/31/2018</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3,840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11,520</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0.9%</w:t>
            </w:r>
          </w:p>
        </w:tc>
      </w:tr>
      <w:tr>
        <w:trPr/>
        <w:tc>
          <w:tcPr>
            <w:tcW w:w="2487"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Oil, Gas and Consumable Fuels</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pPr>
            <w:r>
              <w:rPr/>
              <w:t> </w:t>
            </w:r>
          </w:p>
        </w:tc>
      </w:tr>
      <w:tr>
        <w:trPr/>
        <w:tc>
          <w:tcPr>
            <w:tcW w:w="24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Murchison Oil and Gas, LLC </w:t>
            </w:r>
            <w:r>
              <w:rPr>
                <w:rFonts w:ascii="Times New Roman" w:hAnsi="Times New Roman"/>
                <w:b w:val="false"/>
                <w:color w:val="000000"/>
                <w:sz w:val="9"/>
              </w:rPr>
              <w:t>(13)(14)</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13,355</w:t>
            </w:r>
            <w:r>
              <w:rPr>
                <w:rFonts w:ascii="Times New Roman" w:hAnsi="Times New Roman"/>
                <w:color w:val="000000"/>
                <w:sz w:val="20"/>
              </w:rPr>
              <w:t> </w:t>
            </w:r>
            <w:r>
              <w:rPr>
                <w:rFonts w:ascii="Times New Roman" w:hAnsi="Times New Roman"/>
                <w:b w:val="false"/>
                <w:color w:val="000000"/>
                <w:sz w:val="14"/>
              </w:rPr>
              <w:t>Preferred 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6/30/2022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13,355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13,088</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w:t>
            </w:r>
          </w:p>
        </w:tc>
      </w:tr>
      <w:tr>
        <w:trPr/>
        <w:tc>
          <w:tcPr>
            <w:tcW w:w="24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TRP Assets, LLC </w:t>
            </w:r>
            <w:r>
              <w:rPr>
                <w:rFonts w:ascii="Times New Roman" w:hAnsi="Times New Roman"/>
                <w:b w:val="false"/>
                <w:color w:val="000000"/>
                <w:sz w:val="9"/>
              </w:rPr>
              <w:t>(12)(13)(14)</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Partnership Interest (1.89% ownership)</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8/25/2022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0.8%</w:t>
            </w:r>
          </w:p>
        </w:tc>
      </w:tr>
      <w:tr>
        <w:trPr/>
        <w:tc>
          <w:tcPr>
            <w:tcW w:w="248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w:t>
            </w:r>
          </w:p>
        </w:tc>
      </w:tr>
      <w:tr>
        <w:trPr/>
        <w:tc>
          <w:tcPr>
            <w:tcW w:w="2487"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Pharmaceuticals</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pPr>
            <w:r>
              <w:rPr/>
              <w:t> </w:t>
            </w:r>
          </w:p>
        </w:tc>
      </w:tr>
      <w:tr>
        <w:trPr/>
        <w:tc>
          <w:tcPr>
            <w:tcW w:w="24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TherapeuticsMD, Inc. </w:t>
            </w:r>
            <w:r>
              <w:rPr>
                <w:rFonts w:ascii="Times New Roman" w:hAnsi="Times New Roman"/>
                <w:b w:val="false"/>
                <w:color w:val="000000"/>
                <w:sz w:val="9"/>
              </w:rPr>
              <w:t>(4)(12)</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14,256</w:t>
            </w:r>
            <w:r>
              <w:rPr>
                <w:rFonts w:ascii="Times New Roman" w:hAnsi="Times New Roman"/>
                <w:color w:val="000000"/>
                <w:sz w:val="20"/>
              </w:rPr>
              <w:t> </w:t>
            </w:r>
            <w:r>
              <w:rPr>
                <w:rFonts w:ascii="Times New Roman" w:hAnsi="Times New Roman"/>
                <w:b w:val="false"/>
                <w:color w:val="000000"/>
                <w:sz w:val="14"/>
              </w:rPr>
              <w:t>Warrants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8/5/2020</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4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65,250</w:t>
            </w:r>
            <w:r>
              <w:rPr>
                <w:rFonts w:ascii="Times New Roman" w:hAnsi="Times New Roman"/>
                <w:color w:val="000000"/>
                <w:sz w:val="14"/>
              </w:rPr>
              <w:t> </w:t>
            </w:r>
            <w:r>
              <w:rPr>
                <w:rFonts w:ascii="Times New Roman" w:hAnsi="Times New Roman"/>
                <w:b w:val="false"/>
                <w:color w:val="000000"/>
                <w:sz w:val="14"/>
              </w:rPr>
              <w:t xml:space="preserve">Warrants </w:t>
            </w:r>
            <w:r>
              <w:rPr>
                <w:rFonts w:ascii="Times New Roman" w:hAnsi="Times New Roman"/>
                <w:b w:val="false"/>
                <w:color w:val="000000"/>
                <w:sz w:val="9"/>
              </w:rPr>
              <w:t>(13)</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7/29/2022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48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2487"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Retail and Consumer Products</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pPr>
            <w:r>
              <w:rPr/>
              <w:t> </w:t>
            </w:r>
          </w:p>
        </w:tc>
      </w:tr>
      <w:tr>
        <w:trPr/>
        <w:tc>
          <w:tcPr>
            <w:tcW w:w="24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American Achievement, Corp. </w:t>
            </w:r>
            <w:r>
              <w:rPr>
                <w:rFonts w:ascii="Times New Roman" w:hAnsi="Times New Roman"/>
                <w:b w:val="false"/>
                <w:color w:val="000000"/>
                <w:sz w:val="9"/>
              </w:rPr>
              <w:t>(12)</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(687</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3/16/2021</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4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Copper Bidco, LLC </w:t>
            </w:r>
            <w:r>
              <w:rPr>
                <w:rFonts w:ascii="Times New Roman" w:hAnsi="Times New Roman"/>
                <w:b w:val="false"/>
                <w:color w:val="000000"/>
                <w:sz w:val="9"/>
              </w:rPr>
              <w:t>(10)</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Trust Certificates (132,928</w:t>
            </w:r>
            <w:r>
              <w:rPr>
                <w:rFonts w:ascii="Times New Roman" w:hAnsi="Times New Roman"/>
                <w:color w:val="000000"/>
                <w:sz w:val="20"/>
              </w:rPr>
              <w:t> </w:t>
            </w:r>
            <w:r>
              <w:rPr>
                <w:rFonts w:ascii="Times New Roman" w:hAnsi="Times New Roman"/>
                <w:b w:val="false"/>
                <w:color w:val="000000"/>
                <w:sz w:val="14"/>
              </w:rPr>
              <w:t>Certificates)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12/7/2020</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665</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48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Trust Certificates (996,958</w:t>
            </w:r>
            <w:r>
              <w:rPr>
                <w:rFonts w:ascii="Times New Roman" w:hAnsi="Times New Roman"/>
                <w:color w:val="000000"/>
                <w:sz w:val="20"/>
              </w:rPr>
              <w:t> </w:t>
            </w:r>
            <w:r>
              <w:rPr>
                <w:rFonts w:ascii="Times New Roman" w:hAnsi="Times New Roman"/>
                <w:b w:val="false"/>
                <w:color w:val="000000"/>
                <w:sz w:val="14"/>
              </w:rPr>
              <w:t>Certificates)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1/30/2021</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3,041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12,462</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0.9%</w:t>
            </w:r>
          </w:p>
        </w:tc>
      </w:tr>
      <w:tr>
        <w:trPr/>
        <w:tc>
          <w:tcPr>
            <w:tcW w:w="24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Neuintel, LLC </w:t>
            </w:r>
            <w:r>
              <w:rPr>
                <w:rFonts w:ascii="Times New Roman" w:hAnsi="Times New Roman"/>
                <w:b w:val="false"/>
                <w:color w:val="000000"/>
                <w:sz w:val="9"/>
              </w:rPr>
              <w:t>(12)(14)</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Class A Units (1,176,494</w:t>
            </w:r>
            <w:r>
              <w:rPr>
                <w:rFonts w:ascii="Times New Roman" w:hAnsi="Times New Roman"/>
                <w:color w:val="000000"/>
                <w:sz w:val="20"/>
              </w:rPr>
              <w:t> </w:t>
            </w:r>
            <w:r>
              <w:rPr>
                <w:rFonts w:ascii="Times New Roman" w:hAnsi="Times New Roman"/>
                <w:b w:val="false"/>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12/21/2021</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48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6,041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15,795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w:t>
            </w:r>
          </w:p>
        </w:tc>
      </w:tr>
      <w:tr>
        <w:trPr/>
        <w:tc>
          <w:tcPr>
            <w:tcW w:w="24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pPr>
            <w:r>
              <w:rPr/>
              <w:t> </w:t>
            </w:r>
          </w:p>
        </w:tc>
      </w:tr>
      <w:tr>
        <w:trPr/>
        <w:tc>
          <w:tcPr>
            <w:tcW w:w="2487"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Structured Credit</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pPr>
            <w:r>
              <w:rPr/>
              <w:t> </w:t>
            </w:r>
          </w:p>
        </w:tc>
      </w:tr>
      <w:tr>
        <w:trPr/>
        <w:tc>
          <w:tcPr>
            <w:tcW w:w="24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Allegro CLO Ltd, Series 2018-1A,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6/2031)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5/26/2022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+ 2.85%</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848</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American Money Management Corp CLO Ltd, Series 2016-18A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($1,500</w:t>
            </w:r>
            <w:r>
              <w:rPr>
                <w:rFonts w:ascii="Times New Roman" w:hAnsi="Times New Roman"/>
                <w:color w:val="000000"/>
                <w:sz w:val="20"/>
              </w:rPr>
              <w:t> </w:t>
            </w:r>
            <w:r>
              <w:rPr>
                <w:rFonts w:ascii="Times New Roman" w:hAnsi="Times New Roman"/>
                <w:b w:val="false"/>
                <w:color w:val="000000"/>
                <w:sz w:val="14"/>
              </w:rPr>
              <w:t>par, due 5/2031)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6/22/2022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+ 3.05%</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6.06%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1,347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1,309</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Ares CLO Ltd, Series 2021-59A</w:t>
            </w:r>
            <w:r>
              <w:rPr>
                <w:rFonts w:ascii="Times New Roman" w:hAnsi="Times New Roman"/>
                <w:color w:val="000000"/>
                <w:sz w:val="14"/>
              </w:rPr>
              <w:t>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4/2034)</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6/23/2022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+ 6.25%</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875</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Ares Loan Funding I Ltd, Series 2021-ALFA, Class E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10/2034)</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6/24/2022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+ 6.70%</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881</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Bain Capital Credit CLO Ltd, Series 2018-1A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($500</w:t>
            </w:r>
            <w:r>
              <w:rPr>
                <w:rFonts w:ascii="Times New Roman" w:hAnsi="Times New Roman"/>
                <w:color w:val="000000"/>
                <w:sz w:val="20"/>
              </w:rPr>
              <w:t> </w:t>
            </w:r>
            <w:r>
              <w:rPr>
                <w:rFonts w:ascii="Times New Roman" w:hAnsi="Times New Roman"/>
                <w:b w:val="false"/>
                <w:color w:val="000000"/>
                <w:sz w:val="14"/>
              </w:rPr>
              <w:t>par, due 4/2031)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10/15/2020</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+ 5.35%</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383</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4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Battalion CLO Ltd, Series 2021-21A</w:t>
            </w:r>
            <w:r>
              <w:rPr>
                <w:rFonts w:ascii="Times New Roman" w:hAnsi="Times New Roman"/>
                <w:color w:val="000000"/>
                <w:sz w:val="14"/>
              </w:rPr>
              <w:t>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($1,300</w:t>
            </w:r>
            <w:r>
              <w:rPr>
                <w:rFonts w:ascii="Times New Roman" w:hAnsi="Times New Roman"/>
                <w:color w:val="000000"/>
                <w:sz w:val="20"/>
              </w:rPr>
              <w:t> </w:t>
            </w:r>
            <w:r>
              <w:rPr>
                <w:rFonts w:ascii="Times New Roman" w:hAnsi="Times New Roman"/>
                <w:b w:val="false"/>
                <w:color w:val="000000"/>
                <w:sz w:val="14"/>
              </w:rPr>
              <w:t>par, due 7/2034)</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7/13/2022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+ 3.30%</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5.81%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1,158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1,158</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Benefit Street Partners CLO Ltd, Series 2015-BR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($2,500</w:t>
            </w:r>
            <w:r>
              <w:rPr>
                <w:rFonts w:ascii="Times New Roman" w:hAnsi="Times New Roman"/>
                <w:color w:val="000000"/>
                <w:sz w:val="20"/>
              </w:rPr>
              <w:t> </w:t>
            </w:r>
            <w:r>
              <w:rPr>
                <w:rFonts w:ascii="Times New Roman" w:hAnsi="Times New Roman"/>
                <w:b w:val="false"/>
                <w:color w:val="000000"/>
                <w:sz w:val="14"/>
              </w:rPr>
              <w:t>par, due 7/2034)</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7/13/2022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+ 3.85%</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6.56%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2,179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2,285</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4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Benefit Street Partners CLO Ltd, Series 2015-8A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($1,425</w:t>
            </w:r>
            <w:r>
              <w:rPr>
                <w:rFonts w:ascii="Times New Roman" w:hAnsi="Times New Roman"/>
                <w:color w:val="000000"/>
                <w:sz w:val="20"/>
              </w:rPr>
              <w:t> </w:t>
            </w:r>
            <w:r>
              <w:rPr>
                <w:rFonts w:ascii="Times New Roman" w:hAnsi="Times New Roman"/>
                <w:b w:val="false"/>
                <w:color w:val="000000"/>
                <w:sz w:val="14"/>
              </w:rPr>
              <w:t>par, due 1/2031)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9/13/2022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+ 2.75%</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1,265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1,214</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Carlyle Global Market Strategies CLO Ltd, Series 2014-4RA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7/2030)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5/26/2022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+ 2.90%</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844</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Carlyle Global Market Strategies CLO Ltd, Series 2018-1A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($1,550</w:t>
            </w:r>
            <w:r>
              <w:rPr>
                <w:rFonts w:ascii="Times New Roman" w:hAnsi="Times New Roman"/>
                <w:color w:val="000000"/>
                <w:sz w:val="20"/>
              </w:rPr>
              <w:t> </w:t>
            </w:r>
            <w:r>
              <w:rPr>
                <w:rFonts w:ascii="Times New Roman" w:hAnsi="Times New Roman"/>
                <w:b w:val="false"/>
                <w:color w:val="000000"/>
                <w:sz w:val="14"/>
              </w:rPr>
              <w:t>par, due 4/2031)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8/11/2020</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+ 5.75%</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8.46%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1,246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1,241</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CarVal CLO III Ltd, Series 2019-2A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7/2032)</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6/30/2022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+ 6.44%</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887</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Cedar Funding CLO Ltd, Series 2018-7A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1/2031)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7/21/2022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+ 4.55%</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861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847</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CIFC CLO Ltd, Series 2018-3A</w:t>
            </w:r>
            <w:r>
              <w:rPr>
                <w:rFonts w:ascii="Times New Roman" w:hAnsi="Times New Roman"/>
                <w:color w:val="000000"/>
                <w:sz w:val="14"/>
              </w:rPr>
              <w:t>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7/2031)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6/16/2022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+ 5.50%</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850</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CIFC CLO Ltd, Series 2021-4A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7/2033)</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7/14/2022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+ 6.00%</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909</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Crown Point CLO Ltd, Series 2021-10A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7/2034)</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6/14/2022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+ 6.85%</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871</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Dryden Senior Loan Fund, Series 2018-55A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4/2031)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7/25/2022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+ 2.85%</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883</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Dryden Senior Loan Fund, Series 2020-86A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($1,500</w:t>
            </w:r>
            <w:r>
              <w:rPr>
                <w:rFonts w:ascii="Times New Roman" w:hAnsi="Times New Roman"/>
                <w:color w:val="000000"/>
                <w:sz w:val="20"/>
              </w:rPr>
              <w:t> </w:t>
            </w:r>
            <w:r>
              <w:rPr>
                <w:rFonts w:ascii="Times New Roman" w:hAnsi="Times New Roman"/>
                <w:b w:val="false"/>
                <w:color w:val="000000"/>
                <w:sz w:val="14"/>
              </w:rPr>
              <w:t>par, due 7/2034)</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8/17/2022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+ 6.50%</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1,417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1,307</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Eaton CLO Ltd, Series 2015-1A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($2,500</w:t>
            </w:r>
            <w:r>
              <w:rPr>
                <w:rFonts w:ascii="Times New Roman" w:hAnsi="Times New Roman"/>
                <w:color w:val="000000"/>
                <w:sz w:val="20"/>
              </w:rPr>
              <w:t> </w:t>
            </w:r>
            <w:r>
              <w:rPr>
                <w:rFonts w:ascii="Times New Roman" w:hAnsi="Times New Roman"/>
                <w:b w:val="false"/>
                <w:color w:val="000000"/>
                <w:sz w:val="14"/>
              </w:rPr>
              <w:t>par, due 1/2030)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6/23/2022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+ 2.50%</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2,227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2,183</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4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Eaton CLO Ltd, Series 2020-1A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10/2034)</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8/11/2022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+ 6.25%</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931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888</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GoldenTree CLO Ltd, Series 2020-7A</w:t>
            </w:r>
            <w:r>
              <w:rPr>
                <w:rFonts w:ascii="Times New Roman" w:hAnsi="Times New Roman"/>
                <w:color w:val="000000"/>
                <w:sz w:val="14"/>
              </w:rPr>
              <w:t>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4/2034)</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6/17/2022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+ 6.50%</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914</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Gulf Stream Meridian, Series 2021-4A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($1,015</w:t>
            </w:r>
            <w:r>
              <w:rPr>
                <w:rFonts w:ascii="Times New Roman" w:hAnsi="Times New Roman"/>
                <w:color w:val="000000"/>
                <w:sz w:val="20"/>
              </w:rPr>
              <w:t> </w:t>
            </w:r>
            <w:r>
              <w:rPr>
                <w:rFonts w:ascii="Times New Roman" w:hAnsi="Times New Roman"/>
                <w:b w:val="false"/>
                <w:color w:val="000000"/>
                <w:sz w:val="14"/>
              </w:rPr>
              <w:t>par, due 7/2034)</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+ 6.35%</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8.86%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872</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Gulf Stream Meridian, Series 2021-6A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($2,000</w:t>
            </w:r>
            <w:r>
              <w:rPr>
                <w:rFonts w:ascii="Times New Roman" w:hAnsi="Times New Roman"/>
                <w:color w:val="000000"/>
                <w:sz w:val="20"/>
              </w:rPr>
              <w:t> </w:t>
            </w:r>
            <w:r>
              <w:rPr>
                <w:rFonts w:ascii="Times New Roman" w:hAnsi="Times New Roman"/>
                <w:b w:val="false"/>
                <w:color w:val="000000"/>
                <w:sz w:val="14"/>
              </w:rPr>
              <w:t>par, due 1/2037)</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9/12/2022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+ 6.36%</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8.87%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1,799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1,718</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Jefferson Mill CLO Ltd, Series 2015-1A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10/2031)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5/23/2022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+ 3.55%</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870</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KKR CLO Ltd, 49A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9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7/2035)</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+ 8.00%</w:t>
            </w:r>
          </w:p>
        </w:tc>
        <w:tc>
          <w:tcPr>
            <w:tcW w:w="146"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909</w:t>
            </w:r>
          </w:p>
        </w:tc>
        <w:tc>
          <w:tcPr>
            <w:tcW w:w="146" w:type="dxa"/>
            <w:tcBorders/>
            <w:shd w:fill="CFF0FC" w:val="clear"/>
            <w:vAlign w:val="center"/>
          </w:tcPr>
          <w:p>
            <w:pPr>
              <w:pStyle w:val="TableContents"/>
              <w:bidi w:val="0"/>
              <w:spacing w:before="0" w:after="283"/>
              <w:jc w:val="righ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8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Madison Park CLO, Series 2018-28A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9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7/2030)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6/28/2022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+ 5.25%</w:t>
            </w:r>
          </w:p>
        </w:tc>
        <w:tc>
          <w:tcPr>
            <w:tcW w:w="146"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881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877</w:t>
            </w:r>
          </w:p>
        </w:tc>
        <w:tc>
          <w:tcPr>
            <w:tcW w:w="146" w:type="dxa"/>
            <w:tcBorders/>
            <w:shd w:fill="FFFFFF" w:val="clear"/>
            <w:vAlign w:val="center"/>
          </w:tcPr>
          <w:p>
            <w:pPr>
              <w:pStyle w:val="TableContents"/>
              <w:bidi w:val="0"/>
              <w:spacing w:before="0" w:after="283"/>
              <w:jc w:val="righ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69"/>
        <w:gridCol w:w="146"/>
        <w:gridCol w:w="1799"/>
        <w:gridCol w:w="146"/>
        <w:gridCol w:w="796"/>
        <w:gridCol w:w="146"/>
        <w:gridCol w:w="676"/>
        <w:gridCol w:w="146"/>
        <w:gridCol w:w="725"/>
        <w:gridCol w:w="146"/>
        <w:gridCol w:w="181"/>
        <w:gridCol w:w="721"/>
        <w:gridCol w:w="146"/>
        <w:gridCol w:w="181"/>
        <w:gridCol w:w="783"/>
        <w:gridCol w:w="146"/>
        <w:gridCol w:w="852"/>
      </w:tblGrid>
      <w:tr>
        <w:trPr/>
        <w:tc>
          <w:tcPr>
            <w:tcW w:w="24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9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2" w:type="dxa"/>
            <w:tcBorders/>
            <w:shd w:fill="FFFFFF" w:val="clear"/>
            <w:vAlign w:val="center"/>
          </w:tcPr>
          <w:p>
            <w:pPr>
              <w:pStyle w:val="TableContents"/>
              <w:bidi w:val="0"/>
              <w:spacing w:before="0" w:after="283"/>
              <w:jc w:val="left"/>
              <w:rPr>
                <w:sz w:val="4"/>
                <w:szCs w:val="4"/>
              </w:rPr>
            </w:pPr>
            <w:r>
              <w:rPr>
                <w:sz w:val="4"/>
                <w:szCs w:val="4"/>
              </w:rPr>
            </w:r>
          </w:p>
        </w:tc>
      </w:tr>
      <w:tr>
        <w:trPr/>
        <w:tc>
          <w:tcPr>
            <w:tcW w:w="2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Company </w:t>
            </w:r>
            <w:r>
              <w:rPr>
                <w:rFonts w:ascii="Times New Roman" w:hAnsi="Times New Roman"/>
                <w:b/>
                <w:color w:val="000000"/>
                <w:sz w:val="9"/>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br/>
              <w:t>Rate and</w:t>
              <w:br/>
              <w:t>Spread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Amortized</w:t>
              <w:br/>
              <w:t xml:space="preserve">Cost </w:t>
            </w:r>
            <w:r>
              <w:rPr>
                <w:rFonts w:ascii="Times New Roman" w:hAnsi="Times New Roman"/>
                <w:b/>
                <w:color w:val="000000"/>
                <w:sz w:val="9"/>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Value </w:t>
            </w:r>
            <w:r>
              <w:rPr>
                <w:rFonts w:ascii="Times New Roman" w:hAnsi="Times New Roman"/>
                <w:b/>
                <w:color w:val="000000"/>
                <w:sz w:val="9"/>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br/>
              <w:t>of Net Assets</w:t>
            </w:r>
          </w:p>
        </w:tc>
      </w:tr>
      <w:tr>
        <w:trPr/>
        <w:tc>
          <w:tcPr>
            <w:tcW w:w="2469"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Magnetite CLO Ltd, Series 2021-30A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79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10/2034)</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6/13/2022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+ 6.20%</w:t>
            </w:r>
          </w:p>
        </w:tc>
        <w:tc>
          <w:tcPr>
            <w:tcW w:w="146" w:type="dxa"/>
            <w:tcBorders/>
            <w:shd w:fill="CFF0FC" w:val="clear"/>
            <w:vAlign w:val="center"/>
          </w:tcPr>
          <w:p>
            <w:pPr>
              <w:pStyle w:val="TableContents"/>
              <w:bidi w:val="0"/>
              <w:spacing w:before="0" w:after="283"/>
              <w:jc w:val="right"/>
              <w:rPr/>
            </w:pPr>
            <w:r>
              <w:rPr/>
              <w:t> </w:t>
            </w:r>
          </w:p>
        </w:tc>
        <w:tc>
          <w:tcPr>
            <w:tcW w:w="72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8.98%</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909</w:t>
            </w:r>
          </w:p>
        </w:tc>
        <w:tc>
          <w:tcPr>
            <w:tcW w:w="146" w:type="dxa"/>
            <w:tcBorders/>
            <w:shd w:fill="CFF0FC" w:val="clear"/>
            <w:vAlign w:val="center"/>
          </w:tcPr>
          <w:p>
            <w:pPr>
              <w:pStyle w:val="TableContents"/>
              <w:bidi w:val="0"/>
              <w:spacing w:before="0" w:after="283"/>
              <w:jc w:val="righ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69"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MidOcean Credit CLO Ltd, Series 2016-6A</w:t>
            </w:r>
            <w:r>
              <w:rPr>
                <w:rFonts w:ascii="Times New Roman" w:hAnsi="Times New Roman"/>
                <w:color w:val="000000"/>
                <w:sz w:val="14"/>
              </w:rPr>
              <w:t>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7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($3,500</w:t>
            </w:r>
            <w:r>
              <w:rPr>
                <w:rFonts w:ascii="Times New Roman" w:hAnsi="Times New Roman"/>
                <w:color w:val="000000"/>
                <w:sz w:val="20"/>
              </w:rPr>
              <w:t> </w:t>
            </w:r>
            <w:r>
              <w:rPr>
                <w:rFonts w:ascii="Times New Roman" w:hAnsi="Times New Roman"/>
                <w:b w:val="false"/>
                <w:color w:val="000000"/>
                <w:sz w:val="14"/>
              </w:rPr>
              <w:t>par, due 4/2033)</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5/23/2022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+ 3.52%</w:t>
            </w:r>
          </w:p>
        </w:tc>
        <w:tc>
          <w:tcPr>
            <w:tcW w:w="146" w:type="dxa"/>
            <w:tcBorders/>
            <w:shd w:fill="FFFFFF" w:val="clear"/>
            <w:vAlign w:val="center"/>
          </w:tcPr>
          <w:p>
            <w:pPr>
              <w:pStyle w:val="TableContents"/>
              <w:bidi w:val="0"/>
              <w:spacing w:before="0" w:after="283"/>
              <w:jc w:val="right"/>
              <w:rPr/>
            </w:pPr>
            <w:r>
              <w:rPr/>
              <w:t> </w:t>
            </w:r>
          </w:p>
        </w:tc>
        <w:tc>
          <w:tcPr>
            <w:tcW w:w="72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3,151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2,971</w:t>
            </w:r>
          </w:p>
        </w:tc>
        <w:tc>
          <w:tcPr>
            <w:tcW w:w="146" w:type="dxa"/>
            <w:tcBorders/>
            <w:shd w:fill="FFFFFF" w:val="clear"/>
            <w:vAlign w:val="center"/>
          </w:tcPr>
          <w:p>
            <w:pPr>
              <w:pStyle w:val="TableContents"/>
              <w:bidi w:val="0"/>
              <w:spacing w:before="0" w:after="283"/>
              <w:jc w:val="righ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469"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MidOcean Credit CLO Ltd, Series 2018-9A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79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($1,100</w:t>
            </w:r>
            <w:r>
              <w:rPr>
                <w:rFonts w:ascii="Times New Roman" w:hAnsi="Times New Roman"/>
                <w:color w:val="000000"/>
                <w:sz w:val="20"/>
              </w:rPr>
              <w:t> </w:t>
            </w:r>
            <w:r>
              <w:rPr>
                <w:rFonts w:ascii="Times New Roman" w:hAnsi="Times New Roman"/>
                <w:b w:val="false"/>
                <w:color w:val="000000"/>
                <w:sz w:val="14"/>
              </w:rPr>
              <w:t>par, due 7/2031)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+ 6.05%</w:t>
            </w:r>
          </w:p>
        </w:tc>
        <w:tc>
          <w:tcPr>
            <w:tcW w:w="146" w:type="dxa"/>
            <w:tcBorders/>
            <w:shd w:fill="CFF0FC" w:val="clear"/>
            <w:vAlign w:val="center"/>
          </w:tcPr>
          <w:p>
            <w:pPr>
              <w:pStyle w:val="TableContents"/>
              <w:bidi w:val="0"/>
              <w:spacing w:before="0" w:after="283"/>
              <w:jc w:val="right"/>
              <w:rPr/>
            </w:pPr>
            <w:r>
              <w:rPr/>
              <w:t> </w:t>
            </w:r>
          </w:p>
        </w:tc>
        <w:tc>
          <w:tcPr>
            <w:tcW w:w="72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828</w:t>
            </w:r>
          </w:p>
        </w:tc>
        <w:tc>
          <w:tcPr>
            <w:tcW w:w="146" w:type="dxa"/>
            <w:tcBorders/>
            <w:shd w:fill="CFF0FC" w:val="clear"/>
            <w:vAlign w:val="center"/>
          </w:tcPr>
          <w:p>
            <w:pPr>
              <w:pStyle w:val="TableContents"/>
              <w:bidi w:val="0"/>
              <w:spacing w:before="0" w:after="283"/>
              <w:jc w:val="righ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69"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Octagon 57 LLC, Series 2021-1A</w:t>
            </w:r>
            <w:r>
              <w:rPr>
                <w:rFonts w:ascii="Times New Roman" w:hAnsi="Times New Roman"/>
                <w:color w:val="000000"/>
                <w:sz w:val="14"/>
              </w:rPr>
              <w:t>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7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10/2034)</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5/24/2022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+ 6.60%</w:t>
            </w:r>
          </w:p>
        </w:tc>
        <w:tc>
          <w:tcPr>
            <w:tcW w:w="146" w:type="dxa"/>
            <w:tcBorders/>
            <w:shd w:fill="FFFFFF" w:val="clear"/>
            <w:vAlign w:val="center"/>
          </w:tcPr>
          <w:p>
            <w:pPr>
              <w:pStyle w:val="TableContents"/>
              <w:bidi w:val="0"/>
              <w:spacing w:before="0" w:after="283"/>
              <w:jc w:val="right"/>
              <w:rPr/>
            </w:pPr>
            <w:r>
              <w:rPr/>
              <w:t> </w:t>
            </w:r>
          </w:p>
        </w:tc>
        <w:tc>
          <w:tcPr>
            <w:tcW w:w="72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9.11%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872</w:t>
            </w:r>
          </w:p>
        </w:tc>
        <w:tc>
          <w:tcPr>
            <w:tcW w:w="146" w:type="dxa"/>
            <w:tcBorders/>
            <w:shd w:fill="FFFFFF" w:val="clear"/>
            <w:vAlign w:val="center"/>
          </w:tcPr>
          <w:p>
            <w:pPr>
              <w:pStyle w:val="TableContents"/>
              <w:bidi w:val="0"/>
              <w:spacing w:before="0" w:after="283"/>
              <w:jc w:val="righ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69"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Octagon Investment Partners 18 Ltd, Series 2018-18A</w:t>
            </w:r>
            <w:r>
              <w:rPr>
                <w:rFonts w:ascii="Times New Roman" w:hAnsi="Times New Roman"/>
                <w:color w:val="000000"/>
                <w:sz w:val="14"/>
              </w:rPr>
              <w:t>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79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4/2031)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7/26/2022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+ 2.70%</w:t>
            </w:r>
          </w:p>
        </w:tc>
        <w:tc>
          <w:tcPr>
            <w:tcW w:w="146" w:type="dxa"/>
            <w:tcBorders/>
            <w:shd w:fill="CFF0FC" w:val="clear"/>
            <w:vAlign w:val="center"/>
          </w:tcPr>
          <w:p>
            <w:pPr>
              <w:pStyle w:val="TableContents"/>
              <w:bidi w:val="0"/>
              <w:spacing w:before="0" w:after="283"/>
              <w:jc w:val="right"/>
              <w:rPr/>
            </w:pPr>
            <w:r>
              <w:rPr/>
              <w:t> </w:t>
            </w:r>
          </w:p>
        </w:tc>
        <w:tc>
          <w:tcPr>
            <w:tcW w:w="72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855</w:t>
            </w:r>
          </w:p>
        </w:tc>
        <w:tc>
          <w:tcPr>
            <w:tcW w:w="146" w:type="dxa"/>
            <w:tcBorders/>
            <w:shd w:fill="CFF0FC" w:val="clear"/>
            <w:vAlign w:val="center"/>
          </w:tcPr>
          <w:p>
            <w:pPr>
              <w:pStyle w:val="TableContents"/>
              <w:bidi w:val="0"/>
              <w:spacing w:before="0" w:after="283"/>
              <w:jc w:val="righ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69"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Octagon Investment Partners 38 Ltd, Series 2018-1A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7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($2,800</w:t>
            </w:r>
            <w:r>
              <w:rPr>
                <w:rFonts w:ascii="Times New Roman" w:hAnsi="Times New Roman"/>
                <w:color w:val="000000"/>
                <w:sz w:val="20"/>
              </w:rPr>
              <w:t> </w:t>
            </w:r>
            <w:r>
              <w:rPr>
                <w:rFonts w:ascii="Times New Roman" w:hAnsi="Times New Roman"/>
                <w:b w:val="false"/>
                <w:color w:val="000000"/>
                <w:sz w:val="14"/>
              </w:rPr>
              <w:t>par, due 7/2030)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9/20/2022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+ 2.95%</w:t>
            </w:r>
          </w:p>
        </w:tc>
        <w:tc>
          <w:tcPr>
            <w:tcW w:w="146" w:type="dxa"/>
            <w:tcBorders/>
            <w:shd w:fill="FFFFFF" w:val="clear"/>
            <w:vAlign w:val="center"/>
          </w:tcPr>
          <w:p>
            <w:pPr>
              <w:pStyle w:val="TableContents"/>
              <w:bidi w:val="0"/>
              <w:spacing w:before="0" w:after="283"/>
              <w:jc w:val="right"/>
              <w:rPr/>
            </w:pPr>
            <w:r>
              <w:rPr/>
              <w:t> </w:t>
            </w:r>
          </w:p>
        </w:tc>
        <w:tc>
          <w:tcPr>
            <w:tcW w:w="72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2,456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2,436</w:t>
            </w:r>
          </w:p>
        </w:tc>
        <w:tc>
          <w:tcPr>
            <w:tcW w:w="146" w:type="dxa"/>
            <w:tcBorders/>
            <w:shd w:fill="FFFFFF" w:val="clear"/>
            <w:vAlign w:val="center"/>
          </w:tcPr>
          <w:p>
            <w:pPr>
              <w:pStyle w:val="TableContents"/>
              <w:bidi w:val="0"/>
              <w:spacing w:before="0" w:after="283"/>
              <w:jc w:val="righ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0.2%</w:t>
            </w:r>
          </w:p>
        </w:tc>
      </w:tr>
      <w:tr>
        <w:trPr/>
        <w:tc>
          <w:tcPr>
            <w:tcW w:w="2469"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Park Avenue Institutional Advisers CLO Ltd, Series 2018-1A</w:t>
            </w:r>
            <w:r>
              <w:rPr>
                <w:rFonts w:ascii="Times New Roman" w:hAnsi="Times New Roman"/>
                <w:color w:val="000000"/>
                <w:sz w:val="14"/>
              </w:rPr>
              <w:t>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79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10/2031)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9/23/2022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+ 3.33%</w:t>
            </w:r>
          </w:p>
        </w:tc>
        <w:tc>
          <w:tcPr>
            <w:tcW w:w="146" w:type="dxa"/>
            <w:tcBorders/>
            <w:shd w:fill="CFF0FC" w:val="clear"/>
            <w:vAlign w:val="center"/>
          </w:tcPr>
          <w:p>
            <w:pPr>
              <w:pStyle w:val="TableContents"/>
              <w:bidi w:val="0"/>
              <w:spacing w:before="0" w:after="283"/>
              <w:jc w:val="right"/>
              <w:rPr/>
            </w:pPr>
            <w:r>
              <w:rPr/>
              <w:t> </w:t>
            </w:r>
          </w:p>
        </w:tc>
        <w:tc>
          <w:tcPr>
            <w:tcW w:w="72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6.04%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863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870</w:t>
            </w:r>
          </w:p>
        </w:tc>
        <w:tc>
          <w:tcPr>
            <w:tcW w:w="146" w:type="dxa"/>
            <w:tcBorders/>
            <w:shd w:fill="CFF0FC" w:val="clear"/>
            <w:vAlign w:val="center"/>
          </w:tcPr>
          <w:p>
            <w:pPr>
              <w:pStyle w:val="TableContents"/>
              <w:bidi w:val="0"/>
              <w:spacing w:before="0" w:after="283"/>
              <w:jc w:val="righ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69"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Pikes Peak CLO, Series 2021-9A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7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($2,000</w:t>
            </w:r>
            <w:r>
              <w:rPr>
                <w:rFonts w:ascii="Times New Roman" w:hAnsi="Times New Roman"/>
                <w:color w:val="000000"/>
                <w:sz w:val="20"/>
              </w:rPr>
              <w:t> </w:t>
            </w:r>
            <w:r>
              <w:rPr>
                <w:rFonts w:ascii="Times New Roman" w:hAnsi="Times New Roman"/>
                <w:b w:val="false"/>
                <w:color w:val="000000"/>
                <w:sz w:val="14"/>
              </w:rPr>
              <w:t>par, due 10/2034)</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8/31/2022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+ 6.58%</w:t>
            </w:r>
          </w:p>
        </w:tc>
        <w:tc>
          <w:tcPr>
            <w:tcW w:w="146" w:type="dxa"/>
            <w:tcBorders/>
            <w:shd w:fill="FFFFFF" w:val="clear"/>
            <w:vAlign w:val="center"/>
          </w:tcPr>
          <w:p>
            <w:pPr>
              <w:pStyle w:val="TableContents"/>
              <w:bidi w:val="0"/>
              <w:spacing w:before="0" w:after="283"/>
              <w:jc w:val="right"/>
              <w:rPr/>
            </w:pPr>
            <w:r>
              <w:rPr/>
              <w:t> </w:t>
            </w:r>
          </w:p>
        </w:tc>
        <w:tc>
          <w:tcPr>
            <w:tcW w:w="72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9.35%</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1,782</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1,721</w:t>
            </w:r>
          </w:p>
        </w:tc>
        <w:tc>
          <w:tcPr>
            <w:tcW w:w="146" w:type="dxa"/>
            <w:tcBorders/>
            <w:shd w:fill="FFFFFF" w:val="clear"/>
            <w:vAlign w:val="center"/>
          </w:tcPr>
          <w:p>
            <w:pPr>
              <w:pStyle w:val="TableContents"/>
              <w:bidi w:val="0"/>
              <w:spacing w:before="0" w:after="283"/>
              <w:jc w:val="righ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69"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RR Ltd, Series 2020-8A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79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4/2033)</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8/22/2022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+ 6.40%</w:t>
            </w:r>
          </w:p>
        </w:tc>
        <w:tc>
          <w:tcPr>
            <w:tcW w:w="146" w:type="dxa"/>
            <w:tcBorders/>
            <w:shd w:fill="CFF0FC" w:val="clear"/>
            <w:vAlign w:val="center"/>
          </w:tcPr>
          <w:p>
            <w:pPr>
              <w:pStyle w:val="TableContents"/>
              <w:bidi w:val="0"/>
              <w:spacing w:before="0" w:after="283"/>
              <w:jc w:val="right"/>
              <w:rPr/>
            </w:pPr>
            <w:r>
              <w:rPr/>
              <w:t> </w:t>
            </w:r>
          </w:p>
        </w:tc>
        <w:tc>
          <w:tcPr>
            <w:tcW w:w="72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909</w:t>
            </w:r>
          </w:p>
        </w:tc>
        <w:tc>
          <w:tcPr>
            <w:tcW w:w="146" w:type="dxa"/>
            <w:tcBorders/>
            <w:shd w:fill="CFF0FC" w:val="clear"/>
            <w:vAlign w:val="center"/>
          </w:tcPr>
          <w:p>
            <w:pPr>
              <w:pStyle w:val="TableContents"/>
              <w:bidi w:val="0"/>
              <w:spacing w:before="0" w:after="283"/>
              <w:jc w:val="righ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69"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Shackelton CLO Ltd, Series 2015-7RA (3)(4)(10)</w:t>
            </w:r>
          </w:p>
        </w:tc>
        <w:tc>
          <w:tcPr>
            <w:tcW w:w="146" w:type="dxa"/>
            <w:tcBorders/>
            <w:shd w:fill="FFFFFF" w:val="clear"/>
            <w:vAlign w:val="center"/>
          </w:tcPr>
          <w:p>
            <w:pPr>
              <w:pStyle w:val="TableContents"/>
              <w:bidi w:val="0"/>
              <w:spacing w:before="0" w:after="283"/>
              <w:jc w:val="right"/>
              <w:rPr/>
            </w:pPr>
            <w:r>
              <w:rPr/>
              <w:t> </w:t>
            </w:r>
          </w:p>
        </w:tc>
        <w:tc>
          <w:tcPr>
            <w:tcW w:w="17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7/2031)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5/23/2022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+ 3.33%</w:t>
            </w:r>
          </w:p>
        </w:tc>
        <w:tc>
          <w:tcPr>
            <w:tcW w:w="146" w:type="dxa"/>
            <w:tcBorders/>
            <w:shd w:fill="FFFFFF" w:val="clear"/>
            <w:vAlign w:val="center"/>
          </w:tcPr>
          <w:p>
            <w:pPr>
              <w:pStyle w:val="TableContents"/>
              <w:bidi w:val="0"/>
              <w:spacing w:before="0" w:after="283"/>
              <w:jc w:val="right"/>
              <w:rPr/>
            </w:pPr>
            <w:r>
              <w:rPr/>
              <w:t> </w:t>
            </w:r>
          </w:p>
        </w:tc>
        <w:tc>
          <w:tcPr>
            <w:tcW w:w="72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5.84%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855</w:t>
            </w:r>
          </w:p>
        </w:tc>
        <w:tc>
          <w:tcPr>
            <w:tcW w:w="146" w:type="dxa"/>
            <w:tcBorders/>
            <w:shd w:fill="FFFFFF" w:val="clear"/>
            <w:vAlign w:val="center"/>
          </w:tcPr>
          <w:p>
            <w:pPr>
              <w:pStyle w:val="TableContents"/>
              <w:bidi w:val="0"/>
              <w:spacing w:before="0" w:after="283"/>
              <w:jc w:val="righ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69"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Signal Peak CLO LLC, Series 2018-5A</w:t>
            </w:r>
            <w:r>
              <w:rPr>
                <w:rFonts w:ascii="Times New Roman" w:hAnsi="Times New Roman"/>
                <w:color w:val="000000"/>
                <w:sz w:val="14"/>
              </w:rPr>
              <w:t>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79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4/2031)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+ 5.65%</w:t>
            </w:r>
          </w:p>
        </w:tc>
        <w:tc>
          <w:tcPr>
            <w:tcW w:w="146" w:type="dxa"/>
            <w:tcBorders/>
            <w:shd w:fill="CFF0FC" w:val="clear"/>
            <w:vAlign w:val="center"/>
          </w:tcPr>
          <w:p>
            <w:pPr>
              <w:pStyle w:val="TableContents"/>
              <w:bidi w:val="0"/>
              <w:spacing w:before="0" w:after="283"/>
              <w:jc w:val="right"/>
              <w:rPr/>
            </w:pPr>
            <w:r>
              <w:rPr/>
              <w:t> </w:t>
            </w:r>
          </w:p>
        </w:tc>
        <w:tc>
          <w:tcPr>
            <w:tcW w:w="72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8.43%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824</w:t>
            </w:r>
          </w:p>
        </w:tc>
        <w:tc>
          <w:tcPr>
            <w:tcW w:w="146" w:type="dxa"/>
            <w:tcBorders/>
            <w:shd w:fill="CFF0FC" w:val="clear"/>
            <w:vAlign w:val="center"/>
          </w:tcPr>
          <w:p>
            <w:pPr>
              <w:pStyle w:val="TableContents"/>
              <w:bidi w:val="0"/>
              <w:spacing w:before="0" w:after="283"/>
              <w:jc w:val="righ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69"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Southwick Park CLO Ltd, Series 2019-4A</w:t>
            </w:r>
            <w:r>
              <w:rPr>
                <w:rFonts w:ascii="Times New Roman" w:hAnsi="Times New Roman"/>
                <w:color w:val="000000"/>
                <w:sz w:val="14"/>
              </w:rPr>
              <w:t>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7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7/2032)</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5/25/2022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+ 6.25%</w:t>
            </w:r>
          </w:p>
        </w:tc>
        <w:tc>
          <w:tcPr>
            <w:tcW w:w="146" w:type="dxa"/>
            <w:tcBorders/>
            <w:shd w:fill="FFFFFF" w:val="clear"/>
            <w:vAlign w:val="center"/>
          </w:tcPr>
          <w:p>
            <w:pPr>
              <w:pStyle w:val="TableContents"/>
              <w:bidi w:val="0"/>
              <w:spacing w:before="0" w:after="283"/>
              <w:jc w:val="right"/>
              <w:rPr/>
            </w:pPr>
            <w:r>
              <w:rPr/>
              <w:t> </w:t>
            </w:r>
          </w:p>
        </w:tc>
        <w:tc>
          <w:tcPr>
            <w:tcW w:w="72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928</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867</w:t>
            </w:r>
          </w:p>
        </w:tc>
        <w:tc>
          <w:tcPr>
            <w:tcW w:w="146" w:type="dxa"/>
            <w:tcBorders/>
            <w:shd w:fill="FFFFFF" w:val="clear"/>
            <w:vAlign w:val="center"/>
          </w:tcPr>
          <w:p>
            <w:pPr>
              <w:pStyle w:val="TableContents"/>
              <w:bidi w:val="0"/>
              <w:spacing w:before="0" w:after="283"/>
              <w:jc w:val="righ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69"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Stewart Park CLO Ltd, Series 2015-1A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79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($1,000</w:t>
            </w:r>
            <w:r>
              <w:rPr>
                <w:rFonts w:ascii="Times New Roman" w:hAnsi="Times New Roman"/>
                <w:color w:val="000000"/>
                <w:sz w:val="20"/>
              </w:rPr>
              <w:t> </w:t>
            </w:r>
            <w:r>
              <w:rPr>
                <w:rFonts w:ascii="Times New Roman" w:hAnsi="Times New Roman"/>
                <w:b w:val="false"/>
                <w:color w:val="000000"/>
                <w:sz w:val="14"/>
              </w:rPr>
              <w:t>par, due 1/2030)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7/25/2022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+ 2.60%</w:t>
            </w:r>
          </w:p>
        </w:tc>
        <w:tc>
          <w:tcPr>
            <w:tcW w:w="146" w:type="dxa"/>
            <w:tcBorders/>
            <w:shd w:fill="CFF0FC" w:val="clear"/>
            <w:vAlign w:val="center"/>
          </w:tcPr>
          <w:p>
            <w:pPr>
              <w:pStyle w:val="TableContents"/>
              <w:bidi w:val="0"/>
              <w:spacing w:before="0" w:after="283"/>
              <w:jc w:val="right"/>
              <w:rPr/>
            </w:pPr>
            <w:r>
              <w:rPr/>
              <w:t> </w:t>
            </w:r>
          </w:p>
        </w:tc>
        <w:tc>
          <w:tcPr>
            <w:tcW w:w="72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888</w:t>
            </w:r>
          </w:p>
        </w:tc>
        <w:tc>
          <w:tcPr>
            <w:tcW w:w="146" w:type="dxa"/>
            <w:tcBorders/>
            <w:shd w:fill="CFF0FC" w:val="clear"/>
            <w:vAlign w:val="center"/>
          </w:tcPr>
          <w:p>
            <w:pPr>
              <w:pStyle w:val="TableContents"/>
              <w:bidi w:val="0"/>
              <w:spacing w:before="0" w:after="283"/>
              <w:jc w:val="righ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69"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Voya CLO Ltd, Series 2018-3A</w:t>
            </w:r>
            <w:r>
              <w:rPr>
                <w:rFonts w:ascii="Times New Roman" w:hAnsi="Times New Roman"/>
                <w:color w:val="000000"/>
                <w:sz w:val="14"/>
              </w:rPr>
              <w:t>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7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($2,750</w:t>
            </w:r>
            <w:r>
              <w:rPr>
                <w:rFonts w:ascii="Times New Roman" w:hAnsi="Times New Roman"/>
                <w:color w:val="000000"/>
                <w:sz w:val="20"/>
              </w:rPr>
              <w:t> </w:t>
            </w:r>
            <w:r>
              <w:rPr>
                <w:rFonts w:ascii="Times New Roman" w:hAnsi="Times New Roman"/>
                <w:b w:val="false"/>
                <w:color w:val="000000"/>
                <w:sz w:val="14"/>
              </w:rPr>
              <w:t>par, due 10/2031)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6/22/2022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+ 5.75%</w:t>
            </w:r>
          </w:p>
        </w:tc>
        <w:tc>
          <w:tcPr>
            <w:tcW w:w="146" w:type="dxa"/>
            <w:tcBorders/>
            <w:shd w:fill="FFFFFF" w:val="clear"/>
            <w:vAlign w:val="center"/>
          </w:tcPr>
          <w:p>
            <w:pPr>
              <w:pStyle w:val="TableContents"/>
              <w:bidi w:val="0"/>
              <w:spacing w:before="0" w:after="283"/>
              <w:jc w:val="right"/>
              <w:rPr/>
            </w:pPr>
            <w:r>
              <w:rPr/>
              <w:t> </w:t>
            </w:r>
          </w:p>
        </w:tc>
        <w:tc>
          <w:tcPr>
            <w:tcW w:w="72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2,382</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2,166</w:t>
            </w:r>
          </w:p>
        </w:tc>
        <w:tc>
          <w:tcPr>
            <w:tcW w:w="146" w:type="dxa"/>
            <w:tcBorders/>
            <w:shd w:fill="FFFFFF" w:val="clear"/>
            <w:vAlign w:val="center"/>
          </w:tcPr>
          <w:p>
            <w:pPr>
              <w:pStyle w:val="TableContents"/>
              <w:bidi w:val="0"/>
              <w:spacing w:before="0" w:after="283"/>
              <w:jc w:val="righ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69"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 xml:space="preserve">Whitebox CLO I Ltd, Series 2020-2A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79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($1,125</w:t>
            </w:r>
            <w:r>
              <w:rPr>
                <w:rFonts w:ascii="Times New Roman" w:hAnsi="Times New Roman"/>
                <w:color w:val="000000"/>
                <w:sz w:val="20"/>
              </w:rPr>
              <w:t> </w:t>
            </w:r>
            <w:r>
              <w:rPr>
                <w:rFonts w:ascii="Times New Roman" w:hAnsi="Times New Roman"/>
                <w:b w:val="false"/>
                <w:color w:val="000000"/>
                <w:sz w:val="14"/>
              </w:rPr>
              <w:t>par, due 10/2034)</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7/12/2022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+ 3.35%</w:t>
            </w:r>
          </w:p>
        </w:tc>
        <w:tc>
          <w:tcPr>
            <w:tcW w:w="146" w:type="dxa"/>
            <w:tcBorders/>
            <w:shd w:fill="CFF0FC" w:val="clear"/>
            <w:vAlign w:val="center"/>
          </w:tcPr>
          <w:p>
            <w:pPr>
              <w:pStyle w:val="TableContents"/>
              <w:bidi w:val="0"/>
              <w:spacing w:before="0" w:after="283"/>
              <w:jc w:val="right"/>
              <w:rPr/>
            </w:pPr>
            <w:r>
              <w:rPr/>
              <w:t> </w:t>
            </w:r>
          </w:p>
        </w:tc>
        <w:tc>
          <w:tcPr>
            <w:tcW w:w="72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1,005</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1,056</w:t>
            </w:r>
          </w:p>
        </w:tc>
        <w:tc>
          <w:tcPr>
            <w:tcW w:w="146" w:type="dxa"/>
            <w:tcBorders/>
            <w:shd w:fill="CFF0FC" w:val="clear"/>
            <w:vAlign w:val="center"/>
          </w:tcPr>
          <w:p>
            <w:pPr>
              <w:pStyle w:val="TableContents"/>
              <w:bidi w:val="0"/>
              <w:spacing w:before="0" w:after="283"/>
              <w:jc w:val="righ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469"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Wind River CLO Ltd, Series 2014-2A</w:t>
            </w:r>
            <w:r>
              <w:rPr>
                <w:rFonts w:ascii="Times New Roman" w:hAnsi="Times New Roman"/>
                <w:color w:val="000000"/>
                <w:sz w:val="14"/>
              </w:rPr>
              <w:t>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7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($1,500</w:t>
            </w:r>
            <w:r>
              <w:rPr>
                <w:rFonts w:ascii="Times New Roman" w:hAnsi="Times New Roman"/>
                <w:color w:val="000000"/>
                <w:sz w:val="20"/>
              </w:rPr>
              <w:t> </w:t>
            </w:r>
            <w:r>
              <w:rPr>
                <w:rFonts w:ascii="Times New Roman" w:hAnsi="Times New Roman"/>
                <w:b w:val="false"/>
                <w:color w:val="000000"/>
                <w:sz w:val="14"/>
              </w:rPr>
              <w:t>par, due 1/2031)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6/23/2022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+ 2.90%</w:t>
            </w:r>
          </w:p>
        </w:tc>
        <w:tc>
          <w:tcPr>
            <w:tcW w:w="146" w:type="dxa"/>
            <w:tcBorders/>
            <w:shd w:fill="FFFFFF" w:val="clear"/>
            <w:vAlign w:val="center"/>
          </w:tcPr>
          <w:p>
            <w:pPr>
              <w:pStyle w:val="TableContents"/>
              <w:bidi w:val="0"/>
              <w:spacing w:before="0" w:after="283"/>
              <w:jc w:val="right"/>
              <w:rPr/>
            </w:pPr>
            <w:r>
              <w:rPr/>
              <w:t> </w:t>
            </w:r>
          </w:p>
        </w:tc>
        <w:tc>
          <w:tcPr>
            <w:tcW w:w="72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1,347</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1,293</w:t>
            </w:r>
          </w:p>
        </w:tc>
        <w:tc>
          <w:tcPr>
            <w:tcW w:w="146" w:type="dxa"/>
            <w:tcBorders/>
            <w:shd w:fill="FFFFFF" w:val="clear"/>
            <w:vAlign w:val="center"/>
          </w:tcPr>
          <w:p>
            <w:pPr>
              <w:pStyle w:val="TableContents"/>
              <w:bidi w:val="0"/>
              <w:spacing w:before="0" w:after="283"/>
              <w:jc w:val="righ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0.0%</w:t>
            </w:r>
          </w:p>
        </w:tc>
      </w:tr>
      <w:tr>
        <w:trPr/>
        <w:tc>
          <w:tcPr>
            <w:tcW w:w="2469"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Wind River CLO Ltd, Series 2017-1A</w:t>
            </w:r>
            <w:r>
              <w:rPr>
                <w:rFonts w:ascii="Times New Roman" w:hAnsi="Times New Roman"/>
                <w:color w:val="000000"/>
                <w:sz w:val="14"/>
              </w:rPr>
              <w:t> </w:t>
            </w:r>
            <w:r>
              <w:rPr>
                <w:rFonts w:ascii="Times New Roman" w:hAnsi="Times New Roman"/>
                <w:b w:val="false"/>
                <w:color w:val="000000"/>
                <w:sz w:val="9"/>
              </w:rPr>
              <w:t>(3)(4)(10)</w:t>
            </w:r>
          </w:p>
        </w:tc>
        <w:tc>
          <w:tcPr>
            <w:tcW w:w="146" w:type="dxa"/>
            <w:tcBorders/>
            <w:shd w:fill="CFF0FC" w:val="clear"/>
            <w:vAlign w:val="center"/>
          </w:tcPr>
          <w:p>
            <w:pPr>
              <w:pStyle w:val="TableContents"/>
              <w:bidi w:val="0"/>
              <w:spacing w:before="0" w:after="283"/>
              <w:jc w:val="right"/>
              <w:rPr/>
            </w:pPr>
            <w:r>
              <w:rPr/>
              <w:t> </w:t>
            </w:r>
          </w:p>
        </w:tc>
        <w:tc>
          <w:tcPr>
            <w:tcW w:w="179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($3,000</w:t>
            </w:r>
            <w:r>
              <w:rPr>
                <w:rFonts w:ascii="Times New Roman" w:hAnsi="Times New Roman"/>
                <w:color w:val="000000"/>
                <w:sz w:val="20"/>
              </w:rPr>
              <w:t> </w:t>
            </w:r>
            <w:r>
              <w:rPr>
                <w:rFonts w:ascii="Times New Roman" w:hAnsi="Times New Roman"/>
                <w:b w:val="false"/>
                <w:color w:val="000000"/>
                <w:sz w:val="14"/>
              </w:rPr>
              <w:t>par, due 4/2036)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7/14/2022</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+ 3.72%</w:t>
            </w:r>
          </w:p>
        </w:tc>
        <w:tc>
          <w:tcPr>
            <w:tcW w:w="146" w:type="dxa"/>
            <w:tcBorders/>
            <w:shd w:fill="CFF0FC" w:val="clear"/>
            <w:vAlign w:val="center"/>
          </w:tcPr>
          <w:p>
            <w:pPr>
              <w:pStyle w:val="TableContents"/>
              <w:bidi w:val="0"/>
              <w:spacing w:before="0" w:after="283"/>
              <w:jc w:val="right"/>
              <w:rPr/>
            </w:pPr>
            <w:r>
              <w:rPr/>
              <w:t> </w:t>
            </w:r>
          </w:p>
        </w:tc>
        <w:tc>
          <w:tcPr>
            <w:tcW w:w="72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6.46%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2,617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2,624</w:t>
            </w:r>
          </w:p>
        </w:tc>
        <w:tc>
          <w:tcPr>
            <w:tcW w:w="146" w:type="dxa"/>
            <w:tcBorders/>
            <w:shd w:fill="CFF0FC" w:val="clear"/>
            <w:vAlign w:val="center"/>
          </w:tcPr>
          <w:p>
            <w:pPr>
              <w:pStyle w:val="TableContents"/>
              <w:bidi w:val="0"/>
              <w:spacing w:before="0" w:after="283"/>
              <w:jc w:val="righ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69"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b w:val="false"/>
                <w:color w:val="000000"/>
                <w:sz w:val="14"/>
              </w:rPr>
              <w:t>Wind River CLO Ltd, Series 2018-3A</w:t>
            </w:r>
            <w:r>
              <w:rPr>
                <w:rFonts w:ascii="Times New Roman" w:hAnsi="Times New Roman"/>
                <w:color w:val="000000"/>
                <w:sz w:val="14"/>
              </w:rPr>
              <w:t> </w:t>
            </w:r>
            <w:r>
              <w:rPr>
                <w:rFonts w:ascii="Times New Roman" w:hAnsi="Times New Roman"/>
                <w:b w:val="false"/>
                <w:color w:val="000000"/>
                <w:sz w:val="9"/>
              </w:rPr>
              <w:t>(3)(4)(10)</w:t>
            </w:r>
          </w:p>
        </w:tc>
        <w:tc>
          <w:tcPr>
            <w:tcW w:w="146" w:type="dxa"/>
            <w:tcBorders/>
            <w:shd w:fill="FFFFFF" w:val="clear"/>
            <w:vAlign w:val="center"/>
          </w:tcPr>
          <w:p>
            <w:pPr>
              <w:pStyle w:val="TableContents"/>
              <w:bidi w:val="0"/>
              <w:spacing w:before="0" w:after="283"/>
              <w:jc w:val="right"/>
              <w:rPr/>
            </w:pPr>
            <w:r>
              <w:rPr/>
              <w:t> </w:t>
            </w:r>
          </w:p>
        </w:tc>
        <w:tc>
          <w:tcPr>
            <w:tcW w:w="17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4"/>
              </w:rPr>
              <w:t>Structured Product ($2,000</w:t>
            </w:r>
            <w:r>
              <w:rPr>
                <w:rFonts w:ascii="Times New Roman" w:hAnsi="Times New Roman"/>
                <w:color w:val="000000"/>
                <w:sz w:val="20"/>
              </w:rPr>
              <w:t> </w:t>
            </w:r>
            <w:r>
              <w:rPr>
                <w:rFonts w:ascii="Times New Roman" w:hAnsi="Times New Roman"/>
                <w:b w:val="false"/>
                <w:color w:val="000000"/>
                <w:sz w:val="14"/>
              </w:rPr>
              <w:t>par, due 1/2031)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12/12/2022</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L + 5.65%</w:t>
            </w:r>
          </w:p>
        </w:tc>
        <w:tc>
          <w:tcPr>
            <w:tcW w:w="146" w:type="dxa"/>
            <w:tcBorders/>
            <w:shd w:fill="FFFFFF" w:val="clear"/>
            <w:vAlign w:val="center"/>
          </w:tcPr>
          <w:p>
            <w:pPr>
              <w:pStyle w:val="TableContents"/>
              <w:bidi w:val="0"/>
              <w:spacing w:before="0" w:after="283"/>
              <w:jc w:val="right"/>
              <w:rPr/>
            </w:pPr>
            <w:r>
              <w:rPr/>
              <w:t> </w:t>
            </w:r>
          </w:p>
        </w:tc>
        <w:tc>
          <w:tcPr>
            <w:tcW w:w="72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6.46%</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0.1%</w:t>
            </w:r>
          </w:p>
        </w:tc>
      </w:tr>
      <w:tr>
        <w:trPr/>
        <w:tc>
          <w:tcPr>
            <w:tcW w:w="246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9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2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53,066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w:t>
            </w:r>
          </w:p>
        </w:tc>
      </w:tr>
      <w:tr>
        <w:trPr/>
        <w:tc>
          <w:tcPr>
            <w:tcW w:w="2469"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and Other Investments</w:t>
            </w:r>
          </w:p>
        </w:tc>
        <w:tc>
          <w:tcPr>
            <w:tcW w:w="146" w:type="dxa"/>
            <w:tcBorders/>
            <w:shd w:fill="FFFFFF" w:val="clear"/>
            <w:vAlign w:val="center"/>
          </w:tcPr>
          <w:p>
            <w:pPr>
              <w:pStyle w:val="TableContents"/>
              <w:bidi w:val="0"/>
              <w:spacing w:before="0" w:after="283"/>
              <w:jc w:val="right"/>
              <w:rPr/>
            </w:pPr>
            <w:r>
              <w:rPr/>
              <w:t> </w:t>
            </w:r>
          </w:p>
        </w:tc>
        <w:tc>
          <w:tcPr>
            <w:tcW w:w="179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195,169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219,111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16.8%</w:t>
            </w:r>
          </w:p>
        </w:tc>
      </w:tr>
      <w:tr>
        <w:trPr/>
        <w:tc>
          <w:tcPr>
            <w:tcW w:w="2469"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Investments</w:t>
            </w:r>
          </w:p>
        </w:tc>
        <w:tc>
          <w:tcPr>
            <w:tcW w:w="146" w:type="dxa"/>
            <w:tcBorders/>
            <w:shd w:fill="CFF0FC" w:val="clear"/>
            <w:vAlign w:val="center"/>
          </w:tcPr>
          <w:p>
            <w:pPr>
              <w:pStyle w:val="TableContents"/>
              <w:bidi w:val="0"/>
              <w:spacing w:before="0" w:after="283"/>
              <w:jc w:val="right"/>
              <w:rPr/>
            </w:pPr>
            <w:r>
              <w:rPr/>
              <w:t> </w:t>
            </w:r>
          </w:p>
        </w:tc>
        <w:tc>
          <w:tcPr>
            <w:tcW w:w="179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2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2,774,726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2,787,925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204.9%</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47"/>
        <w:gridCol w:w="146"/>
        <w:gridCol w:w="835"/>
        <w:gridCol w:w="146"/>
        <w:gridCol w:w="835"/>
        <w:gridCol w:w="146"/>
        <w:gridCol w:w="837"/>
        <w:gridCol w:w="146"/>
        <w:gridCol w:w="211"/>
        <w:gridCol w:w="781"/>
        <w:gridCol w:w="146"/>
        <w:gridCol w:w="146"/>
        <w:gridCol w:w="211"/>
        <w:gridCol w:w="736"/>
        <w:gridCol w:w="166"/>
        <w:gridCol w:w="146"/>
        <w:gridCol w:w="255"/>
        <w:gridCol w:w="691"/>
        <w:gridCol w:w="146"/>
        <w:gridCol w:w="146"/>
        <w:gridCol w:w="346"/>
        <w:gridCol w:w="146"/>
        <w:gridCol w:w="222"/>
        <w:gridCol w:w="776"/>
        <w:gridCol w:w="396"/>
      </w:tblGrid>
      <w:tr>
        <w:trPr/>
        <w:tc>
          <w:tcPr>
            <w:tcW w:w="1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4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21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Swaps as of December 31, 2022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Receives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Pays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Market</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Upfront</w:t>
              <w:br/>
              <w:t>(Payments) /</w:t>
              <w:br/>
              <w:t>Receipts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Unrealized</w:t>
              <w:br/>
              <w:t>Gains / (Losses)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(a)</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4.50%</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 + 1.99%</w:t>
            </w:r>
          </w:p>
        </w:tc>
        <w:tc>
          <w:tcPr>
            <w:tcW w:w="146" w:type="dxa"/>
            <w:tcBorders/>
            <w:shd w:fill="CFF0FC" w:val="clear"/>
            <w:vAlign w:val="center"/>
          </w:tcPr>
          <w:p>
            <w:pPr>
              <w:pStyle w:val="TableContents"/>
              <w:bidi w:val="0"/>
              <w:spacing w:before="0" w:after="283"/>
              <w:jc w:val="righ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1/22/2023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(3,292</w:t>
            </w:r>
          </w:p>
        </w:tc>
        <w:tc>
          <w:tcPr>
            <w:tcW w:w="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(a)(e)</w:t>
            </w:r>
          </w:p>
        </w:tc>
        <w:tc>
          <w:tcPr>
            <w:tcW w:w="146" w:type="dxa"/>
            <w:tcBorders/>
            <w:shd w:fill="FFFFFF" w:val="clear"/>
            <w:vAlign w:val="center"/>
          </w:tcPr>
          <w:p>
            <w:pPr>
              <w:pStyle w:val="TableContents"/>
              <w:bidi w:val="0"/>
              <w:spacing w:before="0" w:after="283"/>
              <w:jc w:val="right"/>
              <w:rPr/>
            </w:pPr>
            <w:r>
              <w:rPr/>
              <w:t> </w:t>
            </w:r>
          </w:p>
        </w:tc>
        <w:tc>
          <w:tcPr>
            <w:tcW w:w="83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 + 2.28%</w:t>
            </w:r>
          </w:p>
        </w:tc>
        <w:tc>
          <w:tcPr>
            <w:tcW w:w="146" w:type="dxa"/>
            <w:tcBorders/>
            <w:shd w:fill="FFFFFF" w:val="clear"/>
            <w:vAlign w:val="center"/>
          </w:tcPr>
          <w:p>
            <w:pPr>
              <w:pStyle w:val="TableContents"/>
              <w:bidi w:val="0"/>
              <w:spacing w:before="0" w:after="283"/>
              <w:jc w:val="right"/>
              <w:rPr/>
            </w:pPr>
            <w:r>
              <w:rPr/>
              <w:t> </w:t>
            </w:r>
          </w:p>
        </w:tc>
        <w:tc>
          <w:tcPr>
            <w:tcW w:w="83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3.875%</w:t>
            </w:r>
          </w:p>
        </w:tc>
        <w:tc>
          <w:tcPr>
            <w:tcW w:w="146" w:type="dxa"/>
            <w:tcBorders/>
            <w:shd w:fill="FFFFFF" w:val="clear"/>
            <w:vAlign w:val="center"/>
          </w:tcPr>
          <w:p>
            <w:pPr>
              <w:pStyle w:val="TableContents"/>
              <w:bidi w:val="0"/>
              <w:spacing w:before="0" w:after="283"/>
              <w:jc w:val="righ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11/1/2024</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color w:val="000000"/>
              </w:rPr>
            </w:pPr>
            <w:r>
              <w:rPr>
                <w:color w:val="000000"/>
              </w:rPr>
              <w:t>—</w:t>
            </w:r>
          </w:p>
        </w:tc>
        <w:tc>
          <w:tcPr>
            <w:tcW w:w="396" w:type="dxa"/>
            <w:tcBorders/>
            <w:shd w:fill="FFFFFF" w:val="clear"/>
            <w:vAlign w:val="center"/>
          </w:tcPr>
          <w:p>
            <w:pPr>
              <w:pStyle w:val="TableContents"/>
              <w:bidi w:val="0"/>
              <w:spacing w:before="0" w:after="283"/>
              <w:jc w:val="left"/>
              <w:rPr/>
            </w:pPr>
            <w:r>
              <w:rPr/>
              <w:t> </w:t>
            </w:r>
          </w:p>
        </w:tc>
      </w:tr>
      <w:tr>
        <w:trPr/>
        <w:tc>
          <w:tcPr>
            <w:tcW w:w="144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(a)(b)</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4.50%</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 + 2.37%</w:t>
            </w:r>
          </w:p>
        </w:tc>
        <w:tc>
          <w:tcPr>
            <w:tcW w:w="146" w:type="dxa"/>
            <w:tcBorders/>
            <w:shd w:fill="CFF0FC" w:val="clear"/>
            <w:vAlign w:val="center"/>
          </w:tcPr>
          <w:p>
            <w:pPr>
              <w:pStyle w:val="TableContents"/>
              <w:bidi w:val="0"/>
              <w:spacing w:before="0" w:after="283"/>
              <w:jc w:val="righ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8/1/2022</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(1,192</w:t>
            </w:r>
          </w:p>
        </w:tc>
        <w:tc>
          <w:tcPr>
            <w:tcW w:w="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(a)(b)</w:t>
            </w:r>
          </w:p>
        </w:tc>
        <w:tc>
          <w:tcPr>
            <w:tcW w:w="146" w:type="dxa"/>
            <w:tcBorders/>
            <w:shd w:fill="FFFFFF" w:val="clear"/>
            <w:vAlign w:val="center"/>
          </w:tcPr>
          <w:p>
            <w:pPr>
              <w:pStyle w:val="TableContents"/>
              <w:bidi w:val="0"/>
              <w:spacing w:before="0" w:after="283"/>
              <w:jc w:val="right"/>
              <w:rPr/>
            </w:pPr>
            <w:r>
              <w:rPr/>
              <w:t> </w:t>
            </w:r>
          </w:p>
        </w:tc>
        <w:tc>
          <w:tcPr>
            <w:tcW w:w="83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4.50%</w:t>
            </w:r>
          </w:p>
        </w:tc>
        <w:tc>
          <w:tcPr>
            <w:tcW w:w="146" w:type="dxa"/>
            <w:tcBorders/>
            <w:shd w:fill="FFFFFF" w:val="clear"/>
            <w:vAlign w:val="center"/>
          </w:tcPr>
          <w:p>
            <w:pPr>
              <w:pStyle w:val="TableContents"/>
              <w:bidi w:val="0"/>
              <w:spacing w:before="0" w:after="283"/>
              <w:jc w:val="right"/>
              <w:rPr/>
            </w:pPr>
            <w:r>
              <w:rPr/>
              <w:t> </w:t>
            </w:r>
          </w:p>
        </w:tc>
        <w:tc>
          <w:tcPr>
            <w:tcW w:w="83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 + 1.59%</w:t>
            </w:r>
          </w:p>
        </w:tc>
        <w:tc>
          <w:tcPr>
            <w:tcW w:w="146" w:type="dxa"/>
            <w:tcBorders/>
            <w:shd w:fill="FFFFFF" w:val="clear"/>
            <w:vAlign w:val="center"/>
          </w:tcPr>
          <w:p>
            <w:pPr>
              <w:pStyle w:val="TableContents"/>
              <w:bidi w:val="0"/>
              <w:spacing w:before="0" w:after="283"/>
              <w:jc w:val="righ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8/1/2022</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(751</w:t>
            </w:r>
          </w:p>
        </w:tc>
        <w:tc>
          <w:tcPr>
            <w:tcW w:w="3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4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(a)(b)</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4.50%</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 + 1.60%</w:t>
            </w:r>
          </w:p>
        </w:tc>
        <w:tc>
          <w:tcPr>
            <w:tcW w:w="146" w:type="dxa"/>
            <w:tcBorders/>
            <w:shd w:fill="CFF0FC" w:val="clear"/>
            <w:vAlign w:val="center"/>
          </w:tcPr>
          <w:p>
            <w:pPr>
              <w:pStyle w:val="TableContents"/>
              <w:bidi w:val="0"/>
              <w:spacing w:before="0" w:after="283"/>
              <w:jc w:val="righ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8/1/2022</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(a)(b)</w:t>
            </w:r>
          </w:p>
        </w:tc>
        <w:tc>
          <w:tcPr>
            <w:tcW w:w="146" w:type="dxa"/>
            <w:tcBorders/>
            <w:shd w:fill="FFFFFF" w:val="clear"/>
            <w:vAlign w:val="center"/>
          </w:tcPr>
          <w:p>
            <w:pPr>
              <w:pStyle w:val="TableContents"/>
              <w:bidi w:val="0"/>
              <w:spacing w:before="0" w:after="283"/>
              <w:jc w:val="right"/>
              <w:rPr/>
            </w:pPr>
            <w:r>
              <w:rPr/>
              <w:t> </w:t>
            </w:r>
          </w:p>
        </w:tc>
        <w:tc>
          <w:tcPr>
            <w:tcW w:w="83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 + 2.11%</w:t>
            </w:r>
          </w:p>
        </w:tc>
        <w:tc>
          <w:tcPr>
            <w:tcW w:w="146" w:type="dxa"/>
            <w:tcBorders/>
            <w:shd w:fill="FFFFFF" w:val="clear"/>
            <w:vAlign w:val="center"/>
          </w:tcPr>
          <w:p>
            <w:pPr>
              <w:pStyle w:val="TableContents"/>
              <w:bidi w:val="0"/>
              <w:spacing w:before="0" w:after="283"/>
              <w:jc w:val="right"/>
              <w:rPr/>
            </w:pPr>
            <w:r>
              <w:rPr/>
              <w:t> </w:t>
            </w:r>
          </w:p>
        </w:tc>
        <w:tc>
          <w:tcPr>
            <w:tcW w:w="83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4.50%</w:t>
            </w:r>
          </w:p>
        </w:tc>
        <w:tc>
          <w:tcPr>
            <w:tcW w:w="146" w:type="dxa"/>
            <w:tcBorders/>
            <w:shd w:fill="FFFFFF" w:val="clear"/>
            <w:vAlign w:val="center"/>
          </w:tcPr>
          <w:p>
            <w:pPr>
              <w:pStyle w:val="TableContents"/>
              <w:bidi w:val="0"/>
              <w:spacing w:before="0" w:after="283"/>
              <w:jc w:val="righ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8/1/2022</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1,252</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(924</w:t>
            </w:r>
          </w:p>
        </w:tc>
        <w:tc>
          <w:tcPr>
            <w:tcW w:w="3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4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(a)(b)</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 + 2.11%</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4.50%</w:t>
            </w:r>
          </w:p>
        </w:tc>
        <w:tc>
          <w:tcPr>
            <w:tcW w:w="146" w:type="dxa"/>
            <w:tcBorders/>
            <w:shd w:fill="CFF0FC" w:val="clear"/>
            <w:vAlign w:val="center"/>
          </w:tcPr>
          <w:p>
            <w:pPr>
              <w:pStyle w:val="TableContents"/>
              <w:bidi w:val="0"/>
              <w:spacing w:before="0" w:after="283"/>
              <w:jc w:val="righ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8/1/2022</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(a)(b)</w:t>
            </w:r>
          </w:p>
        </w:tc>
        <w:tc>
          <w:tcPr>
            <w:tcW w:w="146" w:type="dxa"/>
            <w:tcBorders/>
            <w:shd w:fill="FFFFFF" w:val="clear"/>
            <w:vAlign w:val="center"/>
          </w:tcPr>
          <w:p>
            <w:pPr>
              <w:pStyle w:val="TableContents"/>
              <w:bidi w:val="0"/>
              <w:spacing w:before="0" w:after="283"/>
              <w:jc w:val="right"/>
              <w:rPr/>
            </w:pPr>
            <w:r>
              <w:rPr/>
              <w:t> </w:t>
            </w:r>
          </w:p>
        </w:tc>
        <w:tc>
          <w:tcPr>
            <w:tcW w:w="83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 + 2.11%</w:t>
            </w:r>
          </w:p>
        </w:tc>
        <w:tc>
          <w:tcPr>
            <w:tcW w:w="146" w:type="dxa"/>
            <w:tcBorders/>
            <w:shd w:fill="FFFFFF" w:val="clear"/>
            <w:vAlign w:val="center"/>
          </w:tcPr>
          <w:p>
            <w:pPr>
              <w:pStyle w:val="TableContents"/>
              <w:bidi w:val="0"/>
              <w:spacing w:before="0" w:after="283"/>
              <w:jc w:val="right"/>
              <w:rPr/>
            </w:pPr>
            <w:r>
              <w:rPr/>
              <w:t> </w:t>
            </w:r>
          </w:p>
        </w:tc>
        <w:tc>
          <w:tcPr>
            <w:tcW w:w="83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4.50%</w:t>
            </w:r>
          </w:p>
        </w:tc>
        <w:tc>
          <w:tcPr>
            <w:tcW w:w="146" w:type="dxa"/>
            <w:tcBorders/>
            <w:shd w:fill="FFFFFF" w:val="clear"/>
            <w:vAlign w:val="center"/>
          </w:tcPr>
          <w:p>
            <w:pPr>
              <w:pStyle w:val="TableContents"/>
              <w:bidi w:val="0"/>
              <w:spacing w:before="0" w:after="283"/>
              <w:jc w:val="righ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8/1/2022</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904</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w:t>
            </w:r>
          </w:p>
        </w:tc>
        <w:tc>
          <w:tcPr>
            <w:tcW w:w="3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4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(a)(b)</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0.16%</w:t>
            </w:r>
          </w:p>
        </w:tc>
        <w:tc>
          <w:tcPr>
            <w:tcW w:w="146" w:type="dxa"/>
            <w:tcBorders/>
            <w:shd w:fill="CFF0FC" w:val="clear"/>
            <w:vAlign w:val="center"/>
          </w:tcPr>
          <w:p>
            <w:pPr>
              <w:pStyle w:val="TableContents"/>
              <w:bidi w:val="0"/>
              <w:spacing w:before="0" w:after="283"/>
              <w:jc w:val="righ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7/30/2022</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Non Hedge Accounting Swaps</w:t>
            </w:r>
          </w:p>
        </w:tc>
        <w:tc>
          <w:tcPr>
            <w:tcW w:w="146" w:type="dxa"/>
            <w:tcBorders/>
            <w:shd w:fill="FFFFFF" w:val="clear"/>
            <w:vAlign w:val="center"/>
          </w:tcPr>
          <w:p>
            <w:pPr>
              <w:pStyle w:val="TableContents"/>
              <w:bidi w:val="0"/>
              <w:spacing w:before="0" w:after="283"/>
              <w:jc w:val="right"/>
              <w:rPr/>
            </w:pPr>
            <w:r>
              <w:rPr/>
              <w:t> </w:t>
            </w:r>
          </w:p>
        </w:tc>
        <w:tc>
          <w:tcPr>
            <w:tcW w:w="8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3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2,380</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(6,748</w:t>
            </w:r>
          </w:p>
        </w:tc>
        <w:tc>
          <w:tcPr>
            <w:tcW w:w="3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83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8"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jc w:val="right"/>
              <w:rPr/>
            </w:pPr>
            <w:r>
              <w:rPr/>
              <w:t> </w:t>
            </w:r>
          </w:p>
        </w:tc>
      </w:tr>
      <w:tr>
        <w:trPr/>
        <w:tc>
          <w:tcPr>
            <w:tcW w:w="14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(a)(c)(d)</w:t>
            </w:r>
          </w:p>
        </w:tc>
        <w:tc>
          <w:tcPr>
            <w:tcW w:w="146" w:type="dxa"/>
            <w:tcBorders/>
            <w:shd w:fill="FFFFFF" w:val="clear"/>
            <w:vAlign w:val="center"/>
          </w:tcPr>
          <w:p>
            <w:pPr>
              <w:pStyle w:val="TableContents"/>
              <w:bidi w:val="0"/>
              <w:spacing w:before="0" w:after="283"/>
              <w:jc w:val="right"/>
              <w:rPr/>
            </w:pPr>
            <w:r>
              <w:rPr/>
              <w:t> </w:t>
            </w:r>
          </w:p>
        </w:tc>
        <w:tc>
          <w:tcPr>
            <w:tcW w:w="83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3.875%</w:t>
            </w:r>
          </w:p>
        </w:tc>
        <w:tc>
          <w:tcPr>
            <w:tcW w:w="146" w:type="dxa"/>
            <w:tcBorders/>
            <w:shd w:fill="FFFFFF" w:val="clear"/>
            <w:vAlign w:val="center"/>
          </w:tcPr>
          <w:p>
            <w:pPr>
              <w:pStyle w:val="TableContents"/>
              <w:bidi w:val="0"/>
              <w:spacing w:before="0" w:after="283"/>
              <w:jc w:val="right"/>
              <w:rPr/>
            </w:pPr>
            <w:r>
              <w:rPr/>
              <w:t> </w:t>
            </w:r>
          </w:p>
        </w:tc>
        <w:tc>
          <w:tcPr>
            <w:tcW w:w="83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 + 2.25%</w:t>
            </w:r>
          </w:p>
        </w:tc>
        <w:tc>
          <w:tcPr>
            <w:tcW w:w="146" w:type="dxa"/>
            <w:tcBorders/>
            <w:shd w:fill="FFFFFF" w:val="clear"/>
            <w:vAlign w:val="center"/>
          </w:tcPr>
          <w:p>
            <w:pPr>
              <w:pStyle w:val="TableContents"/>
              <w:bidi w:val="0"/>
              <w:spacing w:before="0" w:after="283"/>
              <w:jc w:val="righ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11/1/2024</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(16,493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(20,489</w:t>
            </w:r>
          </w:p>
        </w:tc>
        <w:tc>
          <w:tcPr>
            <w:tcW w:w="3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4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(a)(c)(d)</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3.875%</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 + 2.46%</w:t>
            </w:r>
          </w:p>
        </w:tc>
        <w:tc>
          <w:tcPr>
            <w:tcW w:w="146" w:type="dxa"/>
            <w:tcBorders/>
            <w:shd w:fill="CFF0FC" w:val="clear"/>
            <w:vAlign w:val="center"/>
          </w:tcPr>
          <w:p>
            <w:pPr>
              <w:pStyle w:val="TableContents"/>
              <w:bidi w:val="0"/>
              <w:spacing w:before="0" w:after="283"/>
              <w:jc w:val="righ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11/1/2024</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(3,302</w:t>
            </w:r>
          </w:p>
        </w:tc>
        <w:tc>
          <w:tcPr>
            <w:tcW w:w="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(a)(c)</w:t>
            </w:r>
          </w:p>
        </w:tc>
        <w:tc>
          <w:tcPr>
            <w:tcW w:w="146" w:type="dxa"/>
            <w:tcBorders/>
            <w:shd w:fill="FFFFFF" w:val="clear"/>
            <w:vAlign w:val="center"/>
          </w:tcPr>
          <w:p>
            <w:pPr>
              <w:pStyle w:val="TableContents"/>
              <w:bidi w:val="0"/>
              <w:spacing w:before="0" w:after="283"/>
              <w:jc w:val="right"/>
              <w:rPr/>
            </w:pPr>
            <w:r>
              <w:rPr/>
              <w:t> </w:t>
            </w:r>
          </w:p>
        </w:tc>
        <w:tc>
          <w:tcPr>
            <w:tcW w:w="83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2.50%</w:t>
            </w:r>
          </w:p>
        </w:tc>
        <w:tc>
          <w:tcPr>
            <w:tcW w:w="146" w:type="dxa"/>
            <w:tcBorders/>
            <w:shd w:fill="FFFFFF" w:val="clear"/>
            <w:vAlign w:val="center"/>
          </w:tcPr>
          <w:p>
            <w:pPr>
              <w:pStyle w:val="TableContents"/>
              <w:bidi w:val="0"/>
              <w:spacing w:before="0" w:after="283"/>
              <w:jc w:val="right"/>
              <w:rPr/>
            </w:pPr>
            <w:r>
              <w:rPr/>
              <w:t> </w:t>
            </w:r>
          </w:p>
        </w:tc>
        <w:tc>
          <w:tcPr>
            <w:tcW w:w="83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 + 1.91%</w:t>
            </w:r>
          </w:p>
        </w:tc>
        <w:tc>
          <w:tcPr>
            <w:tcW w:w="146" w:type="dxa"/>
            <w:tcBorders/>
            <w:shd w:fill="FFFFFF" w:val="clear"/>
            <w:vAlign w:val="center"/>
          </w:tcPr>
          <w:p>
            <w:pPr>
              <w:pStyle w:val="TableContents"/>
              <w:bidi w:val="0"/>
              <w:spacing w:before="0" w:after="283"/>
              <w:jc w:val="right"/>
              <w:rPr/>
            </w:pPr>
            <w:r>
              <w:rPr/>
              <w:t> </w:t>
            </w:r>
          </w:p>
        </w:tc>
        <w:tc>
          <w:tcPr>
            <w:tcW w:w="8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8/1/2026</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Hedge Accounting Swaps</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83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(55,083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(49,217</w:t>
            </w:r>
          </w:p>
        </w:tc>
        <w:tc>
          <w:tcPr>
            <w:tcW w:w="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collateral</w:t>
            </w:r>
          </w:p>
        </w:tc>
        <w:tc>
          <w:tcPr>
            <w:tcW w:w="146" w:type="dxa"/>
            <w:tcBorders/>
            <w:shd w:fill="FFFFFF" w:val="clear"/>
            <w:vAlign w:val="center"/>
          </w:tcPr>
          <w:p>
            <w:pPr>
              <w:pStyle w:val="TableContents"/>
              <w:bidi w:val="0"/>
              <w:spacing w:before="0" w:after="283"/>
              <w:jc w:val="right"/>
              <w:rPr/>
            </w:pPr>
            <w:r>
              <w:rPr/>
              <w:t> </w:t>
            </w:r>
          </w:p>
        </w:tc>
        <w:tc>
          <w:tcPr>
            <w:tcW w:w="8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3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47"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802,500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(55,965</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Contains a variable rate structure. Bears interest at a rate determined by three-month LIBOR.</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Interest rate swap was terminated or matured during the period.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Instrument is used in a hedge accounting relationship. The associated change in fair value is recorded along with the change in fair value of the hedged item within interest expense.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0" w:after="0"/>
        <w:jc w:val="left"/>
        <w:rPr/>
      </w:pPr>
      <w:r>
        <w:rPr>
          <w:rFonts w:ascii="Times New Roman" w:hAnsi="Times New Roman"/>
          <w:b w:val="false"/>
          <w:color w:val="000000"/>
          <w:sz w:val="20"/>
        </w:rPr>
        <w:t>$2.5</w:t>
      </w:r>
      <w:r>
        <w:rPr>
          <w:color w:val="000000"/>
        </w:rPr>
        <w:t xml:space="preserve"> </w:t>
      </w:r>
      <w:r>
        <w:rPr>
          <w:rFonts w:ascii="Times New Roman" w:hAnsi="Times New Roman"/>
          <w:b w:val="false"/>
          <w:color w:val="000000"/>
          <w:sz w:val="20"/>
        </w:rPr>
        <w:t>million in aggregate notional value of these instruments is no longer designated as instruments in a hedge accounting relationship. The associated change in fair value of the de-designated portion is recorded within unrealized gain/(loss).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e)</w:t>
      </w:r>
    </w:p>
    <w:p>
      <w:pPr>
        <w:pStyle w:val="TextBody"/>
        <w:bidi w:val="0"/>
        <w:jc w:val="left"/>
        <w:rPr/>
      </w:pPr>
      <w:r>
        <w:rPr>
          <w:rFonts w:ascii="Times New Roman" w:hAnsi="Times New Roman"/>
          <w:b w:val="false"/>
          <w:color w:val="000000"/>
          <w:sz w:val="20"/>
        </w:rPr>
        <w:t>The fair market value of this instrument is presented net with the $2.5</w:t>
      </w:r>
      <w:r>
        <w:rPr>
          <w:color w:val="000000"/>
        </w:rPr>
        <w:t xml:space="preserve"> </w:t>
      </w:r>
      <w:r>
        <w:rPr>
          <w:rFonts w:ascii="Times New Roman" w:hAnsi="Times New Roman"/>
          <w:b w:val="false"/>
          <w:color w:val="000000"/>
          <w:sz w:val="20"/>
        </w:rPr>
        <w:t xml:space="preserve">million in aggregate notional value of instruments no longer designated as instruments in a hedge accounting relationship. </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pPr>
      <w:r>
        <w:rPr>
          <w:rFonts w:ascii="Times New Roman" w:hAnsi="Times New Roman"/>
          <w:b w:val="false"/>
          <w:color w:val="000000"/>
          <w:sz w:val="20"/>
        </w:rPr>
        <w:t>Certain portfolio company investments are subject to contractual restrictions on sales.</w:t>
      </w:r>
      <w:r>
        <w:rPr>
          <w:color w:val="000000"/>
        </w:rPr>
        <w:t xml:space="preserv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left"/>
        <w:rPr/>
      </w:pPr>
      <w:r>
        <w:rPr>
          <w:rFonts w:ascii="Times New Roman" w:hAnsi="Times New Roman"/>
          <w:b w:val="false"/>
          <w:color w:val="000000"/>
          <w:sz w:val="20"/>
        </w:rPr>
        <w:t>The amortized cost represents the original cost adjusted for the amortization of discounts and premiums, as applicable, on debt investments using the effective interest method.</w:t>
      </w:r>
      <w:r>
        <w:rPr>
          <w:color w:val="000000"/>
        </w:rPr>
        <w:t xml:space="preserv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the Canadian Prime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2022.</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9.7% of total assets as of December 31, 2022.</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0" w:after="0"/>
        <w:jc w:val="left"/>
        <w:rPr/>
      </w:pPr>
      <w:r>
        <w:rPr>
          <w:rFonts w:ascii="Times New Roman" w:hAnsi="Times New Roman"/>
          <w:b w:val="false"/>
          <w:color w:val="000000"/>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r>
        <w:rPr>
          <w:color w:val="000000"/>
        </w:rPr>
        <w:t xml:space="preserv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(6)</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Under the 1940 Act, the Company is deemed to be an “Affiliated Person” of, as defined in the 1940 Act, this portfolio company, as the Company owns more than 5% of the portfolio company’s outstanding voting securities. Transactions during the year ended December 31, 2022 in which the Company was an Affiliated Person of the portfolio company are as follows:</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Non-controlled, Affiliated Investments during the year ended December 31, 2022</w:t>
      </w:r>
    </w:p>
    <w:p>
      <w:pPr>
        <w:pStyle w:val="TextBody"/>
        <w:bidi w:val="0"/>
        <w:jc w:val="center"/>
        <w:rPr/>
      </w:pPr>
      <w:r>
        <w:rPr/>
        <w:t> </w:t>
      </w:r>
    </w:p>
    <w:tbl>
      <w:tblPr>
        <w:tblW w:w="10659" w:type="dxa"/>
        <w:jc w:val="left"/>
        <w:tblInd w:w="0" w:type="dxa"/>
        <w:tblLayout w:type="fixed"/>
        <w:tblCellMar>
          <w:top w:w="28" w:type="dxa"/>
          <w:left w:w="28" w:type="dxa"/>
          <w:bottom w:w="28" w:type="dxa"/>
          <w:right w:w="28" w:type="dxa"/>
        </w:tblCellMar>
      </w:tblPr>
      <w:tblGrid>
        <w:gridCol w:w="826"/>
        <w:gridCol w:w="146"/>
        <w:gridCol w:w="203"/>
        <w:gridCol w:w="623"/>
        <w:gridCol w:w="146"/>
        <w:gridCol w:w="146"/>
        <w:gridCol w:w="287"/>
        <w:gridCol w:w="509"/>
        <w:gridCol w:w="146"/>
        <w:gridCol w:w="146"/>
        <w:gridCol w:w="206"/>
        <w:gridCol w:w="695"/>
        <w:gridCol w:w="166"/>
        <w:gridCol w:w="146"/>
        <w:gridCol w:w="202"/>
        <w:gridCol w:w="684"/>
        <w:gridCol w:w="166"/>
        <w:gridCol w:w="146"/>
        <w:gridCol w:w="196"/>
        <w:gridCol w:w="601"/>
        <w:gridCol w:w="146"/>
        <w:gridCol w:w="146"/>
        <w:gridCol w:w="287"/>
        <w:gridCol w:w="509"/>
        <w:gridCol w:w="146"/>
        <w:gridCol w:w="146"/>
        <w:gridCol w:w="298"/>
        <w:gridCol w:w="528"/>
        <w:gridCol w:w="146"/>
        <w:gridCol w:w="146"/>
        <w:gridCol w:w="228"/>
        <w:gridCol w:w="403"/>
        <w:gridCol w:w="146"/>
        <w:gridCol w:w="146"/>
        <w:gridCol w:w="226"/>
        <w:gridCol w:w="435"/>
        <w:gridCol w:w="19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 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Additions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w:t>
              <w:br/>
              <w:t>Reductions</w:t>
            </w:r>
            <w:r>
              <w:rPr>
                <w:rFonts w:ascii="Times New Roman" w:hAnsi="Times New Roman"/>
                <w:color w:val="000000"/>
                <w:sz w:val="16"/>
              </w:rPr>
              <w:t xml:space="preserve"> </w:t>
            </w:r>
            <w:r>
              <w:rPr>
                <w:rFonts w:ascii="Times New Roman" w:hAnsi="Times New Roman"/>
                <w:b/>
                <w:color w:val="000000"/>
                <w:sz w:val="16"/>
              </w:rPr>
              <w:t>(b)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w:t>
              <w:br/>
              <w:t>In Unrealized</w:t>
              <w:br/>
              <w:t>Gain/(Loss)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Transfers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 xml:space="preserve">MD America Energy, </w:t>
              <w:br/>
              <w:t xml:space="preserve">   LLC </w:t>
            </w:r>
            <w:r>
              <w:rPr>
                <w:rFonts w:ascii="Times New Roman" w:hAnsi="Times New Roman"/>
                <w:b w:val="false"/>
                <w:color w:val="000000"/>
                <w:sz w:val="11"/>
              </w:rPr>
              <w:t>(c)</w:t>
            </w:r>
          </w:p>
        </w:tc>
        <w:tc>
          <w:tcPr>
            <w:tcW w:w="146" w:type="dxa"/>
            <w:tcBorders/>
            <w:shd w:fill="CFF0FC" w:val="clear"/>
            <w:vAlign w:val="center"/>
          </w:tcPr>
          <w:p>
            <w:pPr>
              <w:pStyle w:val="TableContents"/>
              <w:bidi w:val="0"/>
              <w:spacing w:before="0" w:after="283"/>
              <w:jc w:val="righ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27,017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27,017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13,608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Gross additions include increases in the cost basis of investments resulting from new investments, payment-in-kind interest or dividends, the amortization of any unearned income or discounts on debt investments, as applicable.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jc w:val="left"/>
        <w:rPr/>
      </w:pPr>
      <w:r>
        <w:rPr>
          <w:rFonts w:ascii="Times New Roman" w:hAnsi="Times New Roman"/>
          <w:b w:val="false"/>
          <w:color w:val="000000"/>
          <w:sz w:val="20"/>
        </w:rPr>
        <w:t>Includes investment in SMPA Holdings, LLC of 15,000</w:t>
      </w:r>
      <w:r>
        <w:rPr>
          <w:color w:val="000000"/>
        </w:rPr>
        <w:t xml:space="preserve"> </w:t>
      </w:r>
      <w:r>
        <w:rPr>
          <w:rFonts w:ascii="Times New Roman" w:hAnsi="Times New Roman"/>
          <w:b w:val="false"/>
          <w:color w:val="000000"/>
          <w:sz w:val="20"/>
        </w:rPr>
        <w:t xml:space="preserve">common equity units. </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(7)</w:t>
      </w:r>
    </w:p>
    <w:p>
      <w:pPr>
        <w:pStyle w:val="TextBody"/>
        <w:bidi w:val="0"/>
        <w:jc w:val="left"/>
        <w:rPr/>
      </w:pPr>
      <w:r>
        <w:rPr>
          <w:rFonts w:ascii="Times New Roman" w:hAnsi="Times New Roman"/>
          <w:b w:val="false"/>
          <w:color w:val="000000"/>
          <w:sz w:val="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2022</w:t>
      </w:r>
      <w:r>
        <w:rPr>
          <w:color w:val="000000"/>
        </w:rPr>
        <w:t xml:space="preserve"> </w:t>
      </w:r>
      <w:r>
        <w:rPr>
          <w:rFonts w:ascii="Times New Roman" w:hAnsi="Times New Roman"/>
          <w:b w:val="false"/>
          <w:color w:val="000000"/>
          <w:sz w:val="20"/>
        </w:rPr>
        <w:t xml:space="preserve">in which the Company was an Affiliated Person of and was deemed to Control a portfolio company are as follows: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Controlled, Affiliated Investments during the year ended December 31, 2022</w:t>
      </w:r>
    </w:p>
    <w:p>
      <w:pPr>
        <w:pStyle w:val="TextBody"/>
        <w:bidi w:val="0"/>
        <w:jc w:val="center"/>
        <w:rPr/>
      </w:pPr>
      <w:r>
        <w:rPr/>
        <w:t> </w:t>
      </w:r>
    </w:p>
    <w:tbl>
      <w:tblPr>
        <w:tblW w:w="10654" w:type="dxa"/>
        <w:jc w:val="left"/>
        <w:tblInd w:w="0" w:type="dxa"/>
        <w:tblLayout w:type="fixed"/>
        <w:tblCellMar>
          <w:top w:w="28" w:type="dxa"/>
          <w:left w:w="28" w:type="dxa"/>
          <w:bottom w:w="28" w:type="dxa"/>
          <w:right w:w="28" w:type="dxa"/>
        </w:tblCellMar>
      </w:tblPr>
      <w:tblGrid>
        <w:gridCol w:w="871"/>
        <w:gridCol w:w="146"/>
        <w:gridCol w:w="203"/>
        <w:gridCol w:w="623"/>
        <w:gridCol w:w="146"/>
        <w:gridCol w:w="146"/>
        <w:gridCol w:w="220"/>
        <w:gridCol w:w="576"/>
        <w:gridCol w:w="146"/>
        <w:gridCol w:w="146"/>
        <w:gridCol w:w="230"/>
        <w:gridCol w:w="671"/>
        <w:gridCol w:w="166"/>
        <w:gridCol w:w="146"/>
        <w:gridCol w:w="245"/>
        <w:gridCol w:w="641"/>
        <w:gridCol w:w="146"/>
        <w:gridCol w:w="146"/>
        <w:gridCol w:w="260"/>
        <w:gridCol w:w="461"/>
        <w:gridCol w:w="146"/>
        <w:gridCol w:w="146"/>
        <w:gridCol w:w="287"/>
        <w:gridCol w:w="509"/>
        <w:gridCol w:w="146"/>
        <w:gridCol w:w="146"/>
        <w:gridCol w:w="203"/>
        <w:gridCol w:w="623"/>
        <w:gridCol w:w="146"/>
        <w:gridCol w:w="146"/>
        <w:gridCol w:w="315"/>
        <w:gridCol w:w="316"/>
        <w:gridCol w:w="146"/>
        <w:gridCol w:w="146"/>
        <w:gridCol w:w="196"/>
        <w:gridCol w:w="511"/>
        <w:gridCol w:w="191"/>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 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Additions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w:t>
              <w:br/>
              <w:t>Reductions</w:t>
            </w:r>
            <w:r>
              <w:rPr>
                <w:rFonts w:ascii="Times New Roman" w:hAnsi="Times New Roman"/>
                <w:color w:val="000000"/>
                <w:sz w:val="16"/>
              </w:rPr>
              <w:t xml:space="preserve"> </w:t>
            </w:r>
            <w:r>
              <w:rPr>
                <w:rFonts w:ascii="Times New Roman" w:hAnsi="Times New Roman"/>
                <w:b/>
                <w:color w:val="000000"/>
                <w:sz w:val="16"/>
              </w:rPr>
              <w:t>(b)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w:t>
              <w:br/>
              <w:t>In Unrealized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Realized</w:t>
              <w:br/>
              <w:t>Gain/(Losses)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Transfers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IRGSE Holding Corp.</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2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59,779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2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70,755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5,064</w:t>
            </w:r>
          </w:p>
        </w:tc>
        <w:tc>
          <w:tcPr>
            <w:tcW w:w="191" w:type="dxa"/>
            <w:tcBorders/>
            <w:shd w:fill="CFF0FC" w:val="clear"/>
            <w:vAlign w:val="center"/>
          </w:tcPr>
          <w:p>
            <w:pPr>
              <w:pStyle w:val="TableContents"/>
              <w:bidi w:val="0"/>
              <w:spacing w:before="0" w:after="283"/>
              <w:jc w:val="left"/>
              <w:rPr/>
            </w:pPr>
            <w:r>
              <w:rPr/>
              <w:t> </w:t>
            </w:r>
          </w:p>
        </w:tc>
      </w:tr>
      <w:tr>
        <w:trPr/>
        <w:tc>
          <w:tcPr>
            <w:tcW w:w="87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Mississippi Resources,</w:t>
              <w:br/>
              <w:t>   LLC</w:t>
            </w:r>
          </w:p>
        </w:tc>
        <w:tc>
          <w:tcPr>
            <w:tcW w:w="146" w:type="dxa"/>
            <w:tcBorders/>
            <w:shd w:fill="FFFFFF" w:val="clear"/>
            <w:vAlign w:val="center"/>
          </w:tcPr>
          <w:p>
            <w:pPr>
              <w:pStyle w:val="TableContents"/>
              <w:bidi w:val="0"/>
              <w:spacing w:before="0" w:after="283"/>
              <w:jc w:val="righ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70,755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5,064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0"/>
        <w:jc w:val="left"/>
        <w:rPr/>
      </w:pPr>
      <w:r>
        <w:rPr>
          <w:rFonts w:ascii="Times New Roman" w:hAnsi="Times New Roman"/>
          <w:b w:val="false"/>
          <w:color w:val="000000"/>
          <w:sz w:val="20"/>
        </w:rPr>
        <w:t>Gross additions include increases in the cost basis of investments resulting from new investments, payment-in-kind interest or dividends, the amortization of any unearned income or discounts on debt investments, as applicable.</w:t>
      </w:r>
      <w:r>
        <w:rPr>
          <w:color w:val="000000"/>
        </w:rPr>
        <w:t xml:space="preserv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jc w:val="left"/>
        <w:rPr/>
      </w:pPr>
      <w:r>
        <w:rPr>
          <w:rFonts w:ascii="Times New Roman" w:hAnsi="Times New Roman"/>
          <w:b w:val="false"/>
          <w:color w:val="000000"/>
          <w:sz w:val="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(8)</w:t>
      </w:r>
    </w:p>
    <w:p>
      <w:pPr>
        <w:pStyle w:val="TextBody"/>
        <w:bidi w:val="0"/>
        <w:spacing w:before="0" w:after="0"/>
        <w:jc w:val="left"/>
        <w:rPr/>
      </w:pPr>
      <w:r>
        <w:rPr>
          <w:rFonts w:ascii="Times New Roman" w:hAnsi="Times New Roman"/>
          <w:b w:val="false"/>
          <w:color w:val="000000"/>
          <w:sz w:val="20"/>
        </w:rPr>
        <w:t>As of December 31, 2022, the estimated cost basis of investments for U.S. federal tax purposes was $2,787,005</w:t>
      </w:r>
      <w:r>
        <w:rPr>
          <w:color w:val="000000"/>
        </w:rPr>
        <w:t xml:space="preserve"> </w:t>
      </w:r>
      <w:r>
        <w:rPr>
          <w:rFonts w:ascii="Times New Roman" w:hAnsi="Times New Roman"/>
          <w:b w:val="false"/>
          <w:color w:val="000000"/>
          <w:sz w:val="20"/>
        </w:rPr>
        <w:t>resulting in estimated gross unrealized gains and losses of $109,609</w:t>
      </w:r>
      <w:r>
        <w:rPr>
          <w:color w:val="000000"/>
        </w:rPr>
        <w:t xml:space="preserve"> </w:t>
      </w:r>
      <w:r>
        <w:rPr>
          <w:rFonts w:ascii="Times New Roman" w:hAnsi="Times New Roman"/>
          <w:b w:val="false"/>
          <w:color w:val="000000"/>
          <w:sz w:val="20"/>
        </w:rPr>
        <w:t>and $105,786, respectively.</w:t>
      </w:r>
      <w:r>
        <w:rPr>
          <w:color w:val="000000"/>
        </w:rPr>
        <w:t xml:space="preserv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(9)</w:t>
      </w:r>
    </w:p>
    <w:p>
      <w:pPr>
        <w:pStyle w:val="TextBody"/>
        <w:bidi w:val="0"/>
        <w:spacing w:before="0" w:after="0"/>
        <w:jc w:val="left"/>
        <w:rPr/>
      </w:pPr>
      <w:r>
        <w:rPr>
          <w:rFonts w:ascii="Times New Roman" w:hAnsi="Times New Roman"/>
          <w:b w:val="false"/>
          <w:color w:val="000000"/>
          <w:sz w:val="20"/>
        </w:rPr>
        <w:t xml:space="preserve">In accordance with Financial Accounting Standards Board Accounting Standards Codification Topic 820, </w:t>
      </w:r>
      <w:r>
        <w:rPr>
          <w:rFonts w:ascii="Times New Roman" w:hAnsi="Times New Roman"/>
          <w:b w:val="false"/>
          <w:i/>
          <w:color w:val="000000"/>
          <w:sz w:val="20"/>
        </w:rPr>
        <w:t>Fair Value Measurements</w:t>
      </w:r>
      <w:r>
        <w:rPr>
          <w:color w:val="000000"/>
        </w:rPr>
        <w:t xml:space="preserve"> </w:t>
      </w:r>
      <w:r>
        <w:rPr>
          <w:rFonts w:ascii="Times New Roman" w:hAnsi="Times New Roman"/>
          <w:b w:val="false"/>
          <w:color w:val="000000"/>
          <w:sz w:val="20"/>
        </w:rPr>
        <w:t>(“ASC Topic 820”), unless otherwise indicated, the fair values of all investments were determined using significant unobservable inputs and are considered Level 3 investments. See Note 6 for further information related to investments at fair value.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(10)</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This investment is valued using observable inputs and is considered a Level 2 investment. See Note 6 for further information related to investments at fair value.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This investment is valued using observable inputs and is considered a Level 1 investment. See Note 6 for further information related to investments at fair value.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(12)</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This investment is non-income producing.</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(13)</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All or a portion of this security was acquired in a transaction exempt from registration under the Securities Act of 1933, and may be deemed to be “restricted securities” under the Securities Act. As of December 31, 2022, the aggregate fair value of these securities is $47,288, or 3.5% of the Company’s net assets.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(14)</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Ownership of equity investments may occur through a holding company or partnership.</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(15)</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Investment is on non-accrual status as of December 31, 2022.</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7" w:name="consolidated_statements_changes_in_net_a"/>
      <w:bookmarkEnd w:id="7"/>
      <w:r>
        <w:rPr>
          <w:rFonts w:ascii="Times New Roman" w:hAnsi="Times New Roman"/>
          <w:b/>
          <w:color w:val="000000"/>
          <w:sz w:val="20"/>
        </w:rPr>
        <w:t>Consolidated Statements of Changes in Net Assets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93"/>
        <w:gridCol w:w="146"/>
        <w:gridCol w:w="146"/>
        <w:gridCol w:w="766"/>
        <w:gridCol w:w="146"/>
        <w:gridCol w:w="146"/>
        <w:gridCol w:w="196"/>
        <w:gridCol w:w="375"/>
        <w:gridCol w:w="146"/>
        <w:gridCol w:w="146"/>
        <w:gridCol w:w="146"/>
        <w:gridCol w:w="586"/>
        <w:gridCol w:w="146"/>
        <w:gridCol w:w="146"/>
        <w:gridCol w:w="181"/>
        <w:gridCol w:w="556"/>
        <w:gridCol w:w="151"/>
        <w:gridCol w:w="146"/>
        <w:gridCol w:w="203"/>
        <w:gridCol w:w="778"/>
        <w:gridCol w:w="151"/>
        <w:gridCol w:w="146"/>
        <w:gridCol w:w="221"/>
        <w:gridCol w:w="680"/>
        <w:gridCol w:w="151"/>
        <w:gridCol w:w="146"/>
        <w:gridCol w:w="181"/>
        <w:gridCol w:w="691"/>
        <w:gridCol w:w="393"/>
      </w:tblGrid>
      <w:tr>
        <w:trPr/>
        <w:tc>
          <w:tcPr>
            <w:tcW w:w="2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1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0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center"/>
              <w:rPr/>
            </w:pPr>
            <w:r>
              <w:rPr/>
              <w:t> </w:t>
            </w:r>
          </w:p>
        </w:tc>
        <w:tc>
          <w:tcPr>
            <w:tcW w:w="393" w:type="dxa"/>
            <w:tcBorders/>
            <w:shd w:fill="FFFFFF" w:val="clear"/>
            <w:vAlign w:val="center"/>
          </w:tcPr>
          <w:p>
            <w:pPr>
              <w:pStyle w:val="TableContents"/>
              <w:bidi w:val="0"/>
              <w:spacing w:before="0" w:after="283"/>
              <w:jc w:val="center"/>
              <w:rPr/>
            </w:pPr>
            <w:r>
              <w:rPr/>
              <w:t> </w:t>
            </w:r>
          </w:p>
        </w:tc>
      </w:tr>
      <w:tr>
        <w:trPr/>
        <w:tc>
          <w:tcPr>
            <w:tcW w:w="21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 in Capital in</w:t>
              <w:br/>
              <w:t>Excess of Par</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Distributable</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Net</w:t>
              <w:br/>
              <w:t>Assets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3"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81,389,287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664,250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5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(10,459</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1,294,751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8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56,456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1,341,569</w:t>
            </w:r>
          </w:p>
        </w:tc>
        <w:tc>
          <w:tcPr>
            <w:tcW w:w="393" w:type="dxa"/>
            <w:tcBorders/>
            <w:shd w:fill="CFF0FC" w:val="clear"/>
            <w:vAlign w:val="center"/>
          </w:tcPr>
          <w:p>
            <w:pPr>
              <w:pStyle w:val="TableContents"/>
              <w:bidi w:val="0"/>
              <w:spacing w:before="0" w:after="283"/>
              <w:ind w:left="0" w:right="0" w:firstLine="100"/>
              <w:jc w:val="left"/>
              <w:rPr/>
            </w:pPr>
            <w:r>
              <w:rPr/>
              <w:t> </w:t>
            </w:r>
          </w:p>
        </w:tc>
      </w:tr>
      <w:tr>
        <w:trPr/>
        <w:tc>
          <w:tcPr>
            <w:tcW w:w="219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4"/>
              </w:rPr>
            </w:pPr>
            <w:r>
              <w:rPr>
                <w:rFonts w:ascii="Times New Roman" w:hAnsi="Times New Roman"/>
                <w:b w:val="false"/>
                <w:color w:val="000000"/>
                <w:sz w:val="14"/>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219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Net investment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42,937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42,937</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Net change in unrealized gains (losses) on investments and</w:t>
              <w:br/>
              <w:t>   foreign currency translation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4,777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4,777</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219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 xml:space="preserve">Net realized gains (losses) on investments and foreign </w:t>
              <w:br/>
              <w:t>   currency transactions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5,238</w:t>
            </w:r>
          </w:p>
        </w:tc>
        <w:tc>
          <w:tcPr>
            <w:tcW w:w="393" w:type="dxa"/>
            <w:tcBorders/>
            <w:shd w:fill="CFF0FC" w:val="clear"/>
            <w:vAlign w:val="center"/>
          </w:tcPr>
          <w:p>
            <w:pPr>
              <w:pStyle w:val="TableContents"/>
              <w:bidi w:val="0"/>
              <w:spacing w:before="0" w:after="283"/>
              <w:ind w:left="0" w:right="0" w:firstLine="100"/>
              <w:jc w:val="left"/>
              <w:rPr/>
            </w:pPr>
            <w:r>
              <w:rPr/>
              <w:t> </w:t>
            </w:r>
          </w:p>
        </w:tc>
      </w:tr>
      <w:tr>
        <w:trPr/>
        <w:tc>
          <w:tcPr>
            <w:tcW w:w="219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4"/>
              </w:rPr>
            </w:pPr>
            <w:r>
              <w:rPr>
                <w:rFonts w:ascii="Times New Roman" w:hAnsi="Times New Roman"/>
                <w:b w:val="false"/>
                <w:color w:val="000000"/>
                <w:sz w:val="14"/>
              </w:rPr>
              <w:t>Dividends to stockholders:</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219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Stock issued in connection with dividend reinvestment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362,578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6,245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6,248</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Dividends declared from distributable earnings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(44,764</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(44,764</w:t>
            </w:r>
          </w:p>
        </w:tc>
        <w:tc>
          <w:tcPr>
            <w:tcW w:w="39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4"/>
              </w:rPr>
            </w:pPr>
            <w:r>
              <w:rPr>
                <w:rFonts w:ascii="Times New Roman" w:hAnsi="Times New Roman"/>
                <w:b w:val="false"/>
                <w:color w:val="000000"/>
                <w:sz w:val="14"/>
              </w:rPr>
              <w:t>)</w:t>
            </w:r>
          </w:p>
        </w:tc>
      </w:tr>
      <w:tr>
        <w:trPr/>
        <w:tc>
          <w:tcPr>
            <w:tcW w:w="2193" w:type="dxa"/>
            <w:tcBorders/>
            <w:shd w:fill="CFF0FC" w:val="clear"/>
            <w:vAlign w:val="center"/>
          </w:tcPr>
          <w:p>
            <w:pPr>
              <w:pStyle w:val="TableContents"/>
              <w:bidi w:val="0"/>
              <w:spacing w:before="0" w:after="283"/>
              <w:ind w:left="100" w:right="0" w:firstLine="100"/>
              <w:jc w:val="left"/>
              <w:rPr>
                <w:rFonts w:ascii="Times New Roman" w:hAnsi="Times New Roman"/>
                <w:sz w:val="14"/>
              </w:rPr>
            </w:pPr>
            <w:r>
              <w:rPr>
                <w:rFonts w:ascii="Times New Roman" w:hAnsi="Times New Roman"/>
                <w:b w:val="false"/>
                <w:color w:val="000000"/>
                <w:sz w:val="14"/>
              </w:rPr>
              <w:t>Tax reclassification of stockholders' equity in accordance with</w:t>
              <w:br/>
              <w:t xml:space="preserve">   GAAP </w:t>
            </w:r>
            <w:r>
              <w:rPr>
                <w:rFonts w:ascii="Times New Roman" w:hAnsi="Times New Roman"/>
                <w:b w:val="false"/>
                <w:color w:val="000000"/>
                <w:sz w:val="9"/>
              </w:rPr>
              <w:t>(1)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3"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81,751,865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664,250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(10,459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1,300,593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65,047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1,356,005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9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4"/>
              </w:rPr>
            </w:pPr>
            <w:r>
              <w:rPr>
                <w:rFonts w:ascii="Times New Roman" w:hAnsi="Times New Roman"/>
                <w:b w:val="false"/>
                <w:color w:val="000000"/>
                <w:sz w:val="14"/>
              </w:rPr>
              <w:t>Net increase (decrease)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Net investment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48,784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48,784</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219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Net change in unrealized gains (losses) on investments and</w:t>
              <w:br/>
              <w:t>   foreign currency translation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2,822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2,822</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 xml:space="preserve">Net realized gains (losses) on investments and foreign </w:t>
              <w:br/>
              <w:t>   currency transactions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1,484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1,484</w:t>
            </w:r>
          </w:p>
        </w:tc>
        <w:tc>
          <w:tcPr>
            <w:tcW w:w="393" w:type="dxa"/>
            <w:tcBorders/>
            <w:shd w:fill="FFFFFF" w:val="clear"/>
            <w:vAlign w:val="center"/>
          </w:tcPr>
          <w:p>
            <w:pPr>
              <w:pStyle w:val="TableContents"/>
              <w:bidi w:val="0"/>
              <w:spacing w:before="0" w:after="283"/>
              <w:ind w:left="0" w:right="0" w:firstLine="100"/>
              <w:jc w:val="left"/>
              <w:rPr/>
            </w:pPr>
            <w:r>
              <w:rPr/>
              <w:t> </w:t>
            </w:r>
          </w:p>
        </w:tc>
      </w:tr>
      <w:tr>
        <w:trPr/>
        <w:tc>
          <w:tcPr>
            <w:tcW w:w="219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4"/>
              </w:rPr>
            </w:pPr>
            <w:r>
              <w:rPr>
                <w:rFonts w:ascii="Times New Roman" w:hAnsi="Times New Roman"/>
                <w:b w:val="false"/>
                <w:color w:val="000000"/>
                <w:sz w:val="14"/>
              </w:rPr>
              <w:t>Increase (decrease) in Net Assets Resulting from Capital Share</w:t>
              <w:br/>
              <w:t>   Transactions: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 xml:space="preserve">Issuance of common stock, net of offering and </w:t>
              <w:br/>
              <w:t>   underwriting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5,175,000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89,238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89,290</w:t>
            </w:r>
          </w:p>
        </w:tc>
        <w:tc>
          <w:tcPr>
            <w:tcW w:w="393" w:type="dxa"/>
            <w:tcBorders/>
            <w:shd w:fill="FFFFFF" w:val="clear"/>
            <w:vAlign w:val="center"/>
          </w:tcPr>
          <w:p>
            <w:pPr>
              <w:pStyle w:val="TableContents"/>
              <w:bidi w:val="0"/>
              <w:spacing w:before="0" w:after="283"/>
              <w:ind w:left="0" w:right="0" w:firstLine="100"/>
              <w:jc w:val="left"/>
              <w:rPr/>
            </w:pPr>
            <w:r>
              <w:rPr/>
              <w:t> </w:t>
            </w:r>
          </w:p>
        </w:tc>
      </w:tr>
      <w:tr>
        <w:trPr/>
        <w:tc>
          <w:tcPr>
            <w:tcW w:w="219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4"/>
              </w:rPr>
            </w:pPr>
            <w:r>
              <w:rPr>
                <w:rFonts w:ascii="Times New Roman" w:hAnsi="Times New Roman"/>
                <w:b w:val="false"/>
                <w:color w:val="000000"/>
                <w:sz w:val="14"/>
              </w:rPr>
              <w:t>Dividends to stockholders: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Stock issued in connection with dividend reinvestment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314,366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5,578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5,581</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219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Dividends declared from distributable earnings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(43,437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(43,437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193"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87,241,231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664,250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(10,459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1,395,409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74,700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1,460,529</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9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4"/>
              </w:rPr>
            </w:pPr>
            <w:r>
              <w:rPr>
                <w:rFonts w:ascii="Times New Roman" w:hAnsi="Times New Roman"/>
                <w:b w:val="false"/>
                <w:color w:val="000000"/>
                <w:sz w:val="14"/>
              </w:rPr>
              <w:t>Net increase (decrease)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Net investment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49,994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49,994</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219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Net change in unrealized gains (losses) on investments and</w:t>
              <w:br/>
              <w:t>   foreign currency translation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9,740</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 xml:space="preserve">Net realized gains (losses) on investments and foreign </w:t>
              <w:br/>
              <w:t>   currency transactions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5,086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5,086</w:t>
            </w:r>
          </w:p>
        </w:tc>
        <w:tc>
          <w:tcPr>
            <w:tcW w:w="393" w:type="dxa"/>
            <w:tcBorders/>
            <w:shd w:fill="FFFFFF" w:val="clear"/>
            <w:vAlign w:val="center"/>
          </w:tcPr>
          <w:p>
            <w:pPr>
              <w:pStyle w:val="TableContents"/>
              <w:bidi w:val="0"/>
              <w:spacing w:before="0" w:after="283"/>
              <w:ind w:left="0" w:right="0" w:firstLine="100"/>
              <w:jc w:val="left"/>
              <w:rPr/>
            </w:pPr>
            <w:r>
              <w:rPr/>
              <w:t> </w:t>
            </w:r>
          </w:p>
        </w:tc>
      </w:tr>
      <w:tr>
        <w:trPr/>
        <w:tc>
          <w:tcPr>
            <w:tcW w:w="219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4"/>
              </w:rPr>
            </w:pPr>
            <w:r>
              <w:rPr>
                <w:rFonts w:ascii="Times New Roman" w:hAnsi="Times New Roman"/>
                <w:b w:val="false"/>
                <w:color w:val="000000"/>
                <w:sz w:val="14"/>
              </w:rPr>
              <w:t>Increase (decrease) in Net Assets Resulting from Capital Share</w:t>
              <w:br/>
              <w:t>   Transactions: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 xml:space="preserve">Issuance of common stock, net of offering and </w:t>
              <w:br/>
              <w:t>   underwriting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w:t>
            </w:r>
          </w:p>
        </w:tc>
        <w:tc>
          <w:tcPr>
            <w:tcW w:w="39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4"/>
              </w:rPr>
            </w:pPr>
            <w:r>
              <w:rPr>
                <w:rFonts w:ascii="Times New Roman" w:hAnsi="Times New Roman"/>
                <w:b w:val="false"/>
                <w:color w:val="000000"/>
                <w:sz w:val="14"/>
              </w:rPr>
              <w:t>)</w:t>
            </w:r>
          </w:p>
        </w:tc>
      </w:tr>
      <w:tr>
        <w:trPr/>
        <w:tc>
          <w:tcPr>
            <w:tcW w:w="219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4"/>
              </w:rPr>
            </w:pPr>
            <w:r>
              <w:rPr>
                <w:rFonts w:ascii="Times New Roman" w:hAnsi="Times New Roman"/>
                <w:b w:val="false"/>
                <w:color w:val="000000"/>
                <w:sz w:val="14"/>
              </w:rPr>
              <w:t>Dividends to stockholders: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Stock issued in connection with dividend reinvestment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305,267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5,921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5,924</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219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Dividends declared from distributable earnings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(45,366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(45,366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193"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87,546,498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664,250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(10,459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1,401,245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94,154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1,485,822</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pPr>
      <w:r>
        <w:rPr>
          <w:rFonts w:ascii="Times New Roman" w:hAnsi="Times New Roman"/>
          <w:b w:val="false"/>
          <w:color w:val="000000"/>
          <w:sz w:val="20"/>
        </w:rPr>
        <w:t>The Company’s tax year end is March 31</w:t>
      </w:r>
      <w:r>
        <w:rPr>
          <w:rFonts w:ascii="Times New Roman" w:hAnsi="Times New Roman"/>
          <w:b w:val="false"/>
          <w:color w:val="000000"/>
          <w:sz w:val="13"/>
        </w:rPr>
        <w:t>st</w:t>
      </w:r>
      <w:r>
        <w:rPr>
          <w:rFonts w:ascii="Times New Roman" w:hAnsi="Times New Roman"/>
          <w:b w:val="false"/>
          <w:color w:val="000000"/>
          <w:sz w:val="20"/>
        </w:rPr>
        <w:t>.</w:t>
      </w:r>
      <w:r>
        <w:rPr>
          <w:color w:val="000000"/>
        </w:rPr>
        <w:t xml:space="preserve"> </w:t>
      </w:r>
    </w:p>
    <w:p>
      <w:pPr>
        <w:pStyle w:val="TextBody"/>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b w:val="false"/>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90"/>
        <w:gridCol w:w="146"/>
        <w:gridCol w:w="146"/>
        <w:gridCol w:w="766"/>
        <w:gridCol w:w="151"/>
        <w:gridCol w:w="146"/>
        <w:gridCol w:w="196"/>
        <w:gridCol w:w="375"/>
        <w:gridCol w:w="146"/>
        <w:gridCol w:w="146"/>
        <w:gridCol w:w="146"/>
        <w:gridCol w:w="586"/>
        <w:gridCol w:w="146"/>
        <w:gridCol w:w="146"/>
        <w:gridCol w:w="181"/>
        <w:gridCol w:w="481"/>
        <w:gridCol w:w="151"/>
        <w:gridCol w:w="146"/>
        <w:gridCol w:w="205"/>
        <w:gridCol w:w="785"/>
        <w:gridCol w:w="151"/>
        <w:gridCol w:w="146"/>
        <w:gridCol w:w="221"/>
        <w:gridCol w:w="680"/>
        <w:gridCol w:w="151"/>
        <w:gridCol w:w="146"/>
        <w:gridCol w:w="181"/>
        <w:gridCol w:w="691"/>
        <w:gridCol w:w="357"/>
      </w:tblGrid>
      <w:tr>
        <w:trPr/>
        <w:tc>
          <w:tcPr>
            <w:tcW w:w="2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2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0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center"/>
              <w:rPr/>
            </w:pPr>
            <w:r>
              <w:rPr/>
              <w:t> </w:t>
            </w:r>
          </w:p>
        </w:tc>
        <w:tc>
          <w:tcPr>
            <w:tcW w:w="357" w:type="dxa"/>
            <w:tcBorders/>
            <w:shd w:fill="FFFFFF" w:val="clear"/>
            <w:vAlign w:val="center"/>
          </w:tcPr>
          <w:p>
            <w:pPr>
              <w:pStyle w:val="TableContents"/>
              <w:bidi w:val="0"/>
              <w:spacing w:before="0" w:after="283"/>
              <w:jc w:val="center"/>
              <w:rPr/>
            </w:pPr>
            <w:r>
              <w:rPr/>
              <w:t> </w:t>
            </w:r>
          </w:p>
        </w:tc>
      </w:tr>
      <w:tr>
        <w:trPr/>
        <w:tc>
          <w:tcPr>
            <w:tcW w:w="22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 in Capital in</w:t>
              <w:br/>
              <w:t>Excess of Par</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Distributable</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Net</w:t>
              <w:br/>
              <w:t>Assets</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75,771,542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296,044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(4,291</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1,189,275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8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90,103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1,275,848</w:t>
            </w:r>
          </w:p>
        </w:tc>
        <w:tc>
          <w:tcPr>
            <w:tcW w:w="357" w:type="dxa"/>
            <w:tcBorders/>
            <w:shd w:fill="CFF0FC" w:val="clear"/>
            <w:vAlign w:val="center"/>
          </w:tcPr>
          <w:p>
            <w:pPr>
              <w:pStyle w:val="TableContents"/>
              <w:bidi w:val="0"/>
              <w:spacing w:before="0" w:after="283"/>
              <w:ind w:left="0" w:right="0" w:firstLine="80"/>
              <w:jc w:val="left"/>
              <w:rPr/>
            </w:pPr>
            <w:r>
              <w:rPr/>
              <w:t> </w:t>
            </w:r>
          </w:p>
        </w:tc>
      </w:tr>
      <w:tr>
        <w:trPr/>
        <w:tc>
          <w:tcPr>
            <w:tcW w:w="2290"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4"/>
              </w:rPr>
            </w:pPr>
            <w:r>
              <w:rPr>
                <w:rFonts w:ascii="Times New Roman" w:hAnsi="Times New Roman"/>
                <w:b w:val="false"/>
                <w:color w:val="000000"/>
                <w:sz w:val="14"/>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firstLine="160"/>
              <w:jc w:val="left"/>
              <w:rPr/>
            </w:pPr>
            <w:r>
              <w:rPr/>
              <w:t> </w:t>
            </w:r>
          </w:p>
        </w:tc>
      </w:tr>
      <w:tr>
        <w:trPr/>
        <w:tc>
          <w:tcPr>
            <w:tcW w:w="2290"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investment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35,712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35,712</w:t>
            </w:r>
          </w:p>
        </w:tc>
        <w:tc>
          <w:tcPr>
            <w:tcW w:w="357" w:type="dxa"/>
            <w:tcBorders/>
            <w:shd w:fill="CFF0FC" w:val="clear"/>
            <w:vAlign w:val="center"/>
          </w:tcPr>
          <w:p>
            <w:pPr>
              <w:pStyle w:val="TableContents"/>
              <w:bidi w:val="0"/>
              <w:spacing w:before="0" w:after="283"/>
              <w:ind w:left="0" w:right="0" w:firstLine="160"/>
              <w:jc w:val="left"/>
              <w:rPr/>
            </w:pPr>
            <w:r>
              <w:rPr/>
              <w:t> </w:t>
            </w:r>
          </w:p>
        </w:tc>
      </w:tr>
      <w:tr>
        <w:trPr/>
        <w:tc>
          <w:tcPr>
            <w:tcW w:w="2290"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change in unrealized gains (losses) on investments and</w:t>
              <w:br/>
              <w:t>   foreign currency translation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(8,495</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(8,495</w:t>
            </w:r>
          </w:p>
        </w:tc>
        <w:tc>
          <w:tcPr>
            <w:tcW w:w="357" w:type="dxa"/>
            <w:tcBorders/>
            <w:shd w:fill="FFFFFF"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290"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 xml:space="preserve">Net realized gains (losses) on investments and foreign </w:t>
              <w:br/>
              <w:t>   currency transactions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13,668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13,668</w:t>
            </w:r>
          </w:p>
        </w:tc>
        <w:tc>
          <w:tcPr>
            <w:tcW w:w="357" w:type="dxa"/>
            <w:tcBorders/>
            <w:shd w:fill="CFF0FC" w:val="clear"/>
            <w:vAlign w:val="center"/>
          </w:tcPr>
          <w:p>
            <w:pPr>
              <w:pStyle w:val="TableContents"/>
              <w:bidi w:val="0"/>
              <w:spacing w:before="0" w:after="283"/>
              <w:ind w:left="0" w:right="0" w:firstLine="80"/>
              <w:jc w:val="left"/>
              <w:rPr/>
            </w:pPr>
            <w:r>
              <w:rPr/>
              <w:t> </w:t>
            </w:r>
          </w:p>
        </w:tc>
      </w:tr>
      <w:tr>
        <w:trPr/>
        <w:tc>
          <w:tcPr>
            <w:tcW w:w="2290"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4"/>
              </w:rPr>
            </w:pPr>
            <w:r>
              <w:rPr>
                <w:rFonts w:ascii="Times New Roman" w:hAnsi="Times New Roman"/>
                <w:b w:val="false"/>
                <w:color w:val="000000"/>
                <w:sz w:val="14"/>
              </w:rPr>
              <w:t>Dividends to stockholders:</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firstLine="160"/>
              <w:jc w:val="left"/>
              <w:rPr/>
            </w:pPr>
            <w:r>
              <w:rPr/>
              <w:t> </w:t>
            </w:r>
          </w:p>
        </w:tc>
      </w:tr>
      <w:tr>
        <w:trPr/>
        <w:tc>
          <w:tcPr>
            <w:tcW w:w="2290"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Stock issued in connection with dividend reinvestment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299,138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6,771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6,774</w:t>
            </w:r>
          </w:p>
        </w:tc>
        <w:tc>
          <w:tcPr>
            <w:tcW w:w="357" w:type="dxa"/>
            <w:tcBorders/>
            <w:shd w:fill="CFF0FC" w:val="clear"/>
            <w:vAlign w:val="center"/>
          </w:tcPr>
          <w:p>
            <w:pPr>
              <w:pStyle w:val="TableContents"/>
              <w:bidi w:val="0"/>
              <w:spacing w:before="0" w:after="283"/>
              <w:ind w:left="0" w:right="0" w:firstLine="160"/>
              <w:jc w:val="left"/>
              <w:rPr/>
            </w:pPr>
            <w:r>
              <w:rPr/>
              <w:t> </w:t>
            </w:r>
          </w:p>
        </w:tc>
      </w:tr>
      <w:tr>
        <w:trPr/>
        <w:tc>
          <w:tcPr>
            <w:tcW w:w="2290"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Dividends declared from distributable earnings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(39,522</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(39,522</w:t>
            </w:r>
          </w:p>
        </w:tc>
        <w:tc>
          <w:tcPr>
            <w:tcW w:w="357" w:type="dxa"/>
            <w:tcBorders/>
            <w:shd w:fill="FFFFFF" w:val="clear"/>
            <w:vAlign w:val="center"/>
          </w:tcPr>
          <w:p>
            <w:pPr>
              <w:pStyle w:val="TableContents"/>
              <w:bidi w:val="0"/>
              <w:spacing w:before="0" w:after="283"/>
              <w:ind w:left="0" w:right="0" w:firstLine="80"/>
              <w:jc w:val="left"/>
              <w:rPr>
                <w:rFonts w:ascii="Times New Roman" w:hAnsi="Times New Roman"/>
                <w:b w:val="false"/>
                <w:color w:val="000000"/>
                <w:sz w:val="14"/>
              </w:rPr>
            </w:pPr>
            <w:r>
              <w:rPr>
                <w:rFonts w:ascii="Times New Roman" w:hAnsi="Times New Roman"/>
                <w:b w:val="false"/>
                <w:color w:val="000000"/>
                <w:sz w:val="14"/>
              </w:rPr>
              <w:t>)</w:t>
            </w:r>
          </w:p>
        </w:tc>
      </w:tr>
      <w:tr>
        <w:trPr/>
        <w:tc>
          <w:tcPr>
            <w:tcW w:w="2290" w:type="dxa"/>
            <w:tcBorders/>
            <w:shd w:fill="CFF0FC" w:val="clear"/>
            <w:vAlign w:val="center"/>
          </w:tcPr>
          <w:p>
            <w:pPr>
              <w:pStyle w:val="TableContents"/>
              <w:bidi w:val="0"/>
              <w:spacing w:before="0" w:after="283"/>
              <w:ind w:left="80" w:right="0" w:firstLine="80"/>
              <w:jc w:val="left"/>
              <w:rPr>
                <w:rFonts w:ascii="Times New Roman" w:hAnsi="Times New Roman"/>
                <w:sz w:val="14"/>
              </w:rPr>
            </w:pPr>
            <w:r>
              <w:rPr>
                <w:rFonts w:ascii="Times New Roman" w:hAnsi="Times New Roman"/>
                <w:b w:val="false"/>
                <w:color w:val="000000"/>
                <w:sz w:val="14"/>
              </w:rPr>
              <w:t>Tax reclassification of stockholders' equity in accordance with</w:t>
              <w:br/>
              <w:t xml:space="preserve">   GAAP </w:t>
            </w:r>
            <w:r>
              <w:rPr>
                <w:rFonts w:ascii="Times New Roman" w:hAnsi="Times New Roman"/>
                <w:b w:val="false"/>
                <w:color w:val="000000"/>
                <w:sz w:val="9"/>
              </w:rPr>
              <w:t>(1)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0"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76,070,680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296,044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1,195,695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91,817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1,283,985</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2290" w:type="dxa"/>
            <w:tcBorders/>
            <w:shd w:fill="CFF0FC" w:val="clear"/>
            <w:vAlign w:val="center"/>
          </w:tcPr>
          <w:p>
            <w:pPr>
              <w:pStyle w:val="TableContents"/>
              <w:bidi w:val="0"/>
              <w:spacing w:before="0" w:after="283"/>
              <w:ind w:left="80" w:right="0" w:firstLine="80"/>
              <w:jc w:val="left"/>
              <w:rPr>
                <w:rFonts w:ascii="Times New Roman" w:hAnsi="Times New Roman"/>
                <w:b w:val="false"/>
                <w:color w:val="000000"/>
                <w:sz w:val="14"/>
              </w:rPr>
            </w:pPr>
            <w:r>
              <w:rPr>
                <w:rFonts w:ascii="Times New Roman" w:hAnsi="Times New Roman"/>
                <w:b w:val="false"/>
                <w:color w:val="000000"/>
                <w:sz w:val="14"/>
              </w:rPr>
              <w:t>Net increase (decrease)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ind w:left="0" w:right="0" w:firstLine="160"/>
              <w:jc w:val="left"/>
              <w:rPr/>
            </w:pPr>
            <w:r>
              <w:rPr/>
              <w:t> </w:t>
            </w:r>
          </w:p>
        </w:tc>
      </w:tr>
      <w:tr>
        <w:trPr/>
        <w:tc>
          <w:tcPr>
            <w:tcW w:w="2290"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investment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40,822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40,822</w:t>
            </w:r>
          </w:p>
        </w:tc>
        <w:tc>
          <w:tcPr>
            <w:tcW w:w="357" w:type="dxa"/>
            <w:tcBorders/>
            <w:shd w:fill="FFFFFF" w:val="clear"/>
            <w:vAlign w:val="center"/>
          </w:tcPr>
          <w:p>
            <w:pPr>
              <w:pStyle w:val="TableContents"/>
              <w:bidi w:val="0"/>
              <w:spacing w:before="0" w:after="283"/>
              <w:ind w:left="0" w:right="0" w:firstLine="160"/>
              <w:jc w:val="left"/>
              <w:rPr/>
            </w:pPr>
            <w:r>
              <w:rPr/>
              <w:t> </w:t>
            </w:r>
          </w:p>
        </w:tc>
      </w:tr>
      <w:tr>
        <w:trPr/>
        <w:tc>
          <w:tcPr>
            <w:tcW w:w="2290"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change in unrealized gains (losses) on investments and</w:t>
              <w:br/>
              <w:t>   foreign currency translation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(54,751</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(54,751</w:t>
            </w:r>
          </w:p>
        </w:tc>
        <w:tc>
          <w:tcPr>
            <w:tcW w:w="357" w:type="dxa"/>
            <w:tcBorders/>
            <w:shd w:fill="CFF0FC"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290"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 xml:space="preserve">Net realized gains (losses) on investments and foreign </w:t>
              <w:br/>
              <w:t>   currency transactions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404</w:t>
            </w:r>
          </w:p>
        </w:tc>
        <w:tc>
          <w:tcPr>
            <w:tcW w:w="357" w:type="dxa"/>
            <w:tcBorders/>
            <w:shd w:fill="FFFFFF" w:val="clear"/>
            <w:vAlign w:val="center"/>
          </w:tcPr>
          <w:p>
            <w:pPr>
              <w:pStyle w:val="TableContents"/>
              <w:bidi w:val="0"/>
              <w:spacing w:before="0" w:after="283"/>
              <w:ind w:left="0" w:right="0" w:firstLine="80"/>
              <w:jc w:val="left"/>
              <w:rPr/>
            </w:pPr>
            <w:r>
              <w:rPr/>
              <w:t> </w:t>
            </w:r>
          </w:p>
        </w:tc>
      </w:tr>
      <w:tr>
        <w:trPr/>
        <w:tc>
          <w:tcPr>
            <w:tcW w:w="2290" w:type="dxa"/>
            <w:tcBorders/>
            <w:shd w:fill="CFF0FC" w:val="clear"/>
            <w:vAlign w:val="center"/>
          </w:tcPr>
          <w:p>
            <w:pPr>
              <w:pStyle w:val="TableContents"/>
              <w:bidi w:val="0"/>
              <w:spacing w:before="0" w:after="283"/>
              <w:ind w:left="80" w:right="0" w:firstLine="80"/>
              <w:jc w:val="left"/>
              <w:rPr>
                <w:rFonts w:ascii="Times New Roman" w:hAnsi="Times New Roman"/>
                <w:b w:val="false"/>
                <w:color w:val="000000"/>
                <w:sz w:val="14"/>
              </w:rPr>
            </w:pPr>
            <w:r>
              <w:rPr>
                <w:rFonts w:ascii="Times New Roman" w:hAnsi="Times New Roman"/>
                <w:b w:val="false"/>
                <w:color w:val="000000"/>
                <w:sz w:val="14"/>
              </w:rPr>
              <w:t>Dividends to stockholders: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ind w:left="0" w:right="0" w:firstLine="160"/>
              <w:jc w:val="left"/>
              <w:rPr/>
            </w:pPr>
            <w:r>
              <w:rPr/>
              <w:t> </w:t>
            </w:r>
          </w:p>
        </w:tc>
      </w:tr>
      <w:tr>
        <w:trPr/>
        <w:tc>
          <w:tcPr>
            <w:tcW w:w="2290"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Stock issued in connection with dividend reinvestment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268,835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5,836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5,838</w:t>
            </w:r>
          </w:p>
        </w:tc>
        <w:tc>
          <w:tcPr>
            <w:tcW w:w="357" w:type="dxa"/>
            <w:tcBorders/>
            <w:shd w:fill="FFFFFF" w:val="clear"/>
            <w:vAlign w:val="center"/>
          </w:tcPr>
          <w:p>
            <w:pPr>
              <w:pStyle w:val="TableContents"/>
              <w:bidi w:val="0"/>
              <w:spacing w:before="0" w:after="283"/>
              <w:ind w:left="0" w:right="0" w:firstLine="160"/>
              <w:jc w:val="left"/>
              <w:rPr/>
            </w:pPr>
            <w:r>
              <w:rPr/>
              <w:t> </w:t>
            </w:r>
          </w:p>
        </w:tc>
      </w:tr>
      <w:tr>
        <w:trPr/>
        <w:tc>
          <w:tcPr>
            <w:tcW w:w="2290"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Dividends declared from distributable earnings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(34,339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(34,339</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290"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76,339,515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296,044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1,201,531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43,953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1,241,959</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2290" w:type="dxa"/>
            <w:tcBorders/>
            <w:shd w:fill="CFF0FC" w:val="clear"/>
            <w:vAlign w:val="center"/>
          </w:tcPr>
          <w:p>
            <w:pPr>
              <w:pStyle w:val="TableContents"/>
              <w:bidi w:val="0"/>
              <w:spacing w:before="0" w:after="283"/>
              <w:ind w:left="80" w:right="0" w:firstLine="80"/>
              <w:jc w:val="left"/>
              <w:rPr>
                <w:rFonts w:ascii="Times New Roman" w:hAnsi="Times New Roman"/>
                <w:b w:val="false"/>
                <w:color w:val="000000"/>
                <w:sz w:val="14"/>
              </w:rPr>
            </w:pPr>
            <w:r>
              <w:rPr>
                <w:rFonts w:ascii="Times New Roman" w:hAnsi="Times New Roman"/>
                <w:b w:val="false"/>
                <w:color w:val="000000"/>
                <w:sz w:val="14"/>
              </w:rPr>
              <w:t>Net increase (decrease)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ind w:left="0" w:right="0" w:firstLine="160"/>
              <w:jc w:val="left"/>
              <w:rPr/>
            </w:pPr>
            <w:r>
              <w:rPr/>
              <w:t> </w:t>
            </w:r>
          </w:p>
        </w:tc>
      </w:tr>
      <w:tr>
        <w:trPr/>
        <w:tc>
          <w:tcPr>
            <w:tcW w:w="2290"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investment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37,180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37,180</w:t>
            </w:r>
          </w:p>
        </w:tc>
        <w:tc>
          <w:tcPr>
            <w:tcW w:w="357" w:type="dxa"/>
            <w:tcBorders/>
            <w:shd w:fill="FFFFFF" w:val="clear"/>
            <w:vAlign w:val="center"/>
          </w:tcPr>
          <w:p>
            <w:pPr>
              <w:pStyle w:val="TableContents"/>
              <w:bidi w:val="0"/>
              <w:spacing w:before="0" w:after="283"/>
              <w:ind w:left="0" w:right="0" w:firstLine="160"/>
              <w:jc w:val="left"/>
              <w:rPr/>
            </w:pPr>
            <w:r>
              <w:rPr/>
              <w:t> </w:t>
            </w:r>
          </w:p>
        </w:tc>
      </w:tr>
      <w:tr>
        <w:trPr/>
        <w:tc>
          <w:tcPr>
            <w:tcW w:w="2290"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change in unrealized gains (losses) on investments and</w:t>
              <w:br/>
              <w:t>   foreign currency translation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(5,134</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(5,134</w:t>
            </w:r>
          </w:p>
        </w:tc>
        <w:tc>
          <w:tcPr>
            <w:tcW w:w="357" w:type="dxa"/>
            <w:tcBorders/>
            <w:shd w:fill="CFF0FC"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290"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 xml:space="preserve">Net realized gains (losses) on investments and foreign </w:t>
              <w:br/>
              <w:t>   currency transactions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2,385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2,385</w:t>
            </w:r>
          </w:p>
        </w:tc>
        <w:tc>
          <w:tcPr>
            <w:tcW w:w="357" w:type="dxa"/>
            <w:tcBorders/>
            <w:shd w:fill="FFFFFF" w:val="clear"/>
            <w:vAlign w:val="center"/>
          </w:tcPr>
          <w:p>
            <w:pPr>
              <w:pStyle w:val="TableContents"/>
              <w:bidi w:val="0"/>
              <w:spacing w:before="0" w:after="283"/>
              <w:ind w:left="0" w:right="0" w:firstLine="80"/>
              <w:jc w:val="left"/>
              <w:rPr/>
            </w:pPr>
            <w:r>
              <w:rPr/>
              <w:t> </w:t>
            </w:r>
          </w:p>
        </w:tc>
      </w:tr>
      <w:tr>
        <w:trPr/>
        <w:tc>
          <w:tcPr>
            <w:tcW w:w="2290" w:type="dxa"/>
            <w:tcBorders/>
            <w:shd w:fill="CFF0FC" w:val="clear"/>
            <w:vAlign w:val="center"/>
          </w:tcPr>
          <w:p>
            <w:pPr>
              <w:pStyle w:val="TableContents"/>
              <w:bidi w:val="0"/>
              <w:spacing w:before="0" w:after="283"/>
              <w:ind w:left="80" w:right="0" w:firstLine="80"/>
              <w:jc w:val="left"/>
              <w:rPr>
                <w:rFonts w:ascii="Times New Roman" w:hAnsi="Times New Roman"/>
                <w:b w:val="false"/>
                <w:color w:val="000000"/>
                <w:sz w:val="14"/>
              </w:rPr>
            </w:pPr>
            <w:r>
              <w:rPr>
                <w:rFonts w:ascii="Times New Roman" w:hAnsi="Times New Roman"/>
                <w:b w:val="false"/>
                <w:color w:val="000000"/>
                <w:sz w:val="14"/>
              </w:rPr>
              <w:t>Increase in Net Assets Resulting from Capital share Transactions: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ind w:left="0" w:right="0" w:firstLine="160"/>
              <w:jc w:val="left"/>
              <w:rPr/>
            </w:pPr>
            <w:r>
              <w:rPr/>
              <w:t> </w:t>
            </w:r>
          </w:p>
        </w:tc>
      </w:tr>
      <w:tr>
        <w:trPr/>
        <w:tc>
          <w:tcPr>
            <w:tcW w:w="2290"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Conversion of convertible notes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4,360,125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77,598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77,642</w:t>
            </w:r>
          </w:p>
        </w:tc>
        <w:tc>
          <w:tcPr>
            <w:tcW w:w="357" w:type="dxa"/>
            <w:tcBorders/>
            <w:shd w:fill="FFFFFF" w:val="clear"/>
            <w:vAlign w:val="center"/>
          </w:tcPr>
          <w:p>
            <w:pPr>
              <w:pStyle w:val="TableContents"/>
              <w:bidi w:val="0"/>
              <w:spacing w:before="0" w:after="283"/>
              <w:ind w:left="0" w:right="0" w:firstLine="80"/>
              <w:jc w:val="left"/>
              <w:rPr/>
            </w:pPr>
            <w:r>
              <w:rPr/>
              <w:t> </w:t>
            </w:r>
          </w:p>
        </w:tc>
      </w:tr>
      <w:tr>
        <w:trPr/>
        <w:tc>
          <w:tcPr>
            <w:tcW w:w="2290" w:type="dxa"/>
            <w:tcBorders/>
            <w:shd w:fill="CFF0FC" w:val="clear"/>
            <w:vAlign w:val="center"/>
          </w:tcPr>
          <w:p>
            <w:pPr>
              <w:pStyle w:val="TableContents"/>
              <w:bidi w:val="0"/>
              <w:spacing w:before="0" w:after="283"/>
              <w:ind w:left="80" w:right="0" w:firstLine="80"/>
              <w:jc w:val="left"/>
              <w:rPr>
                <w:rFonts w:ascii="Times New Roman" w:hAnsi="Times New Roman"/>
                <w:b w:val="false"/>
                <w:color w:val="000000"/>
                <w:sz w:val="14"/>
              </w:rPr>
            </w:pPr>
            <w:r>
              <w:rPr>
                <w:rFonts w:ascii="Times New Roman" w:hAnsi="Times New Roman"/>
                <w:b w:val="false"/>
                <w:color w:val="000000"/>
                <w:sz w:val="14"/>
              </w:rPr>
              <w:t>Decrease in Net Assets Resulting from Capital share Transactions: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ind w:left="0" w:right="0" w:firstLine="160"/>
              <w:jc w:val="left"/>
              <w:rPr/>
            </w:pPr>
            <w:r>
              <w:rPr/>
              <w:t> </w:t>
            </w:r>
          </w:p>
        </w:tc>
      </w:tr>
      <w:tr>
        <w:trPr/>
        <w:tc>
          <w:tcPr>
            <w:tcW w:w="2290"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Purchases of treasury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(180,542</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180,542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(3,000</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(3,000</w:t>
            </w:r>
          </w:p>
        </w:tc>
        <w:tc>
          <w:tcPr>
            <w:tcW w:w="357" w:type="dxa"/>
            <w:tcBorders/>
            <w:shd w:fill="FFFFFF" w:val="clear"/>
            <w:vAlign w:val="center"/>
          </w:tcPr>
          <w:p>
            <w:pPr>
              <w:pStyle w:val="TableContents"/>
              <w:bidi w:val="0"/>
              <w:spacing w:before="0" w:after="283"/>
              <w:ind w:left="0" w:right="0" w:firstLine="80"/>
              <w:jc w:val="left"/>
              <w:rPr>
                <w:rFonts w:ascii="Times New Roman" w:hAnsi="Times New Roman"/>
                <w:b w:val="false"/>
                <w:color w:val="000000"/>
                <w:sz w:val="14"/>
              </w:rPr>
            </w:pPr>
            <w:r>
              <w:rPr>
                <w:rFonts w:ascii="Times New Roman" w:hAnsi="Times New Roman"/>
                <w:b w:val="false"/>
                <w:color w:val="000000"/>
                <w:sz w:val="14"/>
              </w:rPr>
              <w:t>)</w:t>
            </w:r>
          </w:p>
        </w:tc>
      </w:tr>
      <w:tr>
        <w:trPr/>
        <w:tc>
          <w:tcPr>
            <w:tcW w:w="2290" w:type="dxa"/>
            <w:tcBorders/>
            <w:shd w:fill="CFF0FC" w:val="clear"/>
            <w:vAlign w:val="center"/>
          </w:tcPr>
          <w:p>
            <w:pPr>
              <w:pStyle w:val="TableContents"/>
              <w:bidi w:val="0"/>
              <w:spacing w:before="0" w:after="283"/>
              <w:ind w:left="80" w:right="0" w:firstLine="80"/>
              <w:jc w:val="left"/>
              <w:rPr>
                <w:rFonts w:ascii="Times New Roman" w:hAnsi="Times New Roman"/>
                <w:b w:val="false"/>
                <w:color w:val="000000"/>
                <w:sz w:val="14"/>
              </w:rPr>
            </w:pPr>
            <w:r>
              <w:rPr>
                <w:rFonts w:ascii="Times New Roman" w:hAnsi="Times New Roman"/>
                <w:b w:val="false"/>
                <w:color w:val="000000"/>
                <w:sz w:val="14"/>
              </w:rPr>
              <w:t>Dividends to stockholders: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ind w:left="0" w:right="0" w:firstLine="160"/>
              <w:jc w:val="left"/>
              <w:rPr/>
            </w:pPr>
            <w:r>
              <w:rPr/>
              <w:t> </w:t>
            </w:r>
          </w:p>
        </w:tc>
      </w:tr>
      <w:tr>
        <w:trPr/>
        <w:tc>
          <w:tcPr>
            <w:tcW w:w="2290"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Stock issued in connection with dividend reinvestment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651,867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11,032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11,038</w:t>
            </w:r>
          </w:p>
        </w:tc>
        <w:tc>
          <w:tcPr>
            <w:tcW w:w="357" w:type="dxa"/>
            <w:tcBorders/>
            <w:shd w:fill="FFFFFF" w:val="clear"/>
            <w:vAlign w:val="center"/>
          </w:tcPr>
          <w:p>
            <w:pPr>
              <w:pStyle w:val="TableContents"/>
              <w:bidi w:val="0"/>
              <w:spacing w:before="0" w:after="283"/>
              <w:ind w:left="0" w:right="0" w:firstLine="160"/>
              <w:jc w:val="left"/>
              <w:rPr/>
            </w:pPr>
            <w:r>
              <w:rPr/>
              <w:t> </w:t>
            </w:r>
          </w:p>
        </w:tc>
      </w:tr>
      <w:tr>
        <w:trPr/>
        <w:tc>
          <w:tcPr>
            <w:tcW w:w="2290"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Dividends declared from net investment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(34,018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(34,018</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290"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81,170,965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476,586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(7,291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1,290,161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44,366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1,328,052</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pPr>
      <w:r>
        <w:rPr>
          <w:rFonts w:ascii="Times New Roman" w:hAnsi="Times New Roman"/>
          <w:b w:val="false"/>
          <w:color w:val="000000"/>
          <w:sz w:val="20"/>
        </w:rPr>
        <w:t>The Company’s tax year end is March 31</w:t>
      </w:r>
      <w:r>
        <w:rPr>
          <w:rFonts w:ascii="Times New Roman" w:hAnsi="Times New Roman"/>
          <w:b w:val="false"/>
          <w:color w:val="000000"/>
          <w:sz w:val="13"/>
        </w:rPr>
        <w:t>st</w:t>
      </w:r>
      <w:r>
        <w:rPr>
          <w:rFonts w:ascii="Times New Roman" w:hAnsi="Times New Roman"/>
          <w:b w:val="false"/>
          <w:color w:val="000000"/>
          <w:sz w:val="20"/>
        </w:rPr>
        <w:t>.</w:t>
      </w:r>
      <w:r>
        <w:rPr>
          <w:color w:val="000000"/>
        </w:rPr>
        <w:t xml:space="preserve"> </w:t>
      </w:r>
    </w:p>
    <w:p>
      <w:pPr>
        <w:pStyle w:val="TextBody"/>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b w:val="false"/>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8" w:name="consolidated_statements_cash_flows"/>
      <w:bookmarkEnd w:id="8"/>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147"/>
        <w:gridCol w:w="146"/>
        <w:gridCol w:w="262"/>
        <w:gridCol w:w="1235"/>
        <w:gridCol w:w="166"/>
        <w:gridCol w:w="146"/>
        <w:gridCol w:w="274"/>
        <w:gridCol w:w="1215"/>
        <w:gridCol w:w="614"/>
      </w:tblGrid>
      <w:tr>
        <w:trPr/>
        <w:tc>
          <w:tcPr>
            <w:tcW w:w="61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1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4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48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614" w:type="dxa"/>
            <w:tcBorders/>
            <w:shd w:fill="FFFFFF" w:val="clear"/>
            <w:vAlign w:val="center"/>
          </w:tcPr>
          <w:p>
            <w:pPr>
              <w:pStyle w:val="TableContents"/>
              <w:bidi w:val="0"/>
              <w:spacing w:before="0" w:after="283"/>
              <w:jc w:val="center"/>
              <w:rPr/>
            </w:pPr>
            <w:r>
              <w:rPr/>
              <w:t> </w:t>
            </w:r>
          </w:p>
        </w:tc>
      </w:tr>
      <w:tr>
        <w:trPr/>
        <w:tc>
          <w:tcPr>
            <w:tcW w:w="61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4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right"/>
              <w:rPr/>
            </w:pPr>
            <w:r>
              <w:rPr/>
              <w:t> </w:t>
            </w:r>
          </w:p>
        </w:tc>
        <w:tc>
          <w:tcPr>
            <w:tcW w:w="149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89" w:type="dxa"/>
            <w:gridSpan w:val="2"/>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left"/>
              <w:rPr/>
            </w:pPr>
            <w:r>
              <w:rPr/>
              <w:t> </w:t>
            </w:r>
          </w:p>
        </w:tc>
      </w:tr>
      <w:tr>
        <w:trPr/>
        <w:tc>
          <w:tcPr>
            <w:tcW w:w="61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Increase (decrease) in net assets resulting from operations</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170,862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61,791</w:t>
            </w:r>
          </w:p>
        </w:tc>
        <w:tc>
          <w:tcPr>
            <w:tcW w:w="614" w:type="dxa"/>
            <w:tcBorders/>
            <w:shd w:fill="FFFFFF" w:val="clear"/>
            <w:vAlign w:val="center"/>
          </w:tcPr>
          <w:p>
            <w:pPr>
              <w:pStyle w:val="TableContents"/>
              <w:bidi w:val="0"/>
              <w:spacing w:before="0" w:after="283"/>
              <w:jc w:val="left"/>
              <w:rPr/>
            </w:pPr>
            <w:r>
              <w:rPr/>
              <w:t> </w:t>
            </w:r>
          </w:p>
        </w:tc>
      </w:tr>
      <w:tr>
        <w:trPr/>
        <w:tc>
          <w:tcPr>
            <w:tcW w:w="61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Adjustments to reconcile increase (decrease) in net assets resulting from operations </w:t>
              <w:br/>
              <w:t>   to net cash provided by (used in) operating activities:</w:t>
            </w:r>
          </w:p>
        </w:tc>
        <w:tc>
          <w:tcPr>
            <w:tcW w:w="146" w:type="dxa"/>
            <w:tcBorders/>
            <w:shd w:fill="CFF0FC" w:val="clear"/>
            <w:vAlign w:val="center"/>
          </w:tcPr>
          <w:p>
            <w:pPr>
              <w:pStyle w:val="TableContents"/>
              <w:bidi w:val="0"/>
              <w:spacing w:before="0" w:after="283"/>
              <w:jc w:val="right"/>
              <w:rPr/>
            </w:pPr>
            <w:r>
              <w:rPr/>
              <w:t> </w:t>
            </w:r>
          </w:p>
        </w:tc>
        <w:tc>
          <w:tcPr>
            <w:tcW w:w="14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89"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ind w:left="0" w:right="0" w:firstLine="400"/>
              <w:jc w:val="right"/>
              <w:rPr/>
            </w:pPr>
            <w:r>
              <w:rPr/>
              <w:t> </w:t>
            </w:r>
          </w:p>
        </w:tc>
      </w:tr>
      <w:tr>
        <w:trPr/>
        <w:tc>
          <w:tcPr>
            <w:tcW w:w="614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change in unrealized (gains) losses on investments</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(14,700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76,290</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14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change in unrealized (gains) losses on foreign currency transactions</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pPr>
            <w:r>
              <w:rPr/>
              <w:t> </w:t>
            </w:r>
          </w:p>
        </w:tc>
        <w:tc>
          <w:tcPr>
            <w:tcW w:w="12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(15,095</w:t>
            </w:r>
          </w:p>
        </w:tc>
        <w:tc>
          <w:tcPr>
            <w:tcW w:w="61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change in unrealized (gains) losses on interest rate swaps</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7,184</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14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realized (gains) losses on investments</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(11,768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pPr>
            <w:r>
              <w:rPr/>
              <w:t> </w:t>
            </w:r>
          </w:p>
        </w:tc>
        <w:tc>
          <w:tcPr>
            <w:tcW w:w="12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(14,436</w:t>
            </w:r>
          </w:p>
        </w:tc>
        <w:tc>
          <w:tcPr>
            <w:tcW w:w="61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realized (gains) losses on foreign currency transactions</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614"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realized (gains) losses on interest rate swaps</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pPr>
            <w:r>
              <w:rPr/>
              <w:t> </w:t>
            </w:r>
          </w:p>
        </w:tc>
        <w:tc>
          <w:tcPr>
            <w:tcW w:w="12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(2,251</w:t>
            </w:r>
          </w:p>
        </w:tc>
        <w:tc>
          <w:tcPr>
            <w:tcW w:w="61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amortization of discount on investments</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(12,798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(12,957</w:t>
            </w:r>
          </w:p>
        </w:tc>
        <w:tc>
          <w:tcPr>
            <w:tcW w:w="614"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Amortization of deferred financing costs</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pPr>
            <w:r>
              <w:rPr/>
              <w:t> </w:t>
            </w:r>
          </w:p>
        </w:tc>
        <w:tc>
          <w:tcPr>
            <w:tcW w:w="12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4,306</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614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Amortization of discount on debt</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14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Purchases and originations of investments, net</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(634,940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pPr>
            <w:r>
              <w:rPr/>
              <w:t> </w:t>
            </w:r>
          </w:p>
        </w:tc>
        <w:tc>
          <w:tcPr>
            <w:tcW w:w="12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(735,864</w:t>
            </w:r>
          </w:p>
        </w:tc>
        <w:tc>
          <w:tcPr>
            <w:tcW w:w="61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Proceeds from investments, net</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19,657</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14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Repayments on investments</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318,913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pPr>
            <w:r>
              <w:rPr/>
              <w:t> </w:t>
            </w:r>
          </w:p>
        </w:tc>
        <w:tc>
          <w:tcPr>
            <w:tcW w:w="12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392,576</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614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Paid-in-kind interest</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(11,667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(9,623</w:t>
            </w:r>
          </w:p>
        </w:tc>
        <w:tc>
          <w:tcPr>
            <w:tcW w:w="61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CFF0FC" w:val="clear"/>
            <w:vAlign w:val="center"/>
          </w:tcPr>
          <w:p>
            <w:pPr>
              <w:pStyle w:val="TableContents"/>
              <w:bidi w:val="0"/>
              <w:spacing w:before="0" w:after="283"/>
              <w:jc w:val="right"/>
              <w:rPr/>
            </w:pPr>
            <w:r>
              <w:rPr/>
              <w:t> </w:t>
            </w:r>
          </w:p>
        </w:tc>
        <w:tc>
          <w:tcPr>
            <w:tcW w:w="14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89"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ind w:left="0" w:right="0" w:firstLine="400"/>
              <w:jc w:val="right"/>
              <w:rPr/>
            </w:pPr>
            <w:r>
              <w:rPr/>
              <w:t> </w:t>
            </w:r>
          </w:p>
        </w:tc>
      </w:tr>
      <w:tr>
        <w:trPr/>
        <w:tc>
          <w:tcPr>
            <w:tcW w:w="614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Interest receivable</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(9,439</w:t>
            </w:r>
          </w:p>
        </w:tc>
        <w:tc>
          <w:tcPr>
            <w:tcW w:w="614"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Interest receivable paid-in-kind</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pPr>
            <w:r>
              <w:rPr/>
              <w:t> </w:t>
            </w:r>
          </w:p>
        </w:tc>
        <w:tc>
          <w:tcPr>
            <w:tcW w:w="12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614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Prepaid expenses and other assets</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614"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Management fees payable to affiliate</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pPr>
            <w:r>
              <w:rPr/>
              <w:t> </w:t>
            </w:r>
          </w:p>
        </w:tc>
        <w:tc>
          <w:tcPr>
            <w:tcW w:w="12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761</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614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Incentive fees on net investment income payable to affiliate</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(1,907</w:t>
            </w:r>
          </w:p>
        </w:tc>
        <w:tc>
          <w:tcPr>
            <w:tcW w:w="614"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Incentive fees on net capital gains accrued to affiliate</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pPr>
            <w:r>
              <w:rPr/>
              <w:t> </w:t>
            </w:r>
          </w:p>
        </w:tc>
        <w:tc>
          <w:tcPr>
            <w:tcW w:w="12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(7,721</w:t>
            </w:r>
          </w:p>
        </w:tc>
        <w:tc>
          <w:tcPr>
            <w:tcW w:w="61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Payable to affiliate</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1,281</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14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 liabilities</w:t>
            </w:r>
          </w:p>
        </w:tc>
        <w:tc>
          <w:tcPr>
            <w:tcW w:w="146" w:type="dxa"/>
            <w:tcBorders/>
            <w:shd w:fill="CFF0FC" w:val="cle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(34,241</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Cash Provided by (Used in) Operating Activities</w:t>
            </w:r>
          </w:p>
        </w:tc>
        <w:tc>
          <w:tcPr>
            <w:tcW w:w="146" w:type="dxa"/>
            <w:tcBorders/>
            <w:shd w:fill="FFFFFF" w:val="cle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(278,822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right"/>
              <w:rPr/>
            </w:pPr>
            <w:r>
              <w:rPr/>
              <w:t> </w:t>
            </w:r>
          </w:p>
        </w:tc>
        <w:tc>
          <w:tcPr>
            <w:tcW w:w="14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89"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1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Borrowings on debt</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1,227,844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1,024,568</w:t>
            </w:r>
          </w:p>
        </w:tc>
        <w:tc>
          <w:tcPr>
            <w:tcW w:w="614" w:type="dxa"/>
            <w:tcBorders/>
            <w:shd w:fill="FFFFFF" w:val="clear"/>
            <w:vAlign w:val="center"/>
          </w:tcPr>
          <w:p>
            <w:pPr>
              <w:pStyle w:val="TableContents"/>
              <w:bidi w:val="0"/>
              <w:spacing w:before="0" w:after="283"/>
              <w:jc w:val="left"/>
              <w:rPr/>
            </w:pPr>
            <w:r>
              <w:rPr/>
              <w:t> </w:t>
            </w:r>
          </w:p>
        </w:tc>
      </w:tr>
      <w:tr>
        <w:trPr/>
        <w:tc>
          <w:tcPr>
            <w:tcW w:w="61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Repayments on debt</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(1,037,681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pPr>
            <w:r>
              <w:rPr/>
              <w:t> </w:t>
            </w:r>
          </w:p>
        </w:tc>
        <w:tc>
          <w:tcPr>
            <w:tcW w:w="12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(586,635</w:t>
            </w:r>
          </w:p>
        </w:tc>
        <w:tc>
          <w:tcPr>
            <w:tcW w:w="6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financing costs</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(4,296</w:t>
            </w:r>
          </w:p>
        </w:tc>
        <w:tc>
          <w:tcPr>
            <w:tcW w:w="6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 offering expenses</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pPr>
            <w:r>
              <w:rPr/>
              <w:t> </w:t>
            </w:r>
          </w:p>
        </w:tc>
        <w:tc>
          <w:tcPr>
            <w:tcW w:w="1215"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jc w:val="left"/>
              <w:rPr/>
            </w:pPr>
            <w:r>
              <w:rPr/>
              <w:t> </w:t>
            </w:r>
          </w:p>
        </w:tc>
      </w:tr>
      <w:tr>
        <w:trPr/>
        <w:tc>
          <w:tcPr>
            <w:tcW w:w="61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Public offering</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89,684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jc w:val="left"/>
              <w:rPr/>
            </w:pPr>
            <w:r>
              <w:rPr/>
              <w:t> </w:t>
            </w:r>
          </w:p>
        </w:tc>
      </w:tr>
      <w:tr>
        <w:trPr/>
        <w:tc>
          <w:tcPr>
            <w:tcW w:w="61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Conversion of convertible notes</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pPr>
            <w:r>
              <w:rPr/>
              <w:t> </w:t>
            </w:r>
          </w:p>
        </w:tc>
        <w:tc>
          <w:tcPr>
            <w:tcW w:w="12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(22,348</w:t>
            </w:r>
          </w:p>
        </w:tc>
        <w:tc>
          <w:tcPr>
            <w:tcW w:w="6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of treasury stock</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6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Dividends paid to stockholders</w:t>
            </w:r>
          </w:p>
        </w:tc>
        <w:tc>
          <w:tcPr>
            <w:tcW w:w="146" w:type="dxa"/>
            <w:tcBorders/>
            <w:shd w:fill="CFF0FC" w:val="cle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(115,154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147"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Cash Provided by (Used in) Financing Activities</w:t>
            </w:r>
          </w:p>
        </w:tc>
        <w:tc>
          <w:tcPr>
            <w:tcW w:w="146" w:type="dxa"/>
            <w:tcBorders/>
            <w:shd w:fill="FFFFFF" w:val="cle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293,135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47"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pPr>
            <w:r>
              <w:rPr/>
              <w:t> </w:t>
            </w:r>
          </w:p>
        </w:tc>
        <w:tc>
          <w:tcPr>
            <w:tcW w:w="12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14,313</w:t>
            </w:r>
          </w:p>
        </w:tc>
        <w:tc>
          <w:tcPr>
            <w:tcW w:w="614" w:type="dxa"/>
            <w:tcBorders/>
            <w:shd w:fill="CFF0FC" w:val="clear"/>
            <w:vAlign w:val="center"/>
          </w:tcPr>
          <w:p>
            <w:pPr>
              <w:pStyle w:val="TableContents"/>
              <w:bidi w:val="0"/>
              <w:spacing w:before="0" w:after="283"/>
              <w:jc w:val="left"/>
              <w:rPr/>
            </w:pPr>
            <w:r>
              <w:rPr/>
              <w:t> </w:t>
            </w:r>
          </w:p>
        </w:tc>
      </w:tr>
      <w:tr>
        <w:trPr/>
        <w:tc>
          <w:tcPr>
            <w:tcW w:w="61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beginning of period</w:t>
            </w:r>
          </w:p>
        </w:tc>
        <w:tc>
          <w:tcPr>
            <w:tcW w:w="146" w:type="dxa"/>
            <w:tcBorders/>
            <w:shd w:fill="FFFFFF" w:val="cle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15,967</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47"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Cash, Cash Equivalents, and Restricted Cash, End of Period</w:t>
            </w:r>
          </w:p>
        </w:tc>
        <w:tc>
          <w:tcPr>
            <w:tcW w:w="146" w:type="dxa"/>
            <w:tcBorders/>
            <w:shd w:fill="CFF0FC" w:val="cle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30,280</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Supplemental Information:</w:t>
            </w:r>
          </w:p>
        </w:tc>
        <w:tc>
          <w:tcPr>
            <w:tcW w:w="146" w:type="dxa"/>
            <w:tcBorders/>
            <w:shd w:fill="FFFFFF" w:val="clear"/>
            <w:vAlign w:val="center"/>
          </w:tcPr>
          <w:p>
            <w:pPr>
              <w:pStyle w:val="TableContents"/>
              <w:bidi w:val="0"/>
              <w:spacing w:before="0" w:after="283"/>
              <w:jc w:val="right"/>
              <w:rPr/>
            </w:pPr>
            <w:r>
              <w:rPr/>
              <w:t> </w:t>
            </w:r>
          </w:p>
        </w:tc>
        <w:tc>
          <w:tcPr>
            <w:tcW w:w="14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89"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ind w:left="0" w:right="0" w:firstLine="400"/>
              <w:jc w:val="right"/>
              <w:rPr/>
            </w:pPr>
            <w:r>
              <w:rPr/>
              <w:t> </w:t>
            </w:r>
          </w:p>
        </w:tc>
      </w:tr>
      <w:tr>
        <w:trPr/>
        <w:tc>
          <w:tcPr>
            <w:tcW w:w="614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Interest paid during the period</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88,765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34,012</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614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Excise and other taxes paid during the period</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1,607</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14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Dividends declared during the period</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133,567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107,879</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6147"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89"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 </w:t>
            </w:r>
          </w:p>
        </w:tc>
      </w:tr>
      <w:tr>
        <w:trPr/>
        <w:tc>
          <w:tcPr>
            <w:tcW w:w="61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Non-Cash Financing Activities:</w:t>
            </w:r>
          </w:p>
        </w:tc>
        <w:tc>
          <w:tcPr>
            <w:tcW w:w="146" w:type="dxa"/>
            <w:tcBorders/>
            <w:shd w:fill="CFF0FC" w:val="clear"/>
            <w:vAlign w:val="center"/>
          </w:tcPr>
          <w:p>
            <w:pPr>
              <w:pStyle w:val="TableContents"/>
              <w:bidi w:val="0"/>
              <w:spacing w:before="0" w:after="283"/>
              <w:jc w:val="right"/>
              <w:rPr/>
            </w:pPr>
            <w:r>
              <w:rPr/>
              <w:t> </w:t>
            </w:r>
          </w:p>
        </w:tc>
        <w:tc>
          <w:tcPr>
            <w:tcW w:w="14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89"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ind w:left="0" w:right="0" w:firstLine="400"/>
              <w:jc w:val="right"/>
              <w:rPr/>
            </w:pPr>
            <w:r>
              <w:rPr/>
              <w:t> </w:t>
            </w:r>
          </w:p>
        </w:tc>
      </w:tr>
      <w:tr>
        <w:trPr/>
        <w:tc>
          <w:tcPr>
            <w:tcW w:w="614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Reinvestment of dividends during the period</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23,651</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14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Common stock issued in settlement of convertible notes during the period</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77,642</w:t>
            </w:r>
          </w:p>
        </w:tc>
        <w:tc>
          <w:tcPr>
            <w:tcW w:w="614"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val="false"/>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notes_to_consolidated_financial_statemen"/>
      <w:bookmarkEnd w:id="9"/>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unless otherwise indicated)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 Organization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Organization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wholly-owned subsidiary, Sixth Street SL Holding, LLC, a Delaware limited liability company. On December 9, 2020, the Company formed a wholly-owned subsidiary, Sixth Street Specialty Lending Sub, LLC, a Cayman Islands limited liability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March 21, 2014, the Company completed its initial public offering (“IPO”) and the Company’s shares began trading on the New York Stock Exchange (“NYSE”) under the symbol “TSLX.”</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2022, which was filed with the Securities and Exchange Commission (“SEC”), on February 16, 2023.</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The Company is an investment company and, therefore, applies the specialized accounting and reporting guidance in Accounting Standards Codification (“ASC”) Topic 946, </w:t>
      </w:r>
      <w:r>
        <w:rPr>
          <w:rFonts w:ascii="Times New Roman" w:hAnsi="Times New Roman"/>
          <w:b w:val="false"/>
          <w:i/>
          <w:color w:val="000000"/>
          <w:sz w:val="20"/>
        </w:rPr>
        <w:t>Financial Services – Investment Companies.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Fiscal Year End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fiscal year ends on December 31.</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2.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Investments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Board undertakes a multi-step valuation process, which includes, among other procedures,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valuation process begins with each investment being initially valued by the investment professionals responsible for the portfolio investment in conjunction with the portfolio management team.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Adviser’s management reviews the preliminary valuations with the investment professionals. Agreed upon valuation recommendations are presented to the Audit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Audit Committee reviews the valuations presented and recommends values for each investment to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conducts this valuation process on a quarterly basis.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Board has engaged independent third-party valuation firms to perform certain limited procedures that the Board has identified and requested them to perform in connection with the valuation process of investments for which no market quotations are readily available. At September 30, 2023,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The Company applies Financial Accounting Standards Board Accounting Standards Codification Topic 820, </w:t>
      </w:r>
      <w:r>
        <w:rPr>
          <w:rFonts w:ascii="Times New Roman" w:hAnsi="Times New Roman"/>
          <w:b w:val="false"/>
          <w:i/>
          <w:color w:val="000000"/>
          <w:sz w:val="20"/>
        </w:rPr>
        <w:t xml:space="preserve">Fair Value Measurement </w:t>
      </w:r>
      <w:r>
        <w:rPr>
          <w:rFonts w:ascii="Times New Roman" w:hAnsi="Times New Roman"/>
          <w:b w:val="false"/>
          <w:color w:val="000000"/>
          <w:sz w:val="20"/>
        </w:rPr>
        <w:t>(“ASC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Level 1—Valuations based on quoted prices in active markets for identical assets or liabilities that the Company has the ability to access.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Level 2—Valuations based on quoted prices in markets that are not active or for which all significant inputs are observable, either directly or indirectly.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Level 3—Valuations based on inputs that are unobservable and significant to the overall fair value measurement.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Financial and Derivative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Derivatives, including the Company’s interest rate swaps, for which broker quotes are available are typically valued at those broker quotes.</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Offsetting Assets and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Foreign Currency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Foreign currency amounts are translated into U.S. dollars on the following basis: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cash and cash equivalents, market value of investments, outstanding debt on revolving credit facilities, other assets and liabilities: at the spot exchange rate on the last business day of the period;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purchases and sales of investments, borrowings and repayments of such borrowings, income and expenses: at the rates of exchange prevailing on the respective dates of such transactions.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Equity Offering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records expenses related to equity offerings as a reduction of capital upon completion of an offering of registered securities. The costs associated with renewals of the Company’s shelf registration statement are expensed as incurred.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Debt Issuance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Interest and Dividend Income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Unless providing services in connection with an investment, such as syndication, structuring or diligence, all or a portion of any loan fees received by the Company will be deferred and amortized over the investment’s life using the effective interest method.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Other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Reimbursement of Transaction-Related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Income Taxes, Including Excise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and nine months ended September 30, 2023, the Company recorded a net expense of $0.5</w:t>
      </w:r>
      <w:r>
        <w:rPr>
          <w:rFonts w:ascii="Times New Roman" w:hAnsi="Times New Roman"/>
          <w:color w:val="000000"/>
          <w:sz w:val="20"/>
        </w:rPr>
        <w:t xml:space="preserve"> </w:t>
      </w:r>
      <w:r>
        <w:rPr>
          <w:rFonts w:ascii="Times New Roman" w:hAnsi="Times New Roman"/>
          <w:b w:val="false"/>
          <w:color w:val="000000"/>
          <w:sz w:val="20"/>
        </w:rPr>
        <w:t>million and $1.8</w:t>
      </w:r>
      <w:r>
        <w:rPr>
          <w:rFonts w:ascii="Times New Roman" w:hAnsi="Times New Roman"/>
          <w:color w:val="000000"/>
          <w:sz w:val="20"/>
        </w:rPr>
        <w:t xml:space="preserve"> </w:t>
      </w:r>
      <w:r>
        <w:rPr>
          <w:rFonts w:ascii="Times New Roman" w:hAnsi="Times New Roman"/>
          <w:b w:val="false"/>
          <w:color w:val="000000"/>
          <w:sz w:val="20"/>
        </w:rPr>
        <w:t>million, respectively, for U.S. federal excise tax and other taxes. For the three and nine months ended September 30, 2022, the Company recorded a net expense of $0.4</w:t>
      </w:r>
      <w:r>
        <w:rPr>
          <w:rFonts w:ascii="Times New Roman" w:hAnsi="Times New Roman"/>
          <w:color w:val="000000"/>
          <w:sz w:val="20"/>
        </w:rPr>
        <w:t xml:space="preserve"> </w:t>
      </w:r>
      <w:r>
        <w:rPr>
          <w:rFonts w:ascii="Times New Roman" w:hAnsi="Times New Roman"/>
          <w:b w:val="false"/>
          <w:color w:val="000000"/>
          <w:sz w:val="20"/>
        </w:rPr>
        <w:t>million and $1.5</w:t>
      </w:r>
      <w:r>
        <w:rPr>
          <w:rFonts w:ascii="Times New Roman" w:hAnsi="Times New Roman"/>
          <w:color w:val="000000"/>
          <w:sz w:val="20"/>
        </w:rPr>
        <w:t xml:space="preserve"> </w:t>
      </w:r>
      <w:r>
        <w:rPr>
          <w:rFonts w:ascii="Times New Roman" w:hAnsi="Times New Roman"/>
          <w:b w:val="false"/>
          <w:color w:val="000000"/>
          <w:sz w:val="20"/>
        </w:rPr>
        <w:t>million, respectively, for U.S. federal excise tax and other taxes.</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Dividends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283"/>
        <w:jc w:val="left"/>
        <w:rPr>
          <w:rFonts w:ascii="Times New Roman" w:hAnsi="Times New Roman"/>
          <w:b w:val="false"/>
          <w:i/>
          <w:color w:val="000000"/>
          <w:sz w:val="20"/>
        </w:rPr>
      </w:pPr>
      <w:r>
        <w:rPr>
          <w:rFonts w:ascii="Times New Roman" w:hAnsi="Times New Roman"/>
          <w:b w:val="false"/>
          <w:i/>
          <w:color w:val="000000"/>
          <w:sz w:val="20"/>
        </w:rPr>
        <w:t>Recent Accounting Standards and Regulatory Updates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December 2022, the Financial Accounting Standards Board issued Accounting Standards Update 2022-06 (“ASU 2022-06”) “Reference Rate Reform (Topic 848): Deferral of the Sunset Date of Topic 848.” Topic 848 provides optional expedients and exceptions for applying generally accepted accounting principles to contract modifications and hedging relationships, subject to meeting certain criteria, that reference LIBOR or another reference rate expected to be discontinued. ASU 2022-06 defers the sunset date of Topic 848 from December 31, 2022, to December 31, 2024, after which entities will no longer be permitted to apply the relief in Topic 848. ASU 2022-06 is effective for all entities in scope upon issuance of ASU 2022-06. The adoption</w:t>
      </w:r>
      <w:r>
        <w:rPr>
          <w:rFonts w:ascii="Times New Roman" w:hAnsi="Times New Roman"/>
          <w:color w:val="000000"/>
          <w:sz w:val="20"/>
        </w:rPr>
        <w:t xml:space="preserve"> </w:t>
      </w:r>
      <w:r>
        <w:rPr>
          <w:rFonts w:ascii="Times New Roman" w:hAnsi="Times New Roman"/>
          <w:b w:val="false"/>
          <w:color w:val="000000"/>
          <w:sz w:val="20"/>
        </w:rPr>
        <w:t>of this guidance did not have a material impact on the Company’s financial position, result of operations or cash flows.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3. Agreements and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Administration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w:t>
      </w:r>
      <w:r>
        <w:rPr>
          <w:rFonts w:ascii="Times New Roman" w:hAnsi="Times New Roman"/>
          <w:color w:val="000000"/>
          <w:sz w:val="20"/>
        </w:rPr>
        <w:t xml:space="preserve"> </w:t>
      </w:r>
      <w:r>
        <w:rPr>
          <w:rFonts w:ascii="Times New Roman" w:hAnsi="Times New Roman"/>
          <w:b w:val="false"/>
          <w:color w:val="000000"/>
          <w:sz w:val="20"/>
        </w:rPr>
        <w:t>days’ written notice to the other party.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and nine months ended September 30, 2023 the Company incurred expenses of $0.9</w:t>
      </w:r>
      <w:r>
        <w:rPr>
          <w:rFonts w:ascii="Times New Roman" w:hAnsi="Times New Roman"/>
          <w:color w:val="000000"/>
          <w:sz w:val="20"/>
        </w:rPr>
        <w:t xml:space="preserve"> </w:t>
      </w:r>
      <w:r>
        <w:rPr>
          <w:rFonts w:ascii="Times New Roman" w:hAnsi="Times New Roman"/>
          <w:b w:val="false"/>
          <w:color w:val="000000"/>
          <w:sz w:val="20"/>
        </w:rPr>
        <w:t>million and $2.1</w:t>
      </w:r>
      <w:r>
        <w:rPr>
          <w:rFonts w:ascii="Times New Roman" w:hAnsi="Times New Roman"/>
          <w:color w:val="000000"/>
          <w:sz w:val="20"/>
        </w:rPr>
        <w:t xml:space="preserve"> </w:t>
      </w:r>
      <w:r>
        <w:rPr>
          <w:rFonts w:ascii="Times New Roman" w:hAnsi="Times New Roman"/>
          <w:b w:val="false"/>
          <w:color w:val="000000"/>
          <w:sz w:val="20"/>
        </w:rPr>
        <w:t>million, respectively, for administrative services payable to the Adviser under the terms of the Administration Agreement, which is included in Other general and administrative expenses in the Consolidated Statements of Operations. For the three and nine months ended September 30, 2022, the Company incurred expenses of $0.8</w:t>
      </w:r>
      <w:r>
        <w:rPr>
          <w:rFonts w:ascii="Times New Roman" w:hAnsi="Times New Roman"/>
          <w:color w:val="000000"/>
          <w:sz w:val="20"/>
        </w:rPr>
        <w:t xml:space="preserve"> </w:t>
      </w:r>
      <w:r>
        <w:rPr>
          <w:rFonts w:ascii="Times New Roman" w:hAnsi="Times New Roman"/>
          <w:b w:val="false"/>
          <w:color w:val="000000"/>
          <w:sz w:val="20"/>
        </w:rPr>
        <w:t>million and $2.2</w:t>
      </w:r>
      <w:r>
        <w:rPr>
          <w:rFonts w:ascii="Times New Roman" w:hAnsi="Times New Roman"/>
          <w:color w:val="000000"/>
          <w:sz w:val="20"/>
        </w:rPr>
        <w:t xml:space="preserve"> </w:t>
      </w:r>
      <w:r>
        <w:rPr>
          <w:rFonts w:ascii="Times New Roman" w:hAnsi="Times New Roman"/>
          <w:b w:val="false"/>
          <w:color w:val="000000"/>
          <w:sz w:val="20"/>
        </w:rPr>
        <w:t>million, respectively, for administrative services payable to the Adviser under the terms of the Administration Agreement.</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Investment Advisory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and nine months ended September 30, 2023 Management Fees (gross of waivers) were $11.9</w:t>
      </w:r>
      <w:r>
        <w:rPr>
          <w:rFonts w:ascii="Times New Roman" w:hAnsi="Times New Roman"/>
          <w:color w:val="000000"/>
          <w:sz w:val="20"/>
        </w:rPr>
        <w:t xml:space="preserve"> </w:t>
      </w:r>
      <w:r>
        <w:rPr>
          <w:rFonts w:ascii="Times New Roman" w:hAnsi="Times New Roman"/>
          <w:b w:val="false"/>
          <w:color w:val="000000"/>
          <w:sz w:val="20"/>
        </w:rPr>
        <w:t>million and $34.1</w:t>
      </w:r>
      <w:r>
        <w:rPr>
          <w:rFonts w:ascii="Times New Roman" w:hAnsi="Times New Roman"/>
          <w:color w:val="000000"/>
          <w:sz w:val="20"/>
        </w:rPr>
        <w:t xml:space="preserve"> </w:t>
      </w:r>
      <w:r>
        <w:rPr>
          <w:rFonts w:ascii="Times New Roman" w:hAnsi="Times New Roman"/>
          <w:b w:val="false"/>
          <w:color w:val="000000"/>
          <w:sz w:val="20"/>
        </w:rPr>
        <w:t>million, respectively. For the three and nine months ended September 30, 2022, Management Fees (gross of waivers) were $10.3</w:t>
      </w:r>
      <w:r>
        <w:rPr>
          <w:rFonts w:ascii="Times New Roman" w:hAnsi="Times New Roman"/>
          <w:color w:val="000000"/>
          <w:sz w:val="20"/>
        </w:rPr>
        <w:t xml:space="preserve"> </w:t>
      </w:r>
      <w:r>
        <w:rPr>
          <w:rFonts w:ascii="Times New Roman" w:hAnsi="Times New Roman"/>
          <w:b w:val="false"/>
          <w:color w:val="000000"/>
          <w:sz w:val="20"/>
        </w:rPr>
        <w:t>million and $29.1</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waived Management Fees are not subject to recoupment by the Adviser.</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Adviser intends to waive a portion of the Management Fee payable under the Investment Advisory Agreement by reducing the Management Fee on assets financed using leverage over 200% asset coverage (in other words, over 1.0x debt to equity) (the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color w:val="000000"/>
        </w:rPr>
        <w:t>“</w:t>
      </w:r>
      <w:r>
        <w:rPr>
          <w:rFonts w:ascii="Times New Roman" w:hAnsi="Times New Roman"/>
          <w:b w:val="false"/>
          <w:color w:val="000000"/>
          <w:sz w:val="20"/>
        </w:rPr>
        <w:t>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the Adviser waived Management Fees of $0.3</w:t>
      </w:r>
      <w:r>
        <w:rPr>
          <w:rFonts w:ascii="Times New Roman" w:hAnsi="Times New Roman"/>
          <w:color w:val="000000"/>
          <w:sz w:val="20"/>
        </w:rPr>
        <w:t xml:space="preserve"> </w:t>
      </w:r>
      <w:r>
        <w:rPr>
          <w:rFonts w:ascii="Times New Roman" w:hAnsi="Times New Roman"/>
          <w:b w:val="false"/>
          <w:color w:val="000000"/>
          <w:sz w:val="20"/>
        </w:rPr>
        <w:t>million and $0.8</w:t>
      </w:r>
      <w:r>
        <w:rPr>
          <w:rFonts w:ascii="Times New Roman" w:hAnsi="Times New Roman"/>
          <w:color w:val="000000"/>
          <w:sz w:val="20"/>
        </w:rPr>
        <w:t xml:space="preserve"> </w:t>
      </w:r>
      <w:r>
        <w:rPr>
          <w:rFonts w:ascii="Times New Roman" w:hAnsi="Times New Roman"/>
          <w:b w:val="false"/>
          <w:color w:val="000000"/>
          <w:sz w:val="20"/>
        </w:rPr>
        <w:t>million, respectively, pursuant to the Leverage Waiver. For the three and nine months ended September 30, 2022, the Advisor waived Management Fees of $0.2</w:t>
      </w:r>
      <w:r>
        <w:rPr>
          <w:rFonts w:ascii="Times New Roman" w:hAnsi="Times New Roman"/>
          <w:color w:val="000000"/>
          <w:sz w:val="20"/>
        </w:rPr>
        <w:t xml:space="preserve"> </w:t>
      </w:r>
      <w:r>
        <w:rPr>
          <w:rFonts w:ascii="Times New Roman" w:hAnsi="Times New Roman"/>
          <w:b w:val="false"/>
          <w:color w:val="000000"/>
          <w:sz w:val="20"/>
        </w:rPr>
        <w:t>million pursuant to the Leverage Waiver.</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Incentive Fee consists of two parts, as follows: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sz w:val="24"/>
        </w:rPr>
      </w:pPr>
      <w:r>
        <w:rPr>
          <w:rFonts w:ascii="Times New Roman" w:hAnsi="Times New Roman"/>
          <w:b w:val="false"/>
          <w:color w:val="000000"/>
          <w:sz w:val="20"/>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were no</w:t>
      </w:r>
      <w:r>
        <w:rPr>
          <w:rFonts w:ascii="Times New Roman" w:hAnsi="Times New Roman"/>
          <w:color w:val="000000"/>
          <w:sz w:val="24"/>
        </w:rPr>
        <w:t xml:space="preserve"> </w:t>
      </w:r>
      <w:r>
        <w:rPr>
          <w:rFonts w:ascii="Times New Roman" w:hAnsi="Times New Roman"/>
          <w:b w:val="false"/>
          <w:color w:val="000000"/>
          <w:sz w:val="20"/>
        </w:rPr>
        <w:t xml:space="preserve">remaining investments that were made prior to April 1, 2014, and as a result, the Incentive Fee rate of 17.5% is applicable to any future realized capital gains.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three and nine months ended September 30, 2023, Incentive Fees were $13.7</w:t>
      </w:r>
      <w:r>
        <w:rPr>
          <w:rFonts w:ascii="Times New Roman" w:hAnsi="Times New Roman"/>
          <w:color w:val="000000"/>
          <w:sz w:val="20"/>
        </w:rPr>
        <w:t xml:space="preserve"> </w:t>
      </w:r>
      <w:r>
        <w:rPr>
          <w:rFonts w:ascii="Times New Roman" w:hAnsi="Times New Roman"/>
          <w:b w:val="false"/>
          <w:color w:val="000000"/>
          <w:sz w:val="20"/>
        </w:rPr>
        <w:t>million and $36.2</w:t>
      </w:r>
      <w:r>
        <w:rPr>
          <w:rFonts w:ascii="Times New Roman" w:hAnsi="Times New Roman"/>
          <w:color w:val="000000"/>
          <w:sz w:val="20"/>
        </w:rPr>
        <w:t xml:space="preserve"> </w:t>
      </w:r>
      <w:r>
        <w:rPr>
          <w:rFonts w:ascii="Times New Roman" w:hAnsi="Times New Roman"/>
          <w:b w:val="false"/>
          <w:color w:val="000000"/>
          <w:sz w:val="20"/>
        </w:rPr>
        <w:t>million, respectively, of which $11.2</w:t>
      </w:r>
      <w:r>
        <w:rPr>
          <w:rFonts w:ascii="Times New Roman" w:hAnsi="Times New Roman"/>
          <w:color w:val="000000"/>
          <w:sz w:val="20"/>
        </w:rPr>
        <w:t xml:space="preserve"> </w:t>
      </w:r>
      <w:r>
        <w:rPr>
          <w:rFonts w:ascii="Times New Roman" w:hAnsi="Times New Roman"/>
          <w:b w:val="false"/>
          <w:color w:val="000000"/>
          <w:sz w:val="20"/>
        </w:rPr>
        <w:t>million and $31.1</w:t>
      </w:r>
      <w:r>
        <w:rPr>
          <w:rFonts w:ascii="Times New Roman" w:hAnsi="Times New Roman"/>
          <w:color w:val="000000"/>
          <w:sz w:val="20"/>
        </w:rPr>
        <w:t xml:space="preserve"> </w:t>
      </w:r>
      <w:r>
        <w:rPr>
          <w:rFonts w:ascii="Times New Roman" w:hAnsi="Times New Roman"/>
          <w:b w:val="false"/>
          <w:color w:val="000000"/>
          <w:sz w:val="20"/>
        </w:rPr>
        <w:t>million, respectively, were realized and payable to the Adviser. For the three and nine months ended September 30, 2022, Incentive Fees were $7.9</w:t>
      </w:r>
      <w:r>
        <w:rPr>
          <w:rFonts w:ascii="Times New Roman" w:hAnsi="Times New Roman"/>
          <w:color w:val="000000"/>
          <w:sz w:val="20"/>
        </w:rPr>
        <w:t xml:space="preserve"> </w:t>
      </w:r>
      <w:r>
        <w:rPr>
          <w:rFonts w:ascii="Times New Roman" w:hAnsi="Times New Roman"/>
          <w:b w:val="false"/>
          <w:color w:val="000000"/>
          <w:sz w:val="20"/>
        </w:rPr>
        <w:t>million and $14.8</w:t>
      </w:r>
      <w:r>
        <w:rPr>
          <w:rFonts w:ascii="Times New Roman" w:hAnsi="Times New Roman"/>
          <w:color w:val="000000"/>
          <w:sz w:val="20"/>
        </w:rPr>
        <w:t xml:space="preserve"> </w:t>
      </w:r>
      <w:r>
        <w:rPr>
          <w:rFonts w:ascii="Times New Roman" w:hAnsi="Times New Roman"/>
          <w:b w:val="false"/>
          <w:color w:val="000000"/>
          <w:sz w:val="20"/>
        </w:rPr>
        <w:t>million, respectively, of which $7.9</w:t>
      </w:r>
      <w:r>
        <w:rPr>
          <w:rFonts w:ascii="Times New Roman" w:hAnsi="Times New Roman"/>
          <w:color w:val="000000"/>
          <w:sz w:val="20"/>
        </w:rPr>
        <w:t xml:space="preserve"> </w:t>
      </w:r>
      <w:r>
        <w:rPr>
          <w:rFonts w:ascii="Times New Roman" w:hAnsi="Times New Roman"/>
          <w:b w:val="false"/>
          <w:color w:val="000000"/>
          <w:sz w:val="20"/>
        </w:rPr>
        <w:t>million and $22.5</w:t>
      </w:r>
      <w:r>
        <w:rPr>
          <w:rFonts w:ascii="Times New Roman" w:hAnsi="Times New Roman"/>
          <w:color w:val="000000"/>
          <w:sz w:val="20"/>
        </w:rPr>
        <w:t xml:space="preserve"> </w:t>
      </w:r>
      <w:r>
        <w:rPr>
          <w:rFonts w:ascii="Times New Roman" w:hAnsi="Times New Roman"/>
          <w:b w:val="false"/>
          <w:color w:val="000000"/>
          <w:sz w:val="20"/>
        </w:rPr>
        <w:t>million, respectively, were realized and payable to the Adviser. For the three and nine months ended September 30, 2023, $2.6</w:t>
      </w:r>
      <w:r>
        <w:rPr>
          <w:rFonts w:ascii="Times New Roman" w:hAnsi="Times New Roman"/>
          <w:color w:val="000000"/>
          <w:sz w:val="20"/>
        </w:rPr>
        <w:t xml:space="preserve"> </w:t>
      </w:r>
      <w:r>
        <w:rPr>
          <w:rFonts w:ascii="Times New Roman" w:hAnsi="Times New Roman"/>
          <w:b w:val="false"/>
          <w:color w:val="000000"/>
          <w:sz w:val="20"/>
        </w:rPr>
        <w:t>million and $5.1</w:t>
      </w:r>
      <w:r>
        <w:rPr>
          <w:rFonts w:ascii="Times New Roman" w:hAnsi="Times New Roman"/>
          <w:color w:val="000000"/>
          <w:sz w:val="20"/>
        </w:rPr>
        <w:t xml:space="preserve"> </w:t>
      </w:r>
      <w:r>
        <w:rPr>
          <w:rFonts w:ascii="Times New Roman" w:hAnsi="Times New Roman"/>
          <w:b w:val="false"/>
          <w:color w:val="000000"/>
          <w:sz w:val="20"/>
        </w:rPr>
        <w:t>million, respectively, of Incentive Fees was accrued related to Capital Gains Fees. For the three and nine months ended September 30, 2022, less than ($0.1) million and ($7.7) million, respectively, of Incentive Fees was accrued related to the reversal of Capital Gains Fees. As of September 30, 2023, the Capital Gains Fees accrued are not contractually payable to the Adviser.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waived Incentive Fees are not subject to recoupment by the Adviser.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November 2023, the Board renewed the Investment Advisory Agreement. Unless earlier terminated as described below, the Investment Advisory Agreement will remain in effect until November 2024, and may be extended subject to required approvals. The Investment Advisory Agreement will automatically terminate in the event of an assignment and may be terminated by either party without penalty on 60 days’ written notice to the other party.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4. Investments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Investments at fair value consisted of the following at September 30, 2023 and December 31, 2022:</w:t>
      </w:r>
      <w:r>
        <w:rPr>
          <w:rFonts w:ascii="Times New Roman" w:hAnsi="Times New Roman"/>
          <w:color w:val="000000"/>
          <w:sz w:val="20"/>
        </w:rPr>
        <w:t xml:space="preserve"> </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82"/>
        <w:gridCol w:w="903"/>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2,806,313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2,832,772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26,459</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(8,122</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150,179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7,887</w:t>
            </w:r>
          </w:p>
        </w:tc>
        <w:tc>
          <w:tcPr>
            <w:tcW w:w="3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Structured credit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53,996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3,085,378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3,113,277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9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64"/>
        <w:gridCol w:w="921"/>
        <w:gridCol w:w="4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2,529,317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2,517,894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(11,423</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(1,981</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2,661</w:t>
            </w:r>
          </w:p>
        </w:tc>
        <w:tc>
          <w:tcPr>
            <w:tcW w:w="41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167,685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25,582</w:t>
            </w:r>
          </w:p>
        </w:tc>
        <w:tc>
          <w:tcPr>
            <w:tcW w:w="41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Structured credit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2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2,774,726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2,787,925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13,199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rFonts w:ascii="Times New Roman" w:hAnsi="Times New Roman"/>
          <w:sz w:val="24"/>
        </w:rPr>
      </w:pPr>
      <w:r>
        <w:rPr>
          <w:rFonts w:ascii="Times New Roman" w:hAnsi="Times New Roman"/>
          <w:b w:val="false"/>
          <w:color w:val="000000"/>
          <w:sz w:val="20"/>
        </w:rPr>
        <w:t>The amortized cost represents the original cost adjusted for the amortization of discounts or premiums, as applicable, on debt investments using the effective interest method.</w:t>
      </w:r>
      <w:r>
        <w:rPr>
          <w:rFonts w:ascii="Times New Roman" w:hAnsi="Times New Roman"/>
          <w:color w:val="000000"/>
          <w:sz w:val="24"/>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industry composition of investments at fair value at September 30, 2023 and December 31, 2022 is as follows:</w:t>
      </w:r>
      <w:r>
        <w:rPr>
          <w:rFonts w:ascii="Times New Roman" w:hAnsi="Times New Roman"/>
          <w:color w:val="000000"/>
          <w:sz w:val="20"/>
        </w:rPr>
        <w:t xml:space="preserve"> </w:t>
      </w:r>
    </w:p>
    <w:p>
      <w:pPr>
        <w:pStyle w:val="TextBody"/>
        <w:bidi w:val="0"/>
        <w:jc w:val="left"/>
        <w:rPr/>
      </w:pPr>
      <w:r>
        <w:rPr/>
        <w:t> </w:t>
      </w:r>
    </w:p>
    <w:tbl>
      <w:tblPr>
        <w:tblW w:w="7035" w:type="dxa"/>
        <w:jc w:val="left"/>
        <w:tblInd w:w="0" w:type="dxa"/>
        <w:tblLayout w:type="fixed"/>
        <w:tblCellMar>
          <w:top w:w="28" w:type="dxa"/>
          <w:left w:w="28" w:type="dxa"/>
          <w:bottom w:w="28" w:type="dxa"/>
          <w:right w:w="28" w:type="dxa"/>
        </w:tblCellMar>
      </w:tblPr>
      <w:tblGrid>
        <w:gridCol w:w="2911"/>
        <w:gridCol w:w="146"/>
        <w:gridCol w:w="314"/>
        <w:gridCol w:w="1231"/>
        <w:gridCol w:w="271"/>
        <w:gridCol w:w="146"/>
        <w:gridCol w:w="305"/>
        <w:gridCol w:w="1195"/>
        <w:gridCol w:w="51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Automotive</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Business Services</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Chemicals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Communications</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Education</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Financial Services</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Healthcare</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Hotel, Gaming and Leisure</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Human Resource Support Services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Insurance</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516"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Internet Services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Manufacturing</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Marketing Services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Office Products</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Oil, Gas and Consumable Fuels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Retail and Consumer Products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Transportation</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91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geographic composition of investments at fair value at September 30, 2023 and December 31, 2022 is as follows:</w:t>
      </w:r>
      <w:r>
        <w:rPr>
          <w:rFonts w:ascii="Times New Roman" w:hAnsi="Times New Roman"/>
          <w:color w:val="000000"/>
          <w:sz w:val="20"/>
        </w:rPr>
        <w:t xml:space="preserve"> </w:t>
      </w:r>
    </w:p>
    <w:p>
      <w:pPr>
        <w:pStyle w:val="TextBody"/>
        <w:bidi w:val="0"/>
        <w:jc w:val="left"/>
        <w:rPr/>
      </w:pPr>
      <w:r>
        <w:rPr/>
        <w:t> </w:t>
      </w:r>
    </w:p>
    <w:tbl>
      <w:tblPr>
        <w:tblW w:w="5610" w:type="dxa"/>
        <w:jc w:val="left"/>
        <w:tblInd w:w="0" w:type="dxa"/>
        <w:tblLayout w:type="fixed"/>
        <w:tblCellMar>
          <w:top w:w="28" w:type="dxa"/>
          <w:left w:w="28" w:type="dxa"/>
          <w:bottom w:w="28" w:type="dxa"/>
          <w:right w:w="28" w:type="dxa"/>
        </w:tblCellMar>
      </w:tblPr>
      <w:tblGrid>
        <w:gridCol w:w="1486"/>
        <w:gridCol w:w="146"/>
        <w:gridCol w:w="314"/>
        <w:gridCol w:w="1231"/>
        <w:gridCol w:w="271"/>
        <w:gridCol w:w="146"/>
        <w:gridCol w:w="305"/>
        <w:gridCol w:w="1195"/>
        <w:gridCol w:w="5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States</w:t>
            </w:r>
          </w:p>
        </w:tc>
        <w:tc>
          <w:tcPr>
            <w:tcW w:w="146" w:type="dxa"/>
            <w:tcBorders/>
            <w:shd w:fill="CFF0FC" w:val="clear"/>
            <w:vAlign w:val="center"/>
          </w:tcPr>
          <w:p>
            <w:pPr>
              <w:pStyle w:val="TableContents"/>
              <w:bidi w:val="0"/>
              <w:spacing w:before="0" w:after="283"/>
              <w:jc w:val="righ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14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Midwest</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Northeast</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South</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West</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Australia</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Canada</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Finland </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516" w:type="dxa"/>
            <w:tcBorders/>
            <w:shd w:fill="FFFFFF" w:val="cle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Germany</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Luxembourg</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Netherlands</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jc w:val="left"/>
              <w:rPr/>
            </w:pPr>
            <w:r>
              <w:rPr/>
              <w:t> </w:t>
            </w:r>
          </w:p>
        </w:tc>
      </w:tr>
      <w:tr>
        <w:trPr/>
        <w:tc>
          <w:tcPr>
            <w:tcW w:w="14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Norway</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Kingdom</w:t>
            </w:r>
          </w:p>
        </w:tc>
        <w:tc>
          <w:tcPr>
            <w:tcW w:w="146" w:type="dxa"/>
            <w:tcBorders/>
            <w:shd w:fill="CFF0FC" w:val="cle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8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Value sums to less than 0.1%.</w:t>
      </w:r>
    </w:p>
    <w:p>
      <w:pPr>
        <w:pStyle w:val="TextBody"/>
        <w:bidi w:val="0"/>
        <w:spacing w:before="360" w:after="283"/>
        <w:jc w:val="left"/>
        <w:rPr>
          <w:rFonts w:ascii="Times New Roman" w:hAnsi="Times New Roman"/>
          <w:sz w:val="20"/>
        </w:rPr>
      </w:pPr>
      <w:r>
        <w:rPr>
          <w:rFonts w:ascii="Times New Roman" w:hAnsi="Times New Roman"/>
          <w:b/>
          <w:color w:val="000000"/>
          <w:sz w:val="20"/>
        </w:rPr>
        <w:t>5. Derivatives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Interest Rate Swaps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Cash flows related to the Company's derivatives are included within operating activities on the Consolidated Statements of Cash Flows. The following tables present the amounts paid and received on the Company’s interest rate swap transactions, excluding upfront fees, for the three and nine months ended September 30, 2023 and 2022: </w:t>
      </w:r>
    </w:p>
    <w:p>
      <w:pPr>
        <w:pStyle w:val="TextBody"/>
        <w:bidi w:val="0"/>
        <w:jc w:val="left"/>
        <w:rPr/>
      </w:pPr>
      <w:r>
        <w:rPr/>
        <w:t> </w:t>
      </w:r>
    </w:p>
    <w:tbl>
      <w:tblPr>
        <w:tblW w:w="10605" w:type="dxa"/>
        <w:jc w:val="left"/>
        <w:tblInd w:w="0" w:type="dxa"/>
        <w:tblLayout w:type="fixed"/>
        <w:tblCellMar>
          <w:top w:w="28" w:type="dxa"/>
          <w:left w:w="28" w:type="dxa"/>
          <w:bottom w:w="28" w:type="dxa"/>
          <w:right w:w="28" w:type="dxa"/>
        </w:tblCellMar>
      </w:tblPr>
      <w:tblGrid>
        <w:gridCol w:w="786"/>
        <w:gridCol w:w="146"/>
        <w:gridCol w:w="871"/>
        <w:gridCol w:w="146"/>
        <w:gridCol w:w="211"/>
        <w:gridCol w:w="781"/>
        <w:gridCol w:w="146"/>
        <w:gridCol w:w="146"/>
        <w:gridCol w:w="211"/>
        <w:gridCol w:w="736"/>
        <w:gridCol w:w="166"/>
        <w:gridCol w:w="146"/>
        <w:gridCol w:w="282"/>
        <w:gridCol w:w="589"/>
        <w:gridCol w:w="146"/>
        <w:gridCol w:w="146"/>
        <w:gridCol w:w="211"/>
        <w:gridCol w:w="631"/>
        <w:gridCol w:w="166"/>
        <w:gridCol w:w="146"/>
        <w:gridCol w:w="211"/>
        <w:gridCol w:w="736"/>
        <w:gridCol w:w="166"/>
        <w:gridCol w:w="146"/>
        <w:gridCol w:w="211"/>
        <w:gridCol w:w="676"/>
        <w:gridCol w:w="146"/>
        <w:gridCol w:w="146"/>
        <w:gridCol w:w="211"/>
        <w:gridCol w:w="736"/>
        <w:gridCol w:w="411"/>
      </w:tblGrid>
      <w:tr>
        <w:trPr/>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Interest rate swap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righ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1/22/2023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rate swap</w:t>
            </w:r>
          </w:p>
        </w:tc>
        <w:tc>
          <w:tcPr>
            <w:tcW w:w="146"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11/1/2024</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(5,911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(8,025</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rate swap</w:t>
            </w:r>
          </w:p>
        </w:tc>
        <w:tc>
          <w:tcPr>
            <w:tcW w:w="146" w:type="dxa"/>
            <w:tcBorders/>
            <w:shd w:fill="CFF0FC" w:val="clear"/>
            <w:vAlign w:val="center"/>
          </w:tcPr>
          <w:p>
            <w:pPr>
              <w:pStyle w:val="TableContents"/>
              <w:bidi w:val="0"/>
              <w:spacing w:before="0" w:after="283"/>
              <w:jc w:val="righ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11/1/2024</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pPr>
            <w:r>
              <w:rPr/>
              <w:t> </w:t>
            </w:r>
          </w:p>
        </w:tc>
        <w:tc>
          <w:tcPr>
            <w:tcW w:w="5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(1,406</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rate swap</w:t>
            </w:r>
          </w:p>
        </w:tc>
        <w:tc>
          <w:tcPr>
            <w:tcW w:w="146"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11/1/2024</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411" w:type="dxa"/>
            <w:tcBorders/>
            <w:shd w:fill="FFFFFF" w:val="clear"/>
            <w:vAlign w:val="center"/>
          </w:tcPr>
          <w:p>
            <w:pPr>
              <w:pStyle w:val="TableContents"/>
              <w:bidi w:val="0"/>
              <w:spacing w:before="0" w:after="283"/>
              <w:jc w:val="left"/>
              <w:rPr/>
            </w:pPr>
            <w:r>
              <w:rPr/>
              <w:t> </w:t>
            </w:r>
          </w:p>
        </w:tc>
      </w:tr>
      <w:tr>
        <w:trPr/>
        <w:tc>
          <w:tcPr>
            <w:tcW w:w="7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rate swap</w:t>
            </w:r>
          </w:p>
        </w:tc>
        <w:tc>
          <w:tcPr>
            <w:tcW w:w="146" w:type="dxa"/>
            <w:tcBorders/>
            <w:shd w:fill="CFF0FC" w:val="clear"/>
            <w:vAlign w:val="center"/>
          </w:tcPr>
          <w:p>
            <w:pPr>
              <w:pStyle w:val="TableContents"/>
              <w:bidi w:val="0"/>
              <w:spacing w:before="0" w:after="283"/>
              <w:jc w:val="righ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8/1/2026</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(5,651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pPr>
            <w:r>
              <w:rPr/>
              <w:t> </w:t>
            </w:r>
          </w:p>
        </w:tc>
        <w:tc>
          <w:tcPr>
            <w:tcW w:w="5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(15,913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(10,350</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rate swap</w:t>
            </w:r>
          </w:p>
        </w:tc>
        <w:tc>
          <w:tcPr>
            <w:tcW w:w="146"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8/14/2028</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8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8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(20,479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As of September 30, 2023, this interest rate swap had either matured or been terminated due to repayment of the underlying investment or security.</w:t>
      </w:r>
    </w:p>
    <w:p>
      <w:pPr>
        <w:pStyle w:val="TextBody"/>
        <w:bidi w:val="0"/>
        <w:jc w:val="left"/>
        <w:rPr/>
      </w:pPr>
      <w:r>
        <w:rPr/>
        <w:t> </w:t>
      </w:r>
    </w:p>
    <w:tbl>
      <w:tblPr>
        <w:tblW w:w="10545" w:type="dxa"/>
        <w:jc w:val="left"/>
        <w:tblInd w:w="0" w:type="dxa"/>
        <w:tblLayout w:type="fixed"/>
        <w:tblCellMar>
          <w:top w:w="28" w:type="dxa"/>
          <w:left w:w="28" w:type="dxa"/>
          <w:bottom w:w="28" w:type="dxa"/>
          <w:right w:w="28" w:type="dxa"/>
        </w:tblCellMar>
      </w:tblPr>
      <w:tblGrid>
        <w:gridCol w:w="786"/>
        <w:gridCol w:w="146"/>
        <w:gridCol w:w="871"/>
        <w:gridCol w:w="146"/>
        <w:gridCol w:w="211"/>
        <w:gridCol w:w="931"/>
        <w:gridCol w:w="146"/>
        <w:gridCol w:w="146"/>
        <w:gridCol w:w="211"/>
        <w:gridCol w:w="631"/>
        <w:gridCol w:w="166"/>
        <w:gridCol w:w="146"/>
        <w:gridCol w:w="291"/>
        <w:gridCol w:w="580"/>
        <w:gridCol w:w="146"/>
        <w:gridCol w:w="146"/>
        <w:gridCol w:w="211"/>
        <w:gridCol w:w="631"/>
        <w:gridCol w:w="166"/>
        <w:gridCol w:w="146"/>
        <w:gridCol w:w="211"/>
        <w:gridCol w:w="736"/>
        <w:gridCol w:w="166"/>
        <w:gridCol w:w="146"/>
        <w:gridCol w:w="211"/>
        <w:gridCol w:w="676"/>
        <w:gridCol w:w="146"/>
        <w:gridCol w:w="146"/>
        <w:gridCol w:w="211"/>
        <w:gridCol w:w="631"/>
        <w:gridCol w:w="411"/>
      </w:tblGrid>
      <w:tr>
        <w:trPr/>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32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Interest rate swap</w:t>
            </w:r>
          </w:p>
        </w:tc>
        <w:tc>
          <w:tcPr>
            <w:tcW w:w="146" w:type="dxa"/>
            <w:tcBorders/>
            <w:shd w:fill="CFF0FC" w:val="clear"/>
            <w:vAlign w:val="center"/>
          </w:tcPr>
          <w:p>
            <w:pPr>
              <w:pStyle w:val="TableContents"/>
              <w:bidi w:val="0"/>
              <w:spacing w:before="0" w:after="283"/>
              <w:jc w:val="righ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8/1/2022</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(427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580"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(2,159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889</w:t>
            </w:r>
          </w:p>
        </w:tc>
        <w:tc>
          <w:tcPr>
            <w:tcW w:w="411" w:type="dxa"/>
            <w:tcBorders/>
            <w:shd w:fill="CFF0FC" w:val="clear"/>
            <w:vAlign w:val="center"/>
          </w:tcPr>
          <w:p>
            <w:pPr>
              <w:pStyle w:val="TableContents"/>
              <w:bidi w:val="0"/>
              <w:spacing w:before="0" w:after="283"/>
              <w:jc w:val="left"/>
              <w:rPr/>
            </w:pPr>
            <w:r>
              <w:rPr/>
              <w:t> </w:t>
            </w:r>
          </w:p>
        </w:tc>
      </w:tr>
      <w:tr>
        <w:trPr/>
        <w:tc>
          <w:tcPr>
            <w:tcW w:w="78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Interest rate swap</w:t>
            </w:r>
          </w:p>
        </w:tc>
        <w:tc>
          <w:tcPr>
            <w:tcW w:w="146"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8/1/2022</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619</w:t>
            </w:r>
          </w:p>
        </w:tc>
        <w:tc>
          <w:tcPr>
            <w:tcW w:w="411" w:type="dxa"/>
            <w:tcBorders/>
            <w:shd w:fill="FFFFFF" w:val="clear"/>
            <w:vAlign w:val="center"/>
          </w:tcPr>
          <w:p>
            <w:pPr>
              <w:pStyle w:val="TableContents"/>
              <w:bidi w:val="0"/>
              <w:spacing w:before="0" w:after="283"/>
              <w:jc w:val="left"/>
              <w:rPr/>
            </w:pPr>
            <w:r>
              <w:rPr/>
              <w:t> </w:t>
            </w:r>
          </w:p>
        </w:tc>
      </w:tr>
      <w:tr>
        <w:trPr/>
        <w:tc>
          <w:tcPr>
            <w:tcW w:w="78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Interest rate swap</w:t>
            </w:r>
          </w:p>
        </w:tc>
        <w:tc>
          <w:tcPr>
            <w:tcW w:w="146" w:type="dxa"/>
            <w:tcBorders/>
            <w:shd w:fill="CFF0FC" w:val="clear"/>
            <w:vAlign w:val="center"/>
          </w:tcPr>
          <w:p>
            <w:pPr>
              <w:pStyle w:val="TableContents"/>
              <w:bidi w:val="0"/>
              <w:spacing w:before="0" w:after="283"/>
              <w:jc w:val="righ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8/1/2022</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left"/>
              <w:rPr/>
            </w:pPr>
            <w:r>
              <w:rPr/>
              <w:t> </w:t>
            </w:r>
          </w:p>
        </w:tc>
        <w:tc>
          <w:tcPr>
            <w:tcW w:w="580"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92</w:t>
            </w:r>
          </w:p>
        </w:tc>
        <w:tc>
          <w:tcPr>
            <w:tcW w:w="411" w:type="dxa"/>
            <w:tcBorders/>
            <w:shd w:fill="CFF0FC" w:val="clear"/>
            <w:vAlign w:val="center"/>
          </w:tcPr>
          <w:p>
            <w:pPr>
              <w:pStyle w:val="TableContents"/>
              <w:bidi w:val="0"/>
              <w:spacing w:before="0" w:after="283"/>
              <w:jc w:val="left"/>
              <w:rPr/>
            </w:pPr>
            <w:r>
              <w:rPr/>
              <w:t> </w:t>
            </w:r>
          </w:p>
        </w:tc>
      </w:tr>
      <w:tr>
        <w:trPr/>
        <w:tc>
          <w:tcPr>
            <w:tcW w:w="78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Interest rate swap</w:t>
            </w:r>
          </w:p>
        </w:tc>
        <w:tc>
          <w:tcPr>
            <w:tcW w:w="146"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8/1/2022</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27,531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(730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(256</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78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Interest rate swap</w:t>
            </w:r>
          </w:p>
        </w:tc>
        <w:tc>
          <w:tcPr>
            <w:tcW w:w="146" w:type="dxa"/>
            <w:tcBorders/>
            <w:shd w:fill="CFF0FC" w:val="clear"/>
            <w:vAlign w:val="center"/>
          </w:tcPr>
          <w:p>
            <w:pPr>
              <w:pStyle w:val="TableContents"/>
              <w:bidi w:val="0"/>
              <w:spacing w:before="0" w:after="283"/>
              <w:jc w:val="righ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8/1/2022</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left"/>
              <w:rPr/>
            </w:pPr>
            <w:r>
              <w:rPr/>
              <w:t> </w:t>
            </w:r>
          </w:p>
        </w:tc>
        <w:tc>
          <w:tcPr>
            <w:tcW w:w="580"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78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Interest rate swap</w:t>
            </w:r>
          </w:p>
        </w:tc>
        <w:tc>
          <w:tcPr>
            <w:tcW w:w="146"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8/1/2022</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42,819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(1,134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(397</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78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Interest rate swap</w:t>
            </w:r>
          </w:p>
        </w:tc>
        <w:tc>
          <w:tcPr>
            <w:tcW w:w="146" w:type="dxa"/>
            <w:tcBorders/>
            <w:shd w:fill="CFF0FC" w:val="clear"/>
            <w:vAlign w:val="center"/>
          </w:tcPr>
          <w:p>
            <w:pPr>
              <w:pStyle w:val="TableContents"/>
              <w:bidi w:val="0"/>
              <w:spacing w:before="0" w:after="283"/>
              <w:jc w:val="righ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1/22/2023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left"/>
              <w:rPr/>
            </w:pPr>
            <w:r>
              <w:rPr/>
              <w:t> </w:t>
            </w:r>
          </w:p>
        </w:tc>
        <w:tc>
          <w:tcPr>
            <w:tcW w:w="580"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(3,591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5,063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1,472</w:t>
            </w:r>
          </w:p>
        </w:tc>
        <w:tc>
          <w:tcPr>
            <w:tcW w:w="411" w:type="dxa"/>
            <w:tcBorders/>
            <w:shd w:fill="CFF0FC" w:val="clear"/>
            <w:vAlign w:val="center"/>
          </w:tcPr>
          <w:p>
            <w:pPr>
              <w:pStyle w:val="TableContents"/>
              <w:bidi w:val="0"/>
              <w:spacing w:before="0" w:after="283"/>
              <w:jc w:val="left"/>
              <w:rPr/>
            </w:pPr>
            <w:r>
              <w:rPr/>
              <w:t> </w:t>
            </w:r>
          </w:p>
        </w:tc>
      </w:tr>
      <w:tr>
        <w:trPr/>
        <w:tc>
          <w:tcPr>
            <w:tcW w:w="78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Interest rate swap</w:t>
            </w:r>
          </w:p>
        </w:tc>
        <w:tc>
          <w:tcPr>
            <w:tcW w:w="146"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11/1/2024</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(3,374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2,907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(467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(7,708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8,719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1,011</w:t>
            </w:r>
          </w:p>
        </w:tc>
        <w:tc>
          <w:tcPr>
            <w:tcW w:w="411" w:type="dxa"/>
            <w:tcBorders/>
            <w:shd w:fill="FFFFFF" w:val="clear"/>
            <w:vAlign w:val="center"/>
          </w:tcPr>
          <w:p>
            <w:pPr>
              <w:pStyle w:val="TableContents"/>
              <w:bidi w:val="0"/>
              <w:spacing w:before="0" w:after="283"/>
              <w:jc w:val="left"/>
              <w:rPr/>
            </w:pPr>
            <w:r>
              <w:rPr/>
              <w:t> </w:t>
            </w:r>
          </w:p>
        </w:tc>
      </w:tr>
      <w:tr>
        <w:trPr/>
        <w:tc>
          <w:tcPr>
            <w:tcW w:w="78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Interest rate swap</w:t>
            </w:r>
          </w:p>
        </w:tc>
        <w:tc>
          <w:tcPr>
            <w:tcW w:w="146" w:type="dxa"/>
            <w:tcBorders/>
            <w:shd w:fill="CFF0FC" w:val="clear"/>
            <w:vAlign w:val="center"/>
          </w:tcPr>
          <w:p>
            <w:pPr>
              <w:pStyle w:val="TableContents"/>
              <w:bidi w:val="0"/>
              <w:spacing w:before="0" w:after="283"/>
              <w:jc w:val="righ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11/1/2024</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(589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left"/>
              <w:rPr/>
            </w:pPr>
            <w:r>
              <w:rPr/>
              <w:t> </w:t>
            </w:r>
          </w:p>
        </w:tc>
        <w:tc>
          <w:tcPr>
            <w:tcW w:w="580"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(1,356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1,453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97</w:t>
            </w:r>
          </w:p>
        </w:tc>
        <w:tc>
          <w:tcPr>
            <w:tcW w:w="411" w:type="dxa"/>
            <w:tcBorders/>
            <w:shd w:fill="CFF0FC" w:val="clear"/>
            <w:vAlign w:val="center"/>
          </w:tcPr>
          <w:p>
            <w:pPr>
              <w:pStyle w:val="TableContents"/>
              <w:bidi w:val="0"/>
              <w:spacing w:before="0" w:after="283"/>
              <w:jc w:val="left"/>
              <w:rPr/>
            </w:pPr>
            <w:r>
              <w:rPr/>
              <w:t> </w:t>
            </w:r>
          </w:p>
        </w:tc>
      </w:tr>
      <w:tr>
        <w:trPr/>
        <w:tc>
          <w:tcPr>
            <w:tcW w:w="78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Interest rate swap</w:t>
            </w:r>
          </w:p>
        </w:tc>
        <w:tc>
          <w:tcPr>
            <w:tcW w:w="146"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11/1/2024</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78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Interest rate swap</w:t>
            </w:r>
          </w:p>
        </w:tc>
        <w:tc>
          <w:tcPr>
            <w:tcW w:w="146" w:type="dxa"/>
            <w:tcBorders/>
            <w:shd w:fill="CFF0FC" w:val="clear"/>
            <w:vAlign w:val="center"/>
          </w:tcPr>
          <w:p>
            <w:pPr>
              <w:pStyle w:val="TableContents"/>
              <w:bidi w:val="0"/>
              <w:spacing w:before="0" w:after="283"/>
              <w:jc w:val="righ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8/1/2026</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1,854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5,563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9"/>
              </w:rPr>
            </w:pPr>
            <w:r>
              <w:rPr>
                <w:rFonts w:ascii="Times New Roman" w:hAnsi="Times New Roman"/>
                <w:b w:val="false"/>
                <w:color w:val="000000"/>
                <w:sz w:val="19"/>
              </w:rPr>
              <w:t>)</w:t>
            </w:r>
          </w:p>
        </w:tc>
      </w:tr>
      <w:tr>
        <w:trPr/>
        <w:tc>
          <w:tcPr>
            <w:tcW w:w="78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8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1,047,510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For the three and nine months ended September 30, 2023, the Company recognized no</w:t>
      </w:r>
      <w:r>
        <w:rPr>
          <w:rFonts w:ascii="Times New Roman" w:hAnsi="Times New Roman"/>
          <w:color w:val="000000"/>
          <w:sz w:val="20"/>
        </w:rPr>
        <w:t xml:space="preserve"> </w:t>
      </w:r>
      <w:r>
        <w:rPr>
          <w:rFonts w:ascii="Times New Roman" w:hAnsi="Times New Roman"/>
          <w:b w:val="false"/>
          <w:color w:val="000000"/>
          <w:sz w:val="20"/>
        </w:rPr>
        <w:t>net unrealized gains/losses and $0.2</w:t>
      </w:r>
      <w:r>
        <w:rPr>
          <w:rFonts w:ascii="Times New Roman" w:hAnsi="Times New Roman"/>
          <w:color w:val="000000"/>
          <w:sz w:val="20"/>
        </w:rPr>
        <w:t xml:space="preserve"> </w:t>
      </w:r>
      <w:r>
        <w:rPr>
          <w:rFonts w:ascii="Times New Roman" w:hAnsi="Times New Roman"/>
          <w:b w:val="false"/>
          <w:color w:val="000000"/>
          <w:sz w:val="20"/>
        </w:rPr>
        <w:t>million in net unrealized gains, respectively, on interest rate swaps not designated as hedging instruments in the Consolidated Statements of Operations related to the swap transactions. For the three and nine months ended September 30, 2023, the Company recognized net unrealized gains of $3.3</w:t>
      </w:r>
      <w:r>
        <w:rPr>
          <w:rFonts w:ascii="Times New Roman" w:hAnsi="Times New Roman"/>
          <w:color w:val="000000"/>
          <w:sz w:val="20"/>
        </w:rPr>
        <w:t xml:space="preserve"> </w:t>
      </w:r>
      <w:r>
        <w:rPr>
          <w:rFonts w:ascii="Times New Roman" w:hAnsi="Times New Roman"/>
          <w:b w:val="false"/>
          <w:color w:val="000000"/>
          <w:sz w:val="20"/>
        </w:rPr>
        <w:t>million and $0.9</w:t>
      </w:r>
      <w:r>
        <w:rPr>
          <w:rFonts w:ascii="Times New Roman" w:hAnsi="Times New Roman"/>
          <w:color w:val="000000"/>
          <w:sz w:val="20"/>
        </w:rPr>
        <w:t xml:space="preserve"> </w:t>
      </w:r>
      <w:r>
        <w:rPr>
          <w:rFonts w:ascii="Times New Roman" w:hAnsi="Times New Roman"/>
          <w:b w:val="false"/>
          <w:color w:val="000000"/>
          <w:sz w:val="20"/>
        </w:rPr>
        <w:t>million, respectively, on interest rate swaps designated as hedging instruments in the Consolidated Statements of Operations. For the three and nine months ended September 30, 2023, this amount is offset by an increase of $2.5</w:t>
      </w:r>
      <w:r>
        <w:rPr>
          <w:rFonts w:ascii="Times New Roman" w:hAnsi="Times New Roman"/>
          <w:color w:val="000000"/>
          <w:sz w:val="20"/>
        </w:rPr>
        <w:t xml:space="preserve"> </w:t>
      </w:r>
      <w:r>
        <w:rPr>
          <w:rFonts w:ascii="Times New Roman" w:hAnsi="Times New Roman"/>
          <w:b w:val="false"/>
          <w:color w:val="000000"/>
          <w:sz w:val="20"/>
        </w:rPr>
        <w:t>million and an increase of $4.3</w:t>
      </w:r>
      <w:r>
        <w:rPr>
          <w:rFonts w:ascii="Times New Roman" w:hAnsi="Times New Roman"/>
          <w:color w:val="000000"/>
          <w:sz w:val="20"/>
        </w:rPr>
        <w:t xml:space="preserve"> </w:t>
      </w:r>
      <w:r>
        <w:rPr>
          <w:rFonts w:ascii="Times New Roman" w:hAnsi="Times New Roman"/>
          <w:b w:val="false"/>
          <w:color w:val="000000"/>
          <w:sz w:val="20"/>
        </w:rPr>
        <w:t>million, respectively, for a change in the carrying value of the 2024 Notes, an increase of $0.3</w:t>
      </w:r>
      <w:r>
        <w:rPr>
          <w:rFonts w:ascii="Times New Roman" w:hAnsi="Times New Roman"/>
          <w:color w:val="000000"/>
          <w:sz w:val="20"/>
        </w:rPr>
        <w:t xml:space="preserve"> </w:t>
      </w:r>
      <w:r>
        <w:rPr>
          <w:rFonts w:ascii="Times New Roman" w:hAnsi="Times New Roman"/>
          <w:b w:val="false"/>
          <w:color w:val="000000"/>
          <w:sz w:val="20"/>
        </w:rPr>
        <w:t>million and an increase of $0.9</w:t>
      </w:r>
      <w:r>
        <w:rPr>
          <w:rFonts w:ascii="Times New Roman" w:hAnsi="Times New Roman"/>
          <w:color w:val="000000"/>
          <w:sz w:val="20"/>
        </w:rPr>
        <w:t xml:space="preserve"> </w:t>
      </w:r>
      <w:r>
        <w:rPr>
          <w:rFonts w:ascii="Times New Roman" w:hAnsi="Times New Roman"/>
          <w:b w:val="false"/>
          <w:color w:val="000000"/>
          <w:sz w:val="20"/>
        </w:rPr>
        <w:t>million, respectively, for a change in carrying value of the 2026 Notes and a decrease of $(6.1) million for a change in carrying value of the 2028 Notes.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and nine months ended September 30, 2022, the Company recognized $2.6</w:t>
      </w:r>
      <w:r>
        <w:rPr>
          <w:rFonts w:ascii="Times New Roman" w:hAnsi="Times New Roman"/>
          <w:color w:val="000000"/>
          <w:sz w:val="20"/>
        </w:rPr>
        <w:t xml:space="preserve"> </w:t>
      </w:r>
      <w:r>
        <w:rPr>
          <w:rFonts w:ascii="Times New Roman" w:hAnsi="Times New Roman"/>
          <w:b w:val="false"/>
          <w:color w:val="000000"/>
          <w:sz w:val="20"/>
        </w:rPr>
        <w:t>million and $7.2</w:t>
      </w:r>
      <w:r>
        <w:rPr>
          <w:rFonts w:ascii="Times New Roman" w:hAnsi="Times New Roman"/>
          <w:color w:val="000000"/>
          <w:sz w:val="20"/>
        </w:rPr>
        <w:t xml:space="preserve"> </w:t>
      </w:r>
      <w:r>
        <w:rPr>
          <w:rFonts w:ascii="Times New Roman" w:hAnsi="Times New Roman"/>
          <w:b w:val="false"/>
          <w:color w:val="000000"/>
          <w:sz w:val="20"/>
        </w:rPr>
        <w:t>million, respectively, in net change in unrealized losses, on interest rate swaps not designated as hedging instruments in the Consolidated Statement of Operations related to the swap transactions. For the three and nine months ended September 30, 2022, the Company recognized $2.3</w:t>
      </w:r>
      <w:r>
        <w:rPr>
          <w:rFonts w:ascii="Times New Roman" w:hAnsi="Times New Roman"/>
          <w:color w:val="000000"/>
          <w:sz w:val="20"/>
        </w:rPr>
        <w:t xml:space="preserve"> </w:t>
      </w:r>
      <w:r>
        <w:rPr>
          <w:rFonts w:ascii="Times New Roman" w:hAnsi="Times New Roman"/>
          <w:b w:val="false"/>
          <w:color w:val="000000"/>
          <w:sz w:val="20"/>
        </w:rPr>
        <w:t>million in realized gains on interest rate swaps not designated as hedging instruments in the Consolidated Statement of Operations related to the unwind of unrealized gains on interest rate swaps related to upfront fee payments received on interest rates swaps associated with the 2022 Convertible Notes. For the three and nine months ended September 30, 2022, the Company recognized $17.1</w:t>
      </w:r>
      <w:r>
        <w:rPr>
          <w:rFonts w:ascii="Times New Roman" w:hAnsi="Times New Roman"/>
          <w:color w:val="000000"/>
          <w:sz w:val="20"/>
        </w:rPr>
        <w:t xml:space="preserve"> </w:t>
      </w:r>
      <w:r>
        <w:rPr>
          <w:rFonts w:ascii="Times New Roman" w:hAnsi="Times New Roman"/>
          <w:b w:val="false"/>
          <w:color w:val="000000"/>
          <w:sz w:val="20"/>
        </w:rPr>
        <w:t>million and $52.4</w:t>
      </w:r>
      <w:r>
        <w:rPr>
          <w:rFonts w:ascii="Times New Roman" w:hAnsi="Times New Roman"/>
          <w:color w:val="000000"/>
          <w:sz w:val="20"/>
        </w:rPr>
        <w:t xml:space="preserve"> </w:t>
      </w:r>
      <w:r>
        <w:rPr>
          <w:rFonts w:ascii="Times New Roman" w:hAnsi="Times New Roman"/>
          <w:b w:val="false"/>
          <w:color w:val="000000"/>
          <w:sz w:val="20"/>
        </w:rPr>
        <w:t>million in net change in unrealized losses, respectively, on interest rate swaps designated as hedging instruments as a component of interest expense in the Consolidated Statement of Operations. For the three and nine months ended September 30, 2022, this amount is offset by a decrease of $7.4</w:t>
      </w:r>
      <w:r>
        <w:rPr>
          <w:rFonts w:ascii="Times New Roman" w:hAnsi="Times New Roman"/>
          <w:color w:val="000000"/>
          <w:sz w:val="20"/>
        </w:rPr>
        <w:t xml:space="preserve"> </w:t>
      </w:r>
      <w:r>
        <w:rPr>
          <w:rFonts w:ascii="Times New Roman" w:hAnsi="Times New Roman"/>
          <w:b w:val="false"/>
          <w:color w:val="000000"/>
          <w:sz w:val="20"/>
        </w:rPr>
        <w:t>million and $24.3</w:t>
      </w:r>
      <w:r>
        <w:rPr>
          <w:rFonts w:ascii="Times New Roman" w:hAnsi="Times New Roman"/>
          <w:color w:val="000000"/>
          <w:sz w:val="20"/>
        </w:rPr>
        <w:t xml:space="preserve"> </w:t>
      </w:r>
      <w:r>
        <w:rPr>
          <w:rFonts w:ascii="Times New Roman" w:hAnsi="Times New Roman"/>
          <w:b w:val="false"/>
          <w:color w:val="000000"/>
          <w:sz w:val="20"/>
        </w:rPr>
        <w:t>million, respectively, for a change in the carrying value of the 2024 Notes and a decrease of $9.7</w:t>
      </w:r>
      <w:r>
        <w:rPr>
          <w:rFonts w:ascii="Times New Roman" w:hAnsi="Times New Roman"/>
          <w:color w:val="000000"/>
          <w:sz w:val="20"/>
        </w:rPr>
        <w:t xml:space="preserve"> </w:t>
      </w:r>
      <w:r>
        <w:rPr>
          <w:rFonts w:ascii="Times New Roman" w:hAnsi="Times New Roman"/>
          <w:b w:val="false"/>
          <w:color w:val="000000"/>
          <w:sz w:val="20"/>
        </w:rPr>
        <w:t>million and $28.1</w:t>
      </w:r>
      <w:r>
        <w:rPr>
          <w:rFonts w:ascii="Times New Roman" w:hAnsi="Times New Roman"/>
          <w:color w:val="000000"/>
          <w:sz w:val="20"/>
        </w:rPr>
        <w:t xml:space="preserve"> </w:t>
      </w:r>
      <w:r>
        <w:rPr>
          <w:rFonts w:ascii="Times New Roman" w:hAnsi="Times New Roman"/>
          <w:b w:val="false"/>
          <w:color w:val="000000"/>
          <w:sz w:val="20"/>
        </w:rPr>
        <w:t>million, respectively, for a change in carrying value of the 2026 Notes.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 swap transactions had a fair value of $(55.9)</w:t>
      </w:r>
      <w:r>
        <w:rPr>
          <w:rFonts w:ascii="Times New Roman" w:hAnsi="Times New Roman"/>
          <w:color w:val="000000"/>
          <w:sz w:val="20"/>
        </w:rPr>
        <w:t xml:space="preserve"> </w:t>
      </w:r>
      <w:r>
        <w:rPr>
          <w:rFonts w:ascii="Times New Roman" w:hAnsi="Times New Roman"/>
          <w:b w:val="false"/>
          <w:color w:val="000000"/>
          <w:sz w:val="20"/>
        </w:rPr>
        <w:t>million which is netted against cash collateral on the Company’s consolidated balance sheet. As of December 31, 2022, the swap transactions had a fair value of $(55.3) million which is netted against cash collateral on the Company’s consolidated balance sheet.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$26.9</w:t>
      </w:r>
      <w:r>
        <w:rPr>
          <w:rFonts w:ascii="Times New Roman" w:hAnsi="Times New Roman"/>
          <w:color w:val="000000"/>
          <w:sz w:val="20"/>
        </w:rPr>
        <w:t xml:space="preserve"> </w:t>
      </w:r>
      <w:r>
        <w:rPr>
          <w:rFonts w:ascii="Times New Roman" w:hAnsi="Times New Roman"/>
          <w:b w:val="false"/>
          <w:color w:val="000000"/>
          <w:sz w:val="20"/>
        </w:rPr>
        <w:t>million of cash was pledged as collateral under the Company’s derivative agreements and is included in restricted cash as a component of cash and cash equivalents on the Company’s Consolidated Balance Sheet. As of December 31, 2022, $15.4</w:t>
      </w:r>
      <w:r>
        <w:rPr>
          <w:rFonts w:ascii="Times New Roman" w:hAnsi="Times New Roman"/>
          <w:color w:val="000000"/>
          <w:sz w:val="20"/>
        </w:rPr>
        <w:t xml:space="preserve"> </w:t>
      </w:r>
      <w:r>
        <w:rPr>
          <w:rFonts w:ascii="Times New Roman" w:hAnsi="Times New Roman"/>
          <w:b w:val="false"/>
          <w:color w:val="000000"/>
          <w:sz w:val="20"/>
        </w:rPr>
        <w:t>million of cash was pledged as collateral under the Company’s derivative agreements and is included in restricted cash as a component of cash and cash equivalents on the Company’s Consolidated Balance Sheet.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may enter into other derivative instruments and incur other exposures with the same or other counterparties in the future.</w:t>
      </w:r>
    </w:p>
    <w:p>
      <w:pPr>
        <w:pStyle w:val="TextBody"/>
        <w:bidi w:val="0"/>
        <w:spacing w:before="360" w:after="283"/>
        <w:jc w:val="left"/>
        <w:rPr>
          <w:rFonts w:ascii="Times New Roman" w:hAnsi="Times New Roman"/>
          <w:sz w:val="20"/>
        </w:rPr>
      </w:pPr>
      <w:r>
        <w:rPr>
          <w:rFonts w:ascii="Times New Roman" w:hAnsi="Times New Roman"/>
          <w:b/>
          <w:color w:val="000000"/>
          <w:sz w:val="20"/>
        </w:rPr>
        <w:t>6.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tables present fair value measurements of investments as of September 30, 2023 and December 31, 2022:</w:t>
      </w:r>
      <w:r>
        <w:rPr>
          <w:rFonts w:ascii="Times New Roman" w:hAnsi="Times New Roman"/>
          <w:color w:val="000000"/>
          <w:sz w:val="20"/>
        </w:rPr>
        <w:t xml:space="preserve"> </w:t>
      </w:r>
    </w:p>
    <w:tbl>
      <w:tblPr>
        <w:tblW w:w="8247" w:type="dxa"/>
        <w:jc w:val="left"/>
        <w:tblInd w:w="0" w:type="dxa"/>
        <w:tblLayout w:type="fixed"/>
        <w:tblCellMar>
          <w:top w:w="28" w:type="dxa"/>
          <w:left w:w="28" w:type="dxa"/>
          <w:bottom w:w="28" w:type="dxa"/>
          <w:right w:w="28" w:type="dxa"/>
        </w:tblCellMar>
      </w:tblPr>
      <w:tblGrid>
        <w:gridCol w:w="2781"/>
        <w:gridCol w:w="146"/>
        <w:gridCol w:w="211"/>
        <w:gridCol w:w="571"/>
        <w:gridCol w:w="146"/>
        <w:gridCol w:w="146"/>
        <w:gridCol w:w="211"/>
        <w:gridCol w:w="736"/>
        <w:gridCol w:w="166"/>
        <w:gridCol w:w="146"/>
        <w:gridCol w:w="211"/>
        <w:gridCol w:w="931"/>
        <w:gridCol w:w="146"/>
        <w:gridCol w:w="146"/>
        <w:gridCol w:w="211"/>
        <w:gridCol w:w="931"/>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September 30,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2,831,046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2,832,772</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39,940</w:t>
            </w:r>
          </w:p>
        </w:tc>
        <w:tc>
          <w:tcPr>
            <w:tcW w:w="411"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36,390</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133,363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150,179</w:t>
            </w:r>
          </w:p>
        </w:tc>
        <w:tc>
          <w:tcPr>
            <w:tcW w:w="411"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Structured credit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53,996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investments at fair value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66,573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3,040,616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3,113,277</w:t>
            </w:r>
          </w:p>
        </w:tc>
        <w:tc>
          <w:tcPr>
            <w:tcW w:w="411"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rate swaps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8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3,040,616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3,057,334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247" w:type="dxa"/>
        <w:jc w:val="left"/>
        <w:tblInd w:w="0" w:type="dxa"/>
        <w:tblLayout w:type="fixed"/>
        <w:tblCellMar>
          <w:top w:w="28" w:type="dxa"/>
          <w:left w:w="28" w:type="dxa"/>
          <w:bottom w:w="28" w:type="dxa"/>
          <w:right w:w="28" w:type="dxa"/>
        </w:tblCellMar>
      </w:tblPr>
      <w:tblGrid>
        <w:gridCol w:w="2781"/>
        <w:gridCol w:w="146"/>
        <w:gridCol w:w="211"/>
        <w:gridCol w:w="571"/>
        <w:gridCol w:w="146"/>
        <w:gridCol w:w="146"/>
        <w:gridCol w:w="211"/>
        <w:gridCol w:w="736"/>
        <w:gridCol w:w="166"/>
        <w:gridCol w:w="146"/>
        <w:gridCol w:w="211"/>
        <w:gridCol w:w="931"/>
        <w:gridCol w:w="146"/>
        <w:gridCol w:w="146"/>
        <w:gridCol w:w="211"/>
        <w:gridCol w:w="931"/>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2,495,959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2,517,894</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40,762</w:t>
            </w:r>
          </w:p>
        </w:tc>
        <w:tc>
          <w:tcPr>
            <w:tcW w:w="411"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10,158</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147,059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167,685</w:t>
            </w:r>
          </w:p>
        </w:tc>
        <w:tc>
          <w:tcPr>
            <w:tcW w:w="411"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Structured credit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investments at fair value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2,693,938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2,787,925</w:t>
            </w:r>
          </w:p>
        </w:tc>
        <w:tc>
          <w:tcPr>
            <w:tcW w:w="411"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rate swaps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(55,314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8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2,693,938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2,732,611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b w:val="false"/>
          <w:color w:val="000000"/>
          <w:sz w:val="20"/>
        </w:rPr>
        <w:t>Transfers between levels, if any, are recognized at the beginning of the quarter in which the transfers occur.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tables present the changes in the fair value of investments for which Level 3 inputs were used to determine the fair value as of and for the three and nine months ended September 30, 2023:</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272"/>
        <w:gridCol w:w="146"/>
        <w:gridCol w:w="211"/>
        <w:gridCol w:w="931"/>
        <w:gridCol w:w="166"/>
        <w:gridCol w:w="146"/>
        <w:gridCol w:w="225"/>
        <w:gridCol w:w="721"/>
        <w:gridCol w:w="146"/>
        <w:gridCol w:w="146"/>
        <w:gridCol w:w="225"/>
        <w:gridCol w:w="721"/>
        <w:gridCol w:w="166"/>
        <w:gridCol w:w="146"/>
        <w:gridCol w:w="211"/>
        <w:gridCol w:w="781"/>
        <w:gridCol w:w="166"/>
        <w:gridCol w:w="146"/>
        <w:gridCol w:w="211"/>
        <w:gridCol w:w="931"/>
        <w:gridCol w:w="391"/>
      </w:tblGrid>
      <w:tr>
        <w:trPr/>
        <w:tc>
          <w:tcPr>
            <w:tcW w:w="3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396"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391" w:type="dxa"/>
            <w:tcBorders/>
            <w:shd w:fill="FFFFFF" w:val="clear"/>
            <w:vAlign w:val="center"/>
          </w:tcPr>
          <w:p>
            <w:pPr>
              <w:pStyle w:val="TableContents"/>
              <w:bidi w:val="0"/>
              <w:spacing w:before="0" w:after="283"/>
              <w:jc w:val="center"/>
              <w:rPr/>
            </w:pPr>
            <w:r>
              <w:rPr/>
              <w:t> </w:t>
            </w:r>
          </w:p>
        </w:tc>
      </w:tr>
      <w:tr>
        <w:trPr/>
        <w:tc>
          <w:tcPr>
            <w:tcW w:w="3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39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beginning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2,777,390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136,186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2,993,521</w:t>
            </w:r>
          </w:p>
        </w:tc>
        <w:tc>
          <w:tcPr>
            <w:tcW w:w="391" w:type="dxa"/>
            <w:tcBorders/>
            <w:shd w:fill="CFF0FC" w:val="clear"/>
            <w:vAlign w:val="center"/>
          </w:tcPr>
          <w:p>
            <w:pPr>
              <w:pStyle w:val="TableContents"/>
              <w:bidi w:val="0"/>
              <w:spacing w:before="0" w:after="283"/>
              <w:jc w:val="left"/>
              <w:rPr/>
            </w:pPr>
            <w:r>
              <w:rPr/>
              <w:t> </w:t>
            </w:r>
          </w:p>
        </w:tc>
      </w:tr>
      <w:tr>
        <w:trPr/>
        <w:tc>
          <w:tcPr>
            <w:tcW w:w="32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or originations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176,758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177,820</w:t>
            </w:r>
          </w:p>
        </w:tc>
        <w:tc>
          <w:tcPr>
            <w:tcW w:w="391" w:type="dxa"/>
            <w:tcBorders/>
            <w:shd w:fill="FFFFFF" w:val="clear"/>
            <w:vAlign w:val="center"/>
          </w:tcPr>
          <w:p>
            <w:pPr>
              <w:pStyle w:val="TableContents"/>
              <w:bidi w:val="0"/>
              <w:spacing w:before="0" w:after="283"/>
              <w:jc w:val="left"/>
              <w:rPr/>
            </w:pPr>
            <w:r>
              <w:rPr/>
              <w:t> </w:t>
            </w:r>
          </w:p>
        </w:tc>
      </w:tr>
      <w:tr>
        <w:trPr/>
        <w:tc>
          <w:tcPr>
            <w:tcW w:w="32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Repayments / redemptions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(142,031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(142,133</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Proceeds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(5,380</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Paid-in-kind interest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5,033</w:t>
            </w:r>
          </w:p>
        </w:tc>
        <w:tc>
          <w:tcPr>
            <w:tcW w:w="391" w:type="dxa"/>
            <w:tcBorders/>
            <w:shd w:fill="CFF0FC" w:val="clear"/>
            <w:vAlign w:val="center"/>
          </w:tcPr>
          <w:p>
            <w:pPr>
              <w:pStyle w:val="TableContents"/>
              <w:bidi w:val="0"/>
              <w:spacing w:before="0" w:after="283"/>
              <w:jc w:val="left"/>
              <w:rPr/>
            </w:pPr>
            <w:r>
              <w:rPr/>
              <w:t> </w:t>
            </w:r>
          </w:p>
        </w:tc>
      </w:tr>
      <w:tr>
        <w:trPr/>
        <w:tc>
          <w:tcPr>
            <w:tcW w:w="32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change in unrealized gains (losses)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3,737</w:t>
            </w:r>
          </w:p>
        </w:tc>
        <w:tc>
          <w:tcPr>
            <w:tcW w:w="391" w:type="dxa"/>
            <w:tcBorders/>
            <w:shd w:fill="FFFFFF" w:val="clear"/>
            <w:vAlign w:val="center"/>
          </w:tcPr>
          <w:p>
            <w:pPr>
              <w:pStyle w:val="TableContents"/>
              <w:bidi w:val="0"/>
              <w:spacing w:before="0" w:after="283"/>
              <w:jc w:val="left"/>
              <w:rPr/>
            </w:pPr>
            <w:r>
              <w:rPr/>
              <w:t> </w:t>
            </w:r>
          </w:p>
        </w:tc>
      </w:tr>
      <w:tr>
        <w:trPr/>
        <w:tc>
          <w:tcPr>
            <w:tcW w:w="32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realized gains (losses)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3,193</w:t>
            </w:r>
          </w:p>
        </w:tc>
        <w:tc>
          <w:tcPr>
            <w:tcW w:w="391" w:type="dxa"/>
            <w:tcBorders/>
            <w:shd w:fill="CFF0FC" w:val="clear"/>
            <w:vAlign w:val="center"/>
          </w:tcPr>
          <w:p>
            <w:pPr>
              <w:pStyle w:val="TableContents"/>
              <w:bidi w:val="0"/>
              <w:spacing w:before="0" w:after="283"/>
              <w:jc w:val="left"/>
              <w:rPr/>
            </w:pPr>
            <w:r>
              <w:rPr/>
              <w:t> </w:t>
            </w:r>
          </w:p>
        </w:tc>
      </w:tr>
      <w:tr>
        <w:trPr/>
        <w:tc>
          <w:tcPr>
            <w:tcW w:w="32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amortization of discount on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4,825</w:t>
            </w:r>
          </w:p>
        </w:tc>
        <w:tc>
          <w:tcPr>
            <w:tcW w:w="391" w:type="dxa"/>
            <w:tcBorders/>
            <w:shd w:fill="FFFFFF" w:val="clear"/>
            <w:vAlign w:val="center"/>
          </w:tcPr>
          <w:p>
            <w:pPr>
              <w:pStyle w:val="TableContents"/>
              <w:bidi w:val="0"/>
              <w:spacing w:before="0" w:after="283"/>
              <w:jc w:val="left"/>
              <w:rPr/>
            </w:pPr>
            <w:r>
              <w:rPr/>
              <w:t> </w:t>
            </w:r>
          </w:p>
        </w:tc>
      </w:tr>
      <w:tr>
        <w:trPr/>
        <w:tc>
          <w:tcPr>
            <w:tcW w:w="32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Transfers within Level 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2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Transfers into (out of) Level 3</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72"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2,831,046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3,040,616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52"/>
        <w:gridCol w:w="146"/>
        <w:gridCol w:w="211"/>
        <w:gridCol w:w="931"/>
        <w:gridCol w:w="166"/>
        <w:gridCol w:w="146"/>
        <w:gridCol w:w="225"/>
        <w:gridCol w:w="721"/>
        <w:gridCol w:w="166"/>
        <w:gridCol w:w="146"/>
        <w:gridCol w:w="225"/>
        <w:gridCol w:w="721"/>
        <w:gridCol w:w="166"/>
        <w:gridCol w:w="146"/>
        <w:gridCol w:w="211"/>
        <w:gridCol w:w="781"/>
        <w:gridCol w:w="166"/>
        <w:gridCol w:w="146"/>
        <w:gridCol w:w="211"/>
        <w:gridCol w:w="931"/>
        <w:gridCol w:w="391"/>
      </w:tblGrid>
      <w:tr>
        <w:trPr/>
        <w:tc>
          <w:tcPr>
            <w:tcW w:w="3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16"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3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1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beginning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2,495,959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147,059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2,693,938</w:t>
            </w:r>
          </w:p>
        </w:tc>
        <w:tc>
          <w:tcPr>
            <w:tcW w:w="391" w:type="dxa"/>
            <w:tcBorders/>
            <w:shd w:fill="CFF0FC"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or originations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594,216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631,994</w:t>
            </w:r>
          </w:p>
        </w:tc>
        <w:tc>
          <w:tcPr>
            <w:tcW w:w="391" w:type="dxa"/>
            <w:tcBorders/>
            <w:shd w:fill="FFFFFF" w:val="clear"/>
            <w:vAlign w:val="center"/>
          </w:tcPr>
          <w:p>
            <w:pPr>
              <w:pStyle w:val="TableContents"/>
              <w:bidi w:val="0"/>
              <w:spacing w:before="0" w:after="283"/>
              <w:jc w:val="left"/>
              <w:rPr/>
            </w:pPr>
            <w:r>
              <w:rPr/>
              <w:t> </w:t>
            </w:r>
          </w:p>
        </w:tc>
      </w:tr>
      <w:tr>
        <w:trPr/>
        <w:tc>
          <w:tcPr>
            <w:tcW w:w="3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Repayments / redemptions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(318,424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(318,526</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Proceeds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(11,188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(11,188</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Paid-in-kind interest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11,667</w:t>
            </w:r>
          </w:p>
        </w:tc>
        <w:tc>
          <w:tcPr>
            <w:tcW w:w="391" w:type="dxa"/>
            <w:tcBorders/>
            <w:shd w:fill="CFF0FC"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change in unrealized gains (losses)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(6,140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(17,299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11,917</w:t>
            </w:r>
          </w:p>
        </w:tc>
        <w:tc>
          <w:tcPr>
            <w:tcW w:w="391" w:type="dxa"/>
            <w:tcBorders/>
            <w:shd w:fill="FFFFFF" w:val="clear"/>
            <w:vAlign w:val="center"/>
          </w:tcPr>
          <w:p>
            <w:pPr>
              <w:pStyle w:val="TableContents"/>
              <w:bidi w:val="0"/>
              <w:spacing w:before="0" w:after="283"/>
              <w:jc w:val="left"/>
              <w:rPr/>
            </w:pPr>
            <w:r>
              <w:rPr/>
              <w:t> </w:t>
            </w:r>
          </w:p>
        </w:tc>
      </w:tr>
      <w:tr>
        <w:trPr/>
        <w:tc>
          <w:tcPr>
            <w:tcW w:w="3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realized gains (losses)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8,240</w:t>
            </w:r>
          </w:p>
        </w:tc>
        <w:tc>
          <w:tcPr>
            <w:tcW w:w="391" w:type="dxa"/>
            <w:tcBorders/>
            <w:shd w:fill="CFF0FC"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amortization of discount on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11,843</w:t>
            </w:r>
          </w:p>
        </w:tc>
        <w:tc>
          <w:tcPr>
            <w:tcW w:w="391" w:type="dxa"/>
            <w:tcBorders/>
            <w:shd w:fill="FFFFFF" w:val="clear"/>
            <w:vAlign w:val="center"/>
          </w:tcPr>
          <w:p>
            <w:pPr>
              <w:pStyle w:val="TableContents"/>
              <w:bidi w:val="0"/>
              <w:spacing w:before="0" w:after="283"/>
              <w:jc w:val="left"/>
              <w:rPr/>
            </w:pPr>
            <w:r>
              <w:rPr/>
              <w:t> </w:t>
            </w:r>
          </w:p>
        </w:tc>
      </w:tr>
      <w:tr>
        <w:trPr/>
        <w:tc>
          <w:tcPr>
            <w:tcW w:w="3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Transfers within Level 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Transfers into (out of) Level 3</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52"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2,831,046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3,040,616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Certain of the Company's investment positions in Copper Bidco, LLC were transferred into Level 3 from Level 2 for fair value measurement purposes during the nine months ended September 30, 2023, as a result of changes in the observability of inputs into the security valuation for this portfolio company.</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tables present the changes in the fair value of investments for which Level 3 inputs were used to determine the fair value as of and for the three and nine months ended September 30, 2022:</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52"/>
        <w:gridCol w:w="146"/>
        <w:gridCol w:w="211"/>
        <w:gridCol w:w="931"/>
        <w:gridCol w:w="166"/>
        <w:gridCol w:w="146"/>
        <w:gridCol w:w="225"/>
        <w:gridCol w:w="721"/>
        <w:gridCol w:w="166"/>
        <w:gridCol w:w="146"/>
        <w:gridCol w:w="225"/>
        <w:gridCol w:w="721"/>
        <w:gridCol w:w="166"/>
        <w:gridCol w:w="146"/>
        <w:gridCol w:w="211"/>
        <w:gridCol w:w="781"/>
        <w:gridCol w:w="166"/>
        <w:gridCol w:w="146"/>
        <w:gridCol w:w="211"/>
        <w:gridCol w:w="931"/>
        <w:gridCol w:w="391"/>
      </w:tblGrid>
      <w:tr>
        <w:trPr/>
        <w:tc>
          <w:tcPr>
            <w:tcW w:w="3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16"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391" w:type="dxa"/>
            <w:tcBorders/>
            <w:shd w:fill="FFFFFF" w:val="clear"/>
            <w:vAlign w:val="center"/>
          </w:tcPr>
          <w:p>
            <w:pPr>
              <w:pStyle w:val="TableContents"/>
              <w:bidi w:val="0"/>
              <w:spacing w:before="0" w:after="283"/>
              <w:jc w:val="center"/>
              <w:rPr/>
            </w:pPr>
            <w:r>
              <w:rPr/>
              <w:t> </w:t>
            </w:r>
          </w:p>
        </w:tc>
      </w:tr>
      <w:tr>
        <w:trPr/>
        <w:tc>
          <w:tcPr>
            <w:tcW w:w="3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1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beginning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2,295,057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41,523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137,581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2,484,558</w:t>
            </w:r>
          </w:p>
        </w:tc>
        <w:tc>
          <w:tcPr>
            <w:tcW w:w="391" w:type="dxa"/>
            <w:tcBorders/>
            <w:shd w:fill="CFF0FC"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or originations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243,794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252,149</w:t>
            </w:r>
          </w:p>
        </w:tc>
        <w:tc>
          <w:tcPr>
            <w:tcW w:w="391" w:type="dxa"/>
            <w:tcBorders/>
            <w:shd w:fill="FFFFFF" w:val="clear"/>
            <w:vAlign w:val="center"/>
          </w:tcPr>
          <w:p>
            <w:pPr>
              <w:pStyle w:val="TableContents"/>
              <w:bidi w:val="0"/>
              <w:spacing w:before="0" w:after="283"/>
              <w:jc w:val="left"/>
              <w:rPr/>
            </w:pPr>
            <w:r>
              <w:rPr/>
              <w:t> </w:t>
            </w:r>
          </w:p>
        </w:tc>
      </w:tr>
      <w:tr>
        <w:trPr/>
        <w:tc>
          <w:tcPr>
            <w:tcW w:w="3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Repayments / redemptions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(21,559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(21,559</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 Proceeds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Paid-in-kind interest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2,861</w:t>
            </w:r>
          </w:p>
        </w:tc>
        <w:tc>
          <w:tcPr>
            <w:tcW w:w="391" w:type="dxa"/>
            <w:tcBorders/>
            <w:shd w:fill="CFF0FC"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change in unrealized gains (losses)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(7,332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(11,717</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realized gains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391" w:type="dxa"/>
            <w:tcBorders/>
            <w:shd w:fill="CFF0FC"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amortization of discount on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3,347</w:t>
            </w:r>
          </w:p>
        </w:tc>
        <w:tc>
          <w:tcPr>
            <w:tcW w:w="391" w:type="dxa"/>
            <w:tcBorders/>
            <w:shd w:fill="FFFFFF" w:val="clear"/>
            <w:vAlign w:val="center"/>
          </w:tcPr>
          <w:p>
            <w:pPr>
              <w:pStyle w:val="TableContents"/>
              <w:bidi w:val="0"/>
              <w:spacing w:before="0" w:after="283"/>
              <w:jc w:val="left"/>
              <w:rPr/>
            </w:pPr>
            <w:r>
              <w:rPr/>
              <w:t> </w:t>
            </w:r>
          </w:p>
        </w:tc>
      </w:tr>
      <w:tr>
        <w:trPr/>
        <w:tc>
          <w:tcPr>
            <w:tcW w:w="3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Transfers within Level 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Transfers into (out of) Level 3</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52"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2,516,139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142,389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2,709,694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52"/>
        <w:gridCol w:w="146"/>
        <w:gridCol w:w="211"/>
        <w:gridCol w:w="931"/>
        <w:gridCol w:w="166"/>
        <w:gridCol w:w="146"/>
        <w:gridCol w:w="225"/>
        <w:gridCol w:w="721"/>
        <w:gridCol w:w="166"/>
        <w:gridCol w:w="146"/>
        <w:gridCol w:w="225"/>
        <w:gridCol w:w="721"/>
        <w:gridCol w:w="166"/>
        <w:gridCol w:w="146"/>
        <w:gridCol w:w="211"/>
        <w:gridCol w:w="781"/>
        <w:gridCol w:w="166"/>
        <w:gridCol w:w="146"/>
        <w:gridCol w:w="211"/>
        <w:gridCol w:w="931"/>
        <w:gridCol w:w="391"/>
      </w:tblGrid>
      <w:tr>
        <w:trPr/>
        <w:tc>
          <w:tcPr>
            <w:tcW w:w="3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16"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3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1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beginning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2,298,856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117,233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2,434,638</w:t>
            </w:r>
          </w:p>
        </w:tc>
        <w:tc>
          <w:tcPr>
            <w:tcW w:w="391" w:type="dxa"/>
            <w:tcBorders/>
            <w:shd w:fill="CFF0FC"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or originations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622,416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663,601</w:t>
            </w:r>
          </w:p>
        </w:tc>
        <w:tc>
          <w:tcPr>
            <w:tcW w:w="391" w:type="dxa"/>
            <w:tcBorders/>
            <w:shd w:fill="FFFFFF" w:val="clear"/>
            <w:vAlign w:val="center"/>
          </w:tcPr>
          <w:p>
            <w:pPr>
              <w:pStyle w:val="TableContents"/>
              <w:bidi w:val="0"/>
              <w:spacing w:before="0" w:after="283"/>
              <w:jc w:val="left"/>
              <w:rPr/>
            </w:pPr>
            <w:r>
              <w:rPr/>
              <w:t> </w:t>
            </w:r>
          </w:p>
        </w:tc>
      </w:tr>
      <w:tr>
        <w:trPr/>
        <w:tc>
          <w:tcPr>
            <w:tcW w:w="3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Repayments / redemptions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(383,428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(383,438</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 Proceeds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(18,315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(18,315</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Paid-in-kind interest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9,623</w:t>
            </w:r>
          </w:p>
        </w:tc>
        <w:tc>
          <w:tcPr>
            <w:tcW w:w="391" w:type="dxa"/>
            <w:tcBorders/>
            <w:shd w:fill="CFF0FC"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change in unrealized gains (losses)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(43,946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(6,640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(13,816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(66,031</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realized gains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14,190</w:t>
            </w:r>
          </w:p>
        </w:tc>
        <w:tc>
          <w:tcPr>
            <w:tcW w:w="391" w:type="dxa"/>
            <w:tcBorders/>
            <w:shd w:fill="CFF0FC"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amortization of discount on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12,697</w:t>
            </w:r>
          </w:p>
        </w:tc>
        <w:tc>
          <w:tcPr>
            <w:tcW w:w="391" w:type="dxa"/>
            <w:tcBorders/>
            <w:shd w:fill="FFFFFF" w:val="clear"/>
            <w:vAlign w:val="center"/>
          </w:tcPr>
          <w:p>
            <w:pPr>
              <w:pStyle w:val="TableContents"/>
              <w:bidi w:val="0"/>
              <w:spacing w:before="0" w:after="283"/>
              <w:jc w:val="left"/>
              <w:rPr/>
            </w:pPr>
            <w:r>
              <w:rPr/>
              <w:t> </w:t>
            </w:r>
          </w:p>
        </w:tc>
      </w:tr>
      <w:tr>
        <w:trPr/>
        <w:tc>
          <w:tcPr>
            <w:tcW w:w="3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Transfers within Level 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Transfers into (out of) Level 3</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52"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2,516,139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142,389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2,709,694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Astra Acquisition Corp. was transferred into Level 3 from Level 2 for fair value measurement purposes during the nine months ended September 30, 2022, as a result of changes in the observability of inputs into the security valuation for this portfolio company.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table presents information with respect to the net change in unrealized gains or losses on investments for which Level 3 inputs were used in determining fair value that are still held by the Company at</w:t>
      </w:r>
      <w:r>
        <w:rPr>
          <w:rFonts w:ascii="Times New Roman" w:hAnsi="Times New Roman"/>
          <w:color w:val="000000"/>
          <w:sz w:val="20"/>
        </w:rPr>
        <w:t xml:space="preserve"> </w:t>
      </w:r>
      <w:r>
        <w:rPr>
          <w:rFonts w:ascii="Times New Roman" w:hAnsi="Times New Roman"/>
          <w:b w:val="false"/>
          <w:color w:val="000000"/>
          <w:sz w:val="20"/>
        </w:rPr>
        <w:t>September 30, 2023 and 2022:</w:t>
      </w:r>
      <w:r>
        <w:rPr>
          <w:rFonts w:ascii="Times New Roman" w:hAnsi="Times New Roman"/>
          <w:color w:val="000000"/>
          <w:sz w:val="20"/>
        </w:rPr>
        <w:t xml:space="preserve"> </w:t>
      </w:r>
    </w:p>
    <w:tbl>
      <w:tblPr>
        <w:tblW w:w="7680" w:type="dxa"/>
        <w:jc w:val="left"/>
        <w:tblInd w:w="0" w:type="dxa"/>
        <w:tblLayout w:type="fixed"/>
        <w:tblCellMar>
          <w:top w:w="28" w:type="dxa"/>
          <w:left w:w="28" w:type="dxa"/>
          <w:bottom w:w="28" w:type="dxa"/>
          <w:right w:w="28" w:type="dxa"/>
        </w:tblCellMar>
      </w:tblPr>
      <w:tblGrid>
        <w:gridCol w:w="2521"/>
        <w:gridCol w:w="146"/>
        <w:gridCol w:w="510"/>
        <w:gridCol w:w="1635"/>
        <w:gridCol w:w="166"/>
        <w:gridCol w:w="146"/>
        <w:gridCol w:w="478"/>
        <w:gridCol w:w="1667"/>
        <w:gridCol w:w="4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41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41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41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 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 on</w:t>
            </w:r>
          </w:p>
        </w:tc>
        <w:tc>
          <w:tcPr>
            <w:tcW w:w="41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41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5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(8,880</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510" w:type="dxa"/>
            <w:tcBorders/>
            <w:shd w:fill="FFFFFF" w:val="clear"/>
            <w:vAlign w:val="center"/>
          </w:tcPr>
          <w:p>
            <w:pPr>
              <w:pStyle w:val="TableContents"/>
              <w:bidi w:val="0"/>
              <w:spacing w:before="0" w:after="283"/>
              <w:jc w:val="left"/>
              <w:rPr/>
            </w:pPr>
            <w:r>
              <w:rPr/>
              <w:t> </w:t>
            </w:r>
          </w:p>
        </w:tc>
        <w:tc>
          <w:tcPr>
            <w:tcW w:w="16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8" w:type="dxa"/>
            <w:tcBorders/>
            <w:shd w:fill="FFFFFF" w:val="clear"/>
            <w:vAlign w:val="center"/>
          </w:tcPr>
          <w:p>
            <w:pPr>
              <w:pStyle w:val="TableContents"/>
              <w:bidi w:val="0"/>
              <w:spacing w:before="0" w:after="283"/>
              <w:jc w:val="left"/>
              <w:rPr/>
            </w:pPr>
            <w:r>
              <w:rPr/>
              <w:t> </w:t>
            </w:r>
          </w:p>
        </w:tc>
        <w:tc>
          <w:tcPr>
            <w:tcW w:w="16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510" w:type="dxa"/>
            <w:tcBorders/>
            <w:shd w:fill="CFF0FC" w:val="clear"/>
            <w:vAlign w:val="center"/>
          </w:tcPr>
          <w:p>
            <w:pPr>
              <w:pStyle w:val="TableContents"/>
              <w:bidi w:val="0"/>
              <w:spacing w:before="0" w:after="283"/>
              <w:jc w:val="left"/>
              <w:rPr/>
            </w:pPr>
            <w:r>
              <w:rPr/>
              <w:t> </w:t>
            </w:r>
          </w:p>
        </w:tc>
        <w:tc>
          <w:tcPr>
            <w:tcW w:w="16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8" w:type="dxa"/>
            <w:tcBorders/>
            <w:shd w:fill="CFF0FC" w:val="clear"/>
            <w:vAlign w:val="center"/>
          </w:tcPr>
          <w:p>
            <w:pPr>
              <w:pStyle w:val="TableContents"/>
              <w:bidi w:val="0"/>
              <w:spacing w:before="0" w:after="283"/>
              <w:jc w:val="left"/>
              <w:rPr/>
            </w:pPr>
            <w:r>
              <w:rPr/>
              <w:t> </w:t>
            </w:r>
          </w:p>
        </w:tc>
        <w:tc>
          <w:tcPr>
            <w:tcW w:w="16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(13,265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480" w:type="dxa"/>
        <w:jc w:val="left"/>
        <w:tblInd w:w="0" w:type="dxa"/>
        <w:tblLayout w:type="fixed"/>
        <w:tblCellMar>
          <w:top w:w="28" w:type="dxa"/>
          <w:left w:w="28" w:type="dxa"/>
          <w:bottom w:w="28" w:type="dxa"/>
          <w:right w:w="28" w:type="dxa"/>
        </w:tblCellMar>
      </w:tblPr>
      <w:tblGrid>
        <w:gridCol w:w="2521"/>
        <w:gridCol w:w="146"/>
        <w:gridCol w:w="488"/>
        <w:gridCol w:w="1567"/>
        <w:gridCol w:w="166"/>
        <w:gridCol w:w="146"/>
        <w:gridCol w:w="458"/>
        <w:gridCol w:w="1597"/>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 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 on</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4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(39,664</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488"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(6,140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58"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(1,629</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488" w:type="dxa"/>
            <w:tcBorders/>
            <w:shd w:fill="CFF0FC" w:val="clear"/>
            <w:vAlign w:val="center"/>
          </w:tcPr>
          <w:p>
            <w:pPr>
              <w:pStyle w:val="TableContents"/>
              <w:bidi w:val="0"/>
              <w:spacing w:before="0" w:after="283"/>
              <w:jc w:val="left"/>
              <w:rPr/>
            </w:pPr>
            <w:r>
              <w:rPr/>
              <w:t> </w:t>
            </w:r>
          </w:p>
        </w:tc>
        <w:tc>
          <w:tcPr>
            <w:tcW w:w="15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8" w:type="dxa"/>
            <w:tcBorders/>
            <w:shd w:fill="CFF0FC" w:val="clear"/>
            <w:vAlign w:val="center"/>
          </w:tcPr>
          <w:p>
            <w:pPr>
              <w:pStyle w:val="TableContents"/>
              <w:bidi w:val="0"/>
              <w:spacing w:before="0" w:after="283"/>
              <w:jc w:val="left"/>
              <w:rPr/>
            </w:pPr>
            <w:r>
              <w:rPr/>
              <w:t> </w:t>
            </w:r>
          </w:p>
        </w:tc>
        <w:tc>
          <w:tcPr>
            <w:tcW w:w="15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(6,639</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The following tables present the fair value of Level 3 Investments at fair value and the significant unobservable inputs used in the valuations as of September 30, 2023 and December 31, 2022. The tables are not intended to be all-inclusive, but instead capture the significant unobservable inputs relevant to the Company’s determination of fair values.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0"/>
        <w:gridCol w:w="146"/>
        <w:gridCol w:w="196"/>
        <w:gridCol w:w="826"/>
        <w:gridCol w:w="146"/>
        <w:gridCol w:w="146"/>
        <w:gridCol w:w="1435"/>
        <w:gridCol w:w="146"/>
        <w:gridCol w:w="1513"/>
        <w:gridCol w:w="146"/>
        <w:gridCol w:w="1795"/>
        <w:gridCol w:w="146"/>
        <w:gridCol w:w="1534"/>
      </w:tblGrid>
      <w:tr>
        <w:trPr/>
        <w:tc>
          <w:tcPr>
            <w:tcW w:w="2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2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r>
      <w:tr>
        <w:trPr/>
        <w:tc>
          <w:tcPr>
            <w:tcW w:w="20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vAlign w:val="center"/>
          </w:tcPr>
          <w:p>
            <w:pPr>
              <w:pStyle w:val="TableContents"/>
              <w:bidi w:val="0"/>
              <w:spacing w:before="0" w:after="283"/>
              <w:jc w:val="left"/>
              <w:rPr/>
            </w:pPr>
            <w:r>
              <w:rPr/>
              <w:t> </w:t>
            </w:r>
          </w:p>
        </w:tc>
        <w:tc>
          <w:tcPr>
            <w:tcW w:w="1795"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0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03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First-lien debt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2,831,046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35"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Income approach</w:t>
            </w:r>
            <w:r>
              <w:rPr>
                <w:rFonts w:ascii="Times New Roman" w:hAnsi="Times New Roman"/>
                <w:color w:val="000000"/>
                <w:sz w:val="18"/>
              </w:rPr>
              <w:t> </w:t>
            </w:r>
            <w:r>
              <w:rPr>
                <w:rFonts w:ascii="Times New Roman" w:hAnsi="Times New Roman"/>
                <w:b w:val="false"/>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Discount rate</w:t>
            </w:r>
          </w:p>
        </w:tc>
        <w:tc>
          <w:tcPr>
            <w:tcW w:w="146" w:type="dxa"/>
            <w:tcBorders/>
            <w:shd w:fill="CFF0FC" w:val="clear"/>
            <w:vAlign w:val="center"/>
          </w:tcPr>
          <w:p>
            <w:pPr>
              <w:pStyle w:val="TableContents"/>
              <w:bidi w:val="0"/>
              <w:spacing w:before="0" w:after="283"/>
              <w:jc w:val="left"/>
              <w:rPr/>
            </w:pPr>
            <w:r>
              <w:rPr/>
              <w:t> </w:t>
            </w:r>
          </w:p>
        </w:tc>
        <w:tc>
          <w:tcPr>
            <w:tcW w:w="1795"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9.8% — 18.0% (14.5%)</w:t>
            </w:r>
          </w:p>
        </w:tc>
        <w:tc>
          <w:tcPr>
            <w:tcW w:w="146" w:type="dxa"/>
            <w:tcBorders/>
            <w:shd w:fill="CFF0FC" w:val="clear"/>
            <w:vAlign w:val="center"/>
          </w:tcPr>
          <w:p>
            <w:pPr>
              <w:pStyle w:val="TableContents"/>
              <w:bidi w:val="0"/>
              <w:spacing w:before="0" w:after="283"/>
              <w:jc w:val="left"/>
              <w:rPr/>
            </w:pPr>
            <w:r>
              <w:rPr/>
              <w:t> </w:t>
            </w:r>
          </w:p>
        </w:tc>
        <w:tc>
          <w:tcPr>
            <w:tcW w:w="153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Decrease</w:t>
            </w:r>
          </w:p>
        </w:tc>
      </w:tr>
      <w:tr>
        <w:trPr/>
        <w:tc>
          <w:tcPr>
            <w:tcW w:w="203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Second-lien debt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Income approach</w:t>
            </w:r>
            <w:r>
              <w:rPr>
                <w:rFonts w:ascii="Times New Roman" w:hAnsi="Times New Roman"/>
                <w:color w:val="000000"/>
                <w:sz w:val="18"/>
              </w:rPr>
              <w:t> </w:t>
            </w:r>
            <w:r>
              <w:rPr>
                <w:rFonts w:ascii="Times New Roman" w:hAnsi="Times New Roman"/>
                <w:b w:val="false"/>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Discount rate</w:t>
            </w:r>
          </w:p>
        </w:tc>
        <w:tc>
          <w:tcPr>
            <w:tcW w:w="146" w:type="dxa"/>
            <w:tcBorders/>
            <w:shd w:fill="FFFFFF" w:val="clear"/>
            <w:vAlign w:val="center"/>
          </w:tcPr>
          <w:p>
            <w:pPr>
              <w:pStyle w:val="TableContents"/>
              <w:bidi w:val="0"/>
              <w:spacing w:before="0" w:after="283"/>
              <w:jc w:val="left"/>
              <w:rPr/>
            </w:pPr>
            <w:r>
              <w:rPr/>
              <w:t> </w:t>
            </w:r>
          </w:p>
        </w:tc>
        <w:tc>
          <w:tcPr>
            <w:tcW w:w="1795"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15.5% — 15.5% (15.5%)</w:t>
            </w:r>
          </w:p>
        </w:tc>
        <w:tc>
          <w:tcPr>
            <w:tcW w:w="146"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Decrease</w:t>
            </w:r>
          </w:p>
        </w:tc>
      </w:tr>
      <w:tr>
        <w:trPr/>
        <w:tc>
          <w:tcPr>
            <w:tcW w:w="203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Mezzanine debt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36,267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35"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 xml:space="preserve">Income approach </w:t>
            </w:r>
            <w:r>
              <w:rPr>
                <w:rFonts w:ascii="Times New Roman" w:hAnsi="Times New Roman"/>
                <w:b w:val="false"/>
                <w:color w:val="000000"/>
                <w:sz w:val="12"/>
              </w:rPr>
              <w:t>(3)</w:t>
            </w:r>
          </w:p>
        </w:tc>
        <w:tc>
          <w:tcPr>
            <w:tcW w:w="146"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Discount rate</w:t>
            </w:r>
          </w:p>
        </w:tc>
        <w:tc>
          <w:tcPr>
            <w:tcW w:w="146" w:type="dxa"/>
            <w:tcBorders/>
            <w:shd w:fill="CFF0FC" w:val="clear"/>
            <w:vAlign w:val="center"/>
          </w:tcPr>
          <w:p>
            <w:pPr>
              <w:pStyle w:val="TableContents"/>
              <w:bidi w:val="0"/>
              <w:spacing w:before="0" w:after="283"/>
              <w:jc w:val="left"/>
              <w:rPr/>
            </w:pPr>
            <w:r>
              <w:rPr/>
              <w:t> </w:t>
            </w:r>
          </w:p>
        </w:tc>
        <w:tc>
          <w:tcPr>
            <w:tcW w:w="1795"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15.0% — 22.5% (15.6%)</w:t>
            </w:r>
          </w:p>
        </w:tc>
        <w:tc>
          <w:tcPr>
            <w:tcW w:w="146" w:type="dxa"/>
            <w:tcBorders/>
            <w:shd w:fill="CFF0FC" w:val="clear"/>
            <w:vAlign w:val="center"/>
          </w:tcPr>
          <w:p>
            <w:pPr>
              <w:pStyle w:val="TableContents"/>
              <w:bidi w:val="0"/>
              <w:spacing w:before="0" w:after="283"/>
              <w:jc w:val="left"/>
              <w:rPr/>
            </w:pPr>
            <w:r>
              <w:rPr/>
              <w:t> </w:t>
            </w:r>
          </w:p>
        </w:tc>
        <w:tc>
          <w:tcPr>
            <w:tcW w:w="153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Decrease</w:t>
            </w:r>
          </w:p>
        </w:tc>
      </w:tr>
      <w:tr>
        <w:trPr/>
        <w:tc>
          <w:tcPr>
            <w:tcW w:w="203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Equity and other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133,363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Market</w:t>
            </w:r>
            <w:r>
              <w:rPr>
                <w:rFonts w:ascii="Times New Roman" w:hAnsi="Times New Roman"/>
                <w:color w:val="000000"/>
                <w:sz w:val="18"/>
              </w:rPr>
              <w:t xml:space="preserve"> </w:t>
            </w:r>
            <w:r>
              <w:rPr>
                <w:rFonts w:ascii="Times New Roman" w:hAnsi="Times New Roman"/>
                <w:b w:val="false"/>
                <w:color w:val="000000"/>
                <w:sz w:val="18"/>
              </w:rPr>
              <w:t xml:space="preserve">Multiple </w:t>
            </w:r>
            <w:r>
              <w:rPr>
                <w:rFonts w:ascii="Times New Roman" w:hAnsi="Times New Roman"/>
                <w:b w:val="false"/>
                <w:color w:val="000000"/>
                <w:sz w:val="12"/>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Comparable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2.0x — 22.5x (6.8x)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Increase</w:t>
            </w:r>
          </w:p>
        </w:tc>
      </w:tr>
      <w:tr>
        <w:trPr/>
        <w:tc>
          <w:tcPr>
            <w:tcW w:w="2030"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3,040,616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3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34"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40" w:after="283"/>
        <w:jc w:val="left"/>
        <w:rPr>
          <w:rFonts w:ascii="Times New Roman" w:hAnsi="Times New Roman"/>
          <w:sz w:val="20"/>
        </w:rPr>
      </w:pPr>
      <w:r>
        <w:rPr>
          <w:rFonts w:ascii="Times New Roman" w:hAnsi="Times New Roman"/>
          <w:b w:val="false"/>
          <w:color w:val="000000"/>
          <w:sz w:val="20"/>
        </w:rPr>
        <w:t>Includes $20.6</w:t>
      </w:r>
      <w:r>
        <w:rPr>
          <w:rFonts w:ascii="Times New Roman" w:hAnsi="Times New Roman"/>
          <w:color w:val="000000"/>
          <w:sz w:val="20"/>
        </w:rPr>
        <w:t xml:space="preserve"> </w:t>
      </w:r>
      <w:r>
        <w:rPr>
          <w:rFonts w:ascii="Times New Roman" w:hAnsi="Times New Roman"/>
          <w:b w:val="false"/>
          <w:color w:val="000000"/>
          <w:sz w:val="20"/>
        </w:rPr>
        <w:t xml:space="preserve">million of debt investments which were valued using an asset valuation waterfall.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40" w:after="283"/>
        <w:jc w:val="left"/>
        <w:rPr>
          <w:rFonts w:ascii="Times New Roman" w:hAnsi="Times New Roman"/>
          <w:sz w:val="20"/>
        </w:rPr>
      </w:pPr>
      <w:r>
        <w:rPr>
          <w:rFonts w:ascii="Times New Roman" w:hAnsi="Times New Roman"/>
          <w:b w:val="false"/>
          <w:color w:val="000000"/>
          <w:sz w:val="20"/>
        </w:rPr>
        <w:t>Includes $34.6</w:t>
      </w:r>
      <w:r>
        <w:rPr>
          <w:rFonts w:ascii="Times New Roman" w:hAnsi="Times New Roman"/>
          <w:color w:val="000000"/>
          <w:sz w:val="20"/>
        </w:rPr>
        <w:t xml:space="preserve"> </w:t>
      </w:r>
      <w:r>
        <w:rPr>
          <w:rFonts w:ascii="Times New Roman" w:hAnsi="Times New Roman"/>
          <w:b w:val="false"/>
          <w:color w:val="000000"/>
          <w:sz w:val="20"/>
        </w:rPr>
        <w:t>million of debt investments which were valued using an asset valuation waterfall.</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40" w:after="283"/>
        <w:jc w:val="left"/>
        <w:rPr>
          <w:rFonts w:ascii="Times New Roman" w:hAnsi="Times New Roman"/>
          <w:sz w:val="20"/>
        </w:rPr>
      </w:pPr>
      <w:r>
        <w:rPr>
          <w:rFonts w:ascii="Times New Roman" w:hAnsi="Times New Roman"/>
          <w:b w:val="false"/>
          <w:color w:val="000000"/>
          <w:sz w:val="20"/>
        </w:rPr>
        <w:t>Includes $0.1</w:t>
      </w:r>
      <w:r>
        <w:rPr>
          <w:rFonts w:ascii="Times New Roman" w:hAnsi="Times New Roman"/>
          <w:color w:val="000000"/>
          <w:sz w:val="20"/>
        </w:rPr>
        <w:t xml:space="preserve"> </w:t>
      </w:r>
      <w:r>
        <w:rPr>
          <w:rFonts w:ascii="Times New Roman" w:hAnsi="Times New Roman"/>
          <w:b w:val="false"/>
          <w:color w:val="000000"/>
          <w:sz w:val="20"/>
        </w:rPr>
        <w:t>million of debt investments which were valued using an asset valuation waterfall.</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40" w:after="283"/>
        <w:jc w:val="left"/>
        <w:rPr>
          <w:rFonts w:ascii="Times New Roman" w:hAnsi="Times New Roman"/>
          <w:sz w:val="20"/>
        </w:rPr>
      </w:pPr>
      <w:r>
        <w:rPr>
          <w:rFonts w:ascii="Times New Roman" w:hAnsi="Times New Roman"/>
          <w:b w:val="false"/>
          <w:color w:val="000000"/>
          <w:sz w:val="20"/>
        </w:rPr>
        <w:t>Includes $10.3</w:t>
      </w:r>
      <w:r>
        <w:rPr>
          <w:rFonts w:ascii="Times New Roman" w:hAnsi="Times New Roman"/>
          <w:color w:val="000000"/>
          <w:sz w:val="20"/>
        </w:rPr>
        <w:t xml:space="preserve"> </w:t>
      </w:r>
      <w:r>
        <w:rPr>
          <w:rFonts w:ascii="Times New Roman" w:hAnsi="Times New Roman"/>
          <w:b w:val="false"/>
          <w:color w:val="000000"/>
          <w:sz w:val="20"/>
        </w:rPr>
        <w:t>million of equity investments which were valued using an asset valuation waterfall, $2.1</w:t>
      </w:r>
      <w:r>
        <w:rPr>
          <w:rFonts w:ascii="Times New Roman" w:hAnsi="Times New Roman"/>
          <w:color w:val="000000"/>
          <w:sz w:val="20"/>
        </w:rPr>
        <w:t xml:space="preserve"> </w:t>
      </w:r>
      <w:r>
        <w:rPr>
          <w:rFonts w:ascii="Times New Roman" w:hAnsi="Times New Roman"/>
          <w:b w:val="false"/>
          <w:color w:val="000000"/>
          <w:sz w:val="20"/>
        </w:rPr>
        <w:t>million of equity investments using a Black-Scholes model, and $14.9</w:t>
      </w:r>
      <w:r>
        <w:rPr>
          <w:rFonts w:ascii="Times New Roman" w:hAnsi="Times New Roman"/>
          <w:color w:val="000000"/>
          <w:sz w:val="20"/>
        </w:rPr>
        <w:t xml:space="preserve"> </w:t>
      </w:r>
      <w:r>
        <w:rPr>
          <w:rFonts w:ascii="Times New Roman" w:hAnsi="Times New Roman"/>
          <w:b w:val="false"/>
          <w:color w:val="000000"/>
          <w:sz w:val="20"/>
        </w:rPr>
        <w:t>million using discounted cash flow analysis.</w:t>
      </w:r>
    </w:p>
    <w:tbl>
      <w:tblPr>
        <w:tblW w:w="10205" w:type="dxa"/>
        <w:jc w:val="left"/>
        <w:tblInd w:w="0" w:type="dxa"/>
        <w:tblLayout w:type="fixed"/>
        <w:tblCellMar>
          <w:top w:w="28" w:type="dxa"/>
          <w:left w:w="28" w:type="dxa"/>
          <w:bottom w:w="28" w:type="dxa"/>
          <w:right w:w="28" w:type="dxa"/>
        </w:tblCellMar>
      </w:tblPr>
      <w:tblGrid>
        <w:gridCol w:w="2033"/>
        <w:gridCol w:w="146"/>
        <w:gridCol w:w="196"/>
        <w:gridCol w:w="826"/>
        <w:gridCol w:w="146"/>
        <w:gridCol w:w="146"/>
        <w:gridCol w:w="1429"/>
        <w:gridCol w:w="146"/>
        <w:gridCol w:w="1514"/>
        <w:gridCol w:w="146"/>
        <w:gridCol w:w="1797"/>
        <w:gridCol w:w="146"/>
        <w:gridCol w:w="1534"/>
      </w:tblGrid>
      <w:tr>
        <w:trPr/>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2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r>
      <w:tr>
        <w:trPr/>
        <w:tc>
          <w:tcPr>
            <w:tcW w:w="20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0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03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First-lien debt investments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2,495,959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29"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 xml:space="preserve">Income approach </w:t>
            </w:r>
            <w:r>
              <w:rPr>
                <w:rFonts w:ascii="Times New Roman" w:hAnsi="Times New Roman"/>
                <w:b w:val="false"/>
                <w:color w:val="000000"/>
                <w:sz w:val="12"/>
              </w:rPr>
              <w:t>(1)</w:t>
            </w:r>
          </w:p>
        </w:tc>
        <w:tc>
          <w:tcPr>
            <w:tcW w:w="146" w:type="dxa"/>
            <w:tcBorders/>
            <w:shd w:fill="CFF0FC" w:val="clear"/>
            <w:vAlign w:val="center"/>
          </w:tcPr>
          <w:p>
            <w:pPr>
              <w:pStyle w:val="TableContents"/>
              <w:bidi w:val="0"/>
              <w:spacing w:before="0" w:after="283"/>
              <w:jc w:val="right"/>
              <w:rPr/>
            </w:pPr>
            <w:r>
              <w:rPr/>
              <w:t> </w:t>
            </w:r>
          </w:p>
        </w:tc>
        <w:tc>
          <w:tcPr>
            <w:tcW w:w="151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Discount rate</w:t>
            </w:r>
          </w:p>
        </w:tc>
        <w:tc>
          <w:tcPr>
            <w:tcW w:w="146" w:type="dxa"/>
            <w:tcBorders/>
            <w:shd w:fill="CFF0FC" w:val="clear"/>
            <w:vAlign w:val="center"/>
          </w:tcPr>
          <w:p>
            <w:pPr>
              <w:pStyle w:val="TableContents"/>
              <w:bidi w:val="0"/>
              <w:spacing w:before="0" w:after="283"/>
              <w:jc w:val="right"/>
              <w:rPr/>
            </w:pPr>
            <w:r>
              <w:rPr/>
              <w:t> </w:t>
            </w:r>
          </w:p>
        </w:tc>
        <w:tc>
          <w:tcPr>
            <w:tcW w:w="1797"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9.3% — 18.5% (15.1%)</w:t>
            </w:r>
          </w:p>
        </w:tc>
        <w:tc>
          <w:tcPr>
            <w:tcW w:w="146" w:type="dxa"/>
            <w:tcBorders/>
            <w:shd w:fill="CFF0FC" w:val="clear"/>
            <w:vAlign w:val="center"/>
          </w:tcPr>
          <w:p>
            <w:pPr>
              <w:pStyle w:val="TableContents"/>
              <w:bidi w:val="0"/>
              <w:spacing w:before="0" w:after="283"/>
              <w:jc w:val="right"/>
              <w:rPr/>
            </w:pPr>
            <w:r>
              <w:rPr/>
              <w:t> </w:t>
            </w:r>
          </w:p>
        </w:tc>
        <w:tc>
          <w:tcPr>
            <w:tcW w:w="153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Decrease</w:t>
            </w:r>
          </w:p>
        </w:tc>
      </w:tr>
      <w:tr>
        <w:trPr/>
        <w:tc>
          <w:tcPr>
            <w:tcW w:w="203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40,762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2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Income approach</w:t>
            </w:r>
          </w:p>
        </w:tc>
        <w:tc>
          <w:tcPr>
            <w:tcW w:w="146" w:type="dxa"/>
            <w:tcBorders/>
            <w:shd w:fill="FFFFFF" w:val="clear"/>
            <w:vAlign w:val="center"/>
          </w:tcPr>
          <w:p>
            <w:pPr>
              <w:pStyle w:val="TableContents"/>
              <w:bidi w:val="0"/>
              <w:spacing w:before="0" w:after="283"/>
              <w:jc w:val="right"/>
              <w:rPr/>
            </w:pPr>
            <w:r>
              <w:rPr/>
              <w:t> </w:t>
            </w:r>
          </w:p>
        </w:tc>
        <w:tc>
          <w:tcPr>
            <w:tcW w:w="151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Discount rate</w:t>
            </w:r>
          </w:p>
        </w:tc>
        <w:tc>
          <w:tcPr>
            <w:tcW w:w="146" w:type="dxa"/>
            <w:tcBorders/>
            <w:shd w:fill="FFFFFF" w:val="clear"/>
            <w:vAlign w:val="center"/>
          </w:tcPr>
          <w:p>
            <w:pPr>
              <w:pStyle w:val="TableContents"/>
              <w:bidi w:val="0"/>
              <w:spacing w:before="0" w:after="283"/>
              <w:jc w:val="right"/>
              <w:rPr/>
            </w:pPr>
            <w:r>
              <w:rPr/>
              <w:t> </w:t>
            </w:r>
          </w:p>
        </w:tc>
        <w:tc>
          <w:tcPr>
            <w:tcW w:w="1797"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19.6% — 19.6% (19.6%)</w:t>
            </w:r>
          </w:p>
        </w:tc>
        <w:tc>
          <w:tcPr>
            <w:tcW w:w="146" w:type="dxa"/>
            <w:tcBorders/>
            <w:shd w:fill="FFFFFF" w:val="clear"/>
            <w:vAlign w:val="center"/>
          </w:tcPr>
          <w:p>
            <w:pPr>
              <w:pStyle w:val="TableContents"/>
              <w:bidi w:val="0"/>
              <w:spacing w:before="0" w:after="283"/>
              <w:jc w:val="right"/>
              <w:rPr/>
            </w:pPr>
            <w:r>
              <w:rPr/>
              <w:t> </w:t>
            </w:r>
          </w:p>
        </w:tc>
        <w:tc>
          <w:tcPr>
            <w:tcW w:w="153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Decrease</w:t>
            </w:r>
          </w:p>
        </w:tc>
      </w:tr>
      <w:tr>
        <w:trPr/>
        <w:tc>
          <w:tcPr>
            <w:tcW w:w="203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Mezzanine debt investments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29"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 xml:space="preserve">Income approach </w:t>
            </w:r>
            <w:r>
              <w:rPr>
                <w:rFonts w:ascii="Times New Roman" w:hAnsi="Times New Roman"/>
                <w:b w:val="false"/>
                <w:color w:val="000000"/>
                <w:sz w:val="12"/>
              </w:rPr>
              <w:t>(2)</w:t>
            </w:r>
          </w:p>
        </w:tc>
        <w:tc>
          <w:tcPr>
            <w:tcW w:w="146" w:type="dxa"/>
            <w:tcBorders/>
            <w:shd w:fill="CFF0FC" w:val="clear"/>
            <w:vAlign w:val="center"/>
          </w:tcPr>
          <w:p>
            <w:pPr>
              <w:pStyle w:val="TableContents"/>
              <w:bidi w:val="0"/>
              <w:spacing w:before="0" w:after="283"/>
              <w:jc w:val="right"/>
              <w:rPr/>
            </w:pPr>
            <w:r>
              <w:rPr/>
              <w:t> </w:t>
            </w:r>
          </w:p>
        </w:tc>
        <w:tc>
          <w:tcPr>
            <w:tcW w:w="151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Discount rate</w:t>
            </w:r>
          </w:p>
        </w:tc>
        <w:tc>
          <w:tcPr>
            <w:tcW w:w="146" w:type="dxa"/>
            <w:tcBorders/>
            <w:shd w:fill="CFF0FC" w:val="clear"/>
            <w:vAlign w:val="center"/>
          </w:tcPr>
          <w:p>
            <w:pPr>
              <w:pStyle w:val="TableContents"/>
              <w:bidi w:val="0"/>
              <w:spacing w:before="0" w:after="283"/>
              <w:jc w:val="right"/>
              <w:rPr/>
            </w:pPr>
            <w:r>
              <w:rPr/>
              <w:t> </w:t>
            </w:r>
          </w:p>
        </w:tc>
        <w:tc>
          <w:tcPr>
            <w:tcW w:w="1797"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14.5% — 18.0% (16.0%)</w:t>
            </w:r>
          </w:p>
        </w:tc>
        <w:tc>
          <w:tcPr>
            <w:tcW w:w="146" w:type="dxa"/>
            <w:tcBorders/>
            <w:shd w:fill="CFF0FC" w:val="clear"/>
            <w:vAlign w:val="center"/>
          </w:tcPr>
          <w:p>
            <w:pPr>
              <w:pStyle w:val="TableContents"/>
              <w:bidi w:val="0"/>
              <w:spacing w:before="0" w:after="283"/>
              <w:jc w:val="right"/>
              <w:rPr/>
            </w:pPr>
            <w:r>
              <w:rPr/>
              <w:t> </w:t>
            </w:r>
          </w:p>
        </w:tc>
        <w:tc>
          <w:tcPr>
            <w:tcW w:w="153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Decrease</w:t>
            </w:r>
          </w:p>
        </w:tc>
      </w:tr>
      <w:tr>
        <w:trPr/>
        <w:tc>
          <w:tcPr>
            <w:tcW w:w="203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147,059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Market</w:t>
            </w:r>
            <w:r>
              <w:rPr>
                <w:rFonts w:ascii="Times New Roman" w:hAnsi="Times New Roman"/>
                <w:color w:val="000000"/>
                <w:sz w:val="18"/>
              </w:rPr>
              <w:t xml:space="preserve"> </w:t>
            </w:r>
            <w:r>
              <w:rPr>
                <w:rFonts w:ascii="Times New Roman" w:hAnsi="Times New Roman"/>
                <w:b w:val="false"/>
                <w:color w:val="000000"/>
                <w:sz w:val="18"/>
              </w:rPr>
              <w:t xml:space="preserve">Multiple </w:t>
            </w:r>
            <w:r>
              <w:rPr>
                <w:rFonts w:ascii="Times New Roman" w:hAnsi="Times New Roman"/>
                <w:b w:val="false"/>
                <w:color w:val="000000"/>
                <w:sz w:val="12"/>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Comparable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2.0x — 26.6x (7.9x)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Increase</w:t>
            </w:r>
          </w:p>
        </w:tc>
      </w:tr>
      <w:tr>
        <w:trPr/>
        <w:tc>
          <w:tcPr>
            <w:tcW w:w="2033"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2,693,938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1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534"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40" w:after="283"/>
        <w:jc w:val="left"/>
        <w:rPr>
          <w:rFonts w:ascii="Times New Roman" w:hAnsi="Times New Roman"/>
          <w:sz w:val="20"/>
        </w:rPr>
      </w:pPr>
      <w:r>
        <w:rPr>
          <w:rFonts w:ascii="Times New Roman" w:hAnsi="Times New Roman"/>
          <w:b w:val="false"/>
          <w:color w:val="000000"/>
          <w:sz w:val="20"/>
        </w:rPr>
        <w:t>Includes $21.0</w:t>
      </w:r>
      <w:r>
        <w:rPr>
          <w:rFonts w:ascii="Times New Roman" w:hAnsi="Times New Roman"/>
          <w:color w:val="000000"/>
          <w:sz w:val="20"/>
        </w:rPr>
        <w:t xml:space="preserve"> </w:t>
      </w:r>
      <w:r>
        <w:rPr>
          <w:rFonts w:ascii="Times New Roman" w:hAnsi="Times New Roman"/>
          <w:b w:val="false"/>
          <w:color w:val="000000"/>
          <w:sz w:val="20"/>
        </w:rPr>
        <w:t>million of first-lien debt investments which were valued using an asset valuation waterfall.</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left"/>
        <w:rPr>
          <w:rFonts w:ascii="Times New Roman" w:hAnsi="Times New Roman"/>
          <w:sz w:val="20"/>
        </w:rPr>
      </w:pPr>
      <w:r>
        <w:rPr>
          <w:rFonts w:ascii="Times New Roman" w:hAnsi="Times New Roman"/>
          <w:b w:val="false"/>
          <w:color w:val="000000"/>
          <w:sz w:val="20"/>
        </w:rPr>
        <w:t>Includes $0.1</w:t>
      </w:r>
      <w:r>
        <w:rPr>
          <w:rFonts w:ascii="Times New Roman" w:hAnsi="Times New Roman"/>
          <w:color w:val="000000"/>
          <w:sz w:val="20"/>
        </w:rPr>
        <w:t xml:space="preserve"> </w:t>
      </w:r>
      <w:r>
        <w:rPr>
          <w:rFonts w:ascii="Times New Roman" w:hAnsi="Times New Roman"/>
          <w:b w:val="false"/>
          <w:color w:val="000000"/>
          <w:sz w:val="20"/>
        </w:rPr>
        <w:t>million of debt investments which were valued using an asset valuation waterfall.</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jc w:val="left"/>
        <w:rPr>
          <w:rFonts w:ascii="Times New Roman" w:hAnsi="Times New Roman"/>
          <w:sz w:val="20"/>
        </w:rPr>
      </w:pPr>
      <w:r>
        <w:rPr>
          <w:rFonts w:ascii="Times New Roman" w:hAnsi="Times New Roman"/>
          <w:b w:val="false"/>
          <w:color w:val="000000"/>
          <w:sz w:val="20"/>
        </w:rPr>
        <w:t>Includes $38.4</w:t>
      </w:r>
      <w:r>
        <w:rPr>
          <w:rFonts w:ascii="Times New Roman" w:hAnsi="Times New Roman"/>
          <w:color w:val="000000"/>
          <w:sz w:val="20"/>
        </w:rPr>
        <w:t xml:space="preserve"> </w:t>
      </w:r>
      <w:r>
        <w:rPr>
          <w:rFonts w:ascii="Times New Roman" w:hAnsi="Times New Roman"/>
          <w:b w:val="false"/>
          <w:color w:val="000000"/>
          <w:sz w:val="20"/>
        </w:rPr>
        <w:t>million of equity investments which were valued using an asset valuation waterfall, $7.5</w:t>
      </w:r>
      <w:r>
        <w:rPr>
          <w:rFonts w:ascii="Times New Roman" w:hAnsi="Times New Roman"/>
          <w:color w:val="000000"/>
          <w:sz w:val="20"/>
        </w:rPr>
        <w:t xml:space="preserve"> </w:t>
      </w:r>
      <w:r>
        <w:rPr>
          <w:rFonts w:ascii="Times New Roman" w:hAnsi="Times New Roman"/>
          <w:b w:val="false"/>
          <w:color w:val="000000"/>
          <w:sz w:val="20"/>
        </w:rPr>
        <w:t>million of equity investments using a Black-Scholes model, and $13.1</w:t>
      </w:r>
      <w:r>
        <w:rPr>
          <w:rFonts w:ascii="Times New Roman" w:hAnsi="Times New Roman"/>
          <w:color w:val="000000"/>
          <w:sz w:val="20"/>
        </w:rPr>
        <w:t xml:space="preserve"> </w:t>
      </w:r>
      <w:r>
        <w:rPr>
          <w:rFonts w:ascii="Times New Roman" w:hAnsi="Times New Roman"/>
          <w:b w:val="false"/>
          <w:color w:val="000000"/>
          <w:sz w:val="20"/>
        </w:rPr>
        <w:t xml:space="preserve">million using a discounted cash flow analysis.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Financial Instruments Not Carried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Debt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fair value of the Company’s Revolving Credit Facility, which is categorized as Level 3 within the fair value hierarchy, as of September 30, 2023 and December 31, 2022, approximates its carrying value as the outstanding balance is callable at carrying value.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table presents the fair value of the Company’s 2023 Notes, 2024 Notes, 2026 Notes and 2028 Notes, as of September 30, 2023 and December 31, 2022.</w:t>
      </w:r>
      <w:r>
        <w:rPr>
          <w:rFonts w:ascii="Times New Roman" w:hAnsi="Times New Roman"/>
          <w:color w:val="000000"/>
          <w:sz w:val="20"/>
        </w:rPr>
        <w:t xml:space="preserve"> </w:t>
      </w:r>
    </w:p>
    <w:p>
      <w:pPr>
        <w:pStyle w:val="TextBody"/>
        <w:bidi w:val="0"/>
        <w:jc w:val="left"/>
        <w:rPr/>
      </w:pPr>
      <w:r>
        <w:rPr/>
        <w:t> </w:t>
      </w:r>
    </w:p>
    <w:tbl>
      <w:tblPr>
        <w:tblW w:w="6460" w:type="dxa"/>
        <w:jc w:val="left"/>
        <w:tblInd w:w="0" w:type="dxa"/>
        <w:tblLayout w:type="fixed"/>
        <w:tblCellMar>
          <w:top w:w="28" w:type="dxa"/>
          <w:left w:w="28" w:type="dxa"/>
          <w:bottom w:w="28" w:type="dxa"/>
          <w:right w:w="28" w:type="dxa"/>
        </w:tblCellMar>
      </w:tblPr>
      <w:tblGrid>
        <w:gridCol w:w="1051"/>
        <w:gridCol w:w="146"/>
        <w:gridCol w:w="213"/>
        <w:gridCol w:w="793"/>
        <w:gridCol w:w="146"/>
        <w:gridCol w:w="146"/>
        <w:gridCol w:w="211"/>
        <w:gridCol w:w="781"/>
        <w:gridCol w:w="146"/>
        <w:gridCol w:w="146"/>
        <w:gridCol w:w="213"/>
        <w:gridCol w:w="793"/>
        <w:gridCol w:w="146"/>
        <w:gridCol w:w="146"/>
        <w:gridCol w:w="211"/>
        <w:gridCol w:w="781"/>
        <w:gridCol w:w="3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w:t>
              <w:br/>
              <w:t xml:space="preserve">Value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w:t>
              <w:br/>
              <w:t xml:space="preserve">Value </w:t>
            </w:r>
            <w:r>
              <w:rPr>
                <w:rFonts w:ascii="Times New Roman" w:hAnsi="Times New Roman"/>
                <w:b/>
                <w:color w:val="000000"/>
                <w:sz w:val="11"/>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 Notes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149,640</w:t>
            </w:r>
          </w:p>
        </w:tc>
        <w:tc>
          <w:tcPr>
            <w:tcW w:w="3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 Notes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336,716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332,853</w:t>
            </w:r>
          </w:p>
        </w:tc>
        <w:tc>
          <w:tcPr>
            <w:tcW w:w="391"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 Notes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264,725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261,750</w:t>
            </w:r>
          </w:p>
        </w:tc>
        <w:tc>
          <w:tcPr>
            <w:tcW w:w="3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2028 Notes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296,360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5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947,500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897,801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797,500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744,243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fair value is based on broker quotes received by the Company and is categorized as Level 2 within the fair value hierarchy.</w:t>
      </w:r>
    </w:p>
    <w:p>
      <w:pPr>
        <w:pStyle w:val="TextBody"/>
        <w:bidi w:val="0"/>
        <w:spacing w:before="360" w:after="283"/>
        <w:jc w:val="left"/>
        <w:rPr>
          <w:rFonts w:ascii="Times New Roman" w:hAnsi="Times New Roman"/>
          <w:sz w:val="20"/>
        </w:rPr>
      </w:pPr>
      <w:r>
        <w:rPr>
          <w:rFonts w:ascii="Times New Roman" w:hAnsi="Times New Roman"/>
          <w:b w:val="false"/>
          <w:color w:val="000000"/>
          <w:sz w:val="20"/>
        </w:rPr>
        <w:t>Other Financial Assets and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carrying amounts of the Company’s assets and liabilities, other than investments at fair value and the 2023 Notes, 2024 Notes, 2026 Notes and 2028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r>
        <w:rPr>
          <w:rFonts w:ascii="Times New Roman" w:hAnsi="Times New Roman"/>
          <w:color w:val="000000"/>
          <w:sz w:val="20"/>
        </w:rPr>
        <w:t xml:space="preserve"> </w:t>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color w:val="000000"/>
          <w:sz w:val="20"/>
        </w:rPr>
        <w:t>7. Debt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Revolving Credit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March 31, 2023, aggregate commitments under the facility were $1.585</w:t>
      </w:r>
      <w:r>
        <w:rPr>
          <w:rFonts w:ascii="Times New Roman" w:hAnsi="Times New Roman"/>
          <w:color w:val="000000"/>
          <w:sz w:val="20"/>
        </w:rPr>
        <w:t xml:space="preserve"> </w:t>
      </w:r>
      <w:r>
        <w:rPr>
          <w:rFonts w:ascii="Times New Roman" w:hAnsi="Times New Roman"/>
          <w:b w:val="false"/>
          <w:color w:val="000000"/>
          <w:sz w:val="20"/>
        </w:rPr>
        <w:t>billion. Pursuant to an amendment to the Revolving Credit Facility dated as of June 12, 2023 (the “Fourteenth Amendment”), the aggregate commitments under the facility were increased to $1.710</w:t>
      </w:r>
      <w:r>
        <w:rPr>
          <w:rFonts w:ascii="Times New Roman" w:hAnsi="Times New Roman"/>
          <w:color w:val="000000"/>
          <w:sz w:val="20"/>
        </w:rPr>
        <w:t xml:space="preserve"> </w:t>
      </w:r>
      <w:r>
        <w:rPr>
          <w:rFonts w:ascii="Times New Roman" w:hAnsi="Times New Roman"/>
          <w:b w:val="false"/>
          <w:color w:val="000000"/>
          <w:sz w:val="20"/>
        </w:rPr>
        <w:t>billion. The facility includes an uncommitted accordion feature that allows the Company, under certain circumstances, to increase the size of the facility to up to $2.0</w:t>
      </w:r>
      <w:r>
        <w:rPr>
          <w:rFonts w:ascii="Times New Roman" w:hAnsi="Times New Roman"/>
          <w:color w:val="000000"/>
          <w:sz w:val="20"/>
        </w:rPr>
        <w:t xml:space="preserve"> </w:t>
      </w:r>
      <w:r>
        <w:rPr>
          <w:rFonts w:ascii="Times New Roman" w:hAnsi="Times New Roman"/>
          <w:b w:val="false"/>
          <w:color w:val="000000"/>
          <w:sz w:val="20"/>
        </w:rPr>
        <w:t>billion.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the Fourteenth Amendment, with respect to $1.465</w:t>
      </w:r>
      <w:r>
        <w:rPr>
          <w:rFonts w:ascii="Times New Roman" w:hAnsi="Times New Roman"/>
          <w:color w:val="000000"/>
          <w:sz w:val="20"/>
        </w:rPr>
        <w:t xml:space="preserve"> </w:t>
      </w:r>
      <w:r>
        <w:rPr>
          <w:rFonts w:ascii="Times New Roman" w:hAnsi="Times New Roman"/>
          <w:b w:val="false"/>
          <w:color w:val="000000"/>
          <w:sz w:val="20"/>
        </w:rPr>
        <w:t>billion in commitments, the revolving period, during which period the Company, subject to certain conditions, may make borrowings under the facility, was extended to June 11, 2027</w:t>
      </w:r>
      <w:r>
        <w:rPr>
          <w:rFonts w:ascii="Times New Roman" w:hAnsi="Times New Roman"/>
          <w:color w:val="000000"/>
          <w:sz w:val="20"/>
        </w:rPr>
        <w:t xml:space="preserve"> </w:t>
      </w:r>
      <w:r>
        <w:rPr>
          <w:rFonts w:ascii="Times New Roman" w:hAnsi="Times New Roman"/>
          <w:b w:val="false"/>
          <w:color w:val="000000"/>
          <w:sz w:val="20"/>
        </w:rPr>
        <w:t>and the stated maturity date was extended to June 12, 2028. For the remaining $245.0</w:t>
      </w:r>
      <w:r>
        <w:rPr>
          <w:rFonts w:ascii="Times New Roman" w:hAnsi="Times New Roman"/>
          <w:color w:val="000000"/>
          <w:sz w:val="20"/>
        </w:rPr>
        <w:t xml:space="preserve"> </w:t>
      </w:r>
      <w:r>
        <w:rPr>
          <w:rFonts w:ascii="Times New Roman" w:hAnsi="Times New Roman"/>
          <w:b w:val="false"/>
          <w:color w:val="000000"/>
          <w:sz w:val="20"/>
        </w:rPr>
        <w:t>million of commitments, (A) with respect to $25.0</w:t>
      </w:r>
      <w:r>
        <w:rPr>
          <w:rFonts w:ascii="Times New Roman" w:hAnsi="Times New Roman"/>
          <w:color w:val="000000"/>
          <w:sz w:val="20"/>
        </w:rPr>
        <w:t xml:space="preserve"> </w:t>
      </w:r>
      <w:r>
        <w:rPr>
          <w:rFonts w:ascii="Times New Roman" w:hAnsi="Times New Roman"/>
          <w:b w:val="false"/>
          <w:color w:val="000000"/>
          <w:sz w:val="20"/>
        </w:rPr>
        <w:t>million of commitments, the revolving period ends January 31, 2024</w:t>
      </w:r>
      <w:r>
        <w:rPr>
          <w:rFonts w:ascii="Times New Roman" w:hAnsi="Times New Roman"/>
          <w:color w:val="000000"/>
          <w:sz w:val="20"/>
        </w:rPr>
        <w:t xml:space="preserve"> </w:t>
      </w:r>
      <w:r>
        <w:rPr>
          <w:rFonts w:ascii="Times New Roman" w:hAnsi="Times New Roman"/>
          <w:b w:val="false"/>
          <w:color w:val="000000"/>
          <w:sz w:val="20"/>
        </w:rPr>
        <w:t>and the stated maturity is January 31, 2025, (B) with respect to $50.0</w:t>
      </w:r>
      <w:r>
        <w:rPr>
          <w:rFonts w:ascii="Times New Roman" w:hAnsi="Times New Roman"/>
          <w:color w:val="000000"/>
          <w:sz w:val="20"/>
        </w:rPr>
        <w:t xml:space="preserve"> </w:t>
      </w:r>
      <w:r>
        <w:rPr>
          <w:rFonts w:ascii="Times New Roman" w:hAnsi="Times New Roman"/>
          <w:b w:val="false"/>
          <w:color w:val="000000"/>
          <w:sz w:val="20"/>
        </w:rPr>
        <w:t>million of commitments, the revolving period ends on February 4, 2025</w:t>
      </w:r>
      <w:r>
        <w:rPr>
          <w:rFonts w:ascii="Times New Roman" w:hAnsi="Times New Roman"/>
          <w:color w:val="000000"/>
          <w:sz w:val="20"/>
        </w:rPr>
        <w:t xml:space="preserve"> </w:t>
      </w:r>
      <w:r>
        <w:rPr>
          <w:rFonts w:ascii="Times New Roman" w:hAnsi="Times New Roman"/>
          <w:b w:val="false"/>
          <w:color w:val="000000"/>
          <w:sz w:val="20"/>
        </w:rPr>
        <w:t>and the stated maturity is February 4, 2026</w:t>
      </w:r>
      <w:r>
        <w:rPr>
          <w:rFonts w:ascii="Times New Roman" w:hAnsi="Times New Roman"/>
          <w:color w:val="000000"/>
          <w:sz w:val="20"/>
        </w:rPr>
        <w:t xml:space="preserve"> </w:t>
      </w:r>
      <w:r>
        <w:rPr>
          <w:rFonts w:ascii="Times New Roman" w:hAnsi="Times New Roman"/>
          <w:b w:val="false"/>
          <w:color w:val="000000"/>
          <w:sz w:val="20"/>
        </w:rPr>
        <w:t>and (C) with respect to $170.0</w:t>
      </w:r>
      <w:r>
        <w:rPr>
          <w:rFonts w:ascii="Times New Roman" w:hAnsi="Times New Roman"/>
          <w:color w:val="000000"/>
          <w:sz w:val="20"/>
        </w:rPr>
        <w:t xml:space="preserve"> </w:t>
      </w:r>
      <w:r>
        <w:rPr>
          <w:rFonts w:ascii="Times New Roman" w:hAnsi="Times New Roman"/>
          <w:b w:val="false"/>
          <w:color w:val="000000"/>
          <w:sz w:val="20"/>
        </w:rPr>
        <w:t>million of commitments, the revolving period ends April 24, 2026</w:t>
      </w:r>
      <w:r>
        <w:rPr>
          <w:rFonts w:ascii="Times New Roman" w:hAnsi="Times New Roman"/>
          <w:color w:val="000000"/>
          <w:sz w:val="20"/>
        </w:rPr>
        <w:t xml:space="preserve"> </w:t>
      </w:r>
      <w:r>
        <w:rPr>
          <w:rFonts w:ascii="Times New Roman" w:hAnsi="Times New Roman"/>
          <w:b w:val="false"/>
          <w:color w:val="000000"/>
          <w:sz w:val="20"/>
        </w:rPr>
        <w:t>and the stated maturity is April 23, 2027.</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may borrow amounts in U.S. dollars or certain other permitted currencies. As of September 30, 2023, the Company had outstanding debt denominated in Australian dollars (AUD) of 66.9</w:t>
      </w:r>
      <w:r>
        <w:rPr>
          <w:rFonts w:ascii="Times New Roman" w:hAnsi="Times New Roman"/>
          <w:color w:val="000000"/>
          <w:sz w:val="20"/>
        </w:rPr>
        <w:t xml:space="preserve"> </w:t>
      </w:r>
      <w:r>
        <w:rPr>
          <w:rFonts w:ascii="Times New Roman" w:hAnsi="Times New Roman"/>
          <w:b w:val="false"/>
          <w:color w:val="000000"/>
          <w:sz w:val="20"/>
        </w:rPr>
        <w:t>million, British pounds (GBP) of 32.5</w:t>
      </w:r>
      <w:r>
        <w:rPr>
          <w:rFonts w:ascii="Times New Roman" w:hAnsi="Times New Roman"/>
          <w:color w:val="000000"/>
          <w:sz w:val="20"/>
        </w:rPr>
        <w:t xml:space="preserve"> </w:t>
      </w:r>
      <w:r>
        <w:rPr>
          <w:rFonts w:ascii="Times New Roman" w:hAnsi="Times New Roman"/>
          <w:b w:val="false"/>
          <w:color w:val="000000"/>
          <w:sz w:val="20"/>
        </w:rPr>
        <w:t>million, Canadian dollars (CAD) of 100.2</w:t>
      </w:r>
      <w:r>
        <w:rPr>
          <w:rFonts w:ascii="Times New Roman" w:hAnsi="Times New Roman"/>
          <w:color w:val="000000"/>
          <w:sz w:val="20"/>
        </w:rPr>
        <w:t xml:space="preserve"> </w:t>
      </w:r>
      <w:r>
        <w:rPr>
          <w:rFonts w:ascii="Times New Roman" w:hAnsi="Times New Roman"/>
          <w:b w:val="false"/>
          <w:color w:val="000000"/>
          <w:sz w:val="20"/>
        </w:rPr>
        <w:t>million, and Euro (EUR) of 37.7</w:t>
      </w:r>
      <w:r>
        <w:rPr>
          <w:rFonts w:ascii="Times New Roman" w:hAnsi="Times New Roman"/>
          <w:color w:val="000000"/>
          <w:sz w:val="20"/>
        </w:rPr>
        <w:t xml:space="preserve"> </w:t>
      </w:r>
      <w:r>
        <w:rPr>
          <w:rFonts w:ascii="Times New Roman" w:hAnsi="Times New Roman"/>
          <w:b w:val="false"/>
          <w:color w:val="000000"/>
          <w:sz w:val="20"/>
        </w:rPr>
        <w:t>million on its Revolving Credit Facility, included in the Outstanding Principal amount in the table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Revolving Credit Facility also provides for the issuance of letters of credit up to an aggregate amount of $75</w:t>
      </w:r>
      <w:r>
        <w:rPr>
          <w:rFonts w:ascii="Times New Roman" w:hAnsi="Times New Roman"/>
          <w:color w:val="000000"/>
          <w:sz w:val="20"/>
        </w:rPr>
        <w:t xml:space="preserve"> </w:t>
      </w:r>
      <w:r>
        <w:rPr>
          <w:rFonts w:ascii="Times New Roman" w:hAnsi="Times New Roman"/>
          <w:b w:val="false"/>
          <w:color w:val="000000"/>
          <w:sz w:val="20"/>
        </w:rPr>
        <w:t>million. As of September 30, 2023 and December 31, 2022 the Company had $0.2</w:t>
      </w:r>
      <w:r>
        <w:rPr>
          <w:rFonts w:ascii="Times New Roman" w:hAnsi="Times New Roman"/>
          <w:color w:val="000000"/>
          <w:sz w:val="20"/>
        </w:rPr>
        <w:t xml:space="preserve"> </w:t>
      </w:r>
      <w:r>
        <w:rPr>
          <w:rFonts w:ascii="Times New Roman" w:hAnsi="Times New Roman"/>
          <w:b w:val="false"/>
          <w:color w:val="000000"/>
          <w:sz w:val="20"/>
        </w:rPr>
        <w:t>million and less than $0.1</w:t>
      </w:r>
      <w:r>
        <w:rPr>
          <w:rFonts w:ascii="Times New Roman" w:hAnsi="Times New Roman"/>
          <w:color w:val="000000"/>
          <w:sz w:val="20"/>
        </w:rPr>
        <w:t xml:space="preserve"> </w:t>
      </w:r>
      <w:r>
        <w:rPr>
          <w:rFonts w:ascii="Times New Roman" w:hAnsi="Times New Roman"/>
          <w:b w:val="false"/>
          <w:color w:val="000000"/>
          <w:sz w:val="20"/>
        </w:rPr>
        <w:t>million, respectively, of letters of credit issued through the Revolving Credit Facility. The amount available for borrowing under the Revolving Credit Facility is reduced by any letters of credit issued through the Revolving Credit Facility.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Company may elect either the applicable reference rate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Revolving Credit Facility includes customary events of default, as well as customary covenants, including restrictions on certain distributions and financial covenants. In accordance with the terms of the Fourteenth Amendment, the financial covenants require: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val="false"/>
          <w:color w:val="000000"/>
          <w:sz w:val="20"/>
        </w:rPr>
        <w:t>an asset coverage ratio of no less than 1.5</w:t>
      </w:r>
      <w:r>
        <w:rPr>
          <w:rFonts w:ascii="Times New Roman" w:hAnsi="Times New Roman"/>
          <w:color w:val="000000"/>
          <w:sz w:val="24"/>
        </w:rPr>
        <w:t xml:space="preserve"> </w:t>
      </w:r>
      <w:r>
        <w:rPr>
          <w:rFonts w:ascii="Times New Roman" w:hAnsi="Times New Roman"/>
          <w:b w:val="false"/>
          <w:color w:val="000000"/>
          <w:sz w:val="20"/>
        </w:rPr>
        <w:t xml:space="preserve">to 1 on the last day of any fiscal quarter;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val="false"/>
          <w:color w:val="000000"/>
          <w:sz w:val="20"/>
        </w:rPr>
        <w:t>stockholders’ equity of at least $500</w:t>
      </w:r>
      <w:r>
        <w:rPr>
          <w:rFonts w:ascii="Times New Roman" w:hAnsi="Times New Roman"/>
          <w:color w:val="000000"/>
          <w:sz w:val="24"/>
        </w:rPr>
        <w:t xml:space="preserve"> </w:t>
      </w:r>
      <w:r>
        <w:rPr>
          <w:rFonts w:ascii="Times New Roman" w:hAnsi="Times New Roman"/>
          <w:b w:val="false"/>
          <w:color w:val="000000"/>
          <w:sz w:val="20"/>
        </w:rPr>
        <w:t>million plus 25% of the net proceeds of the sale of equity interests after January 31, 2020;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b w:val="false"/>
          <w:color w:val="000000"/>
          <w:sz w:val="20"/>
        </w:rPr>
        <w:t>a minimum asset coverage ratio of no less than 2</w:t>
      </w:r>
      <w:r>
        <w:rPr>
          <w:rFonts w:ascii="Times New Roman" w:hAnsi="Times New Roman"/>
          <w:color w:val="000000"/>
          <w:sz w:val="24"/>
        </w:rPr>
        <w:t xml:space="preserve"> </w:t>
      </w:r>
      <w:r>
        <w:rPr>
          <w:rFonts w:ascii="Times New Roman" w:hAnsi="Times New Roman"/>
          <w:b w:val="false"/>
          <w:color w:val="000000"/>
          <w:sz w:val="20"/>
        </w:rPr>
        <w:t>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Revolving Credit Facility also contains certain additional concentration limits in connection with the calculation of the borrowing base, based on the Obligor Asset Coverage Ratio.</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and December 31, 2022, the Company was in compliance with the terms of the Revolving Credit Facility.</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2022 Convertible Notes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2017, the Company issued in a private offering $115.0</w:t>
      </w:r>
      <w:r>
        <w:rPr>
          <w:rFonts w:ascii="Times New Roman" w:hAnsi="Times New Roman"/>
          <w:color w:val="000000"/>
          <w:sz w:val="20"/>
        </w:rPr>
        <w:t xml:space="preserve"> </w:t>
      </w:r>
      <w:r>
        <w:rPr>
          <w:rFonts w:ascii="Times New Roman" w:hAnsi="Times New Roman"/>
          <w:b w:val="false"/>
          <w:color w:val="000000"/>
          <w:sz w:val="20"/>
        </w:rPr>
        <w:t>million aggregate principal amount convertible notes due August 2022 (the “2022 Convertible Notes”). The 2022 Convertible Notes were issued in a private placement only to qualified institutional buyers pursuant to Rule 144A under the Securities Act. The 2022 Convertible Notes were unsecured, and bore interest at a rate of 4.50% per year, payable semiannually. In June 2018, the Company issued an additional $57.5</w:t>
      </w:r>
      <w:r>
        <w:rPr>
          <w:rFonts w:ascii="Times New Roman" w:hAnsi="Times New Roman"/>
          <w:color w:val="000000"/>
          <w:sz w:val="20"/>
        </w:rPr>
        <w:t xml:space="preserve"> </w:t>
      </w:r>
      <w:r>
        <w:rPr>
          <w:rFonts w:ascii="Times New Roman" w:hAnsi="Times New Roman"/>
          <w:b w:val="false"/>
          <w:color w:val="000000"/>
          <w:sz w:val="20"/>
        </w:rPr>
        <w:t>million aggregate principal amount of 2022 Convertible Notes. The additional 2022 Convertible Notes were issued with identical terms, and were fungible with and were part of a single series with the previously outstanding $115.0</w:t>
      </w:r>
      <w:r>
        <w:rPr>
          <w:rFonts w:ascii="Times New Roman" w:hAnsi="Times New Roman"/>
          <w:color w:val="000000"/>
          <w:sz w:val="20"/>
        </w:rPr>
        <w:t xml:space="preserve"> </w:t>
      </w:r>
      <w:r>
        <w:rPr>
          <w:rFonts w:ascii="Times New Roman" w:hAnsi="Times New Roman"/>
          <w:b w:val="false"/>
          <w:color w:val="000000"/>
          <w:sz w:val="20"/>
        </w:rPr>
        <w:t>million aggregate principal amount of the Company’s 2022 Convertible Notes issued in February 2017. In connection with the offering of 2022 Convertible Notes in February 2017 and the reopening in June 2018, the Company entered into interest rate swaps to align the interest rates of its liabilities with its investment portfolio, which consists of predominately floating rate loans. The notional amount of the interest rate swaps matched the amount of principal outstanding, and matured on August 1, 2022, matching the maturity date of the 2022 Convertible Notes.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August 1, 2022, the 2022 Convertible Notes matured in accordance with the governing indenture. Holders of $79.2</w:t>
      </w:r>
      <w:r>
        <w:rPr>
          <w:rFonts w:ascii="Times New Roman" w:hAnsi="Times New Roman"/>
          <w:color w:val="000000"/>
          <w:sz w:val="20"/>
        </w:rPr>
        <w:t xml:space="preserve"> </w:t>
      </w:r>
      <w:r>
        <w:rPr>
          <w:rFonts w:ascii="Times New Roman" w:hAnsi="Times New Roman"/>
          <w:b w:val="false"/>
          <w:color w:val="000000"/>
          <w:sz w:val="20"/>
        </w:rPr>
        <w:t>million aggregate principal amount of notes provided valid notice of conversion and were subject to the combination settlement method previously elected by the Company, with a specified cash amount (as defined in the indenture governing the 2022 Convertible Notes) of $20.00</w:t>
      </w:r>
      <w:r>
        <w:rPr>
          <w:rFonts w:ascii="Times New Roman" w:hAnsi="Times New Roman"/>
          <w:color w:val="000000"/>
          <w:sz w:val="20"/>
        </w:rPr>
        <w:t xml:space="preserve"> </w:t>
      </w:r>
      <w:r>
        <w:rPr>
          <w:rFonts w:ascii="Times New Roman" w:hAnsi="Times New Roman"/>
          <w:b w:val="false"/>
          <w:color w:val="000000"/>
          <w:sz w:val="20"/>
        </w:rPr>
        <w:t>per $1,000</w:t>
      </w:r>
      <w:r>
        <w:rPr>
          <w:rFonts w:ascii="Times New Roman" w:hAnsi="Times New Roman"/>
          <w:color w:val="000000"/>
          <w:sz w:val="20"/>
        </w:rPr>
        <w:t xml:space="preserve"> </w:t>
      </w:r>
      <w:r>
        <w:rPr>
          <w:rFonts w:ascii="Times New Roman" w:hAnsi="Times New Roman"/>
          <w:b w:val="false"/>
          <w:color w:val="000000"/>
          <w:sz w:val="20"/>
        </w:rPr>
        <w:t>principal amount of the 2022 Convertible Notes and any additional amounts in stock based on the applicable conversion rate as described in the indenture. In accordance with the settlement method, the Company issued a total of 4,360,125</w:t>
      </w:r>
      <w:r>
        <w:rPr>
          <w:rFonts w:ascii="Times New Roman" w:hAnsi="Times New Roman"/>
          <w:color w:val="000000"/>
          <w:sz w:val="20"/>
        </w:rPr>
        <w:t xml:space="preserve"> </w:t>
      </w:r>
      <w:r>
        <w:rPr>
          <w:rFonts w:ascii="Times New Roman" w:hAnsi="Times New Roman"/>
          <w:b w:val="false"/>
          <w:color w:val="000000"/>
          <w:sz w:val="20"/>
        </w:rPr>
        <w:t>shares of common stock, or $77.6</w:t>
      </w:r>
      <w:r>
        <w:rPr>
          <w:rFonts w:ascii="Times New Roman" w:hAnsi="Times New Roman"/>
          <w:color w:val="000000"/>
          <w:sz w:val="20"/>
        </w:rPr>
        <w:t xml:space="preserve"> </w:t>
      </w:r>
      <w:r>
        <w:rPr>
          <w:rFonts w:ascii="Times New Roman" w:hAnsi="Times New Roman"/>
          <w:b w:val="false"/>
          <w:color w:val="000000"/>
          <w:sz w:val="20"/>
        </w:rPr>
        <w:t>million at the adjusted conversion price per share of $17.92. The remaining balance of the notes that were not converted into newly issued shares of common stock were settled with existing cash resources, including through utilization of the Company’s Revolving Credit Facility. The interest rate swaps associated with the principal amount of the notes outstanding were terminated on the date of maturity of the 2022 Convertible Notes.</w:t>
      </w:r>
    </w:p>
    <w:p>
      <w:pPr>
        <w:pStyle w:val="TextBody"/>
        <w:bidi w:val="0"/>
        <w:jc w:val="left"/>
        <w:rPr/>
      </w:pPr>
      <w:r>
        <w:rPr/>
        <w:t> </w:t>
      </w:r>
    </w:p>
    <w:p>
      <w:pPr>
        <w:pStyle w:val="TextBody"/>
        <w:bidi w:val="0"/>
        <w:spacing w:before="160" w:after="283"/>
        <w:jc w:val="left"/>
        <w:rPr>
          <w:rFonts w:ascii="Times New Roman" w:hAnsi="Times New Roman"/>
          <w:b w:val="false"/>
          <w:i/>
          <w:color w:val="000000"/>
          <w:sz w:val="20"/>
        </w:rPr>
      </w:pPr>
      <w:r>
        <w:rPr>
          <w:rFonts w:ascii="Times New Roman" w:hAnsi="Times New Roman"/>
          <w:b w:val="false"/>
          <w:i/>
          <w:color w:val="000000"/>
          <w:sz w:val="20"/>
        </w:rPr>
        <w:t>2023 Notes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January 2018, the Company issued $150.0</w:t>
      </w:r>
      <w:r>
        <w:rPr>
          <w:rFonts w:ascii="Times New Roman" w:hAnsi="Times New Roman"/>
          <w:color w:val="000000"/>
          <w:sz w:val="20"/>
        </w:rPr>
        <w:t xml:space="preserve"> </w:t>
      </w:r>
      <w:r>
        <w:rPr>
          <w:rFonts w:ascii="Times New Roman" w:hAnsi="Times New Roman"/>
          <w:b w:val="false"/>
          <w:color w:val="000000"/>
          <w:sz w:val="20"/>
        </w:rPr>
        <w:t>million aggregate principal amount of unsecured notes that matured on January 22, 2023</w:t>
      </w:r>
      <w:r>
        <w:rPr>
          <w:rFonts w:ascii="Times New Roman" w:hAnsi="Times New Roman"/>
          <w:color w:val="000000"/>
          <w:sz w:val="20"/>
        </w:rPr>
        <w:t xml:space="preserve"> </w:t>
      </w:r>
      <w:r>
        <w:rPr>
          <w:rFonts w:ascii="Times New Roman" w:hAnsi="Times New Roman"/>
          <w:b w:val="false"/>
          <w:color w:val="000000"/>
          <w:sz w:val="20"/>
        </w:rPr>
        <w:t>(the “2023 Notes”). The principal amount of the 2023 Notes was payable at maturity. The 2023 Notes bore interest at a rate of 4.50% per year, payable semi-annually commencing on July 22, 2018, and were redeemable in whole or in part at the Company’s option at any time at par plus a “make whole” premium. Total proceeds from the issuance of the 2023 Notes, net of underwriting discounts and offering costs, were $146.9</w:t>
      </w:r>
      <w:r>
        <w:rPr>
          <w:rFonts w:ascii="Times New Roman" w:hAnsi="Times New Roman"/>
          <w:color w:val="000000"/>
          <w:sz w:val="20"/>
        </w:rPr>
        <w:t xml:space="preserve"> </w:t>
      </w:r>
      <w:r>
        <w:rPr>
          <w:rFonts w:ascii="Times New Roman" w:hAnsi="Times New Roman"/>
          <w:b w:val="false"/>
          <w:color w:val="000000"/>
          <w:sz w:val="20"/>
        </w:rPr>
        <w:t>million. The Company used the net proceeds of the 2023 Notes to repay outstanding</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indebtedness under the Revolving Credit Facility. The 2023 Notes matured on January 22, 2023 and were fully repaid in cash. The swap transaction associated with the issuance of the 2023 Notes also matured on January 22, 2023.</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2024 Notes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November 2019, the Company issued $300.0</w:t>
      </w:r>
      <w:r>
        <w:rPr>
          <w:rFonts w:ascii="Times New Roman" w:hAnsi="Times New Roman"/>
          <w:color w:val="000000"/>
          <w:sz w:val="20"/>
        </w:rPr>
        <w:t xml:space="preserve"> </w:t>
      </w:r>
      <w:r>
        <w:rPr>
          <w:rFonts w:ascii="Times New Roman" w:hAnsi="Times New Roman"/>
          <w:b w:val="false"/>
          <w:color w:val="000000"/>
          <w:sz w:val="20"/>
        </w:rPr>
        <w:t>million aggregate principal amount of unsecured notes that mature on November 1, 2024</w:t>
      </w:r>
      <w:r>
        <w:rPr>
          <w:rFonts w:ascii="Times New Roman" w:hAnsi="Times New Roman"/>
          <w:color w:val="000000"/>
          <w:sz w:val="20"/>
        </w:rPr>
        <w:t xml:space="preserve"> </w:t>
      </w:r>
      <w:r>
        <w:rPr>
          <w:rFonts w:ascii="Times New Roman" w:hAnsi="Times New Roman"/>
          <w:b w:val="false"/>
          <w:color w:val="000000"/>
          <w:sz w:val="20"/>
        </w:rPr>
        <w:t>(the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w:t>
      </w:r>
      <w:r>
        <w:rPr>
          <w:rFonts w:ascii="Times New Roman" w:hAnsi="Times New Roman"/>
          <w:color w:val="000000"/>
          <w:sz w:val="20"/>
        </w:rPr>
        <w:t xml:space="preserve"> </w:t>
      </w:r>
      <w:r>
        <w:rPr>
          <w:rFonts w:ascii="Times New Roman" w:hAnsi="Times New Roman"/>
          <w:b w:val="false"/>
          <w:color w:val="000000"/>
          <w:sz w:val="20"/>
        </w:rPr>
        <w:t>million. The Company used the net proceeds of the 2024 Notes to repay outstanding indebtedness under the Revolving Credit Facility.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February 5, 2020, the Company issued an additional $50.0</w:t>
      </w:r>
      <w:r>
        <w:rPr>
          <w:rFonts w:ascii="Times New Roman" w:hAnsi="Times New Roman"/>
          <w:color w:val="000000"/>
          <w:sz w:val="20"/>
        </w:rPr>
        <w:t xml:space="preserve"> </w:t>
      </w:r>
      <w:r>
        <w:rPr>
          <w:rFonts w:ascii="Times New Roman" w:hAnsi="Times New Roman"/>
          <w:b w:val="false"/>
          <w:color w:val="000000"/>
          <w:sz w:val="20"/>
        </w:rPr>
        <w:t>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w:t>
      </w:r>
      <w:r>
        <w:rPr>
          <w:rFonts w:ascii="Times New Roman" w:hAnsi="Times New Roman"/>
          <w:color w:val="000000"/>
          <w:sz w:val="20"/>
        </w:rPr>
        <w:t xml:space="preserve"> </w:t>
      </w:r>
      <w:r>
        <w:rPr>
          <w:rFonts w:ascii="Times New Roman" w:hAnsi="Times New Roman"/>
          <w:b w:val="false"/>
          <w:color w:val="000000"/>
          <w:sz w:val="20"/>
        </w:rPr>
        <w:t>million. The Company used the net proceeds of the 2024 Notes to repay outstanding indebtedness under the Revolving Credit Facility.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2024 Notes offering and the reopening of the 2024 Notes, the Company entered into interest rate swaps to align the interest rates of its liabilities with the Company’s investment portfolio, which consists of predominately floating rate loans. The notional amount of the two interest rates swaps is $300.0</w:t>
      </w:r>
      <w:r>
        <w:rPr>
          <w:rFonts w:ascii="Times New Roman" w:hAnsi="Times New Roman"/>
          <w:color w:val="000000"/>
          <w:sz w:val="20"/>
        </w:rPr>
        <w:t xml:space="preserve"> </w:t>
      </w:r>
      <w:r>
        <w:rPr>
          <w:rFonts w:ascii="Times New Roman" w:hAnsi="Times New Roman"/>
          <w:b w:val="false"/>
          <w:color w:val="000000"/>
          <w:sz w:val="20"/>
        </w:rPr>
        <w:t>million and $50.0</w:t>
      </w:r>
      <w:r>
        <w:rPr>
          <w:rFonts w:ascii="Times New Roman" w:hAnsi="Times New Roman"/>
          <w:color w:val="000000"/>
          <w:sz w:val="20"/>
        </w:rPr>
        <w:t xml:space="preserve"> </w:t>
      </w:r>
      <w:r>
        <w:rPr>
          <w:rFonts w:ascii="Times New Roman" w:hAnsi="Times New Roman"/>
          <w:b w:val="false"/>
          <w:color w:val="000000"/>
          <w:sz w:val="20"/>
        </w:rPr>
        <w:t>million, respectively, each of which matures on November 1, 2024, matching the maturity date of the 2024 Notes. As a result of the swaps, the Company’s effective interest rate on the 2024 Notes is</w:t>
      </w:r>
      <w:r>
        <w:rPr>
          <w:rFonts w:ascii="Times New Roman" w:hAnsi="Times New Roman"/>
          <w:color w:val="000000"/>
          <w:sz w:val="20"/>
        </w:rPr>
        <w:t xml:space="preserve"> </w:t>
      </w:r>
      <w:r>
        <w:rPr>
          <w:rFonts w:ascii="Times New Roman" w:hAnsi="Times New Roman"/>
          <w:b w:val="false"/>
          <w:color w:val="000000"/>
          <w:sz w:val="20"/>
        </w:rPr>
        <w:t>SOFR</w:t>
      </w:r>
      <w:r>
        <w:rPr>
          <w:rFonts w:ascii="Times New Roman" w:hAnsi="Times New Roman"/>
          <w:color w:val="000000"/>
          <w:sz w:val="20"/>
        </w:rPr>
        <w:t xml:space="preserve"> </w:t>
      </w:r>
      <w:r>
        <w:rPr>
          <w:rFonts w:ascii="Times New Roman" w:hAnsi="Times New Roman"/>
          <w:b w:val="false"/>
          <w:color w:val="000000"/>
          <w:sz w:val="20"/>
        </w:rPr>
        <w:t>plus 2.54% (on a weighted average basis). The interest expense related to the 2024 Notes is offset by proceeds received from the interest rate swaps designated as a hedge. The swap adjusted interest expense is included as a component of interest expense on the Company’s Consolidated Statements of Operations. As of September 30, 2023, and December 31, 2022, the effective hedge interest rate swaps had a fair value of $(15.1) million and $(19.4) million, respectively, which is offset within interest expense by an equal, but opposite, fair value change for the hedged risk on the 2024 Notes.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year ended December 31, 2020, the Company repurchased on the open market and extinguished $2.5</w:t>
      </w:r>
      <w:r>
        <w:rPr>
          <w:rFonts w:ascii="Times New Roman" w:hAnsi="Times New Roman"/>
          <w:color w:val="000000"/>
          <w:sz w:val="20"/>
        </w:rPr>
        <w:t xml:space="preserve"> </w:t>
      </w:r>
      <w:r>
        <w:rPr>
          <w:rFonts w:ascii="Times New Roman" w:hAnsi="Times New Roman"/>
          <w:b w:val="false"/>
          <w:color w:val="000000"/>
          <w:sz w:val="20"/>
        </w:rPr>
        <w:t>million in aggregate principal amount of the 2024 Notes for $2.4</w:t>
      </w:r>
      <w:r>
        <w:rPr>
          <w:rFonts w:ascii="Times New Roman" w:hAnsi="Times New Roman"/>
          <w:color w:val="000000"/>
          <w:sz w:val="20"/>
        </w:rPr>
        <w:t xml:space="preserve"> </w:t>
      </w:r>
      <w:r>
        <w:rPr>
          <w:rFonts w:ascii="Times New Roman" w:hAnsi="Times New Roman"/>
          <w:b w:val="false"/>
          <w:color w:val="000000"/>
          <w:sz w:val="20"/>
        </w:rPr>
        <w:t>million. In connection with the repurchase of the 2024 Notes, the Company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the Company’s effective interest rate on the outstanding 2024 Notes is</w:t>
      </w:r>
      <w:r>
        <w:rPr>
          <w:rFonts w:ascii="Times New Roman" w:hAnsi="Times New Roman"/>
          <w:color w:val="000000"/>
          <w:sz w:val="20"/>
        </w:rPr>
        <w:t xml:space="preserve"> </w:t>
      </w:r>
      <w:r>
        <w:rPr>
          <w:rFonts w:ascii="Times New Roman" w:hAnsi="Times New Roman"/>
          <w:b w:val="false"/>
          <w:color w:val="000000"/>
          <w:sz w:val="20"/>
        </w:rPr>
        <w:t>SOFR</w:t>
      </w:r>
      <w:r>
        <w:rPr>
          <w:rFonts w:ascii="Times New Roman" w:hAnsi="Times New Roman"/>
          <w:color w:val="000000"/>
          <w:sz w:val="20"/>
        </w:rPr>
        <w:t xml:space="preserve"> </w:t>
      </w:r>
      <w:r>
        <w:rPr>
          <w:rFonts w:ascii="Times New Roman" w:hAnsi="Times New Roman"/>
          <w:b w:val="false"/>
          <w:color w:val="000000"/>
          <w:sz w:val="20"/>
        </w:rPr>
        <w:t>plus 2.54% (on a weighted average basis).</w:t>
      </w:r>
      <w:r>
        <w:rPr>
          <w:rFonts w:ascii="Times New Roman" w:hAnsi="Times New Roman"/>
          <w:color w:val="000000"/>
          <w:sz w:val="20"/>
        </w:rPr>
        <w:t xml:space="preserve"> </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2026 Notes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February 3, 2021, the Company issued $300.0</w:t>
      </w:r>
      <w:r>
        <w:rPr>
          <w:rFonts w:ascii="Times New Roman" w:hAnsi="Times New Roman"/>
          <w:color w:val="000000"/>
          <w:sz w:val="20"/>
        </w:rPr>
        <w:t xml:space="preserve"> </w:t>
      </w:r>
      <w:r>
        <w:rPr>
          <w:rFonts w:ascii="Times New Roman" w:hAnsi="Times New Roman"/>
          <w:b w:val="false"/>
          <w:color w:val="000000"/>
          <w:sz w:val="20"/>
        </w:rPr>
        <w:t>million aggregate principal amount of unsecured notes that mature on August 1, 2026</w:t>
      </w:r>
      <w:r>
        <w:rPr>
          <w:rFonts w:ascii="Times New Roman" w:hAnsi="Times New Roman"/>
          <w:color w:val="000000"/>
          <w:sz w:val="20"/>
        </w:rPr>
        <w:t xml:space="preserve"> </w:t>
      </w:r>
      <w:r>
        <w:rPr>
          <w:rFonts w:ascii="Times New Roman" w:hAnsi="Times New Roman"/>
          <w:b w:val="false"/>
          <w:color w:val="000000"/>
          <w:sz w:val="20"/>
        </w:rPr>
        <w:t>(the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offering costs and original issue discount, were $293.7</w:t>
      </w:r>
      <w:r>
        <w:rPr>
          <w:rFonts w:ascii="Times New Roman" w:hAnsi="Times New Roman"/>
          <w:color w:val="000000"/>
          <w:sz w:val="20"/>
        </w:rPr>
        <w:t xml:space="preserve"> </w:t>
      </w:r>
      <w:r>
        <w:rPr>
          <w:rFonts w:ascii="Times New Roman" w:hAnsi="Times New Roman"/>
          <w:b w:val="false"/>
          <w:color w:val="000000"/>
          <w:sz w:val="20"/>
        </w:rPr>
        <w:t>million. The Company used the net proceeds of the 2026 Notes to repay outstanding indebtedness under the Revolving Credit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w:t>
      </w:r>
      <w:r>
        <w:rPr>
          <w:rFonts w:ascii="Times New Roman" w:hAnsi="Times New Roman"/>
          <w:color w:val="000000"/>
          <w:sz w:val="20"/>
        </w:rPr>
        <w:t xml:space="preserve"> </w:t>
      </w:r>
      <w:r>
        <w:rPr>
          <w:rFonts w:ascii="Times New Roman" w:hAnsi="Times New Roman"/>
          <w:b w:val="false"/>
          <w:color w:val="000000"/>
          <w:sz w:val="20"/>
        </w:rPr>
        <w:t>million, which matures on August 1, 2026, matching the maturity date of the 2026 Notes. As a result of the swap, the Company’s effective interest rate on the 2026 Notes is</w:t>
      </w:r>
      <w:r>
        <w:rPr>
          <w:rFonts w:ascii="Times New Roman" w:hAnsi="Times New Roman"/>
          <w:color w:val="000000"/>
          <w:sz w:val="20"/>
        </w:rPr>
        <w:t xml:space="preserve"> </w:t>
      </w:r>
      <w:r>
        <w:rPr>
          <w:rFonts w:ascii="Times New Roman" w:hAnsi="Times New Roman"/>
          <w:b w:val="false"/>
          <w:color w:val="000000"/>
          <w:sz w:val="20"/>
        </w:rPr>
        <w:t>SOFR</w:t>
      </w:r>
      <w:r>
        <w:rPr>
          <w:rFonts w:ascii="Times New Roman" w:hAnsi="Times New Roman"/>
          <w:color w:val="000000"/>
          <w:sz w:val="20"/>
        </w:rPr>
        <w:t xml:space="preserve"> </w:t>
      </w:r>
      <w:r>
        <w:rPr>
          <w:rFonts w:ascii="Times New Roman" w:hAnsi="Times New Roman"/>
          <w:b w:val="false"/>
          <w:color w:val="000000"/>
          <w:sz w:val="20"/>
        </w:rPr>
        <w:t>plus 2.17%.. The interest expense related to the 2026 Notes is offset by proceeds received from the interest rate swaps designated as a hedge. The swap adjusted interest expense is included as a component of interest expense on the Company’s Consolidated Statements of Operations. As of September 30, 2023 and December 31, 2022</w:t>
      </w:r>
      <w:r>
        <w:rPr>
          <w:rFonts w:ascii="Times New Roman" w:hAnsi="Times New Roman"/>
          <w:color w:val="000000"/>
          <w:sz w:val="20"/>
        </w:rPr>
        <w:t xml:space="preserve"> </w:t>
      </w:r>
      <w:r>
        <w:rPr>
          <w:rFonts w:ascii="Times New Roman" w:hAnsi="Times New Roman"/>
          <w:b w:val="false"/>
          <w:color w:val="000000"/>
          <w:sz w:val="20"/>
        </w:rPr>
        <w:t>the effective hedge interest rate swaps had a fair value of $(34.7) million and $(35.7) million, respectively, which is offset within interest expense by an equal, but opposite, fair value change for the hedged risk on the 2026 Notes.</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2028 Notes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14, 2023, the Company issued $300.0</w:t>
      </w:r>
      <w:r>
        <w:rPr>
          <w:rFonts w:ascii="Times New Roman" w:hAnsi="Times New Roman"/>
          <w:color w:val="000000"/>
          <w:sz w:val="20"/>
        </w:rPr>
        <w:t xml:space="preserve"> </w:t>
      </w:r>
      <w:r>
        <w:rPr>
          <w:rFonts w:ascii="Times New Roman" w:hAnsi="Times New Roman"/>
          <w:b w:val="false"/>
          <w:color w:val="000000"/>
          <w:sz w:val="20"/>
        </w:rPr>
        <w:t>million aggregate principal amount of unsecured notes that mature on August 14, 2028</w:t>
      </w:r>
      <w:r>
        <w:rPr>
          <w:rFonts w:ascii="Times New Roman" w:hAnsi="Times New Roman"/>
          <w:color w:val="000000"/>
          <w:sz w:val="20"/>
        </w:rPr>
        <w:t xml:space="preserve"> </w:t>
      </w:r>
      <w:r>
        <w:rPr>
          <w:rFonts w:ascii="Times New Roman" w:hAnsi="Times New Roman"/>
          <w:b w:val="false"/>
          <w:color w:val="000000"/>
          <w:sz w:val="20"/>
        </w:rPr>
        <w:t>(the “2028 Notes”). The principal amount of the 2028 Notes is payable at maturity. The 2028 Notes bear interest at a rate of 6.95% per year, payable semi-annually commencing on February 14, 2024, and may be redeemed in whole or in part at the Company’s option at any time at par plus a “make whole” premium. Total proceeds from the issuance of the 2028 Notes, net of</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underwriting discounts, offering costs and original issue discount, were $293.9</w:t>
      </w:r>
      <w:r>
        <w:rPr>
          <w:rFonts w:ascii="Times New Roman" w:hAnsi="Times New Roman"/>
          <w:color w:val="000000"/>
          <w:sz w:val="20"/>
        </w:rPr>
        <w:t xml:space="preserve"> </w:t>
      </w:r>
      <w:r>
        <w:rPr>
          <w:rFonts w:ascii="Times New Roman" w:hAnsi="Times New Roman"/>
          <w:b w:val="false"/>
          <w:color w:val="000000"/>
          <w:sz w:val="20"/>
        </w:rPr>
        <w:t>million. The Company used the net proceeds of the 2028 Notes to repay outstanding indebtedness under the Revolving Credit Facility.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connection with the issuance of the 2028 Notes, the Company entered into an interest rate swap to align the interest rates of its liabilities with the Company’s investment portfolio, which consists of predominately floating rate loans. The notional amount of the interest rate swap is $300.0</w:t>
      </w:r>
      <w:r>
        <w:rPr>
          <w:rFonts w:ascii="Times New Roman" w:hAnsi="Times New Roman"/>
          <w:color w:val="000000"/>
          <w:sz w:val="20"/>
        </w:rPr>
        <w:t xml:space="preserve"> </w:t>
      </w:r>
      <w:r>
        <w:rPr>
          <w:rFonts w:ascii="Times New Roman" w:hAnsi="Times New Roman"/>
          <w:b w:val="false"/>
          <w:color w:val="000000"/>
          <w:sz w:val="20"/>
        </w:rPr>
        <w:t>million, which matures on August 14, 2028, matching the maturity date of the 2028 Notes. As a result of the swap, the Company’s effective interest rate on the 2028 Notes is SOFR</w:t>
      </w:r>
      <w:r>
        <w:rPr>
          <w:rFonts w:ascii="Times New Roman" w:hAnsi="Times New Roman"/>
          <w:color w:val="000000"/>
          <w:sz w:val="20"/>
        </w:rPr>
        <w:t xml:space="preserve"> </w:t>
      </w:r>
      <w:r>
        <w:rPr>
          <w:rFonts w:ascii="Times New Roman" w:hAnsi="Times New Roman"/>
          <w:b w:val="false"/>
          <w:color w:val="000000"/>
          <w:sz w:val="20"/>
        </w:rPr>
        <w:t>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September 30, 2023 the effective hedge interest rate swaps had a fair value of $(6.1) million which is offset within interest expense by an equal, but opposite, fair value change for the hedged risk on the 2028 Notes.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and 2022, the components of interest expense related to the 2023 Notes, 2024 Notes, 2026 Notes and 2028 Notes were as follows:</w:t>
      </w:r>
    </w:p>
    <w:tbl>
      <w:tblPr>
        <w:tblW w:w="10205" w:type="dxa"/>
        <w:jc w:val="left"/>
        <w:tblInd w:w="0" w:type="dxa"/>
        <w:tblLayout w:type="fixed"/>
        <w:tblCellMar>
          <w:top w:w="28" w:type="dxa"/>
          <w:left w:w="28" w:type="dxa"/>
          <w:bottom w:w="28" w:type="dxa"/>
          <w:right w:w="28" w:type="dxa"/>
        </w:tblCellMar>
      </w:tblPr>
      <w:tblGrid>
        <w:gridCol w:w="2804"/>
        <w:gridCol w:w="146"/>
        <w:gridCol w:w="413"/>
        <w:gridCol w:w="1083"/>
        <w:gridCol w:w="146"/>
        <w:gridCol w:w="146"/>
        <w:gridCol w:w="413"/>
        <w:gridCol w:w="1083"/>
        <w:gridCol w:w="146"/>
        <w:gridCol w:w="146"/>
        <w:gridCol w:w="367"/>
        <w:gridCol w:w="1129"/>
        <w:gridCol w:w="146"/>
        <w:gridCol w:w="146"/>
        <w:gridCol w:w="367"/>
        <w:gridCol w:w="1129"/>
        <w:gridCol w:w="395"/>
      </w:tblGrid>
      <w:tr>
        <w:trPr/>
        <w:tc>
          <w:tcPr>
            <w:tcW w:w="2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8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expense</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8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8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2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18,840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2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20,787</w:t>
            </w:r>
          </w:p>
        </w:tc>
        <w:tc>
          <w:tcPr>
            <w:tcW w:w="395" w:type="dxa"/>
            <w:tcBorders/>
            <w:shd w:fill="CFF0FC" w:val="clear"/>
            <w:vAlign w:val="center"/>
          </w:tcPr>
          <w:p>
            <w:pPr>
              <w:pStyle w:val="TableContents"/>
              <w:bidi w:val="0"/>
              <w:spacing w:before="0" w:after="283"/>
              <w:jc w:val="left"/>
              <w:rPr/>
            </w:pPr>
            <w:r>
              <w:rPr/>
              <w:t> </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Accretion of original issue discount</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571</w:t>
            </w:r>
          </w:p>
        </w:tc>
        <w:tc>
          <w:tcPr>
            <w:tcW w:w="395" w:type="dxa"/>
            <w:tcBorders/>
            <w:shd w:fill="FFFFFF" w:val="clear"/>
            <w:vAlign w:val="center"/>
          </w:tcPr>
          <w:p>
            <w:pPr>
              <w:pStyle w:val="TableContents"/>
              <w:bidi w:val="0"/>
              <w:spacing w:before="0" w:after="283"/>
              <w:jc w:val="left"/>
              <w:rPr/>
            </w:pPr>
            <w:r>
              <w:rPr/>
              <w:t> </w:t>
            </w:r>
          </w:p>
        </w:tc>
      </w:tr>
      <w:tr>
        <w:trPr/>
        <w:tc>
          <w:tcPr>
            <w:tcW w:w="28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Amortization of deferred financing costs</w:t>
            </w:r>
          </w:p>
        </w:tc>
        <w:tc>
          <w:tcPr>
            <w:tcW w:w="146" w:type="dxa"/>
            <w:tcBorders/>
            <w:shd w:fill="CFF0FC" w:val="cle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04"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Interest Expense</w:t>
            </w:r>
          </w:p>
        </w:tc>
        <w:tc>
          <w:tcPr>
            <w:tcW w:w="146" w:type="dxa"/>
            <w:tcBorders/>
            <w:shd w:fill="FFFFFF" w:val="cle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20,932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23,159</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Total interest expense in the table above does not include the effect of the interest rate swaps related to the 2023 Notes, 2024 Notes, 2026 Notes and 2028 Notes. During the three and nine months ended September 30, 2023, the Company received $7.7</w:t>
      </w:r>
      <w:r>
        <w:rPr>
          <w:rFonts w:ascii="Times New Roman" w:hAnsi="Times New Roman"/>
          <w:color w:val="000000"/>
          <w:sz w:val="20"/>
        </w:rPr>
        <w:t xml:space="preserve"> </w:t>
      </w:r>
      <w:r>
        <w:rPr>
          <w:rFonts w:ascii="Times New Roman" w:hAnsi="Times New Roman"/>
          <w:b w:val="false"/>
          <w:color w:val="000000"/>
          <w:sz w:val="20"/>
        </w:rPr>
        <w:t>million and $18.7</w:t>
      </w:r>
      <w:r>
        <w:rPr>
          <w:rFonts w:ascii="Times New Roman" w:hAnsi="Times New Roman"/>
          <w:color w:val="000000"/>
          <w:sz w:val="20"/>
        </w:rPr>
        <w:t xml:space="preserve"> </w:t>
      </w:r>
      <w:r>
        <w:rPr>
          <w:rFonts w:ascii="Times New Roman" w:hAnsi="Times New Roman"/>
          <w:b w:val="false"/>
          <w:color w:val="000000"/>
          <w:sz w:val="20"/>
        </w:rPr>
        <w:t>million, respectively, and paid $(15.5)</w:t>
      </w:r>
      <w:r>
        <w:rPr>
          <w:rFonts w:ascii="Times New Roman" w:hAnsi="Times New Roman"/>
          <w:color w:val="000000"/>
          <w:sz w:val="20"/>
        </w:rPr>
        <w:t xml:space="preserve"> </w:t>
      </w:r>
      <w:r>
        <w:rPr>
          <w:rFonts w:ascii="Times New Roman" w:hAnsi="Times New Roman"/>
          <w:b w:val="false"/>
          <w:color w:val="000000"/>
          <w:sz w:val="20"/>
        </w:rPr>
        <w:t>million and $(39.2)</w:t>
      </w:r>
      <w:r>
        <w:rPr>
          <w:rFonts w:ascii="Times New Roman" w:hAnsi="Times New Roman"/>
          <w:color w:val="000000"/>
          <w:sz w:val="20"/>
        </w:rPr>
        <w:t xml:space="preserve"> </w:t>
      </w:r>
      <w:r>
        <w:rPr>
          <w:rFonts w:ascii="Times New Roman" w:hAnsi="Times New Roman"/>
          <w:b w:val="false"/>
          <w:color w:val="000000"/>
          <w:sz w:val="20"/>
        </w:rPr>
        <w:t>million, respectively, related to the settlements of its interest rate swaps, excluding upfront fees, related to the 2023 Notes, 2024 Notes, 2026 Notes and 2028 Notes. During the three and nine months ended September 30, 2022, the Company received $7.0</w:t>
      </w:r>
      <w:r>
        <w:rPr>
          <w:rFonts w:ascii="Times New Roman" w:hAnsi="Times New Roman"/>
          <w:color w:val="000000"/>
          <w:sz w:val="20"/>
        </w:rPr>
        <w:t xml:space="preserve"> </w:t>
      </w:r>
      <w:r>
        <w:rPr>
          <w:rFonts w:ascii="Times New Roman" w:hAnsi="Times New Roman"/>
          <w:b w:val="false"/>
          <w:color w:val="000000"/>
          <w:sz w:val="20"/>
        </w:rPr>
        <w:t>million and $20.9</w:t>
      </w:r>
      <w:r>
        <w:rPr>
          <w:rFonts w:ascii="Times New Roman" w:hAnsi="Times New Roman"/>
          <w:color w:val="000000"/>
          <w:sz w:val="20"/>
        </w:rPr>
        <w:t xml:space="preserve"> </w:t>
      </w:r>
      <w:r>
        <w:rPr>
          <w:rFonts w:ascii="Times New Roman" w:hAnsi="Times New Roman"/>
          <w:b w:val="false"/>
          <w:color w:val="000000"/>
          <w:sz w:val="20"/>
        </w:rPr>
        <w:t>million, respectively, and paid $8.7</w:t>
      </w:r>
      <w:r>
        <w:rPr>
          <w:rFonts w:ascii="Times New Roman" w:hAnsi="Times New Roman"/>
          <w:color w:val="000000"/>
          <w:sz w:val="20"/>
        </w:rPr>
        <w:t xml:space="preserve"> </w:t>
      </w:r>
      <w:r>
        <w:rPr>
          <w:rFonts w:ascii="Times New Roman" w:hAnsi="Times New Roman"/>
          <w:b w:val="false"/>
          <w:color w:val="000000"/>
          <w:sz w:val="20"/>
        </w:rPr>
        <w:t>million and $19.6</w:t>
      </w:r>
      <w:r>
        <w:rPr>
          <w:rFonts w:ascii="Times New Roman" w:hAnsi="Times New Roman"/>
          <w:color w:val="000000"/>
          <w:sz w:val="20"/>
        </w:rPr>
        <w:t xml:space="preserve"> </w:t>
      </w:r>
      <w:r>
        <w:rPr>
          <w:rFonts w:ascii="Times New Roman" w:hAnsi="Times New Roman"/>
          <w:b w:val="false"/>
          <w:color w:val="000000"/>
          <w:sz w:val="20"/>
        </w:rPr>
        <w:t>million, respectively, related to the settlements of its interest rate swaps, excluding upfront fees, related to the 2023 Notes, 2024 Notes and 2026 Notes. These net amounts are reflected in interest expense in the Company’s Consolidated Statements of Operations. See Note 5 for further information about the Company’s interest rate swaps.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September 30, 2023 and December 31, 2022, the components of the carrying value of the 2023 Notes, 2024 Notes, 2026 Notes and 2028 Notes and the stated interest rate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6"/>
        <w:gridCol w:w="146"/>
        <w:gridCol w:w="211"/>
        <w:gridCol w:w="781"/>
        <w:gridCol w:w="271"/>
        <w:gridCol w:w="146"/>
        <w:gridCol w:w="211"/>
        <w:gridCol w:w="781"/>
        <w:gridCol w:w="271"/>
        <w:gridCol w:w="146"/>
        <w:gridCol w:w="211"/>
        <w:gridCol w:w="781"/>
        <w:gridCol w:w="271"/>
        <w:gridCol w:w="146"/>
        <w:gridCol w:w="211"/>
        <w:gridCol w:w="781"/>
        <w:gridCol w:w="271"/>
        <w:gridCol w:w="146"/>
        <w:gridCol w:w="211"/>
        <w:gridCol w:w="781"/>
        <w:gridCol w:w="271"/>
        <w:gridCol w:w="146"/>
        <w:gridCol w:w="211"/>
        <w:gridCol w:w="781"/>
        <w:gridCol w:w="316"/>
      </w:tblGrid>
      <w:tr>
        <w:trPr/>
        <w:tc>
          <w:tcPr>
            <w:tcW w:w="1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0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Notes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amount of debt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316" w:type="dxa"/>
            <w:tcBorders/>
            <w:shd w:fill="CFF0FC" w:val="clear"/>
            <w:vAlign w:val="center"/>
          </w:tcPr>
          <w:p>
            <w:pPr>
              <w:pStyle w:val="TableContents"/>
              <w:bidi w:val="0"/>
              <w:spacing w:before="0" w:after="283"/>
              <w:jc w:val="left"/>
              <w:rPr/>
            </w:pPr>
            <w:r>
              <w:rPr/>
              <w:t> </w:t>
            </w:r>
          </w:p>
        </w:tc>
      </w:tr>
      <w:tr>
        <w:trPr/>
        <w:tc>
          <w:tcPr>
            <w:tcW w:w="17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Original issue discount, net of accretion</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(1,172</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(1,468</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7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financing costs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(4,198</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(2,679</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7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Fair value of an effective hedge</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(6,079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(35,665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7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debt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330,817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261,984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287,972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149,960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325,492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260,188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Stated interest rate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stated interest rate in the table above does not include the effect of the interest rate swaps. As of December 31, 2022, the Company’s swap-adjusted interest rate on the 2023 Notes, 2024 Notes and 2026 Notes was three month LIBOR</w:t>
      </w:r>
      <w:r>
        <w:rPr>
          <w:rFonts w:ascii="Times New Roman" w:hAnsi="Times New Roman"/>
          <w:color w:val="000000"/>
          <w:sz w:val="20"/>
        </w:rPr>
        <w:t xml:space="preserve"> </w:t>
      </w:r>
      <w:r>
        <w:rPr>
          <w:rFonts w:ascii="Times New Roman" w:hAnsi="Times New Roman"/>
          <w:b w:val="false"/>
          <w:color w:val="000000"/>
          <w:sz w:val="20"/>
        </w:rPr>
        <w:t>plus 1.99%, 2.28% (on a weighted average basis), and 1.91%, respectively. On September 25, 2023, the Company’s swap-adjusted interest rate on the 2024 Notes and 2026 Notes transitioned to</w:t>
      </w:r>
      <w:r>
        <w:rPr>
          <w:rFonts w:ascii="Times New Roman" w:hAnsi="Times New Roman"/>
          <w:color w:val="000000"/>
          <w:sz w:val="20"/>
        </w:rPr>
        <w:t xml:space="preserve"> </w:t>
      </w:r>
      <w:r>
        <w:rPr>
          <w:rFonts w:ascii="Times New Roman" w:hAnsi="Times New Roman"/>
          <w:b w:val="false"/>
          <w:color w:val="000000"/>
          <w:sz w:val="20"/>
        </w:rPr>
        <w:t>SOFR</w:t>
      </w:r>
      <w:r>
        <w:rPr>
          <w:rFonts w:ascii="Times New Roman" w:hAnsi="Times New Roman"/>
          <w:color w:val="000000"/>
          <w:sz w:val="20"/>
        </w:rPr>
        <w:t xml:space="preserve"> </w:t>
      </w:r>
      <w:r>
        <w:rPr>
          <w:rFonts w:ascii="Times New Roman" w:hAnsi="Times New Roman"/>
          <w:b w:val="false"/>
          <w:color w:val="000000"/>
          <w:sz w:val="20"/>
        </w:rPr>
        <w:t>plus 2.54% (on a weighted average basis), and SOFR</w:t>
      </w:r>
      <w:r>
        <w:rPr>
          <w:rFonts w:ascii="Times New Roman" w:hAnsi="Times New Roman"/>
          <w:color w:val="000000"/>
          <w:sz w:val="20"/>
        </w:rPr>
        <w:t xml:space="preserve"> </w:t>
      </w:r>
      <w:r>
        <w:rPr>
          <w:rFonts w:ascii="Times New Roman" w:hAnsi="Times New Roman"/>
          <w:b w:val="false"/>
          <w:color w:val="000000"/>
          <w:sz w:val="20"/>
        </w:rPr>
        <w:t>plus 2.17%, respectively. As of September 30, 2023, the Company's swap-adjusted interest rate on the 2024 Notes, 2026 Notes and 2028 Notes was SOFR</w:t>
      </w:r>
      <w:r>
        <w:rPr>
          <w:rFonts w:ascii="Times New Roman" w:hAnsi="Times New Roman"/>
          <w:color w:val="000000"/>
          <w:sz w:val="20"/>
        </w:rPr>
        <w:t xml:space="preserve"> </w:t>
      </w:r>
      <w:r>
        <w:rPr>
          <w:rFonts w:ascii="Times New Roman" w:hAnsi="Times New Roman"/>
          <w:b w:val="false"/>
          <w:color w:val="000000"/>
          <w:sz w:val="20"/>
        </w:rPr>
        <w:t>plus 2.54% (on a weighted average basis), 2.17%, and 2.99%, respectively.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 Company was in compliance with the terms of the indentures governing the 2024 Notes, 2026 Notes and 2028 Notes. As of December 31, 2022, the Company was in compliance with the terms of the indentures governing the 2023 Notes, 2024 Notes and 2026 Notes.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accordance with the 1940 Act, with certain limitations, the Company is allowed to borrow amounts such that its asset coverage, as defined in the 1940 Act, is at least 150% after such borrowing. As of September 30, 2023 and December 31, 2022, the Company’s asset coverage was 187.3%</w:t>
      </w:r>
      <w:r>
        <w:rPr>
          <w:rFonts w:ascii="Times New Roman" w:hAnsi="Times New Roman"/>
          <w:color w:val="000000"/>
          <w:sz w:val="20"/>
        </w:rPr>
        <w:t xml:space="preserve"> </w:t>
      </w:r>
      <w:r>
        <w:rPr>
          <w:rFonts w:ascii="Times New Roman" w:hAnsi="Times New Roman"/>
          <w:b w:val="false"/>
          <w:color w:val="000000"/>
          <w:sz w:val="20"/>
        </w:rPr>
        <w:t>and 188.6%, respectively.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Debt obligations consisted of the following as of September 30, 2023 and December 31, 2022:</w:t>
      </w:r>
      <w:r>
        <w:rPr>
          <w:rFonts w:ascii="Times New Roman" w:hAnsi="Times New Roman"/>
          <w:color w:val="000000"/>
          <w:sz w:val="20"/>
        </w:rPr>
        <w:t xml:space="preserve"> </w:t>
      </w:r>
    </w:p>
    <w:p>
      <w:pPr>
        <w:pStyle w:val="TextBody"/>
        <w:bidi w:val="0"/>
        <w:jc w:val="left"/>
        <w:rPr/>
      </w:pPr>
      <w:r>
        <w:rPr/>
        <w:t> </w:t>
      </w:r>
    </w:p>
    <w:tbl>
      <w:tblPr>
        <w:tblW w:w="805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78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758,247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951,572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742,237</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330,817</w:t>
            </w:r>
          </w:p>
        </w:tc>
        <w:tc>
          <w:tcPr>
            <w:tcW w:w="3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 Notes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261,984</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2028 Notes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287,972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2,657,500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1,705,747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951,572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1,623,010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amount available may be subject to limitations related to the borrowing base under the Revolving Credit Facility and asset coverage requirements.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left"/>
        <w:rPr>
          <w:rFonts w:ascii="Times New Roman" w:hAnsi="Times New Roman"/>
          <w:sz w:val="20"/>
        </w:rPr>
      </w:pPr>
      <w:r>
        <w:rPr>
          <w:rFonts w:ascii="Times New Roman" w:hAnsi="Times New Roman"/>
          <w:b w:val="false"/>
          <w:color w:val="000000"/>
          <w:sz w:val="20"/>
        </w:rPr>
        <w:t>The carrying values of the Revolving Credit Facility, 2024 Notes, 2026 Notes and 2028 Notes are presented net of the combination of deferred financing costs and original issue discounts totaling $16.0</w:t>
      </w:r>
      <w:r>
        <w:rPr>
          <w:rFonts w:ascii="Times New Roman" w:hAnsi="Times New Roman"/>
          <w:color w:val="000000"/>
          <w:sz w:val="20"/>
        </w:rPr>
        <w:t xml:space="preserve"> </w:t>
      </w:r>
      <w:r>
        <w:rPr>
          <w:rFonts w:ascii="Times New Roman" w:hAnsi="Times New Roman"/>
          <w:b w:val="false"/>
          <w:color w:val="000000"/>
          <w:sz w:val="20"/>
        </w:rPr>
        <w:t>million, $1.5</w:t>
      </w:r>
      <w:r>
        <w:rPr>
          <w:rFonts w:ascii="Times New Roman" w:hAnsi="Times New Roman"/>
          <w:color w:val="000000"/>
          <w:sz w:val="20"/>
        </w:rPr>
        <w:t xml:space="preserve"> </w:t>
      </w:r>
      <w:r>
        <w:rPr>
          <w:rFonts w:ascii="Times New Roman" w:hAnsi="Times New Roman"/>
          <w:b w:val="false"/>
          <w:color w:val="000000"/>
          <w:sz w:val="20"/>
        </w:rPr>
        <w:t>million, $3.3</w:t>
      </w:r>
      <w:r>
        <w:rPr>
          <w:rFonts w:ascii="Times New Roman" w:hAnsi="Times New Roman"/>
          <w:color w:val="000000"/>
          <w:sz w:val="20"/>
        </w:rPr>
        <w:t xml:space="preserve"> </w:t>
      </w:r>
      <w:r>
        <w:rPr>
          <w:rFonts w:ascii="Times New Roman" w:hAnsi="Times New Roman"/>
          <w:b w:val="false"/>
          <w:color w:val="000000"/>
          <w:sz w:val="20"/>
        </w:rPr>
        <w:t>million and $5.9</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jc w:val="left"/>
        <w:rPr>
          <w:rFonts w:ascii="Times New Roman" w:hAnsi="Times New Roman"/>
          <w:sz w:val="20"/>
        </w:rPr>
      </w:pPr>
      <w:r>
        <w:rPr>
          <w:rFonts w:ascii="Times New Roman" w:hAnsi="Times New Roman"/>
          <w:b w:val="false"/>
          <w:color w:val="000000"/>
          <w:sz w:val="20"/>
        </w:rPr>
        <w:t>The carrying values of the 2024 Notes, 2026 Notes and 2028 Notes are presented inclusive of an incremental $(15.1)</w:t>
      </w:r>
      <w:r>
        <w:rPr>
          <w:rFonts w:ascii="Times New Roman" w:hAnsi="Times New Roman"/>
          <w:color w:val="000000"/>
          <w:sz w:val="20"/>
        </w:rPr>
        <w:t xml:space="preserve"> </w:t>
      </w:r>
      <w:r>
        <w:rPr>
          <w:rFonts w:ascii="Times New Roman" w:hAnsi="Times New Roman"/>
          <w:b w:val="false"/>
          <w:color w:val="000000"/>
          <w:sz w:val="20"/>
        </w:rPr>
        <w:t>million, $(34.7)</w:t>
      </w:r>
      <w:r>
        <w:rPr>
          <w:rFonts w:ascii="Times New Roman" w:hAnsi="Times New Roman"/>
          <w:color w:val="000000"/>
          <w:sz w:val="20"/>
        </w:rPr>
        <w:t xml:space="preserve"> </w:t>
      </w:r>
      <w:r>
        <w:rPr>
          <w:rFonts w:ascii="Times New Roman" w:hAnsi="Times New Roman"/>
          <w:b w:val="false"/>
          <w:color w:val="000000"/>
          <w:sz w:val="20"/>
        </w:rPr>
        <w:t>million and $(6.1)</w:t>
      </w:r>
      <w:r>
        <w:rPr>
          <w:rFonts w:ascii="Times New Roman" w:hAnsi="Times New Roman"/>
          <w:color w:val="000000"/>
          <w:sz w:val="20"/>
        </w:rPr>
        <w:t xml:space="preserve"> </w:t>
      </w:r>
      <w:r>
        <w:rPr>
          <w:rFonts w:ascii="Times New Roman" w:hAnsi="Times New Roman"/>
          <w:b w:val="false"/>
          <w:color w:val="000000"/>
          <w:sz w:val="20"/>
        </w:rPr>
        <w:t>million, respectively, which represents an adjustment in the carrying values of the 2024 Notes, 2026 Notes and 2028 Notes, each resulting from a hedge accounting relationship.</w:t>
      </w:r>
    </w:p>
    <w:p>
      <w:pPr>
        <w:pStyle w:val="TextBody"/>
        <w:bidi w:val="0"/>
        <w:jc w:val="left"/>
        <w:rPr/>
      </w:pPr>
      <w:r>
        <w:rPr/>
        <w:t> </w:t>
      </w:r>
    </w:p>
    <w:p>
      <w:pPr>
        <w:pStyle w:val="TextBody"/>
        <w:bidi w:val="0"/>
        <w:jc w:val="left"/>
        <w:rPr/>
      </w:pPr>
      <w:r>
        <w:rPr/>
        <w:t> </w:t>
      </w:r>
    </w:p>
    <w:tbl>
      <w:tblPr>
        <w:tblW w:w="805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78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719,328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865,672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706,156</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149,960</w:t>
            </w:r>
          </w:p>
        </w:tc>
        <w:tc>
          <w:tcPr>
            <w:tcW w:w="3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 Notes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325,492</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 Notes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260,188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2,382,500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1,516,828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865,672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1,441,796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sz w:val="20"/>
        </w:rPr>
      </w:pPr>
      <w:r>
        <w:rPr>
          <w:rFonts w:ascii="Times New Roman" w:hAnsi="Times New Roman"/>
          <w:b w:val="false"/>
          <w:color w:val="000000"/>
          <w:sz w:val="20"/>
        </w:rPr>
        <w:t>The amount available may be subject to limitations related to the borrowing base under the Revolving Credit Facility and asset coverage requirements.</w:t>
      </w:r>
      <w:r>
        <w:rPr>
          <w:rFonts w:ascii="Times New Roman" w:hAnsi="Times New Roman"/>
          <w:color w:val="000000"/>
          <w:sz w:val="20"/>
        </w:rPr>
        <w:t xml:space="preserv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left"/>
        <w:rPr>
          <w:rFonts w:ascii="Times New Roman" w:hAnsi="Times New Roman"/>
          <w:sz w:val="20"/>
        </w:rPr>
      </w:pPr>
      <w:r>
        <w:rPr>
          <w:rFonts w:ascii="Times New Roman" w:hAnsi="Times New Roman"/>
          <w:b w:val="false"/>
          <w:color w:val="000000"/>
          <w:sz w:val="20"/>
        </w:rPr>
        <w:t>The carrying values of the Revolving Credit Facility, 2023 Notes, 2024 Notes and 2026 Notes are presented net of the combination of deferred financing costs and original issue discounts totaling</w:t>
      </w:r>
      <w:r>
        <w:rPr>
          <w:rFonts w:ascii="Times New Roman" w:hAnsi="Times New Roman"/>
          <w:color w:val="000000"/>
          <w:sz w:val="20"/>
        </w:rPr>
        <w:t xml:space="preserve"> </w:t>
      </w:r>
      <w:r>
        <w:rPr>
          <w:rFonts w:ascii="Times New Roman" w:hAnsi="Times New Roman"/>
          <w:b w:val="false"/>
          <w:color w:val="000000"/>
          <w:sz w:val="20"/>
        </w:rPr>
        <w:t>$13.2</w:t>
      </w:r>
      <w:r>
        <w:rPr>
          <w:rFonts w:ascii="Times New Roman" w:hAnsi="Times New Roman"/>
          <w:color w:val="000000"/>
          <w:sz w:val="20"/>
        </w:rPr>
        <w:t xml:space="preserve"> </w:t>
      </w:r>
      <w:r>
        <w:rPr>
          <w:rFonts w:ascii="Times New Roman" w:hAnsi="Times New Roman"/>
          <w:b w:val="false"/>
          <w:color w:val="000000"/>
          <w:sz w:val="20"/>
        </w:rPr>
        <w:t>million, less than $0.1</w:t>
      </w:r>
      <w:r>
        <w:rPr>
          <w:rFonts w:ascii="Times New Roman" w:hAnsi="Times New Roman"/>
          <w:color w:val="000000"/>
          <w:sz w:val="20"/>
        </w:rPr>
        <w:t xml:space="preserve"> </w:t>
      </w:r>
      <w:r>
        <w:rPr>
          <w:rFonts w:ascii="Times New Roman" w:hAnsi="Times New Roman"/>
          <w:b w:val="false"/>
          <w:color w:val="000000"/>
          <w:sz w:val="20"/>
        </w:rPr>
        <w:t>million, $2.6</w:t>
      </w:r>
      <w:r>
        <w:rPr>
          <w:rFonts w:ascii="Times New Roman" w:hAnsi="Times New Roman"/>
          <w:color w:val="000000"/>
          <w:sz w:val="20"/>
        </w:rPr>
        <w:t xml:space="preserve"> </w:t>
      </w:r>
      <w:r>
        <w:rPr>
          <w:rFonts w:ascii="Times New Roman" w:hAnsi="Times New Roman"/>
          <w:b w:val="false"/>
          <w:color w:val="000000"/>
          <w:sz w:val="20"/>
        </w:rPr>
        <w:t>million and $4.1</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carrying values of the 2024 Notes and 2026 Notes are presented inclusive of an incremental $(19.4) million and $(35.7) million, respectively, which represents an adjustment in the carrying values of the 2024 Notes and 2026 Notes, each resulting from a hedge accounting relationship.</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For the three and nine months ended September 30, 2023 and 2022, the components of interest expense were as follows: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837"/>
        <w:gridCol w:w="146"/>
        <w:gridCol w:w="314"/>
        <w:gridCol w:w="1075"/>
        <w:gridCol w:w="271"/>
        <w:gridCol w:w="146"/>
        <w:gridCol w:w="314"/>
        <w:gridCol w:w="1075"/>
        <w:gridCol w:w="271"/>
        <w:gridCol w:w="146"/>
        <w:gridCol w:w="314"/>
        <w:gridCol w:w="1075"/>
        <w:gridCol w:w="271"/>
        <w:gridCol w:w="146"/>
        <w:gridCol w:w="314"/>
        <w:gridCol w:w="1075"/>
        <w:gridCol w:w="415"/>
      </w:tblGrid>
      <w:tr>
        <w:trPr/>
        <w:tc>
          <w:tcPr>
            <w:tcW w:w="2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8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3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24,752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14,632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69,073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34,439</w:t>
            </w:r>
          </w:p>
        </w:tc>
        <w:tc>
          <w:tcPr>
            <w:tcW w:w="415" w:type="dxa"/>
            <w:tcBorders/>
            <w:shd w:fill="CFF0FC" w:val="clear"/>
            <w:vAlign w:val="center"/>
          </w:tcPr>
          <w:p>
            <w:pPr>
              <w:pStyle w:val="TableContents"/>
              <w:bidi w:val="0"/>
              <w:spacing w:before="0" w:after="283"/>
              <w:jc w:val="left"/>
              <w:rPr/>
            </w:pPr>
            <w:r>
              <w:rPr/>
              <w:t> </w:t>
            </w:r>
          </w:p>
        </w:tc>
      </w:tr>
      <w:tr>
        <w:trPr/>
        <w:tc>
          <w:tcPr>
            <w:tcW w:w="283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 fees</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3,268</w:t>
            </w:r>
          </w:p>
        </w:tc>
        <w:tc>
          <w:tcPr>
            <w:tcW w:w="415" w:type="dxa"/>
            <w:tcBorders/>
            <w:shd w:fill="FFFFFF" w:val="clear"/>
            <w:vAlign w:val="center"/>
          </w:tcPr>
          <w:p>
            <w:pPr>
              <w:pStyle w:val="TableContents"/>
              <w:bidi w:val="0"/>
              <w:spacing w:before="0" w:after="283"/>
              <w:jc w:val="left"/>
              <w:rPr/>
            </w:pPr>
            <w:r>
              <w:rPr/>
              <w:t> </w:t>
            </w:r>
          </w:p>
        </w:tc>
      </w:tr>
      <w:tr>
        <w:trPr/>
        <w:tc>
          <w:tcPr>
            <w:tcW w:w="28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deferred financing costs</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4,306</w:t>
            </w:r>
          </w:p>
        </w:tc>
        <w:tc>
          <w:tcPr>
            <w:tcW w:w="415" w:type="dxa"/>
            <w:tcBorders/>
            <w:shd w:fill="CFF0FC" w:val="clear"/>
            <w:vAlign w:val="center"/>
          </w:tcPr>
          <w:p>
            <w:pPr>
              <w:pStyle w:val="TableContents"/>
              <w:bidi w:val="0"/>
              <w:spacing w:before="0" w:after="283"/>
              <w:jc w:val="left"/>
              <w:rPr/>
            </w:pPr>
            <w:r>
              <w:rPr/>
              <w:t> </w:t>
            </w:r>
          </w:p>
        </w:tc>
      </w:tr>
      <w:tr>
        <w:trPr/>
        <w:tc>
          <w:tcPr>
            <w:tcW w:w="283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Accretion of original issue discount</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w:t>
            </w:r>
          </w:p>
        </w:tc>
        <w:tc>
          <w:tcPr>
            <w:tcW w:w="415" w:type="dxa"/>
            <w:tcBorders/>
            <w:shd w:fill="FFFFFF" w:val="clear"/>
            <w:vAlign w:val="center"/>
          </w:tcPr>
          <w:p>
            <w:pPr>
              <w:pStyle w:val="TableContents"/>
              <w:bidi w:val="0"/>
              <w:spacing w:before="0" w:after="283"/>
              <w:jc w:val="left"/>
              <w:rPr/>
            </w:pPr>
            <w:r>
              <w:rPr/>
              <w:t> </w:t>
            </w:r>
          </w:p>
        </w:tc>
      </w:tr>
      <w:tr>
        <w:trPr/>
        <w:tc>
          <w:tcPr>
            <w:tcW w:w="28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Swap settlement</w:t>
            </w:r>
          </w:p>
        </w:tc>
        <w:tc>
          <w:tcPr>
            <w:tcW w:w="146" w:type="dxa"/>
            <w:tcBorders/>
            <w:shd w:fill="CFF0FC" w:val="cle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20,480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(2,168</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37"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35,042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18,851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95,971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40,416</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Average debt outstanding (in millions)</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1,730.8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1,490.9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1,671.8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1,287.1</w:t>
            </w:r>
          </w:p>
        </w:tc>
        <w:tc>
          <w:tcPr>
            <w:tcW w:w="415" w:type="dxa"/>
            <w:tcBorders/>
            <w:shd w:fill="CFF0FC" w:val="clear"/>
            <w:vAlign w:val="center"/>
          </w:tcPr>
          <w:p>
            <w:pPr>
              <w:pStyle w:val="TableContents"/>
              <w:bidi w:val="0"/>
              <w:spacing w:before="0" w:after="283"/>
              <w:jc w:val="left"/>
              <w:rPr/>
            </w:pPr>
            <w:r>
              <w:rPr/>
              <w:t> </w:t>
            </w:r>
          </w:p>
        </w:tc>
      </w:tr>
      <w:tr>
        <w:trPr/>
        <w:tc>
          <w:tcPr>
            <w:tcW w:w="283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interest rate</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4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4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8.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Portfolio Company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the Company may enter into commitments to fund investments; such commitments are incorporated into the Company’s assessment of its liquidity position. The Company’s senior secured revolving loan commitments are generally available on</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and December 31, 2022, the Company had the following commitments to fund investments in current portfolio companies:</w:t>
      </w:r>
      <w:r>
        <w:rPr>
          <w:rFonts w:ascii="Times New Roman" w:hAnsi="Times New Roman"/>
          <w:color w:val="000000"/>
          <w:sz w:val="20"/>
        </w:rPr>
        <w:t xml:space="preserve"> </w:t>
      </w:r>
    </w:p>
    <w:p>
      <w:pPr>
        <w:pStyle w:val="TextBody"/>
        <w:bidi w:val="0"/>
        <w:jc w:val="left"/>
        <w:rPr/>
      </w:pPr>
      <w:r>
        <w:rPr/>
        <w:t> </w:t>
      </w:r>
    </w:p>
    <w:tbl>
      <w:tblPr>
        <w:tblW w:w="9230" w:type="dxa"/>
        <w:jc w:val="left"/>
        <w:tblInd w:w="0" w:type="dxa"/>
        <w:tblLayout w:type="fixed"/>
        <w:tblCellMar>
          <w:top w:w="28" w:type="dxa"/>
          <w:left w:w="28" w:type="dxa"/>
          <w:bottom w:w="28" w:type="dxa"/>
          <w:right w:w="28" w:type="dxa"/>
        </w:tblCellMar>
      </w:tblPr>
      <w:tblGrid>
        <w:gridCol w:w="5056"/>
        <w:gridCol w:w="246"/>
        <w:gridCol w:w="341"/>
        <w:gridCol w:w="1204"/>
        <w:gridCol w:w="246"/>
        <w:gridCol w:w="246"/>
        <w:gridCol w:w="331"/>
        <w:gridCol w:w="1169"/>
        <w:gridCol w:w="391"/>
      </w:tblGrid>
      <w:tr>
        <w:trPr/>
        <w:tc>
          <w:tcPr>
            <w:tcW w:w="50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Alaska Bidco Oy - Delayed Draw &amp; Revolver</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69"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Alpha Midco, Inc. - Delayed Draw</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910</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American Achievement, Corp. - Revolver</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2,403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2,403</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Arrow Buyer, Inc. - Delayed Draw</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7,645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500" w:type="dxa"/>
            <w:gridSpan w:val="2"/>
            <w:tcBorders/>
            <w:shd w:fill="FFFFFF" w:val="clear"/>
            <w:vAlign w:val="center"/>
          </w:tcPr>
          <w:p>
            <w:pPr>
              <w:pStyle w:val="TableContents"/>
              <w:bidi w:val="0"/>
              <w:spacing w:before="0" w:after="283"/>
              <w:ind w:left="100" w:right="0" w:firstLine="100"/>
              <w:jc w:val="right"/>
              <w:rPr>
                <w:color w:val="000000"/>
              </w:rPr>
            </w:pPr>
            <w:r>
              <w:rPr>
                <w:color w:val="000000"/>
              </w:rPr>
              <w:t>—</w:t>
            </w:r>
          </w:p>
        </w:tc>
        <w:tc>
          <w:tcPr>
            <w:tcW w:w="391" w:type="dxa"/>
            <w:tcBorders/>
            <w:shd w:fill="FFFFFF" w:val="clear"/>
            <w:vAlign w:val="center"/>
          </w:tcPr>
          <w:p>
            <w:pPr>
              <w:pStyle w:val="TableContents"/>
              <w:bidi w:val="0"/>
              <w:spacing w:before="0" w:after="283"/>
              <w:jc w:val="righ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ASG II, LLC - Delayed Draw</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4,307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6,952</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Avalara, Inc. - Revolver</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3,864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3,864</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Axonify, Inc. - Delayed Draw</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4,193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6,113</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Banyan Software Holdings, LLC - Delayed Draw</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20,000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500" w:type="dxa"/>
            <w:gridSpan w:val="2"/>
            <w:tcBorders/>
            <w:shd w:fill="FFFFFF" w:val="clear"/>
            <w:vAlign w:val="center"/>
          </w:tcPr>
          <w:p>
            <w:pPr>
              <w:pStyle w:val="TableContents"/>
              <w:bidi w:val="0"/>
              <w:spacing w:before="0" w:after="283"/>
              <w:ind w:left="100" w:right="0" w:firstLine="100"/>
              <w:jc w:val="right"/>
              <w:rPr>
                <w:color w:val="000000"/>
              </w:rPr>
            </w:pPr>
            <w:r>
              <w:rPr>
                <w:color w:val="000000"/>
              </w:rPr>
              <w:t>—</w:t>
            </w:r>
          </w:p>
        </w:tc>
        <w:tc>
          <w:tcPr>
            <w:tcW w:w="391" w:type="dxa"/>
            <w:tcBorders/>
            <w:shd w:fill="FFFFFF" w:val="clear"/>
            <w:vAlign w:val="center"/>
          </w:tcPr>
          <w:p>
            <w:pPr>
              <w:pStyle w:val="TableContents"/>
              <w:bidi w:val="0"/>
              <w:spacing w:before="0" w:after="283"/>
              <w:jc w:val="righ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Bayshore Intermediate #2, L.P. - Revolver</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1,618</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BCTO Ace Purchaser, Inc. - Delayed Draw</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6,556</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BCTO Bluebill Buyer, Inc. - Delayed Draw</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5,586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500" w:type="dxa"/>
            <w:gridSpan w:val="2"/>
            <w:tcBorders/>
            <w:shd w:fill="CFF0FC" w:val="clear"/>
            <w:vAlign w:val="center"/>
          </w:tcPr>
          <w:p>
            <w:pPr>
              <w:pStyle w:val="TableContents"/>
              <w:bidi w:val="0"/>
              <w:spacing w:before="0" w:after="283"/>
              <w:ind w:left="100" w:right="0" w:firstLine="100"/>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Bear OpCo, LLC - Delayed Draw</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1,543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2,606</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BlueSnap, Inc. - Delayed Draw &amp; Revolver</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BTRS Holdings, Inc. - Delayed Draw &amp; Revolver</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7,239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8,638</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Carlstar Group, LLC - Revolver</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8,500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8,500</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Cordance Operations, LLC - Delayed Draw &amp; Revolver</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3,494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12,093</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Coupa Holdings, LLC - Delayed Draw &amp; Revolver</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6,809</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500" w:type="dxa"/>
            <w:gridSpan w:val="2"/>
            <w:tcBorders/>
            <w:shd w:fill="CFF0FC" w:val="clear"/>
            <w:vAlign w:val="center"/>
          </w:tcPr>
          <w:p>
            <w:pPr>
              <w:pStyle w:val="TableContents"/>
              <w:bidi w:val="0"/>
              <w:spacing w:before="0" w:after="283"/>
              <w:ind w:left="100" w:right="0" w:firstLine="100"/>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CrunchTime Information Systems, Inc. - Delayed Draw</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7,101</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Disco Parent, Inc. - Revolver</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500" w:type="dxa"/>
            <w:gridSpan w:val="2"/>
            <w:tcBorders/>
            <w:shd w:fill="CFF0FC" w:val="clear"/>
            <w:vAlign w:val="center"/>
          </w:tcPr>
          <w:p>
            <w:pPr>
              <w:pStyle w:val="TableContents"/>
              <w:bidi w:val="0"/>
              <w:spacing w:before="0" w:after="283"/>
              <w:ind w:left="100" w:right="0" w:firstLine="100"/>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Dye &amp; Durham Corp. - Delayed Draw &amp; Revolver</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2,015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6,280</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EDB Parent, LLC - Delayed Draw</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13,142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18,037</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Edge Bidco B.V. - Delayed Draw &amp; Revolver</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500" w:type="dxa"/>
            <w:gridSpan w:val="2"/>
            <w:tcBorders/>
            <w:shd w:fill="FFFFFF" w:val="clear"/>
            <w:vAlign w:val="center"/>
          </w:tcPr>
          <w:p>
            <w:pPr>
              <w:pStyle w:val="TableContents"/>
              <w:bidi w:val="0"/>
              <w:spacing w:before="0" w:after="283"/>
              <w:ind w:left="100" w:right="0" w:firstLine="100"/>
              <w:jc w:val="right"/>
              <w:rPr>
                <w:color w:val="000000"/>
              </w:rPr>
            </w:pPr>
            <w:r>
              <w:rPr>
                <w:color w:val="000000"/>
              </w:rPr>
              <w:t>—</w:t>
            </w:r>
          </w:p>
        </w:tc>
        <w:tc>
          <w:tcPr>
            <w:tcW w:w="391" w:type="dxa"/>
            <w:tcBorders/>
            <w:shd w:fill="FFFFFF" w:val="clear"/>
            <w:vAlign w:val="center"/>
          </w:tcPr>
          <w:p>
            <w:pPr>
              <w:pStyle w:val="TableContents"/>
              <w:bidi w:val="0"/>
              <w:spacing w:before="0" w:after="283"/>
              <w:jc w:val="righ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Elysian Finco Ltd. - Delayed Draw &amp; Revolver</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5,180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6,792</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Employment Hero Holdings Pty Ltd. - Delayed Draw &amp; Revolver</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8,390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8,816</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EMS Linq, Inc. - Revolver</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8,784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8,784</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Erling Lux Bidco SARL - Delayed Draw &amp; Revolver</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3,052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5,618</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ExtraHop Networks, Inc. - Delayed Draw</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11,838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17,050</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ForeScout Technologies, Inc. - Delayed Draw &amp; Revolver</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3,425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3,425</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 Treasury SS, LLC - Delayed Draw</w:t>
            </w:r>
          </w:p>
        </w:tc>
        <w:tc>
          <w:tcPr>
            <w:tcW w:w="246" w:type="dxa"/>
            <w:tcBorders/>
            <w:shd w:fill="CFF0FC" w:val="clear"/>
            <w:vAlign w:val="center"/>
          </w:tcPr>
          <w:p>
            <w:pPr>
              <w:pStyle w:val="TableContents"/>
              <w:bidi w:val="0"/>
              <w:spacing w:before="0" w:after="283"/>
              <w:ind w:left="0" w:right="0" w:firstLine="100"/>
              <w:jc w:val="right"/>
              <w:rPr/>
            </w:pPr>
            <w:r>
              <w:rPr/>
              <w:t> </w:t>
            </w:r>
          </w:p>
        </w:tc>
        <w:tc>
          <w:tcPr>
            <w:tcW w:w="1545" w:type="dxa"/>
            <w:gridSpan w:val="2"/>
            <w:tcBorders/>
            <w:shd w:fill="CFF0FC" w:val="clear"/>
            <w:vAlign w:val="center"/>
          </w:tcPr>
          <w:p>
            <w:pPr>
              <w:pStyle w:val="TableContents"/>
              <w:bidi w:val="0"/>
              <w:spacing w:before="0" w:after="283"/>
              <w:ind w:left="100" w:right="0" w:firstLine="100"/>
              <w:jc w:val="right"/>
              <w:rPr>
                <w:color w:val="000000"/>
              </w:rPr>
            </w:pPr>
            <w:r>
              <w:rPr>
                <w:color w:val="000000"/>
              </w:rPr>
              <w:t>—</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3,400</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Galileo Parent, Inc. - Revolver</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5,625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500" w:type="dxa"/>
            <w:gridSpan w:val="2"/>
            <w:tcBorders/>
            <w:shd w:fill="FFFFFF" w:val="clear"/>
            <w:vAlign w:val="center"/>
          </w:tcPr>
          <w:p>
            <w:pPr>
              <w:pStyle w:val="TableContents"/>
              <w:bidi w:val="0"/>
              <w:spacing w:before="0" w:after="283"/>
              <w:ind w:left="100" w:right="0" w:firstLine="100"/>
              <w:jc w:val="right"/>
              <w:rPr>
                <w:color w:val="000000"/>
              </w:rPr>
            </w:pPr>
            <w:r>
              <w:rPr>
                <w:color w:val="000000"/>
              </w:rPr>
              <w:t>—</w:t>
            </w:r>
          </w:p>
        </w:tc>
        <w:tc>
          <w:tcPr>
            <w:tcW w:w="391" w:type="dxa"/>
            <w:tcBorders/>
            <w:shd w:fill="FFFFFF" w:val="clear"/>
            <w:vAlign w:val="center"/>
          </w:tcPr>
          <w:p>
            <w:pPr>
              <w:pStyle w:val="TableContents"/>
              <w:bidi w:val="0"/>
              <w:spacing w:before="0" w:after="283"/>
              <w:jc w:val="righ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Hirevue, Inc. - Revolver</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6,887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500" w:type="dxa"/>
            <w:gridSpan w:val="2"/>
            <w:tcBorders/>
            <w:shd w:fill="CFF0FC" w:val="clear"/>
            <w:vAlign w:val="center"/>
          </w:tcPr>
          <w:p>
            <w:pPr>
              <w:pStyle w:val="TableContents"/>
              <w:bidi w:val="0"/>
              <w:spacing w:before="0" w:after="283"/>
              <w:ind w:left="100" w:right="0" w:firstLine="100"/>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Hornetsecurity Holding GmbH - Delayed Draw &amp; Revolver</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2,025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2,041</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Ibis Intermediate Co. - Delayed Draw</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6,338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6,338</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IRGSE Holding Corp. - Revolver</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253</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Kyriba Corp. - Delayed Draw &amp; Revolver</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Laramie Energy, LLC - Delayed Draw</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7,683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500" w:type="dxa"/>
            <w:gridSpan w:val="2"/>
            <w:tcBorders/>
            <w:shd w:fill="FFFFFF" w:val="clear"/>
            <w:vAlign w:val="center"/>
          </w:tcPr>
          <w:p>
            <w:pPr>
              <w:pStyle w:val="TableContents"/>
              <w:bidi w:val="0"/>
              <w:spacing w:before="0" w:after="283"/>
              <w:ind w:left="100" w:right="0" w:firstLine="100"/>
              <w:jc w:val="right"/>
              <w:rPr>
                <w:color w:val="000000"/>
              </w:rPr>
            </w:pPr>
            <w:r>
              <w:rPr>
                <w:color w:val="000000"/>
              </w:rPr>
              <w:t>—</w:t>
            </w:r>
          </w:p>
        </w:tc>
        <w:tc>
          <w:tcPr>
            <w:tcW w:w="391" w:type="dxa"/>
            <w:tcBorders/>
            <w:shd w:fill="FFFFFF" w:val="clear"/>
            <w:vAlign w:val="center"/>
          </w:tcPr>
          <w:p>
            <w:pPr>
              <w:pStyle w:val="TableContents"/>
              <w:bidi w:val="0"/>
              <w:spacing w:before="0" w:after="283"/>
              <w:jc w:val="righ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LeanTaaS Holdings, Inc. - Delayed Draw</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39,587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47,218</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Lithium Technologies, LLC - Revolver</w:t>
            </w:r>
          </w:p>
        </w:tc>
        <w:tc>
          <w:tcPr>
            <w:tcW w:w="246" w:type="dxa"/>
            <w:tcBorders/>
            <w:shd w:fill="FFFFFF" w:val="clear"/>
            <w:vAlign w:val="center"/>
          </w:tcPr>
          <w:p>
            <w:pPr>
              <w:pStyle w:val="TableContents"/>
              <w:bidi w:val="0"/>
              <w:spacing w:before="0" w:after="283"/>
              <w:ind w:left="0" w:right="0" w:firstLine="100"/>
              <w:jc w:val="right"/>
              <w:rPr/>
            </w:pPr>
            <w:r>
              <w:rPr/>
              <w:t> </w:t>
            </w:r>
          </w:p>
        </w:tc>
        <w:tc>
          <w:tcPr>
            <w:tcW w:w="1545" w:type="dxa"/>
            <w:gridSpan w:val="2"/>
            <w:tcBorders/>
            <w:shd w:fill="FFFFFF" w:val="clear"/>
            <w:vAlign w:val="center"/>
          </w:tcPr>
          <w:p>
            <w:pPr>
              <w:pStyle w:val="TableContents"/>
              <w:bidi w:val="0"/>
              <w:spacing w:before="0" w:after="283"/>
              <w:ind w:left="100" w:right="0" w:firstLine="100"/>
              <w:jc w:val="right"/>
              <w:rPr>
                <w:color w:val="000000"/>
              </w:rPr>
            </w:pPr>
            <w:r>
              <w:rPr>
                <w:color w:val="000000"/>
              </w:rPr>
              <w:t>—</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1,979</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Lucidworks, Inc. - Delayed Draw</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833</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Marcura Equities LTD - Delayed Draw &amp; Revolver</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11,667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500" w:type="dxa"/>
            <w:gridSpan w:val="2"/>
            <w:tcBorders/>
            <w:shd w:fill="FFFFFF" w:val="clear"/>
            <w:vAlign w:val="center"/>
          </w:tcPr>
          <w:p>
            <w:pPr>
              <w:pStyle w:val="TableContents"/>
              <w:bidi w:val="0"/>
              <w:spacing w:before="0" w:after="283"/>
              <w:ind w:left="100" w:right="0" w:firstLine="100"/>
              <w:jc w:val="right"/>
              <w:rPr>
                <w:color w:val="000000"/>
              </w:rPr>
            </w:pPr>
            <w:r>
              <w:rPr>
                <w:color w:val="000000"/>
              </w:rPr>
              <w:t>—</w:t>
            </w:r>
          </w:p>
        </w:tc>
        <w:tc>
          <w:tcPr>
            <w:tcW w:w="391" w:type="dxa"/>
            <w:tcBorders/>
            <w:shd w:fill="FFFFFF" w:val="clear"/>
            <w:vAlign w:val="center"/>
          </w:tcPr>
          <w:p>
            <w:pPr>
              <w:pStyle w:val="TableContents"/>
              <w:bidi w:val="0"/>
              <w:spacing w:before="0" w:after="283"/>
              <w:jc w:val="righ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Murchison Oil and Gas, LLC - Delayed Draw</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3,257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9,772</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Netwrix Corp. - Delayed Draw &amp; Revolver</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12,568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13,881</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Neuintel, LLC - Delayed Draw</w:t>
            </w:r>
          </w:p>
        </w:tc>
        <w:tc>
          <w:tcPr>
            <w:tcW w:w="246" w:type="dxa"/>
            <w:tcBorders/>
            <w:shd w:fill="CFF0FC" w:val="clear"/>
            <w:vAlign w:val="center"/>
          </w:tcPr>
          <w:p>
            <w:pPr>
              <w:pStyle w:val="TableContents"/>
              <w:bidi w:val="0"/>
              <w:spacing w:before="0" w:after="283"/>
              <w:ind w:left="0" w:right="0" w:firstLine="100"/>
              <w:jc w:val="right"/>
              <w:rPr/>
            </w:pPr>
            <w:r>
              <w:rPr/>
              <w:t> </w:t>
            </w:r>
          </w:p>
        </w:tc>
        <w:tc>
          <w:tcPr>
            <w:tcW w:w="1545" w:type="dxa"/>
            <w:gridSpan w:val="2"/>
            <w:tcBorders/>
            <w:shd w:fill="CFF0FC" w:val="clear"/>
            <w:vAlign w:val="center"/>
          </w:tcPr>
          <w:p>
            <w:pPr>
              <w:pStyle w:val="TableContents"/>
              <w:bidi w:val="0"/>
              <w:spacing w:before="0" w:after="283"/>
              <w:ind w:left="100" w:right="0" w:firstLine="100"/>
              <w:jc w:val="right"/>
              <w:rPr>
                <w:color w:val="000000"/>
              </w:rPr>
            </w:pPr>
            <w:r>
              <w:rPr>
                <w:color w:val="000000"/>
              </w:rPr>
              <w:t>—</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4,200</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OutSystems Luxco SARL - Delayed Draw</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2,120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2,137</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PageUp People, Ltd. - Delayed Draw &amp; Revolver</w:t>
            </w:r>
          </w:p>
        </w:tc>
        <w:tc>
          <w:tcPr>
            <w:tcW w:w="246" w:type="dxa"/>
            <w:tcBorders/>
            <w:shd w:fill="CFF0FC" w:val="clear"/>
            <w:vAlign w:val="center"/>
          </w:tcPr>
          <w:p>
            <w:pPr>
              <w:pStyle w:val="TableContents"/>
              <w:bidi w:val="0"/>
              <w:spacing w:before="0" w:after="283"/>
              <w:ind w:left="0" w:right="0" w:firstLine="100"/>
              <w:jc w:val="right"/>
              <w:rPr/>
            </w:pPr>
            <w:r>
              <w:rPr/>
              <w:t> </w:t>
            </w:r>
          </w:p>
        </w:tc>
        <w:tc>
          <w:tcPr>
            <w:tcW w:w="1545" w:type="dxa"/>
            <w:gridSpan w:val="2"/>
            <w:tcBorders/>
            <w:shd w:fill="CFF0FC" w:val="clear"/>
            <w:vAlign w:val="center"/>
          </w:tcPr>
          <w:p>
            <w:pPr>
              <w:pStyle w:val="TableContents"/>
              <w:bidi w:val="0"/>
              <w:spacing w:before="0" w:after="283"/>
              <w:ind w:left="100" w:right="0" w:firstLine="100"/>
              <w:jc w:val="right"/>
              <w:rPr>
                <w:color w:val="000000"/>
              </w:rPr>
            </w:pPr>
            <w:r>
              <w:rPr>
                <w:color w:val="000000"/>
              </w:rPr>
              <w:t>—</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5,764</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Passport Labs, Inc. - Delayed Draw &amp; Revolver</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2,778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2,778</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Ping Identity Holding Corp. - Revolver</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2,273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2,273</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PrimePay Intermediate, LLC - Delayed Draw</w:t>
            </w:r>
          </w:p>
        </w:tc>
        <w:tc>
          <w:tcPr>
            <w:tcW w:w="246" w:type="dxa"/>
            <w:tcBorders/>
            <w:shd w:fill="FFFFFF" w:val="clear"/>
            <w:vAlign w:val="center"/>
          </w:tcPr>
          <w:p>
            <w:pPr>
              <w:pStyle w:val="TableContents"/>
              <w:bidi w:val="0"/>
              <w:spacing w:before="0" w:after="283"/>
              <w:ind w:left="0" w:right="0" w:firstLine="100"/>
              <w:jc w:val="right"/>
              <w:rPr/>
            </w:pPr>
            <w:r>
              <w:rPr/>
              <w:t> </w:t>
            </w:r>
          </w:p>
        </w:tc>
        <w:tc>
          <w:tcPr>
            <w:tcW w:w="1545" w:type="dxa"/>
            <w:gridSpan w:val="2"/>
            <w:tcBorders/>
            <w:shd w:fill="FFFFFF" w:val="clear"/>
            <w:vAlign w:val="center"/>
          </w:tcPr>
          <w:p>
            <w:pPr>
              <w:pStyle w:val="TableContents"/>
              <w:bidi w:val="0"/>
              <w:spacing w:before="0" w:after="283"/>
              <w:ind w:left="100" w:right="0" w:firstLine="100"/>
              <w:jc w:val="right"/>
              <w:rPr>
                <w:color w:val="000000"/>
              </w:rPr>
            </w:pPr>
            <w:r>
              <w:rPr>
                <w:color w:val="000000"/>
              </w:rPr>
              <w:t>—</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2,474</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PrimeRevenue, Inc. - Delayed Draw &amp; Revolver</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6,250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6,250</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Project44, Inc. - Delayed Draw</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19,861</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19,861</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Rapid Data GmbH Unternehmensberatung - Delayed Draw &amp; Revolver</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5,994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500" w:type="dxa"/>
            <w:gridSpan w:val="2"/>
            <w:tcBorders/>
            <w:shd w:fill="CFF0FC" w:val="clear"/>
            <w:vAlign w:val="center"/>
          </w:tcPr>
          <w:p>
            <w:pPr>
              <w:pStyle w:val="TableContents"/>
              <w:bidi w:val="0"/>
              <w:spacing w:before="0" w:after="283"/>
              <w:ind w:left="100" w:right="0" w:firstLine="100"/>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ReliaQuest Holdings, LLC - Delayed Draw</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22,752</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SkyLark UK DebtCo - Delayed Draw &amp; Revolver</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12,186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500" w:type="dxa"/>
            <w:gridSpan w:val="2"/>
            <w:tcBorders/>
            <w:shd w:fill="CFF0FC" w:val="clear"/>
            <w:vAlign w:val="center"/>
          </w:tcPr>
          <w:p>
            <w:pPr>
              <w:pStyle w:val="TableContents"/>
              <w:bidi w:val="0"/>
              <w:spacing w:before="0" w:after="283"/>
              <w:ind w:left="100" w:right="0" w:firstLine="100"/>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SL Buyer Corp. - Delyaed Draw</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13,175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500" w:type="dxa"/>
            <w:gridSpan w:val="2"/>
            <w:tcBorders/>
            <w:shd w:fill="FFFFFF" w:val="clear"/>
            <w:vAlign w:val="center"/>
          </w:tcPr>
          <w:p>
            <w:pPr>
              <w:pStyle w:val="TableContents"/>
              <w:bidi w:val="0"/>
              <w:spacing w:before="0" w:after="283"/>
              <w:ind w:left="100" w:right="0" w:firstLine="100"/>
              <w:jc w:val="right"/>
              <w:rPr>
                <w:color w:val="000000"/>
              </w:rPr>
            </w:pPr>
            <w:r>
              <w:rPr>
                <w:color w:val="000000"/>
              </w:rPr>
              <w:t>—</w:t>
            </w:r>
          </w:p>
        </w:tc>
        <w:tc>
          <w:tcPr>
            <w:tcW w:w="391" w:type="dxa"/>
            <w:tcBorders/>
            <w:shd w:fill="FFFFFF" w:val="clear"/>
            <w:vAlign w:val="center"/>
          </w:tcPr>
          <w:p>
            <w:pPr>
              <w:pStyle w:val="TableContents"/>
              <w:bidi w:val="0"/>
              <w:spacing w:before="0" w:after="283"/>
              <w:jc w:val="righ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Tango Management Consulting, LLC - Delayed Draw &amp; Revolver</w:t>
            </w:r>
          </w:p>
        </w:tc>
        <w:tc>
          <w:tcPr>
            <w:tcW w:w="2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13,989</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26,576</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TRP Assets, LLC - Delayed Draw &amp; Membership Interest</w:t>
            </w:r>
          </w:p>
        </w:tc>
        <w:tc>
          <w:tcPr>
            <w:tcW w:w="2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7,806</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WideOrbit, Inc. - Revolver</w:t>
            </w:r>
          </w:p>
        </w:tc>
        <w:tc>
          <w:tcPr>
            <w:tcW w:w="246" w:type="dxa"/>
            <w:tcBorders/>
            <w:shd w:fill="CFF0FC" w:val="clear"/>
            <w:vAlign w:val="center"/>
          </w:tcPr>
          <w:p>
            <w:pPr>
              <w:pStyle w:val="TableContents"/>
              <w:bidi w:val="0"/>
              <w:spacing w:before="0" w:after="283"/>
              <w:ind w:left="0" w:right="0" w:firstLine="100"/>
              <w:jc w:val="right"/>
              <w:rPr/>
            </w:pPr>
            <w:r>
              <w:rPr/>
              <w:t> </w:t>
            </w:r>
          </w:p>
        </w:tc>
        <w:tc>
          <w:tcPr>
            <w:tcW w:w="1545" w:type="dxa"/>
            <w:gridSpan w:val="2"/>
            <w:tcBorders/>
            <w:shd w:fill="CFF0FC" w:val="clear"/>
            <w:vAlign w:val="center"/>
          </w:tcPr>
          <w:p>
            <w:pPr>
              <w:pStyle w:val="TableContents"/>
              <w:bidi w:val="0"/>
              <w:spacing w:before="0" w:after="283"/>
              <w:ind w:left="100" w:right="0" w:firstLine="100"/>
              <w:jc w:val="right"/>
              <w:rPr>
                <w:color w:val="000000"/>
              </w:rPr>
            </w:pPr>
            <w:r>
              <w:rPr>
                <w:color w:val="000000"/>
              </w:rPr>
              <w:t>—</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4,756</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Wrangler TopCo, LLC - Revolver</w:t>
            </w:r>
          </w:p>
        </w:tc>
        <w:tc>
          <w:tcPr>
            <w:tcW w:w="246" w:type="dxa"/>
            <w:tcBorders/>
            <w:shd w:fill="FFFFFF" w:val="clear"/>
            <w:vAlign w:val="center"/>
          </w:tcPr>
          <w:p>
            <w:pPr>
              <w:pStyle w:val="TableContents"/>
              <w:bidi w:val="0"/>
              <w:spacing w:before="0" w:after="283"/>
              <w:jc w:val="righ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056" w:type="dxa"/>
            <w:tcBorders/>
            <w:shd w:fill="CFF0FC" w:val="clear"/>
            <w:vAlign w:val="center"/>
          </w:tcPr>
          <w:p>
            <w:pPr>
              <w:pStyle w:val="TableContents"/>
              <w:bidi w:val="0"/>
              <w:spacing w:before="0" w:after="283"/>
              <w:ind w:left="200" w:right="0" w:firstLine="200"/>
              <w:jc w:val="left"/>
              <w:rPr>
                <w:rFonts w:ascii="Times New Roman" w:hAnsi="Times New Roman"/>
                <w:sz w:val="16"/>
              </w:rPr>
            </w:pPr>
            <w:r>
              <w:rPr>
                <w:rFonts w:ascii="Times New Roman" w:hAnsi="Times New Roman"/>
                <w:b/>
                <w:color w:val="000000"/>
                <w:sz w:val="16"/>
              </w:rPr>
              <w:t>Total Portfolio Company Commitments</w:t>
            </w:r>
            <w:r>
              <w:rPr>
                <w:rFonts w:ascii="Times New Roman" w:hAnsi="Times New Roman"/>
                <w:color w:val="000000"/>
                <w:sz w:val="16"/>
              </w:rPr>
              <w:t xml:space="preserve"> </w:t>
            </w:r>
            <w:r>
              <w:rPr>
                <w:rFonts w:ascii="Times New Roman" w:hAnsi="Times New Roman"/>
                <w:b/>
                <w:color w:val="000000"/>
                <w:sz w:val="11"/>
              </w:rPr>
              <w:t>(1)(2)</w:t>
            </w:r>
          </w:p>
        </w:tc>
        <w:tc>
          <w:tcPr>
            <w:tcW w:w="246" w:type="dxa"/>
            <w:tcBorders/>
            <w:shd w:fill="CFF0FC" w:val="clear"/>
            <w:vAlign w:val="center"/>
          </w:tcPr>
          <w:p>
            <w:pPr>
              <w:pStyle w:val="TableContents"/>
              <w:bidi w:val="0"/>
              <w:spacing w:before="0" w:after="283"/>
              <w:jc w:val="righ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327,154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338,043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The Company’s estimate of the fair value of the current investments in these portfolio companies includes an analysis of the fair value of any unfunded commitments.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Other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w:t>
      </w:r>
      <w:r>
        <w:rPr>
          <w:rFonts w:ascii="Times New Roman" w:hAnsi="Times New Roman"/>
          <w:color w:val="000000"/>
          <w:sz w:val="20"/>
        </w:rPr>
        <w:t xml:space="preserve"> </w:t>
      </w:r>
      <w:r>
        <w:rPr>
          <w:rFonts w:ascii="Times New Roman" w:hAnsi="Times New Roman"/>
          <w:b w:val="false"/>
          <w:color w:val="000000"/>
          <w:sz w:val="20"/>
        </w:rPr>
        <w:t>the Company had an unfunded commitment of EUR 0.9</w:t>
      </w:r>
      <w:r>
        <w:rPr>
          <w:rFonts w:ascii="Times New Roman" w:hAnsi="Times New Roman"/>
          <w:color w:val="000000"/>
          <w:sz w:val="20"/>
        </w:rPr>
        <w:t xml:space="preserve"> </w:t>
      </w:r>
      <w:r>
        <w:rPr>
          <w:rFonts w:ascii="Times New Roman" w:hAnsi="Times New Roman"/>
          <w:b w:val="false"/>
          <w:color w:val="000000"/>
          <w:sz w:val="20"/>
        </w:rPr>
        <w:t>million to a new borrower that is not a current portfolio company. As of December 31, 2022</w:t>
      </w:r>
      <w:r>
        <w:rPr>
          <w:rFonts w:ascii="Times New Roman" w:hAnsi="Times New Roman"/>
          <w:color w:val="000000"/>
          <w:sz w:val="20"/>
        </w:rPr>
        <w:t xml:space="preserve"> </w:t>
      </w:r>
      <w:r>
        <w:rPr>
          <w:rFonts w:ascii="Times New Roman" w:hAnsi="Times New Roman"/>
          <w:b w:val="false"/>
          <w:color w:val="000000"/>
          <w:sz w:val="20"/>
        </w:rPr>
        <w:t>the Company did not have any unfunded commitments to fund investments to new borrowers that were not current portfolio companies as of such date.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From time to time, the Company may become a party to certain legal proceedings incidental to the normal course of its business. As of September 30, 2023 and December 31, 2022, management is not aware of any material pending or threatened litigation that would require accounting recognition or financial statement disclosure.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9. Net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February 23, 2021, the Company issued a total of 4,000,000</w:t>
      </w:r>
      <w:r>
        <w:rPr>
          <w:rFonts w:ascii="Times New Roman" w:hAnsi="Times New Roman"/>
          <w:color w:val="000000"/>
          <w:sz w:val="20"/>
        </w:rPr>
        <w:t xml:space="preserve"> </w:t>
      </w:r>
      <w:r>
        <w:rPr>
          <w:rFonts w:ascii="Times New Roman" w:hAnsi="Times New Roman"/>
          <w:b w:val="false"/>
          <w:color w:val="000000"/>
          <w:sz w:val="20"/>
        </w:rPr>
        <w:t>shares of common stock at $21.30</w:t>
      </w:r>
      <w:r>
        <w:rPr>
          <w:rFonts w:ascii="Times New Roman" w:hAnsi="Times New Roman"/>
          <w:color w:val="000000"/>
          <w:sz w:val="20"/>
        </w:rPr>
        <w:t xml:space="preserve"> </w:t>
      </w:r>
      <w:r>
        <w:rPr>
          <w:rFonts w:ascii="Times New Roman" w:hAnsi="Times New Roman"/>
          <w:b w:val="false"/>
          <w:color w:val="000000"/>
          <w:sz w:val="20"/>
        </w:rPr>
        <w:t>per share. Net of underwriting fees and offering costs, the Company received total cash proceeds of $84.9</w:t>
      </w:r>
      <w:r>
        <w:rPr>
          <w:rFonts w:ascii="Times New Roman" w:hAnsi="Times New Roman"/>
          <w:color w:val="000000"/>
          <w:sz w:val="20"/>
        </w:rPr>
        <w:t xml:space="preserve"> </w:t>
      </w:r>
      <w:r>
        <w:rPr>
          <w:rFonts w:ascii="Times New Roman" w:hAnsi="Times New Roman"/>
          <w:b w:val="false"/>
          <w:color w:val="000000"/>
          <w:sz w:val="20"/>
        </w:rPr>
        <w:t>million. Subsequent to the offering the Company issued an additional 49,689</w:t>
      </w:r>
      <w:r>
        <w:rPr>
          <w:rFonts w:ascii="Times New Roman" w:hAnsi="Times New Roman"/>
          <w:color w:val="000000"/>
          <w:sz w:val="20"/>
        </w:rPr>
        <w:t xml:space="preserve"> </w:t>
      </w:r>
      <w:r>
        <w:rPr>
          <w:rFonts w:ascii="Times New Roman" w:hAnsi="Times New Roman"/>
          <w:b w:val="false"/>
          <w:color w:val="000000"/>
          <w:sz w:val="20"/>
        </w:rPr>
        <w:t>shares on March 24, 2021 pursuant to the overallotment option granted to underwriters and received, net of underwriting fees, total cash proceeds of $1.0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three months ended December 31, 2021, the Company issued a total of 2,324,820</w:t>
      </w:r>
      <w:r>
        <w:rPr>
          <w:rFonts w:ascii="Times New Roman" w:hAnsi="Times New Roman"/>
          <w:color w:val="000000"/>
          <w:sz w:val="20"/>
        </w:rPr>
        <w:t xml:space="preserve"> </w:t>
      </w:r>
      <w:r>
        <w:rPr>
          <w:rFonts w:ascii="Times New Roman" w:hAnsi="Times New Roman"/>
          <w:b w:val="false"/>
          <w:color w:val="000000"/>
          <w:sz w:val="20"/>
        </w:rPr>
        <w:t>shares of common stock as settlement for the conversion of $42.8</w:t>
      </w:r>
      <w:r>
        <w:rPr>
          <w:rFonts w:ascii="Times New Roman" w:hAnsi="Times New Roman"/>
          <w:color w:val="000000"/>
          <w:sz w:val="20"/>
        </w:rPr>
        <w:t xml:space="preserve"> </w:t>
      </w:r>
      <w:r>
        <w:rPr>
          <w:rFonts w:ascii="Times New Roman" w:hAnsi="Times New Roman"/>
          <w:b w:val="false"/>
          <w:color w:val="000000"/>
          <w:sz w:val="20"/>
        </w:rPr>
        <w:t>million principal amount of the 2022 Convertible Notes.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August 1, 2022, the Company issued a total of 4,360,125</w:t>
      </w:r>
      <w:r>
        <w:rPr>
          <w:rFonts w:ascii="Times New Roman" w:hAnsi="Times New Roman"/>
          <w:color w:val="000000"/>
          <w:sz w:val="20"/>
        </w:rPr>
        <w:t xml:space="preserve"> </w:t>
      </w:r>
      <w:r>
        <w:rPr>
          <w:rFonts w:ascii="Times New Roman" w:hAnsi="Times New Roman"/>
          <w:b w:val="false"/>
          <w:color w:val="000000"/>
          <w:sz w:val="20"/>
        </w:rPr>
        <w:t>shares of common stock, or $77.6</w:t>
      </w:r>
      <w:r>
        <w:rPr>
          <w:rFonts w:ascii="Times New Roman" w:hAnsi="Times New Roman"/>
          <w:color w:val="000000"/>
          <w:sz w:val="20"/>
        </w:rPr>
        <w:t xml:space="preserve"> </w:t>
      </w:r>
      <w:r>
        <w:rPr>
          <w:rFonts w:ascii="Times New Roman" w:hAnsi="Times New Roman"/>
          <w:b w:val="false"/>
          <w:color w:val="000000"/>
          <w:sz w:val="20"/>
        </w:rPr>
        <w:t>million as settlement for the conversion of $79.2</w:t>
      </w:r>
      <w:r>
        <w:rPr>
          <w:rFonts w:ascii="Times New Roman" w:hAnsi="Times New Roman"/>
          <w:color w:val="000000"/>
          <w:sz w:val="20"/>
        </w:rPr>
        <w:t xml:space="preserve"> </w:t>
      </w:r>
      <w:r>
        <w:rPr>
          <w:rFonts w:ascii="Times New Roman" w:hAnsi="Times New Roman"/>
          <w:b w:val="false"/>
          <w:color w:val="000000"/>
          <w:sz w:val="20"/>
        </w:rPr>
        <w:t>million principal amount of the 2022 Convertible Notes.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May 15, 2023, the Company issued a total of 4,500,000</w:t>
      </w:r>
      <w:r>
        <w:rPr>
          <w:rFonts w:ascii="Times New Roman" w:hAnsi="Times New Roman"/>
          <w:color w:val="000000"/>
          <w:sz w:val="20"/>
        </w:rPr>
        <w:t xml:space="preserve"> </w:t>
      </w:r>
      <w:r>
        <w:rPr>
          <w:rFonts w:ascii="Times New Roman" w:hAnsi="Times New Roman"/>
          <w:b w:val="false"/>
          <w:color w:val="000000"/>
          <w:sz w:val="20"/>
        </w:rPr>
        <w:t>shares of common stock at $17.33</w:t>
      </w:r>
      <w:r>
        <w:rPr>
          <w:rFonts w:ascii="Times New Roman" w:hAnsi="Times New Roman"/>
          <w:color w:val="000000"/>
          <w:sz w:val="20"/>
        </w:rPr>
        <w:t xml:space="preserve"> </w:t>
      </w:r>
      <w:r>
        <w:rPr>
          <w:rFonts w:ascii="Times New Roman" w:hAnsi="Times New Roman"/>
          <w:b w:val="false"/>
          <w:color w:val="000000"/>
          <w:sz w:val="20"/>
        </w:rPr>
        <w:t>per share. Net of underwriting fees and offering costs, the Company received total cash proceeds of $77.6</w:t>
      </w:r>
      <w:r>
        <w:rPr>
          <w:rFonts w:ascii="Times New Roman" w:hAnsi="Times New Roman"/>
          <w:color w:val="000000"/>
          <w:sz w:val="20"/>
        </w:rPr>
        <w:t xml:space="preserve"> </w:t>
      </w:r>
      <w:r>
        <w:rPr>
          <w:rFonts w:ascii="Times New Roman" w:hAnsi="Times New Roman"/>
          <w:b w:val="false"/>
          <w:color w:val="000000"/>
          <w:sz w:val="20"/>
        </w:rPr>
        <w:t>million. Subsequent to the offering, the Company issued an additional 675,000</w:t>
      </w:r>
      <w:r>
        <w:rPr>
          <w:rFonts w:ascii="Times New Roman" w:hAnsi="Times New Roman"/>
          <w:color w:val="000000"/>
          <w:sz w:val="20"/>
        </w:rPr>
        <w:t xml:space="preserve"> </w:t>
      </w:r>
      <w:r>
        <w:rPr>
          <w:rFonts w:ascii="Times New Roman" w:hAnsi="Times New Roman"/>
          <w:b w:val="false"/>
          <w:color w:val="000000"/>
          <w:sz w:val="20"/>
        </w:rPr>
        <w:t>shares on June 12, 2023 pursuant to the overallotment option granted to underwriters and received, net of underwriting fees, additional total cash proceeds of $11.7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the Company’s dividend reinvestment plan, the following tables summarize the shares issued to stockholders who have not opted out of the Company’s dividend reinvestment plan during the nine months ended September 30, 2023 and 2022. All shares issued to stockholders in the tables below are newly issued shares.</w:t>
      </w:r>
      <w:r>
        <w:rPr>
          <w:rFonts w:ascii="Times New Roman" w:hAnsi="Times New Roman"/>
          <w:color w:val="000000"/>
          <w:sz w:val="20"/>
        </w:rPr>
        <w:t xml:space="preserve"> </w:t>
      </w:r>
    </w:p>
    <w:tbl>
      <w:tblPr>
        <w:tblW w:w="8894" w:type="dxa"/>
        <w:jc w:val="left"/>
        <w:tblInd w:w="0" w:type="dxa"/>
        <w:tblLayout w:type="fixed"/>
        <w:tblCellMar>
          <w:top w:w="28" w:type="dxa"/>
          <w:left w:w="28" w:type="dxa"/>
          <w:bottom w:w="28" w:type="dxa"/>
          <w:right w:w="28" w:type="dxa"/>
        </w:tblCellMar>
      </w:tblPr>
      <w:tblGrid>
        <w:gridCol w:w="1971"/>
        <w:gridCol w:w="346"/>
        <w:gridCol w:w="1231"/>
        <w:gridCol w:w="146"/>
        <w:gridCol w:w="1726"/>
        <w:gridCol w:w="146"/>
        <w:gridCol w:w="1726"/>
        <w:gridCol w:w="146"/>
        <w:gridCol w:w="167"/>
        <w:gridCol w:w="898"/>
        <w:gridCol w:w="391"/>
      </w:tblGrid>
      <w:tr>
        <w:trPr/>
        <w:tc>
          <w:tcPr>
            <w:tcW w:w="19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6186"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197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618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vAlign w:val="center"/>
          </w:tcPr>
          <w:p>
            <w:pPr>
              <w:pStyle w:val="TableContents"/>
              <w:bidi w:val="0"/>
              <w:spacing w:before="0" w:after="283"/>
              <w:jc w:val="right"/>
              <w:rPr/>
            </w:pPr>
            <w:r>
              <w:rPr/>
              <w:t> </w:t>
            </w:r>
          </w:p>
        </w:tc>
        <w:tc>
          <w:tcPr>
            <w:tcW w:w="1065"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Dividend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February 16, 2023</w:t>
            </w:r>
          </w:p>
        </w:tc>
        <w:tc>
          <w:tcPr>
            <w:tcW w:w="3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February 28, 2023</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March 20, 2023</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61,590</w:t>
            </w:r>
          </w:p>
        </w:tc>
        <w:tc>
          <w:tcPr>
            <w:tcW w:w="391" w:type="dxa"/>
            <w:tcBorders/>
            <w:shd w:fill="CFF0FC" w:val="cle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February 16, 2023</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March 15, 2023</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March 31, 2023</w:t>
            </w:r>
          </w:p>
        </w:tc>
        <w:tc>
          <w:tcPr>
            <w:tcW w:w="146"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300,988</w:t>
            </w:r>
          </w:p>
        </w:tc>
        <w:tc>
          <w:tcPr>
            <w:tcW w:w="391" w:type="dxa"/>
            <w:tcBorders/>
            <w:shd w:fill="FFFFFF" w:val="clear"/>
            <w:vAlign w:val="center"/>
          </w:tcPr>
          <w:p>
            <w:pPr>
              <w:pStyle w:val="TableContents"/>
              <w:bidi w:val="0"/>
              <w:spacing w:before="0" w:after="283"/>
              <w:jc w:val="left"/>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8, 2023</w:t>
            </w:r>
          </w:p>
        </w:tc>
        <w:tc>
          <w:tcPr>
            <w:tcW w:w="3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May 31, 2023</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June 20, 2023</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23,686</w:t>
            </w:r>
          </w:p>
        </w:tc>
        <w:tc>
          <w:tcPr>
            <w:tcW w:w="391" w:type="dxa"/>
            <w:tcBorders/>
            <w:shd w:fill="CFF0FC" w:val="cle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8, 2023</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June 15, 2023</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June 30, 2023</w:t>
            </w:r>
          </w:p>
        </w:tc>
        <w:tc>
          <w:tcPr>
            <w:tcW w:w="146"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290,680</w:t>
            </w:r>
          </w:p>
        </w:tc>
        <w:tc>
          <w:tcPr>
            <w:tcW w:w="391" w:type="dxa"/>
            <w:tcBorders/>
            <w:shd w:fill="FFFFFF" w:val="clear"/>
            <w:vAlign w:val="center"/>
          </w:tcPr>
          <w:p>
            <w:pPr>
              <w:pStyle w:val="TableContents"/>
              <w:bidi w:val="0"/>
              <w:spacing w:before="0" w:after="283"/>
              <w:jc w:val="left"/>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August 3, 2023</w:t>
            </w:r>
          </w:p>
        </w:tc>
        <w:tc>
          <w:tcPr>
            <w:tcW w:w="3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August 31, 2023</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September 20, 2023</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35,504</w:t>
            </w:r>
          </w:p>
        </w:tc>
        <w:tc>
          <w:tcPr>
            <w:tcW w:w="391" w:type="dxa"/>
            <w:tcBorders/>
            <w:shd w:fill="CFF0FC" w:val="cle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August 3, 2023</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September 15, 2023</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September 29, 2023</w:t>
            </w:r>
          </w:p>
        </w:tc>
        <w:tc>
          <w:tcPr>
            <w:tcW w:w="146" w:type="dxa"/>
            <w:tcBorders/>
            <w:shd w:fill="FFFFFF" w:val="cle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269,763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7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Shares Issued</w:t>
            </w:r>
          </w:p>
        </w:tc>
        <w:tc>
          <w:tcPr>
            <w:tcW w:w="346" w:type="dxa"/>
            <w:tcBorders/>
            <w:shd w:fill="CFF0FC" w:val="clear"/>
            <w:vAlign w:val="center"/>
          </w:tcPr>
          <w:p>
            <w:pPr>
              <w:pStyle w:val="TableContents"/>
              <w:bidi w:val="0"/>
              <w:spacing w:before="0" w:after="283"/>
              <w:ind w:left="0" w:right="0" w:firstLine="200"/>
              <w:jc w:val="right"/>
              <w:rPr/>
            </w:pPr>
            <w:r>
              <w:rPr/>
              <w:t> </w:t>
            </w:r>
          </w:p>
        </w:tc>
        <w:tc>
          <w:tcPr>
            <w:tcW w:w="1231"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982,211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906" w:type="dxa"/>
        <w:jc w:val="left"/>
        <w:tblInd w:w="0" w:type="dxa"/>
        <w:tblLayout w:type="fixed"/>
        <w:tblCellMar>
          <w:top w:w="28" w:type="dxa"/>
          <w:left w:w="28" w:type="dxa"/>
          <w:bottom w:w="28" w:type="dxa"/>
          <w:right w:w="28" w:type="dxa"/>
        </w:tblCellMar>
      </w:tblPr>
      <w:tblGrid>
        <w:gridCol w:w="1971"/>
        <w:gridCol w:w="346"/>
        <w:gridCol w:w="1231"/>
        <w:gridCol w:w="146"/>
        <w:gridCol w:w="1726"/>
        <w:gridCol w:w="146"/>
        <w:gridCol w:w="1726"/>
        <w:gridCol w:w="146"/>
        <w:gridCol w:w="146"/>
        <w:gridCol w:w="931"/>
        <w:gridCol w:w="391"/>
      </w:tblGrid>
      <w:tr>
        <w:trPr/>
        <w:tc>
          <w:tcPr>
            <w:tcW w:w="19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6198"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197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61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vAlign w:val="center"/>
          </w:tcPr>
          <w:p>
            <w:pPr>
              <w:pStyle w:val="TableContents"/>
              <w:bidi w:val="0"/>
              <w:spacing w:before="0" w:after="283"/>
              <w:jc w:val="right"/>
              <w:rPr/>
            </w:pPr>
            <w:r>
              <w:rPr/>
              <w:t> </w:t>
            </w:r>
          </w:p>
        </w:tc>
        <w:tc>
          <w:tcPr>
            <w:tcW w:w="107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Dividend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2, 2021</w:t>
            </w:r>
          </w:p>
        </w:tc>
        <w:tc>
          <w:tcPr>
            <w:tcW w:w="3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Base</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December 15, 2021</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January 14, 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233,542</w:t>
            </w:r>
          </w:p>
        </w:tc>
        <w:tc>
          <w:tcPr>
            <w:tcW w:w="391" w:type="dxa"/>
            <w:tcBorders/>
            <w:shd w:fill="CFF0FC" w:val="cle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February 17, 2022</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Supplemental</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February 28, 2022</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March 31, 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65,596</w:t>
            </w:r>
          </w:p>
        </w:tc>
        <w:tc>
          <w:tcPr>
            <w:tcW w:w="391" w:type="dxa"/>
            <w:tcBorders/>
            <w:shd w:fill="FFFFFF" w:val="clear"/>
            <w:vAlign w:val="center"/>
          </w:tcPr>
          <w:p>
            <w:pPr>
              <w:pStyle w:val="TableContents"/>
              <w:bidi w:val="0"/>
              <w:spacing w:before="0" w:after="283"/>
              <w:jc w:val="left"/>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February 17, 2022</w:t>
            </w:r>
          </w:p>
        </w:tc>
        <w:tc>
          <w:tcPr>
            <w:tcW w:w="3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Base</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March 15, 2022</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April 18, 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239,376</w:t>
            </w:r>
          </w:p>
        </w:tc>
        <w:tc>
          <w:tcPr>
            <w:tcW w:w="391" w:type="dxa"/>
            <w:tcBorders/>
            <w:shd w:fill="CFF0FC" w:val="cle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3, 2022</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Supplemental</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May 31, 2022</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June 30, 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29,459</w:t>
            </w:r>
          </w:p>
        </w:tc>
        <w:tc>
          <w:tcPr>
            <w:tcW w:w="391" w:type="dxa"/>
            <w:tcBorders/>
            <w:shd w:fill="FFFFFF" w:val="clear"/>
            <w:vAlign w:val="center"/>
          </w:tcPr>
          <w:p>
            <w:pPr>
              <w:pStyle w:val="TableContents"/>
              <w:bidi w:val="0"/>
              <w:spacing w:before="0" w:after="283"/>
              <w:jc w:val="left"/>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3, 2022</w:t>
            </w:r>
          </w:p>
        </w:tc>
        <w:tc>
          <w:tcPr>
            <w:tcW w:w="3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Base</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June 15, 2022</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July 15, 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294,337</w:t>
            </w:r>
          </w:p>
        </w:tc>
        <w:tc>
          <w:tcPr>
            <w:tcW w:w="391" w:type="dxa"/>
            <w:tcBorders/>
            <w:shd w:fill="CFF0FC" w:val="cle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August 2, 2022</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September 15, 2022</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September 30, 2022</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357,530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7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Shares Issued</w:t>
            </w:r>
          </w:p>
        </w:tc>
        <w:tc>
          <w:tcPr>
            <w:tcW w:w="346" w:type="dxa"/>
            <w:tcBorders/>
            <w:shd w:fill="CFF0FC" w:val="clear"/>
            <w:vAlign w:val="center"/>
          </w:tcPr>
          <w:p>
            <w:pPr>
              <w:pStyle w:val="TableContents"/>
              <w:bidi w:val="0"/>
              <w:spacing w:before="0" w:after="283"/>
              <w:ind w:left="0" w:right="0" w:firstLine="200"/>
              <w:jc w:val="right"/>
              <w:rPr/>
            </w:pPr>
            <w:r>
              <w:rPr/>
              <w:t> </w:t>
            </w:r>
          </w:p>
        </w:tc>
        <w:tc>
          <w:tcPr>
            <w:tcW w:w="1231"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1,219,840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See Note 11 for further information on base, supplemental and special dividends.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August 4, 2015, the Company's Board authorized the Company to acquire up to $50</w:t>
      </w:r>
      <w:r>
        <w:rPr>
          <w:rFonts w:ascii="Times New Roman" w:hAnsi="Times New Roman"/>
          <w:color w:val="000000"/>
          <w:sz w:val="20"/>
        </w:rPr>
        <w:t xml:space="preserve"> </w:t>
      </w:r>
      <w:r>
        <w:rPr>
          <w:rFonts w:ascii="Times New Roman" w:hAnsi="Times New Roman"/>
          <w:b w:val="false"/>
          <w:color w:val="000000"/>
          <w:sz w:val="20"/>
        </w:rPr>
        <w:t>million in aggregate of the Company’s common stock from time to time over an initial six month</w:t>
      </w:r>
      <w:r>
        <w:rPr>
          <w:rFonts w:ascii="Times New Roman" w:hAnsi="Times New Roman"/>
          <w:color w:val="000000"/>
          <w:sz w:val="20"/>
        </w:rPr>
        <w:t xml:space="preserve"> </w:t>
      </w:r>
      <w:r>
        <w:rPr>
          <w:rFonts w:ascii="Times New Roman" w:hAnsi="Times New Roman"/>
          <w:b w:val="false"/>
          <w:color w:val="000000"/>
          <w:sz w:val="20"/>
        </w:rPr>
        <w:t>period, and has continued to authorize the refreshment of the $50</w:t>
      </w:r>
      <w:r>
        <w:rPr>
          <w:rFonts w:ascii="Times New Roman" w:hAnsi="Times New Roman"/>
          <w:color w:val="000000"/>
          <w:sz w:val="20"/>
        </w:rPr>
        <w:t xml:space="preserve"> </w:t>
      </w:r>
      <w:r>
        <w:rPr>
          <w:rFonts w:ascii="Times New Roman" w:hAnsi="Times New Roman"/>
          <w:b w:val="false"/>
          <w:color w:val="000000"/>
          <w:sz w:val="20"/>
        </w:rPr>
        <w:t>million amount authorized under and extension of the stock repurchase program prior to its expiration since that time, most recently as of May 8, 2023. The amount and timing of stock repurchases under the program may vary depending on market conditions, and no assurance can be given that any particular amount of common stock will be repurchased.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three and nine months ended September 30, 2023, no</w:t>
      </w:r>
      <w:r>
        <w:rPr>
          <w:rFonts w:ascii="Times New Roman" w:hAnsi="Times New Roman"/>
          <w:color w:val="000000"/>
          <w:sz w:val="20"/>
        </w:rPr>
        <w:t xml:space="preserve"> </w:t>
      </w:r>
      <w:r>
        <w:rPr>
          <w:rFonts w:ascii="Times New Roman" w:hAnsi="Times New Roman"/>
          <w:b w:val="false"/>
          <w:color w:val="000000"/>
          <w:sz w:val="20"/>
        </w:rPr>
        <w:t>shares were repurchased. During the three and nine months ended September 30, 2022, the Company repurchased 180,542</w:t>
      </w:r>
      <w:r>
        <w:rPr>
          <w:rFonts w:ascii="Times New Roman" w:hAnsi="Times New Roman"/>
          <w:color w:val="000000"/>
          <w:sz w:val="20"/>
        </w:rPr>
        <w:t xml:space="preserve"> </w:t>
      </w:r>
      <w:r>
        <w:rPr>
          <w:rFonts w:ascii="Times New Roman" w:hAnsi="Times New Roman"/>
          <w:b w:val="false"/>
          <w:color w:val="000000"/>
          <w:sz w:val="20"/>
        </w:rPr>
        <w:t>shares at a weighted average share price of $16.62</w:t>
      </w:r>
      <w:r>
        <w:rPr>
          <w:rFonts w:ascii="Times New Roman" w:hAnsi="Times New Roman"/>
          <w:color w:val="000000"/>
          <w:sz w:val="20"/>
        </w:rPr>
        <w:t xml:space="preserve"> </w:t>
      </w:r>
      <w:r>
        <w:rPr>
          <w:rFonts w:ascii="Times New Roman" w:hAnsi="Times New Roman"/>
          <w:b w:val="false"/>
          <w:color w:val="000000"/>
          <w:sz w:val="20"/>
        </w:rPr>
        <w:t>inclusive of commissions, for a total cost of $3.0</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Earnings per share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sets forth the computation of basic and diluted earnings per common share for the three and nine months ended September 30, 2023 and 2022:</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194"/>
        <w:gridCol w:w="146"/>
        <w:gridCol w:w="244"/>
        <w:gridCol w:w="1204"/>
        <w:gridCol w:w="146"/>
        <w:gridCol w:w="146"/>
        <w:gridCol w:w="244"/>
        <w:gridCol w:w="1204"/>
        <w:gridCol w:w="146"/>
        <w:gridCol w:w="146"/>
        <w:gridCol w:w="244"/>
        <w:gridCol w:w="1204"/>
        <w:gridCol w:w="146"/>
        <w:gridCol w:w="146"/>
        <w:gridCol w:w="244"/>
        <w:gridCol w:w="1204"/>
        <w:gridCol w:w="197"/>
      </w:tblGrid>
      <w:tr>
        <w:trPr/>
        <w:tc>
          <w:tcPr>
            <w:tcW w:w="3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1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common share—basic and diluted</w:t>
            </w:r>
          </w:p>
        </w:tc>
        <w:tc>
          <w:tcPr>
            <w:tcW w:w="146" w:type="dxa"/>
            <w:tcBorders/>
            <w:shd w:fill="CFF0FC" w:val="clear"/>
            <w:vAlign w:val="center"/>
          </w:tcPr>
          <w:p>
            <w:pPr>
              <w:pStyle w:val="TableContents"/>
              <w:bidi w:val="0"/>
              <w:spacing w:before="0" w:after="283"/>
              <w:jc w:val="left"/>
              <w:rPr/>
            </w:pPr>
            <w:r>
              <w:rPr/>
              <w:t> </w:t>
            </w:r>
          </w:p>
        </w:tc>
        <w:tc>
          <w:tcPr>
            <w:tcW w:w="144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4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4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48"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r>
      <w:tr>
        <w:trPr/>
        <w:tc>
          <w:tcPr>
            <w:tcW w:w="31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Numerator for basic earnings per share</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64,820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170,862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61,791</w:t>
            </w:r>
          </w:p>
        </w:tc>
        <w:tc>
          <w:tcPr>
            <w:tcW w:w="197" w:type="dxa"/>
            <w:tcBorders/>
            <w:shd w:fill="FFFFFF" w:val="clear"/>
            <w:vAlign w:val="center"/>
          </w:tcPr>
          <w:p>
            <w:pPr>
              <w:pStyle w:val="TableContents"/>
              <w:bidi w:val="0"/>
              <w:spacing w:before="0" w:after="283"/>
              <w:jc w:val="left"/>
              <w:rPr/>
            </w:pPr>
            <w:r>
              <w:rPr/>
              <w:t> </w:t>
            </w:r>
          </w:p>
        </w:tc>
      </w:tr>
      <w:tr>
        <w:trPr/>
        <w:tc>
          <w:tcPr>
            <w:tcW w:w="31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Denominator for basic weighted average shares</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87,251,340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79,476,419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84,313,169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77,250,889</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Earnings per common share—basic and diluted</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0.80</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tables summarize dividends declared during the nine months ended September 30, 2023 and 2022:</w:t>
      </w:r>
      <w:r>
        <w:rPr>
          <w:rFonts w:ascii="Times New Roman" w:hAnsi="Times New Roman"/>
          <w:color w:val="000000"/>
          <w:sz w:val="20"/>
        </w:rPr>
        <w:t xml:space="preserve"> </w:t>
      </w:r>
    </w:p>
    <w:p>
      <w:pPr>
        <w:pStyle w:val="TextBody"/>
        <w:bidi w:val="0"/>
        <w:jc w:val="left"/>
        <w:rPr/>
      </w:pPr>
      <w:r>
        <w:rPr/>
        <w:t> </w:t>
      </w:r>
    </w:p>
    <w:tbl>
      <w:tblPr>
        <w:tblW w:w="9839" w:type="dxa"/>
        <w:jc w:val="left"/>
        <w:tblInd w:w="0" w:type="dxa"/>
        <w:tblLayout w:type="fixed"/>
        <w:tblCellMar>
          <w:top w:w="28" w:type="dxa"/>
          <w:left w:w="28" w:type="dxa"/>
          <w:bottom w:w="28" w:type="dxa"/>
          <w:right w:w="28" w:type="dxa"/>
        </w:tblCellMar>
      </w:tblPr>
      <w:tblGrid>
        <w:gridCol w:w="2481"/>
        <w:gridCol w:w="346"/>
        <w:gridCol w:w="1231"/>
        <w:gridCol w:w="146"/>
        <w:gridCol w:w="1726"/>
        <w:gridCol w:w="146"/>
        <w:gridCol w:w="1726"/>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6621"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662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shd w:fill="FFFFFF" w:val="cle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February 16, 2023</w:t>
            </w:r>
          </w:p>
        </w:tc>
        <w:tc>
          <w:tcPr>
            <w:tcW w:w="3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February 28, 2023</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March 20, 2023</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0.09</w:t>
            </w:r>
          </w:p>
        </w:tc>
        <w:tc>
          <w:tcPr>
            <w:tcW w:w="391" w:type="dxa"/>
            <w:tcBorders/>
            <w:shd w:fill="CFF0FC" w:val="clear"/>
            <w:vAlign w:val="center"/>
          </w:tcPr>
          <w:p>
            <w:pPr>
              <w:pStyle w:val="TableContents"/>
              <w:bidi w:val="0"/>
              <w:spacing w:before="0" w:after="283"/>
              <w:jc w:val="left"/>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February 16, 2023</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March 15, 2023</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March 31, 2023</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0.46</w:t>
            </w:r>
          </w:p>
        </w:tc>
        <w:tc>
          <w:tcPr>
            <w:tcW w:w="391" w:type="dxa"/>
            <w:tcBorders/>
            <w:shd w:fill="FFFFFF" w:val="clear"/>
            <w:vAlign w:val="center"/>
          </w:tcPr>
          <w:p>
            <w:pPr>
              <w:pStyle w:val="TableContents"/>
              <w:bidi w:val="0"/>
              <w:spacing w:before="0" w:after="283"/>
              <w:jc w:val="left"/>
              <w:rPr/>
            </w:pPr>
            <w:r>
              <w:rPr/>
              <w:t> </w:t>
            </w:r>
          </w:p>
        </w:tc>
      </w:tr>
      <w:tr>
        <w:trPr/>
        <w:tc>
          <w:tcPr>
            <w:tcW w:w="24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8, 2023</w:t>
            </w:r>
          </w:p>
        </w:tc>
        <w:tc>
          <w:tcPr>
            <w:tcW w:w="3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May 31, 2023</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June 20, 2023</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391" w:type="dxa"/>
            <w:tcBorders/>
            <w:shd w:fill="CFF0FC" w:val="clear"/>
            <w:vAlign w:val="center"/>
          </w:tcPr>
          <w:p>
            <w:pPr>
              <w:pStyle w:val="TableContents"/>
              <w:bidi w:val="0"/>
              <w:spacing w:before="0" w:after="283"/>
              <w:jc w:val="left"/>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8, 2023</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June 15, 2023</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June 30, 2023</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0.46</w:t>
            </w:r>
          </w:p>
        </w:tc>
        <w:tc>
          <w:tcPr>
            <w:tcW w:w="391" w:type="dxa"/>
            <w:tcBorders/>
            <w:shd w:fill="FFFFFF" w:val="clear"/>
            <w:vAlign w:val="center"/>
          </w:tcPr>
          <w:p>
            <w:pPr>
              <w:pStyle w:val="TableContents"/>
              <w:bidi w:val="0"/>
              <w:spacing w:before="0" w:after="283"/>
              <w:jc w:val="left"/>
              <w:rPr/>
            </w:pPr>
            <w:r>
              <w:rPr/>
              <w:t> </w:t>
            </w:r>
          </w:p>
        </w:tc>
      </w:tr>
      <w:tr>
        <w:trPr/>
        <w:tc>
          <w:tcPr>
            <w:tcW w:w="24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August 3, 2023</w:t>
            </w:r>
          </w:p>
        </w:tc>
        <w:tc>
          <w:tcPr>
            <w:tcW w:w="3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August 31, 2023</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September 20, 2023</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0.06</w:t>
            </w:r>
          </w:p>
        </w:tc>
        <w:tc>
          <w:tcPr>
            <w:tcW w:w="391" w:type="dxa"/>
            <w:tcBorders/>
            <w:shd w:fill="CFF0FC" w:val="clear"/>
            <w:vAlign w:val="center"/>
          </w:tcPr>
          <w:p>
            <w:pPr>
              <w:pStyle w:val="TableContents"/>
              <w:bidi w:val="0"/>
              <w:spacing w:before="0" w:after="283"/>
              <w:jc w:val="left"/>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August 3, 2023</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September 15, 2023</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September 29, 2023</w:t>
            </w:r>
          </w:p>
        </w:tc>
        <w:tc>
          <w:tcPr>
            <w:tcW w:w="146" w:type="dxa"/>
            <w:tcBorders/>
            <w:shd w:fill="FFFFFF" w:val="clear"/>
            <w:vAlign w:val="center"/>
          </w:tcPr>
          <w:p>
            <w:pPr>
              <w:pStyle w:val="TableContents"/>
              <w:bidi w:val="0"/>
              <w:spacing w:before="0" w:after="283"/>
              <w:jc w:val="righ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346" w:type="dxa"/>
            <w:tcBorders/>
            <w:shd w:fill="CFF0FC" w:val="clear"/>
            <w:vAlign w:val="center"/>
          </w:tcPr>
          <w:p>
            <w:pPr>
              <w:pStyle w:val="TableContents"/>
              <w:bidi w:val="0"/>
              <w:spacing w:before="0" w:after="283"/>
              <w:ind w:left="0" w:right="0" w:firstLine="200"/>
              <w:jc w:val="right"/>
              <w:rPr/>
            </w:pPr>
            <w:r>
              <w:rPr/>
              <w:t> </w:t>
            </w:r>
          </w:p>
        </w:tc>
        <w:tc>
          <w:tcPr>
            <w:tcW w:w="1231"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639" w:type="dxa"/>
        <w:jc w:val="left"/>
        <w:tblInd w:w="0" w:type="dxa"/>
        <w:tblLayout w:type="fixed"/>
        <w:tblCellMar>
          <w:top w:w="28" w:type="dxa"/>
          <w:left w:w="28" w:type="dxa"/>
          <w:bottom w:w="28" w:type="dxa"/>
          <w:right w:w="28" w:type="dxa"/>
        </w:tblCellMar>
      </w:tblPr>
      <w:tblGrid>
        <w:gridCol w:w="2481"/>
        <w:gridCol w:w="146"/>
        <w:gridCol w:w="1231"/>
        <w:gridCol w:w="146"/>
        <w:gridCol w:w="1726"/>
        <w:gridCol w:w="146"/>
        <w:gridCol w:w="1726"/>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1"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shd w:fill="FFFFFF" w:val="cle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February 17, 2022</w:t>
            </w:r>
          </w:p>
        </w:tc>
        <w:tc>
          <w:tcPr>
            <w:tcW w:w="1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February 28, 2022</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March 31, 2022</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0.11</w:t>
            </w:r>
          </w:p>
        </w:tc>
        <w:tc>
          <w:tcPr>
            <w:tcW w:w="391" w:type="dxa"/>
            <w:tcBorders/>
            <w:shd w:fill="CFF0FC" w:val="clear"/>
            <w:vAlign w:val="center"/>
          </w:tcPr>
          <w:p>
            <w:pPr>
              <w:pStyle w:val="TableContents"/>
              <w:bidi w:val="0"/>
              <w:spacing w:before="0" w:after="283"/>
              <w:jc w:val="left"/>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February 17, 2022</w:t>
            </w:r>
          </w:p>
        </w:tc>
        <w:tc>
          <w:tcPr>
            <w:tcW w:w="1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March 15, 2022</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April 18, 2022</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0.41</w:t>
            </w:r>
          </w:p>
        </w:tc>
        <w:tc>
          <w:tcPr>
            <w:tcW w:w="391" w:type="dxa"/>
            <w:tcBorders/>
            <w:shd w:fill="FFFFFF" w:val="clear"/>
            <w:vAlign w:val="center"/>
          </w:tcPr>
          <w:p>
            <w:pPr>
              <w:pStyle w:val="TableContents"/>
              <w:bidi w:val="0"/>
              <w:spacing w:before="0" w:after="283"/>
              <w:jc w:val="left"/>
              <w:rPr/>
            </w:pPr>
            <w:r>
              <w:rPr/>
              <w:t> </w:t>
            </w:r>
          </w:p>
        </w:tc>
      </w:tr>
      <w:tr>
        <w:trPr/>
        <w:tc>
          <w:tcPr>
            <w:tcW w:w="24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3, 2022</w:t>
            </w:r>
          </w:p>
        </w:tc>
        <w:tc>
          <w:tcPr>
            <w:tcW w:w="1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May 31, 2022</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June 30, 2022</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391" w:type="dxa"/>
            <w:tcBorders/>
            <w:shd w:fill="CFF0FC" w:val="clear"/>
            <w:vAlign w:val="center"/>
          </w:tcPr>
          <w:p>
            <w:pPr>
              <w:pStyle w:val="TableContents"/>
              <w:bidi w:val="0"/>
              <w:spacing w:before="0" w:after="283"/>
              <w:jc w:val="left"/>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May 3, 2022</w:t>
            </w:r>
          </w:p>
        </w:tc>
        <w:tc>
          <w:tcPr>
            <w:tcW w:w="1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June 15, 2022</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July 15, 2022</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0.41</w:t>
            </w:r>
          </w:p>
        </w:tc>
        <w:tc>
          <w:tcPr>
            <w:tcW w:w="391" w:type="dxa"/>
            <w:tcBorders/>
            <w:shd w:fill="FFFFFF" w:val="clear"/>
            <w:vAlign w:val="center"/>
          </w:tcPr>
          <w:p>
            <w:pPr>
              <w:pStyle w:val="TableContents"/>
              <w:bidi w:val="0"/>
              <w:spacing w:before="0" w:after="283"/>
              <w:jc w:val="left"/>
              <w:rPr/>
            </w:pPr>
            <w:r>
              <w:rPr/>
              <w:t> </w:t>
            </w:r>
          </w:p>
        </w:tc>
      </w:tr>
      <w:tr>
        <w:trPr/>
        <w:tc>
          <w:tcPr>
            <w:tcW w:w="24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August 2, 2022</w:t>
            </w:r>
          </w:p>
        </w:tc>
        <w:tc>
          <w:tcPr>
            <w:tcW w:w="1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Base</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September 15, 2022</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September 30, 2022</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48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1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w:t>
            </w:r>
          </w:p>
        </w:tc>
        <w:tc>
          <w:tcPr>
            <w:tcW w:w="3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dividends declared during the nine months ended September 30, 2023 and 2022</w:t>
      </w:r>
      <w:r>
        <w:rPr>
          <w:rFonts w:ascii="Times New Roman" w:hAnsi="Times New Roman"/>
          <w:color w:val="000000"/>
          <w:sz w:val="20"/>
        </w:rPr>
        <w:t xml:space="preserve"> </w:t>
      </w:r>
      <w:r>
        <w:rPr>
          <w:rFonts w:ascii="Times New Roman" w:hAnsi="Times New Roman"/>
          <w:b w:val="false"/>
          <w:color w:val="000000"/>
          <w:sz w:val="20"/>
        </w:rPr>
        <w:t>were derived from net investment income, determined on a tax basis.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12. Financial Highlights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per share data and ratios have been derived from information provided in the consolidated financial statements. The following are the financial highlights for one share of common stock outstanding during the nine months ended September 30, 2023 and 2022.</w:t>
      </w:r>
    </w:p>
    <w:tbl>
      <w:tblPr>
        <w:tblW w:w="7470" w:type="dxa"/>
        <w:jc w:val="left"/>
        <w:tblInd w:w="0" w:type="dxa"/>
        <w:tblLayout w:type="fixed"/>
        <w:tblCellMar>
          <w:top w:w="28" w:type="dxa"/>
          <w:left w:w="28" w:type="dxa"/>
          <w:bottom w:w="28" w:type="dxa"/>
          <w:right w:w="28" w:type="dxa"/>
        </w:tblCellMar>
      </w:tblPr>
      <w:tblGrid>
        <w:gridCol w:w="3406"/>
        <w:gridCol w:w="146"/>
        <w:gridCol w:w="261"/>
        <w:gridCol w:w="1284"/>
        <w:gridCol w:w="271"/>
        <w:gridCol w:w="146"/>
        <w:gridCol w:w="261"/>
        <w:gridCol w:w="1284"/>
        <w:gridCol w:w="4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Per Share Data </w:t>
            </w:r>
            <w:r>
              <w:rPr>
                <w:rFonts w:ascii="Times New Roman" w:hAnsi="Times New Roman"/>
                <w:b/>
                <w:color w:val="000000"/>
                <w:sz w:val="13"/>
              </w:rPr>
              <w:t>(8)</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asset value, beginning of period</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16.84</w:t>
            </w:r>
          </w:p>
        </w:tc>
        <w:tc>
          <w:tcPr>
            <w:tcW w:w="41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Net investment income </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41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Net realized and unrealized </w:t>
              <w:br/>
              <w:t xml:space="preserve">   gain (loss)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from operations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0.80</w:t>
            </w:r>
          </w:p>
        </w:tc>
        <w:tc>
          <w:tcPr>
            <w:tcW w:w="41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Issuance of common stock, net of</w:t>
              <w:br/>
              <w:t xml:space="preserve">   offering costs </w:t>
            </w:r>
            <w:r>
              <w:rPr>
                <w:rFonts w:ascii="Times New Roman" w:hAnsi="Times New Roman"/>
                <w:b w:val="false"/>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41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Settlement of 2022 Convertible Notes</w:t>
            </w:r>
            <w:r>
              <w:rPr>
                <w:rFonts w:ascii="Times New Roman" w:hAnsi="Times New Roman"/>
                <w:color w:val="000000"/>
                <w:sz w:val="20"/>
              </w:rPr>
              <w:t> </w:t>
            </w:r>
            <w:r>
              <w:rPr>
                <w:rFonts w:ascii="Times New Roman" w:hAnsi="Times New Roman"/>
                <w:b w:val="false"/>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0.08</w:t>
            </w:r>
          </w:p>
        </w:tc>
        <w:tc>
          <w:tcPr>
            <w:tcW w:w="41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Repurchase of common stock </w:t>
            </w:r>
            <w:r>
              <w:rPr>
                <w:rFonts w:ascii="Times New Roman" w:hAnsi="Times New Roman"/>
                <w:b w:val="false"/>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Dividends declared from net</w:t>
              <w:br/>
              <w:t xml:space="preserve">   investment income </w:t>
            </w:r>
            <w:r>
              <w:rPr>
                <w:rFonts w:ascii="Times New Roman" w:hAnsi="Times New Roman"/>
                <w:b w:val="false"/>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increase (decrease) in net assets</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 Value, End of Period</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 share market value at end of</w:t>
              <w:br/>
              <w:t>   period</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16.34</w:t>
            </w:r>
          </w:p>
        </w:tc>
        <w:tc>
          <w:tcPr>
            <w:tcW w:w="41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Total return based on market value</w:t>
              <w:br/>
              <w:t xml:space="preserve">   with reinvestment of dividends </w:t>
            </w:r>
            <w:r>
              <w:rPr>
                <w:rFonts w:ascii="Times New Roman" w:hAnsi="Times New Roman"/>
                <w:b w:val="false"/>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-24.69</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Total return based on market value </w:t>
            </w:r>
            <w:r>
              <w:rPr>
                <w:rFonts w:ascii="Times New Roman" w:hAnsi="Times New Roman"/>
                <w:b w:val="false"/>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-24.20</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Total return based on net asset</w:t>
              <w:br/>
              <w:t xml:space="preserve">   value </w:t>
            </w:r>
            <w:r>
              <w:rPr>
                <w:rFonts w:ascii="Times New Roman" w:hAnsi="Times New Roman"/>
                <w:b w:val="false"/>
                <w:color w:val="000000"/>
                <w:sz w:val="13"/>
              </w:rPr>
              <w:t>(5)</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5.43</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Outstanding, End of Period</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87,546,498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81,170,965</w:t>
            </w:r>
          </w:p>
        </w:tc>
        <w:tc>
          <w:tcPr>
            <w:tcW w:w="41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Ratios / Supplemental Data </w:t>
            </w:r>
            <w:r>
              <w:rPr>
                <w:rFonts w:ascii="Times New Roman" w:hAnsi="Times New Roman"/>
                <w:b/>
                <w:color w:val="000000"/>
                <w:sz w:val="13"/>
              </w:rPr>
              <w:t>(6)</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Ratio of net expenses to average</w:t>
              <w:br/>
              <w:t xml:space="preserve">   net assets </w:t>
            </w:r>
            <w:r>
              <w:rPr>
                <w:rFonts w:ascii="Times New Roman" w:hAnsi="Times New Roman"/>
                <w:b w:val="false"/>
                <w:color w:val="000000"/>
                <w:sz w:val="13"/>
              </w:rPr>
              <w:t>(7)</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9.92</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Ratio of net investment income </w:t>
              <w:br/>
              <w:t>     to average net assets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11.82</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Portfolio turnover</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16.12</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21.31</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assets, end of period</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1,485,822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1,328,052</w:t>
            </w:r>
          </w:p>
        </w:tc>
        <w:tc>
          <w:tcPr>
            <w:tcW w:w="4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per share data was derived by using the weighted average shares outstanding during the period.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per share data was derived by using the actual shares outstanding at the date of the relevant transactions.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Total return based on market value with dividends reinvested is calculated as the change in market value per share during the period plus declared dividends per share, assuming reinvestment of dividends, divided by the beginning market value per share.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Total return based on market value is calculated as the change in market value per share during the period plus declared dividends per share, divided by the beginning market value per share.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Total return based on net asset value is calculated as the change in net asset value per share during the period plus declared dividends per share, divided by the beginning net asset value per share.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(6)</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ratios reflect an annualized amount.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(7)</w:t>
      </w:r>
    </w:p>
    <w:p>
      <w:pPr>
        <w:pStyle w:val="TextBody"/>
        <w:bidi w:val="0"/>
        <w:spacing w:before="0" w:after="0"/>
        <w:jc w:val="left"/>
        <w:rPr>
          <w:rFonts w:ascii="Times New Roman" w:hAnsi="Times New Roman"/>
          <w:sz w:val="24"/>
        </w:rPr>
      </w:pPr>
      <w:r>
        <w:rPr>
          <w:rFonts w:ascii="Times New Roman" w:hAnsi="Times New Roman"/>
          <w:b w:val="false"/>
          <w:color w:val="000000"/>
          <w:sz w:val="20"/>
        </w:rPr>
        <w:t>The ratio of net expenses to average net assets in the table above reflects the Adviser’s waivers of its right to receive a portion of the Management Fee pursuant to the Leverage Waiver for the nine months ended September 30, 2023 and 2022. Excluding the effects of the waivers, the ratio of net expenses to average net assets would have been 16.79%</w:t>
      </w:r>
      <w:r>
        <w:rPr>
          <w:rFonts w:ascii="Times New Roman" w:hAnsi="Times New Roman"/>
          <w:color w:val="000000"/>
          <w:sz w:val="24"/>
        </w:rPr>
        <w:t xml:space="preserve"> </w:t>
      </w:r>
      <w:r>
        <w:rPr>
          <w:rFonts w:ascii="Times New Roman" w:hAnsi="Times New Roman"/>
          <w:b w:val="false"/>
          <w:color w:val="000000"/>
          <w:sz w:val="20"/>
        </w:rPr>
        <w:t xml:space="preserve">and 9.94%, respectively, for the nine months ended September 30, 2023 and 2022.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(8)</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Table may not sum due to rounding.</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and nine months ended September 30, 2023.</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in which we hold assets that were previously used to support our asset-backed credit facility, Sixth Street SL Holding, LLC, a Delaware limited liability company, in which we hold certain investments, and Sixth Street Specialty Lending Sub, LLC, a Cayman Islands limited liability company, in which we plan to hold certain 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have elected to be regulated as a BDC under the 1940 Act and as a RIC under the Code. We made our BDC election on April 15, 2011. As a result, we are required to comply with various statutory and regulatory requirements, such as: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requirement to invest at least 70% of our assets in “qualifying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source of income limitations;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asset diversification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requirement to distribute (or be treated as distributing) in each taxable year at least 90% of our investment company taxable income and tax-exempt interest for that taxable year.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shares are listed on the NYSE under the symbol “TSLX.”</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Our Investment Framework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 specialty finance company focused on lending to middle-market companies. Since we began our investment activities in July 2011, through September 30, 2023, we have originated more than $28.6 billion aggregate principal amount of investments and retained approximately $9.8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equity securities, and other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By “middle-market companies,” we mean companies that have annual EBITDA, which we believe is a useful proxy for cash flow, of $10 million to $250 million, although we may invest in larger or smaller companies on occasion. As of September 30, 2023, our core portfolio companies, which exclude certain investments that fall outside of our typical borrower profile and represent 92.8% of our total investments based on fair value, had weighted average annual revenue of $209.0 million and weighted average annual EBITDA of $69.2 million.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companies in which we invest use our capital to support organic growth, acquisitions, market or product expansion and recapitalizations (including restructurings). As of September 30, 2023, the largest single investment based on fair value represented 2.5% of our total investment portfolio.</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the average investment size in each of our portfolio companies was approximately $23.8 million based on fair value. Portfolio companies includes investments in structured credit investments, which include each series of collateralized loan obligation as a portfolio company investment. When excluding investments in structured credit investments the average investment in our remaining portfolio companies was approximately $34.4 million as of September 30, 2023.</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Through our Adviser, we consider potential investments utilizing a four-tiered investment framework and against our existing portfolio as a whole: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Business and sector selection.</w:t>
      </w:r>
      <w:r>
        <w:rPr>
          <w:rFonts w:ascii="Times New Roman" w:hAnsi="Times New Roman"/>
          <w:color w:val="000000"/>
          <w:sz w:val="20"/>
        </w:rPr>
        <w:t xml:space="preserve"> </w:t>
      </w:r>
      <w:r>
        <w:rPr>
          <w:rFonts w:ascii="Times New Roman" w:hAnsi="Times New Roman"/>
          <w:b w:val="false"/>
          <w:color w:val="000000"/>
          <w:sz w:val="20"/>
        </w:rPr>
        <w:t>We focus on companies with enterprise value between $50 million and $1 billion. When 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 largest industry represented 15.7% of our total investment portfolio based on fair value.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Investment Structuring.</w:t>
      </w:r>
      <w:r>
        <w:rPr>
          <w:rFonts w:ascii="Times New Roman" w:hAnsi="Times New Roman"/>
          <w:color w:val="000000"/>
          <w:sz w:val="20"/>
        </w:rPr>
        <w:t xml:space="preserve"> </w:t>
      </w:r>
      <w:r>
        <w:rPr>
          <w:rFonts w:ascii="Times New Roman" w:hAnsi="Times New Roman"/>
          <w:b w:val="false"/>
          <w:color w:val="000000"/>
          <w:sz w:val="20"/>
        </w:rPr>
        <w:t>We focus on investing at the top of the capital structure and protecting that position. As of September 30, 2023, approximately 92.3% of our portfolio was invested in secured debt, including 91.0%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September 30, 2023, the weighted average term on new investment commitments in new portfolio companies was 6.2 years.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Deal Dynamics.</w:t>
      </w:r>
      <w:r>
        <w:rPr>
          <w:rFonts w:ascii="Times New Roman" w:hAnsi="Times New Roman"/>
          <w:color w:val="000000"/>
          <w:sz w:val="20"/>
        </w:rPr>
        <w:t xml:space="preserve"> </w:t>
      </w:r>
      <w:r>
        <w:rPr>
          <w:rFonts w:ascii="Times New Roman" w:hAnsi="Times New Roman"/>
          <w:b w:val="false"/>
          <w:color w:val="000000"/>
          <w:sz w:val="20"/>
        </w:rPr>
        <w:t>We focus on, among other deal dynamics, direct origination of investments, where we identify and lead the investment transaction. A substantial majority of our portfolio investments are sourced through our direct or proprietary relationships.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Risk Mitigation. </w:t>
      </w:r>
      <w:r>
        <w:rPr>
          <w:rFonts w:ascii="Times New Roman" w:hAnsi="Times New Roman"/>
          <w:b w:val="false"/>
          <w:color w:val="000000"/>
          <w:sz w:val="20"/>
        </w:rPr>
        <w:t>We seek to mitigate non-credit-related risk on our returns in several ways, including call protection provisions to protect future interest income. As of September 30, 2023, we had call protection on 81.6% of our debt investments based on fair value, with weighted average call prices of 107.1% for the first year, 103.5% for the second year and 101.2% for the third year, in each case from the date of the initial investment. As of September 30, 2023, 99.7% of our debt investments based on fair value bore interest at floating rates, with 100%</w:t>
      </w:r>
      <w:r>
        <w:rPr>
          <w:rFonts w:ascii="Times New Roman" w:hAnsi="Times New Roman"/>
          <w:color w:val="000000"/>
          <w:sz w:val="20"/>
        </w:rPr>
        <w:t xml:space="preserve"> </w:t>
      </w:r>
      <w:r>
        <w:rPr>
          <w:rFonts w:ascii="Times New Roman" w:hAnsi="Times New Roman"/>
          <w:b w:val="false"/>
          <w:color w:val="000000"/>
          <w:sz w:val="20"/>
        </w:rPr>
        <w:t>of these subject to interest rate floors, which we believe helps act as a portfolio-wide hedge against inflation.</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Relationship with our Adviser and Sixth Street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Sixth Street is a global investment business with over $70 billion of assets under management as of September 30, 2023. Sixth Street’s direct lending platforms include Sixth Street Specialty Lending, Sixth Street Lending Partners, which is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560 investment and operating professionals. As of September 30, 2023, sixty-seven (67) of these personnel are dedicated to direct lending, including fifty-three (53) investment professionals.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Key 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focus primarily on the direct origination of loans to middle-market companies domiciled in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as part of our risk strategy on investments, we may reduce certain levels of investments through partial sales or syndication to additional investors.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September 30, 2023, 99.7% of these investments based on fair value bore interest at a floating rate, with 100% of these subject to interest rate floors. Interest on debt investments is generally payable monthly or quarterly. Some of our investments provide for deferred interest payments or PIK interest. For the three and nine months ended September 30, 2023, 4.5% and 4.0%, respectively, of our total investment income was comprised of PIK interest.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2024 Notes, 2026 Notes and 2028 Notes, after taking into account the effect of the interest rate swaps we have entered into in connection with these securities,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new investments made during that period—often are idiosyncratic, and reflect the characteristics of the particular portfolio companies that we invested in or exited during the period and not necessarily any trends in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Dividend income on common equity investments is recorded on the record date for private portfolio companies or on the ex-dividend date for publicly traded portfolio companies.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calculating individual asset values and our net asset value (including the cost and expenses of any independent valuation firms);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of any public offerings of our common stock and other securities, including registration and listing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Management Fee and any Incentive Fee;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certain costs and expenses relating to distributions paid on our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administration fees payable under our Administration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debt service and other costs of borrowings or other financing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Adviser’s allocable share of costs incurred in providing significant managerial assistance to those portfolio companies that request 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amounts payable to third parties relating to, or associated with, making or holding investments;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transfer agent and custodial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costs of hedging;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commissions and other compensation payable to brokers or dealers;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taxes;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Independent Director fees and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of any reports, proxy statements or other notices to our stockholders (including printing and mailing costs), the costs of any stockholders’ meetings and the compensation of investor relations personnel responsible for the preparation of the foregoing and related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fidelity bond;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directors and officers/errors and omissions liability insurance, and any other insurance premiums;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indemnification payments;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direct costs and expenses of administration, including audit, accounting, consulting and legal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 other expenses reasonably incurred by us in connection with making investments and administering our business.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expect that during periods of asset growth, our general and administrative expenses will be relatively stable or will decline as a percentage of total assets, and will increase as a percentage of total assets during periods of asset declines.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Leverage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Market Trends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Portfolio and Investment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our portfolio based on fair value consisted of 91.0% first-lien debt investments, 1.3% second-lien investments, 1.2% mezzanine debt investments, 4.8% equity and other investments and 1.7% structured credit investments. As of December 31, 2022, our portfolio based on fair value consisted of 90.3% first-lien debt investments, 1.5% second-lien debt investments, 0.4% mezzanine debt investments, 6.0% equity and other investments and 1.8% structured credit investments.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and December 31, 2022, our weighted average total yield of debt and income producing securities at fair value (which includes interest income and amortization of fees and discounts) was 14.2% and 13.5%, respectively, and our weighted</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average total yield of debt and income-producing securities at amortized cost (which includes interest income and amortization of fees and discounts) was 14.3% and 13.4%, respectively.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and December 31, 2022, we had investments in 131 portfolio companies (including 42 structured credit investments, which include each series of collateralized loan obligation as a separate portfolio company investment) and 121 portfolio companies (including 43 structured credit investments, which include each series of collateralized loan obligation as a separate portfolio company investment), respectively, with an aggregate fair value of $3,113.3 million and $2,787.9 million, respectively.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months ended September 30, 2023, the principal amount of new investments funded was $151.6 million in eight new portfolio companies and two existing portfolio companies. For this period, we had $158.9 million aggregate principal amount in exits and repayments.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months ended September 30, 2022, the principal amount of new investments funded was $274.4 million in 25 new portfolio companies and six existing portfolio companies. For this period, we had $15.8 million aggregate principal amount in exits and repayments.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investment activity for the three months ended September 30, 2023 and 2022 is presented below (information presented herein is at par value unless otherwise indicated).</w:t>
      </w:r>
      <w:r>
        <w:rPr>
          <w:rFonts w:ascii="Times New Roman" w:hAnsi="Times New Roman"/>
          <w:color w:val="000000"/>
          <w:sz w:val="20"/>
        </w:rPr>
        <w:t xml:space="preserve"> </w:t>
      </w:r>
    </w:p>
    <w:p>
      <w:pPr>
        <w:pStyle w:val="TextBody"/>
        <w:bidi w:val="0"/>
        <w:jc w:val="left"/>
        <w:rPr/>
      </w:pPr>
      <w:r>
        <w:rPr/>
        <w:t> </w:t>
      </w:r>
    </w:p>
    <w:tbl>
      <w:tblPr>
        <w:tblW w:w="8820" w:type="dxa"/>
        <w:jc w:val="left"/>
        <w:tblInd w:w="0" w:type="dxa"/>
        <w:tblLayout w:type="fixed"/>
        <w:tblCellMar>
          <w:top w:w="28" w:type="dxa"/>
          <w:left w:w="28" w:type="dxa"/>
          <w:bottom w:w="28" w:type="dxa"/>
          <w:right w:w="28" w:type="dxa"/>
        </w:tblCellMar>
      </w:tblPr>
      <w:tblGrid>
        <w:gridCol w:w="4576"/>
        <w:gridCol w:w="146"/>
        <w:gridCol w:w="350"/>
        <w:gridCol w:w="1195"/>
        <w:gridCol w:w="271"/>
        <w:gridCol w:w="146"/>
        <w:gridCol w:w="350"/>
        <w:gridCol w:w="1195"/>
        <w:gridCol w:w="5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 investment commitments:</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57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Gross originations </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1,004.2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1,910.1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7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Less: Syndications/sell downs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798.4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new investment commitments</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384.6</w:t>
            </w:r>
          </w:p>
        </w:tc>
        <w:tc>
          <w:tcPr>
            <w:tcW w:w="591" w:type="dxa"/>
            <w:tcBorders/>
            <w:shd w:fill="FFFFFF" w:val="clear"/>
            <w:vAlign w:val="center"/>
          </w:tcPr>
          <w:p>
            <w:pPr>
              <w:pStyle w:val="TableContents"/>
              <w:bidi w:val="0"/>
              <w:spacing w:before="0" w:after="283"/>
              <w:jc w:val="lef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funded:</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5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First-lien</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Second-lien</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Mezzanine</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Equity and other</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Structured Credit</w:t>
            </w:r>
          </w:p>
        </w:tc>
        <w:tc>
          <w:tcPr>
            <w:tcW w:w="146" w:type="dxa"/>
            <w:tcBorders/>
            <w:shd w:fill="FFFFFF" w:val="cle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274.4</w:t>
            </w:r>
          </w:p>
        </w:tc>
        <w:tc>
          <w:tcPr>
            <w:tcW w:w="59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sold or repaid:</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5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First-lien</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Second-lien</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Mezzanine</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Equity and other</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Structured Credit</w:t>
            </w:r>
          </w:p>
        </w:tc>
        <w:tc>
          <w:tcPr>
            <w:tcW w:w="146" w:type="dxa"/>
            <w:tcBorders/>
            <w:shd w:fill="CFF0FC" w:val="cle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new investment commitments in</w:t>
              <w:br/>
              <w:t>   new portfolio companies</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59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new investment commitment amount in</w:t>
              <w:br/>
              <w:t>   new portfolio companies</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591" w:type="dxa"/>
            <w:tcBorders/>
            <w:shd w:fill="FFFFFF" w:val="clear"/>
            <w:vAlign w:val="center"/>
          </w:tcPr>
          <w:p>
            <w:pPr>
              <w:pStyle w:val="TableContents"/>
              <w:bidi w:val="0"/>
              <w:spacing w:before="0" w:after="283"/>
              <w:jc w:val="lef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term for new investment</w:t>
              <w:br/>
              <w:t>   commitments in new portfolio companies</w:t>
              <w:br/>
              <w:t>   (in years)</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59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floating rates</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98.7</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97.0</w:t>
            </w:r>
          </w:p>
        </w:tc>
        <w:tc>
          <w:tcPr>
            <w:tcW w:w="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of new</w:t>
              <w:br/>
              <w:t>   investment commitments</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w:t>
            </w:r>
          </w:p>
        </w:tc>
        <w:tc>
          <w:tcPr>
            <w:tcW w:w="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 average spread over reference rate of new </w:t>
              <w:br/>
              <w:t>   floating rate investment commitments</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on investments</w:t>
              <w:br/>
              <w:t>   fully sold or paid down</w:t>
            </w:r>
          </w:p>
        </w:tc>
        <w:tc>
          <w:tcPr>
            <w:tcW w:w="146" w:type="dxa"/>
            <w:tcBorders/>
            <w:shd w:fill="CFF0FC" w:val="clear"/>
            <w:vAlign w:val="center"/>
          </w:tcPr>
          <w:p>
            <w:pPr>
              <w:pStyle w:val="TableContents"/>
              <w:bidi w:val="0"/>
              <w:spacing w:before="0" w:after="283"/>
              <w:jc w:val="righ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w:t>
            </w:r>
          </w:p>
        </w:tc>
        <w:tc>
          <w:tcPr>
            <w:tcW w:w="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Includes affiliates of Sixth Street</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and December 31, 2022, our investments consisted of the following:</w:t>
      </w:r>
      <w:r>
        <w:rPr>
          <w:rFonts w:ascii="Times New Roman" w:hAnsi="Times New Roman"/>
          <w:color w:val="000000"/>
          <w:sz w:val="20"/>
        </w:rPr>
        <w:t xml:space="preserve"> </w:t>
      </w:r>
    </w:p>
    <w:p>
      <w:pPr>
        <w:pStyle w:val="TextBody"/>
        <w:bidi w:val="0"/>
        <w:jc w:val="left"/>
        <w:rPr/>
      </w:pPr>
      <w:r>
        <w:rPr/>
        <w:t> </w:t>
      </w:r>
    </w:p>
    <w:tbl>
      <w:tblPr>
        <w:tblW w:w="8888" w:type="dxa"/>
        <w:jc w:val="left"/>
        <w:tblInd w:w="0" w:type="dxa"/>
        <w:tblLayout w:type="fixed"/>
        <w:tblCellMar>
          <w:top w:w="28" w:type="dxa"/>
          <w:left w:w="28" w:type="dxa"/>
          <w:bottom w:w="28" w:type="dxa"/>
          <w:right w:w="28" w:type="dxa"/>
        </w:tblCellMar>
      </w:tblPr>
      <w:tblGrid>
        <w:gridCol w:w="2521"/>
        <w:gridCol w:w="146"/>
        <w:gridCol w:w="211"/>
        <w:gridCol w:w="721"/>
        <w:gridCol w:w="246"/>
        <w:gridCol w:w="246"/>
        <w:gridCol w:w="282"/>
        <w:gridCol w:w="963"/>
        <w:gridCol w:w="246"/>
        <w:gridCol w:w="246"/>
        <w:gridCol w:w="211"/>
        <w:gridCol w:w="721"/>
        <w:gridCol w:w="246"/>
        <w:gridCol w:w="246"/>
        <w:gridCol w:w="282"/>
        <w:gridCol w:w="963"/>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2,832.8</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2,806.3</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2,517.9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2,529.3</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w:t>
            </w:r>
          </w:p>
        </w:tc>
        <w:tc>
          <w:tcPr>
            <w:tcW w:w="3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82"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82"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150.2</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167.7</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142.1</w:t>
            </w:r>
          </w:p>
        </w:tc>
        <w:tc>
          <w:tcPr>
            <w:tcW w:w="3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Structured credit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3,113.3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3,085.4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2,787.9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following tables show the fair value and amortized cost of our performing and non-accrual investments as of September 30, 2023 and December 31, 2022:</w:t>
      </w:r>
      <w:r>
        <w:rPr>
          <w:rFonts w:ascii="Times New Roman" w:hAnsi="Times New Roman"/>
          <w:color w:val="000000"/>
          <w:sz w:val="20"/>
        </w:rPr>
        <w:t xml:space="preserve"> </w:t>
      </w:r>
    </w:p>
    <w:p>
      <w:pPr>
        <w:pStyle w:val="TextBody"/>
        <w:bidi w:val="0"/>
        <w:jc w:val="left"/>
        <w:rPr/>
      </w:pPr>
      <w:r>
        <w:rPr/>
        <w:t> </w:t>
      </w:r>
    </w:p>
    <w:tbl>
      <w:tblPr>
        <w:tblW w:w="7155" w:type="dxa"/>
        <w:jc w:val="left"/>
        <w:tblInd w:w="0" w:type="dxa"/>
        <w:tblLayout w:type="fixed"/>
        <w:tblCellMar>
          <w:top w:w="28" w:type="dxa"/>
          <w:left w:w="28" w:type="dxa"/>
          <w:bottom w:w="28" w:type="dxa"/>
          <w:right w:w="28" w:type="dxa"/>
        </w:tblCellMar>
      </w:tblPr>
      <w:tblGrid>
        <w:gridCol w:w="1321"/>
        <w:gridCol w:w="146"/>
        <w:gridCol w:w="211"/>
        <w:gridCol w:w="721"/>
        <w:gridCol w:w="246"/>
        <w:gridCol w:w="246"/>
        <w:gridCol w:w="186"/>
        <w:gridCol w:w="730"/>
        <w:gridCol w:w="371"/>
        <w:gridCol w:w="246"/>
        <w:gridCol w:w="211"/>
        <w:gridCol w:w="721"/>
        <w:gridCol w:w="246"/>
        <w:gridCol w:w="246"/>
        <w:gridCol w:w="186"/>
        <w:gridCol w:w="730"/>
        <w:gridCol w:w="3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Performing</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3,092.6</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8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99.3</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2,787.7</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8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Non-accrual</w:t>
            </w:r>
            <w:r>
              <w:rPr>
                <w:rFonts w:ascii="Times New Roman" w:hAnsi="Times New Roman"/>
                <w:color w:val="000000"/>
                <w:sz w:val="20"/>
              </w:rPr>
              <w:t> </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3,113.3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2,787.9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tbl>
      <w:tblPr>
        <w:tblW w:w="7781" w:type="dxa"/>
        <w:jc w:val="left"/>
        <w:tblInd w:w="0" w:type="dxa"/>
        <w:tblLayout w:type="fixed"/>
        <w:tblCellMar>
          <w:top w:w="28" w:type="dxa"/>
          <w:left w:w="28" w:type="dxa"/>
          <w:bottom w:w="28" w:type="dxa"/>
          <w:right w:w="28" w:type="dxa"/>
        </w:tblCellMar>
      </w:tblPr>
      <w:tblGrid>
        <w:gridCol w:w="1321"/>
        <w:gridCol w:w="146"/>
        <w:gridCol w:w="282"/>
        <w:gridCol w:w="963"/>
        <w:gridCol w:w="246"/>
        <w:gridCol w:w="246"/>
        <w:gridCol w:w="186"/>
        <w:gridCol w:w="730"/>
        <w:gridCol w:w="371"/>
        <w:gridCol w:w="246"/>
        <w:gridCol w:w="282"/>
        <w:gridCol w:w="963"/>
        <w:gridCol w:w="246"/>
        <w:gridCol w:w="246"/>
        <w:gridCol w:w="186"/>
        <w:gridCol w:w="730"/>
        <w:gridCol w:w="3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Performing</w:t>
            </w:r>
          </w:p>
        </w:tc>
        <w:tc>
          <w:tcPr>
            <w:tcW w:w="146"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3,057.2</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8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99.1</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2,772.8</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8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99.9</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Non-accrual</w:t>
            </w:r>
            <w:r>
              <w:rPr>
                <w:rFonts w:ascii="Times New Roman" w:hAnsi="Times New Roman"/>
                <w:color w:val="000000"/>
                <w:sz w:val="20"/>
              </w:rPr>
              <w:t> </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3,085.4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2,774.7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pPr>
      <w:r>
        <w:rPr>
          <w:rFonts w:ascii="Times New Roman" w:hAnsi="Times New Roman"/>
          <w:b w:val="false"/>
          <w:color w:val="000000"/>
          <w:sz w:val="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color w:val="000000"/>
        </w:rPr>
        <w:t>“–</w:t>
      </w:r>
      <w:r>
        <w:rPr>
          <w:rFonts w:ascii="Times New Roman" w:hAnsi="Times New Roman"/>
          <w:b w:val="false"/>
          <w:i/>
          <w:color w:val="000000"/>
          <w:sz w:val="20"/>
        </w:rPr>
        <w:t>Critical Accounting Policies – Interest and Dividend Income Recognition.”</w:t>
      </w:r>
    </w:p>
    <w:p>
      <w:pPr>
        <w:pStyle w:val="TextBody"/>
        <w:bidi w:val="0"/>
        <w:jc w:val="left"/>
        <w:rPr>
          <w:rFonts w:ascii="Times New Roman" w:hAnsi="Times New Roman"/>
          <w:sz w:val="20"/>
        </w:rPr>
      </w:pPr>
      <w:r>
        <w:rPr>
          <w:rFonts w:ascii="Times New Roman" w:hAnsi="Times New Roman"/>
          <w:b w:val="false"/>
          <w:color w:val="000000"/>
          <w:sz w:val="20"/>
        </w:rPr>
        <w:t>The weighted average yields and interest rates of our performing debt investments at fair value as of September 30, 2023 and December 31, 2022 were as follows:</w:t>
      </w:r>
      <w:r>
        <w:rPr>
          <w:rFonts w:ascii="Times New Roman" w:hAnsi="Times New Roman"/>
          <w:color w:val="000000"/>
          <w:sz w:val="20"/>
        </w:rPr>
        <w:t xml:space="preserve"> </w:t>
      </w:r>
    </w:p>
    <w:p>
      <w:pPr>
        <w:pStyle w:val="TextBody"/>
        <w:bidi w:val="0"/>
        <w:jc w:val="left"/>
        <w:rPr/>
      </w:pPr>
      <w:r>
        <w:rPr/>
        <w:t> </w:t>
      </w:r>
    </w:p>
    <w:tbl>
      <w:tblPr>
        <w:tblW w:w="8970" w:type="dxa"/>
        <w:jc w:val="left"/>
        <w:tblInd w:w="0" w:type="dxa"/>
        <w:tblLayout w:type="fixed"/>
        <w:tblCellMar>
          <w:top w:w="28" w:type="dxa"/>
          <w:left w:w="28" w:type="dxa"/>
          <w:bottom w:w="28" w:type="dxa"/>
          <w:right w:w="28" w:type="dxa"/>
        </w:tblCellMar>
      </w:tblPr>
      <w:tblGrid>
        <w:gridCol w:w="4846"/>
        <w:gridCol w:w="146"/>
        <w:gridCol w:w="367"/>
        <w:gridCol w:w="1178"/>
        <w:gridCol w:w="371"/>
        <w:gridCol w:w="246"/>
        <w:gridCol w:w="357"/>
        <w:gridCol w:w="1143"/>
        <w:gridCol w:w="316"/>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Weighted average total yield of debt and income</w:t>
              <w:br/>
              <w:t xml:space="preserve">   producing securities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interest rate of debt and income</w:t>
              <w:br/>
              <w:t>   producing securities</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w:t>
            </w:r>
          </w:p>
        </w:tc>
        <w:tc>
          <w:tcPr>
            <w:tcW w:w="37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spread over reference rate of all floating</w:t>
              <w:br/>
              <w:t>   rate investments</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xml:space="preserve">Weighted average total portfolio yield at fair value was 13.5% at September 30, 2023 and 12.8% at December 31, 2022.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assessment of success of the portfolio company in adhering to its business plan and compliance with covenants;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periodic and regular contact with portfolio company management and, if appropriate, the financial or strategic sponsor, to discuss financial position, requirements and accomplishments;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comparisons to other companies in the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attendance at, and participation in, board meetings;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review of monthly and quarterly financial statements and financial projections for portfolio companies.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table shows the distribution of our investments on the 1 to 5 investment performance rating scale at fair value as of September 30, 2023 and December 31, 2022. Investment performance ratings are accurate only as of those dates and may change due to subsequent developments relating to a portfolio company’s business or financial condition, market conditions or developments, and other factors.</w:t>
      </w:r>
      <w:r>
        <w:rPr>
          <w:rFonts w:ascii="Times New Roman" w:hAnsi="Times New Roman"/>
          <w:color w:val="000000"/>
          <w:sz w:val="20"/>
        </w:rPr>
        <w:t xml:space="preserve"> </w:t>
      </w:r>
    </w:p>
    <w:p>
      <w:pPr>
        <w:pStyle w:val="TextBody"/>
        <w:bidi w:val="0"/>
        <w:jc w:val="left"/>
        <w:rPr/>
      </w:pPr>
      <w:r>
        <w:rPr/>
        <w:t> </w:t>
      </w:r>
    </w:p>
    <w:tbl>
      <w:tblPr>
        <w:tblW w:w="7985" w:type="dxa"/>
        <w:jc w:val="left"/>
        <w:tblInd w:w="0" w:type="dxa"/>
        <w:tblLayout w:type="fixed"/>
        <w:tblCellMar>
          <w:top w:w="28" w:type="dxa"/>
          <w:left w:w="28" w:type="dxa"/>
          <w:bottom w:w="28" w:type="dxa"/>
          <w:right w:w="28" w:type="dxa"/>
        </w:tblCellMar>
      </w:tblPr>
      <w:tblGrid>
        <w:gridCol w:w="460"/>
        <w:gridCol w:w="606"/>
        <w:gridCol w:w="146"/>
        <w:gridCol w:w="146"/>
        <w:gridCol w:w="261"/>
        <w:gridCol w:w="894"/>
        <w:gridCol w:w="246"/>
        <w:gridCol w:w="246"/>
        <w:gridCol w:w="243"/>
        <w:gridCol w:w="957"/>
        <w:gridCol w:w="371"/>
        <w:gridCol w:w="246"/>
        <w:gridCol w:w="261"/>
        <w:gridCol w:w="894"/>
        <w:gridCol w:w="246"/>
        <w:gridCol w:w="246"/>
        <w:gridCol w:w="243"/>
        <w:gridCol w:w="957"/>
        <w:gridCol w:w="316"/>
      </w:tblGrid>
      <w:tr>
        <w:trPr/>
        <w:tc>
          <w:tcPr>
            <w:tcW w:w="46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6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10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7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16" w:type="dxa"/>
            <w:tcBorders/>
            <w:shd w:fill="FFFFFF" w:val="clear"/>
            <w:vAlign w:val="center"/>
          </w:tcPr>
          <w:p>
            <w:pPr>
              <w:pStyle w:val="TableContents"/>
              <w:bidi w:val="0"/>
              <w:spacing w:before="0" w:after="283"/>
              <w:jc w:val="center"/>
              <w:rPr/>
            </w:pPr>
            <w:r>
              <w:rPr/>
              <w:t> </w:t>
            </w:r>
          </w:p>
        </w:tc>
      </w:tr>
      <w:tr>
        <w:trPr/>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2,759.3</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2,472.8</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88.7</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3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w:t>
            </w:r>
          </w:p>
        </w:tc>
        <w:tc>
          <w:tcPr>
            <w:tcW w:w="316" w:type="dxa"/>
            <w:tcBorders/>
            <w:shd w:fill="FFFFFF" w:val="clear"/>
            <w:vAlign w:val="center"/>
          </w:tcPr>
          <w:p>
            <w:pPr>
              <w:pStyle w:val="TableContents"/>
              <w:bidi w:val="0"/>
              <w:spacing w:before="0" w:after="283"/>
              <w:jc w:val="left"/>
              <w:rPr/>
            </w:pPr>
            <w:r>
              <w:rPr/>
              <w:t> </w:t>
            </w:r>
          </w:p>
        </w:tc>
      </w:tr>
      <w:tr>
        <w:trPr/>
        <w:tc>
          <w:tcPr>
            <w:tcW w:w="460"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100.9</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371"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316" w:type="dxa"/>
            <w:tcBorders/>
            <w:shd w:fill="CFF0FC" w:val="clear"/>
            <w:vAlign w:val="center"/>
          </w:tcPr>
          <w:p>
            <w:pPr>
              <w:pStyle w:val="TableContents"/>
              <w:bidi w:val="0"/>
              <w:spacing w:before="0" w:after="283"/>
              <w:jc w:val="left"/>
              <w:rPr/>
            </w:pPr>
            <w:r>
              <w:rPr/>
              <w:t> </w:t>
            </w:r>
          </w:p>
        </w:tc>
      </w:tr>
      <w:tr>
        <w:trPr/>
        <w:tc>
          <w:tcPr>
            <w:tcW w:w="46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color w:val="000000"/>
              </w:rPr>
            </w:pPr>
            <w:r>
              <w:rPr>
                <w:color w:val="000000"/>
              </w:rPr>
              <w:t>—</w:t>
            </w:r>
          </w:p>
        </w:tc>
        <w:tc>
          <w:tcPr>
            <w:tcW w:w="3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460"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6" w:type="dxa"/>
            <w:gridSpan w:val="2"/>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3,113.3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2,787.9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Operating results for the three and nine months ended September 30, 2023 and 2022 were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56"/>
        <w:gridCol w:w="346"/>
        <w:gridCol w:w="304"/>
        <w:gridCol w:w="824"/>
        <w:gridCol w:w="346"/>
        <w:gridCol w:w="346"/>
        <w:gridCol w:w="351"/>
        <w:gridCol w:w="777"/>
        <w:gridCol w:w="346"/>
        <w:gridCol w:w="346"/>
        <w:gridCol w:w="304"/>
        <w:gridCol w:w="824"/>
        <w:gridCol w:w="346"/>
        <w:gridCol w:w="346"/>
        <w:gridCol w:w="304"/>
        <w:gridCol w:w="824"/>
        <w:gridCol w:w="415"/>
      </w:tblGrid>
      <w:tr>
        <w:trPr/>
        <w:tc>
          <w:tcPr>
            <w:tcW w:w="28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9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29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346" w:type="dxa"/>
            <w:tcBorders/>
            <w:shd w:fill="FFFFFF" w:val="cle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investment income</w:t>
            </w:r>
          </w:p>
        </w:tc>
        <w:tc>
          <w:tcPr>
            <w:tcW w:w="3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114.4</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77.8</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318.5</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209.2</w:t>
            </w:r>
          </w:p>
        </w:tc>
        <w:tc>
          <w:tcPr>
            <w:tcW w:w="415" w:type="dxa"/>
            <w:tcBorders/>
            <w:shd w:fill="CFF0FC" w:val="clear"/>
            <w:vAlign w:val="center"/>
          </w:tcPr>
          <w:p>
            <w:pPr>
              <w:pStyle w:val="TableContents"/>
              <w:bidi w:val="0"/>
              <w:spacing w:before="0" w:after="283"/>
              <w:jc w:val="left"/>
              <w:rPr/>
            </w:pPr>
            <w:r>
              <w:rPr/>
              <w:t> </w:t>
            </w:r>
          </w:p>
        </w:tc>
      </w:tr>
      <w:tr>
        <w:trPr/>
        <w:tc>
          <w:tcPr>
            <w:tcW w:w="2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Net expenses</w:t>
            </w:r>
          </w:p>
        </w:tc>
        <w:tc>
          <w:tcPr>
            <w:tcW w:w="3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Net investment income before income taxes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4" w:type="dxa"/>
            <w:tcBorders/>
            <w:shd w:fill="CFF0FC" w:val="clear"/>
            <w:vAlign w:val="center"/>
          </w:tcPr>
          <w:p>
            <w:pPr>
              <w:pStyle w:val="TableContents"/>
              <w:bidi w:val="0"/>
              <w:spacing w:before="0" w:after="283"/>
              <w:jc w:val="left"/>
              <w:rPr/>
            </w:pPr>
            <w:r>
              <w:rPr/>
              <w:t> </w:t>
            </w:r>
          </w:p>
        </w:tc>
        <w:tc>
          <w:tcPr>
            <w:tcW w:w="8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51"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4" w:type="dxa"/>
            <w:tcBorders/>
            <w:shd w:fill="CFF0FC" w:val="clear"/>
            <w:vAlign w:val="center"/>
          </w:tcPr>
          <w:p>
            <w:pPr>
              <w:pStyle w:val="TableContents"/>
              <w:bidi w:val="0"/>
              <w:spacing w:before="0" w:after="283"/>
              <w:jc w:val="left"/>
              <w:rPr/>
            </w:pPr>
            <w:r>
              <w:rPr/>
              <w:t> </w:t>
            </w:r>
          </w:p>
        </w:tc>
        <w:tc>
          <w:tcPr>
            <w:tcW w:w="8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143.5</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4" w:type="dxa"/>
            <w:tcBorders/>
            <w:shd w:fill="CFF0FC" w:val="clear"/>
            <w:vAlign w:val="center"/>
          </w:tcPr>
          <w:p>
            <w:pPr>
              <w:pStyle w:val="TableContents"/>
              <w:bidi w:val="0"/>
              <w:spacing w:before="0" w:after="283"/>
              <w:jc w:val="left"/>
              <w:rPr/>
            </w:pPr>
            <w:r>
              <w:rPr/>
              <w:t> </w:t>
            </w:r>
          </w:p>
        </w:tc>
        <w:tc>
          <w:tcPr>
            <w:tcW w:w="8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115.2</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285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Less: Income taxes, including excise taxes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Net investment income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4" w:type="dxa"/>
            <w:tcBorders/>
            <w:shd w:fill="CFF0FC" w:val="clear"/>
            <w:vAlign w:val="center"/>
          </w:tcPr>
          <w:p>
            <w:pPr>
              <w:pStyle w:val="TableContents"/>
              <w:bidi w:val="0"/>
              <w:spacing w:before="0" w:after="283"/>
              <w:jc w:val="left"/>
              <w:rPr/>
            </w:pPr>
            <w:r>
              <w:rPr/>
              <w:t> </w:t>
            </w:r>
          </w:p>
        </w:tc>
        <w:tc>
          <w:tcPr>
            <w:tcW w:w="8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49.9</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51"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4" w:type="dxa"/>
            <w:tcBorders/>
            <w:shd w:fill="CFF0FC" w:val="clear"/>
            <w:vAlign w:val="center"/>
          </w:tcPr>
          <w:p>
            <w:pPr>
              <w:pStyle w:val="TableContents"/>
              <w:bidi w:val="0"/>
              <w:spacing w:before="0" w:after="283"/>
              <w:jc w:val="left"/>
              <w:rPr/>
            </w:pPr>
            <w:r>
              <w:rPr/>
              <w:t> </w:t>
            </w:r>
          </w:p>
        </w:tc>
        <w:tc>
          <w:tcPr>
            <w:tcW w:w="8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141.7</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4" w:type="dxa"/>
            <w:tcBorders/>
            <w:shd w:fill="CFF0FC" w:val="clear"/>
            <w:vAlign w:val="center"/>
          </w:tcPr>
          <w:p>
            <w:pPr>
              <w:pStyle w:val="TableContents"/>
              <w:bidi w:val="0"/>
              <w:spacing w:before="0" w:after="283"/>
              <w:jc w:val="left"/>
              <w:rPr/>
            </w:pPr>
            <w:r>
              <w:rPr/>
              <w:t> </w:t>
            </w:r>
          </w:p>
        </w:tc>
        <w:tc>
          <w:tcPr>
            <w:tcW w:w="8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113.7</w:t>
            </w:r>
          </w:p>
        </w:tc>
        <w:tc>
          <w:tcPr>
            <w:tcW w:w="415" w:type="dxa"/>
            <w:tcBorders/>
            <w:shd w:fill="CFF0FC" w:val="clear"/>
            <w:vAlign w:val="center"/>
          </w:tcPr>
          <w:p>
            <w:pPr>
              <w:pStyle w:val="TableContents"/>
              <w:bidi w:val="0"/>
              <w:spacing w:before="0" w:after="283"/>
              <w:jc w:val="left"/>
              <w:rPr/>
            </w:pPr>
            <w:r>
              <w:rPr/>
              <w:t> </w:t>
            </w:r>
          </w:p>
        </w:tc>
      </w:tr>
      <w:tr>
        <w:trPr/>
        <w:tc>
          <w:tcPr>
            <w:tcW w:w="28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Net realized gains (losses) </w:t>
            </w:r>
            <w:r>
              <w:rPr>
                <w:rFonts w:ascii="Times New Roman" w:hAnsi="Times New Roman"/>
                <w:b w:val="false"/>
                <w:color w:val="000000"/>
                <w:sz w:val="13"/>
              </w:rPr>
              <w:t>(1)</w:t>
            </w:r>
          </w:p>
        </w:tc>
        <w:tc>
          <w:tcPr>
            <w:tcW w:w="3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w:t>
            </w:r>
          </w:p>
        </w:tc>
        <w:tc>
          <w:tcPr>
            <w:tcW w:w="415" w:type="dxa"/>
            <w:tcBorders/>
            <w:shd w:fill="FFFFFF" w:val="clear"/>
            <w:vAlign w:val="center"/>
          </w:tcPr>
          <w:p>
            <w:pPr>
              <w:pStyle w:val="TableContents"/>
              <w:bidi w:val="0"/>
              <w:spacing w:before="0" w:after="283"/>
              <w:jc w:val="left"/>
              <w:rPr/>
            </w:pPr>
            <w:r>
              <w:rPr/>
              <w:t> </w:t>
            </w:r>
          </w:p>
        </w:tc>
      </w:tr>
      <w:tr>
        <w:trPr/>
        <w:tc>
          <w:tcPr>
            <w:tcW w:w="285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Net change in unrealized gains (losses) </w:t>
            </w:r>
            <w:r>
              <w:rPr>
                <w:rFonts w:ascii="Times New Roman" w:hAnsi="Times New Roman"/>
                <w:b w:val="false"/>
                <w:color w:val="000000"/>
                <w:sz w:val="13"/>
              </w:rPr>
              <w:t>(1)</w:t>
            </w:r>
          </w:p>
        </w:tc>
        <w:tc>
          <w:tcPr>
            <w:tcW w:w="3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56" w:type="dxa"/>
            <w:tcBorders/>
            <w:shd w:fill="FFFFFF"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increase (decrease) in net assets resulting from operations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61.8</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xml:space="preserve">Includes foreign exchange hedging activity.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Investment Income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044"/>
        <w:gridCol w:w="346"/>
        <w:gridCol w:w="360"/>
        <w:gridCol w:w="976"/>
        <w:gridCol w:w="346"/>
        <w:gridCol w:w="346"/>
        <w:gridCol w:w="416"/>
        <w:gridCol w:w="920"/>
        <w:gridCol w:w="346"/>
        <w:gridCol w:w="346"/>
        <w:gridCol w:w="360"/>
        <w:gridCol w:w="976"/>
        <w:gridCol w:w="346"/>
        <w:gridCol w:w="346"/>
        <w:gridCol w:w="360"/>
        <w:gridCol w:w="976"/>
        <w:gridCol w:w="395"/>
      </w:tblGrid>
      <w:tr>
        <w:trPr/>
        <w:tc>
          <w:tcPr>
            <w:tcW w:w="20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044"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3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33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346" w:type="dxa"/>
            <w:tcBorders/>
            <w:shd w:fill="FFFFFF" w:val="cle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from investments</w:t>
            </w:r>
          </w:p>
        </w:tc>
        <w:tc>
          <w:tcPr>
            <w:tcW w:w="3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109.3</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75.1</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305.1</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201.7</w:t>
            </w:r>
          </w:p>
        </w:tc>
        <w:tc>
          <w:tcPr>
            <w:tcW w:w="395" w:type="dxa"/>
            <w:tcBorders/>
            <w:shd w:fill="CFF0FC" w:val="clear"/>
            <w:vAlign w:val="center"/>
          </w:tcPr>
          <w:p>
            <w:pPr>
              <w:pStyle w:val="TableContents"/>
              <w:bidi w:val="0"/>
              <w:spacing w:before="0" w:after="283"/>
              <w:jc w:val="left"/>
              <w:rPr/>
            </w:pPr>
            <w:r>
              <w:rPr/>
              <w:t> </w:t>
            </w:r>
          </w:p>
        </w:tc>
      </w:tr>
      <w:tr>
        <w:trPr/>
        <w:tc>
          <w:tcPr>
            <w:tcW w:w="20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 income</w:t>
            </w:r>
          </w:p>
        </w:tc>
        <w:tc>
          <w:tcPr>
            <w:tcW w:w="3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395" w:type="dxa"/>
            <w:tcBorders/>
            <w:shd w:fill="FFFFFF" w:val="clear"/>
            <w:vAlign w:val="center"/>
          </w:tcPr>
          <w:p>
            <w:pPr>
              <w:pStyle w:val="TableContents"/>
              <w:bidi w:val="0"/>
              <w:spacing w:before="0" w:after="283"/>
              <w:jc w:val="left"/>
              <w:rPr/>
            </w:pPr>
            <w:r>
              <w:rPr/>
              <w:t> </w:t>
            </w:r>
          </w:p>
        </w:tc>
      </w:tr>
      <w:tr>
        <w:trPr/>
        <w:tc>
          <w:tcPr>
            <w:tcW w:w="20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w:t>
            </w:r>
          </w:p>
        </w:tc>
        <w:tc>
          <w:tcPr>
            <w:tcW w:w="346" w:type="dxa"/>
            <w:tcBorders/>
            <w:shd w:fill="CFF0FC" w:val="cle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44" w:type="dxa"/>
            <w:tcBorders/>
            <w:shd w:fill="FFFFFF"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 income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209.2</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Interest from investments, which includes amortization of upfront fees and prepayment fees, increased from $75.1 million for the three months ended September 30, 2022 to $109.3 million for the three months ended September 30, 2023. The increase in interest from investments was primarily the result of an increase in interest earned due to an increase in reference rates for the period ended September 30, 2023 compared to the same period in 2022 and a larger average portfolio size for the period ended September 30, 2023 compared to the same period in 2022. Accelerated amortization of upfront fees, which were primarily from unscheduled paydowns, increased from $0.1 million for the three months ended September 30, 2022 to $1.6 million for the three months ended September 30, 2023. Prepayment fees increased from $0.3 million for the three months ended September 30, 2022 to $0.9 million for the three months ended September 30, 2023. Accelerated amortization of upfront fees and prepayment fees primarily resulted from a partial paydown on one portfolio investment and earning prepayment fees on one portfolio investment during the three months ended September 30, 2022 and from full paydowns on three portfolio investments, partial paydowns on eight portfolio investments and earning prepayment fees on six portfolio investments during the three months ended September 30, 2023. Other income increased from $2.7 million for the three months ended September 30, 2022 to $4.3 million for the three months ended September 30, 2023, primarily due to increased amendment fees during the three months ended September 30, 2023 compared to the same period in 2022.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Interest from investments, which includes amortization of upfront fees and prepayment fees, increased from $201.7 million for the nine months ended September 30, 2022 to $305.1 million for the nine months ended September 30, 2023. The increase in interest from investments was primarily the result of an increase in interest earned due to an increase in reference rates for the period ended September 30, 2023 compared to the same period in 2022 and a larger average portfolio size for the period ended September 30, 2023 compared to the same period in 2022. Accelerated amortization of upfront fees from unscheduled paydowns decreased from $3.6 million for the nine months ended September 30, 2022 to $2.8 million for the nine months ended September 30, 2023. Prepayment fees decreased from $6.9 million for the nine months ended September 30, 2022 to $2.3 million for the nine months ended September 30, 2023. Accelerated amortization of upfront fees and prepayment fees primarily resulted from full paydowns on seven portfolio investments, partial paydowns on eight portfolio investments, a partial realization of one portfolio investment, a realization of one portfolio investments and earning prepayment fees on nine portfolio investments during the nine months ended September 30, 2022 and full paydowns on seven portfolio investments, partial paydowns on 12 portfolio investments, a partial realization of three portfolio investments and earning prepayment fees on eight portfolio investments during the nine months ended September 30, 2023. Other income increased from $6.1 million for the nine months ended September 30, 2022 to $11.2 million for the nine months ended September 30, 2023, primarily due to increased amendment and miscellaneous fees earned during the nine months ended September 30, 2023 compared to the same period in 2022.</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Operating expenses for the three and nine months ended September 30, 2023 and 2022 were as follows: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3"/>
        <w:gridCol w:w="346"/>
        <w:gridCol w:w="393"/>
        <w:gridCol w:w="870"/>
        <w:gridCol w:w="146"/>
        <w:gridCol w:w="146"/>
        <w:gridCol w:w="393"/>
        <w:gridCol w:w="870"/>
        <w:gridCol w:w="346"/>
        <w:gridCol w:w="346"/>
        <w:gridCol w:w="341"/>
        <w:gridCol w:w="923"/>
        <w:gridCol w:w="146"/>
        <w:gridCol w:w="146"/>
        <w:gridCol w:w="393"/>
        <w:gridCol w:w="870"/>
        <w:gridCol w:w="217"/>
      </w:tblGrid>
      <w:tr>
        <w:trPr/>
        <w:tc>
          <w:tcPr>
            <w:tcW w:w="33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31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8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28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346" w:type="dxa"/>
            <w:tcBorders/>
            <w:shd w:fill="FFFFFF" w:val="cle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w:t>
            </w:r>
          </w:p>
        </w:tc>
        <w:tc>
          <w:tcPr>
            <w:tcW w:w="3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w:t>
            </w:r>
          </w:p>
        </w:tc>
        <w:tc>
          <w:tcPr>
            <w:tcW w:w="217" w:type="dxa"/>
            <w:tcBorders/>
            <w:shd w:fill="CFF0FC" w:val="clear"/>
            <w:vAlign w:val="center"/>
          </w:tcPr>
          <w:p>
            <w:pPr>
              <w:pStyle w:val="TableContents"/>
              <w:bidi w:val="0"/>
              <w:spacing w:before="0" w:after="283"/>
              <w:jc w:val="left"/>
              <w:rPr/>
            </w:pPr>
            <w:r>
              <w:rPr/>
              <w:t> </w:t>
            </w:r>
          </w:p>
        </w:tc>
      </w:tr>
      <w:tr>
        <w:trPr/>
        <w:tc>
          <w:tcPr>
            <w:tcW w:w="33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Management fees (net of waivers)</w:t>
            </w:r>
          </w:p>
        </w:tc>
        <w:tc>
          <w:tcPr>
            <w:tcW w:w="34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w:t>
            </w:r>
          </w:p>
        </w:tc>
        <w:tc>
          <w:tcPr>
            <w:tcW w:w="217" w:type="dxa"/>
            <w:tcBorders/>
            <w:shd w:fill="FFFFFF" w:val="clear"/>
            <w:vAlign w:val="center"/>
          </w:tcPr>
          <w:p>
            <w:pPr>
              <w:pStyle w:val="TableContents"/>
              <w:bidi w:val="0"/>
              <w:spacing w:before="0" w:after="283"/>
              <w:jc w:val="left"/>
              <w:rPr/>
            </w:pPr>
            <w:r>
              <w:rPr/>
              <w:t> </w:t>
            </w:r>
          </w:p>
        </w:tc>
      </w:tr>
      <w:tr>
        <w:trPr/>
        <w:tc>
          <w:tcPr>
            <w:tcW w:w="33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Incentive fees related to pre-incentive fee net investment </w:t>
              <w:br/>
              <w:t>   income (net of waivers)</w:t>
            </w:r>
          </w:p>
        </w:tc>
        <w:tc>
          <w:tcPr>
            <w:tcW w:w="3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w:t>
            </w:r>
          </w:p>
        </w:tc>
        <w:tc>
          <w:tcPr>
            <w:tcW w:w="217" w:type="dxa"/>
            <w:tcBorders/>
            <w:shd w:fill="CFF0FC" w:val="clear"/>
            <w:vAlign w:val="center"/>
          </w:tcPr>
          <w:p>
            <w:pPr>
              <w:pStyle w:val="TableContents"/>
              <w:bidi w:val="0"/>
              <w:spacing w:before="0" w:after="283"/>
              <w:jc w:val="left"/>
              <w:rPr/>
            </w:pPr>
            <w:r>
              <w:rPr/>
              <w:t> </w:t>
            </w:r>
          </w:p>
        </w:tc>
      </w:tr>
      <w:tr>
        <w:trPr/>
        <w:tc>
          <w:tcPr>
            <w:tcW w:w="33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Incentive fees related to realized/unrealized capital gains</w:t>
            </w:r>
          </w:p>
        </w:tc>
        <w:tc>
          <w:tcPr>
            <w:tcW w:w="34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3" w:type="dxa"/>
            <w:gridSpan w:val="2"/>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Professional fees</w:t>
            </w:r>
          </w:p>
        </w:tc>
        <w:tc>
          <w:tcPr>
            <w:tcW w:w="3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217" w:type="dxa"/>
            <w:tcBorders/>
            <w:shd w:fill="CFF0FC" w:val="clear"/>
            <w:vAlign w:val="center"/>
          </w:tcPr>
          <w:p>
            <w:pPr>
              <w:pStyle w:val="TableContents"/>
              <w:bidi w:val="0"/>
              <w:spacing w:before="0" w:after="283"/>
              <w:jc w:val="left"/>
              <w:rPr/>
            </w:pPr>
            <w:r>
              <w:rPr/>
              <w:t> </w:t>
            </w:r>
          </w:p>
        </w:tc>
      </w:tr>
      <w:tr>
        <w:trPr/>
        <w:tc>
          <w:tcPr>
            <w:tcW w:w="33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Directors fees</w:t>
            </w:r>
          </w:p>
        </w:tc>
        <w:tc>
          <w:tcPr>
            <w:tcW w:w="34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217" w:type="dxa"/>
            <w:tcBorders/>
            <w:shd w:fill="FFFFFF" w:val="clear"/>
            <w:vAlign w:val="center"/>
          </w:tcPr>
          <w:p>
            <w:pPr>
              <w:pStyle w:val="TableContents"/>
              <w:bidi w:val="0"/>
              <w:spacing w:before="0" w:after="283"/>
              <w:jc w:val="left"/>
              <w:rPr/>
            </w:pPr>
            <w:r>
              <w:rPr/>
              <w:t> </w:t>
            </w:r>
          </w:p>
        </w:tc>
      </w:tr>
      <w:tr>
        <w:trPr/>
        <w:tc>
          <w:tcPr>
            <w:tcW w:w="33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general and administrative</w:t>
            </w:r>
          </w:p>
        </w:tc>
        <w:tc>
          <w:tcPr>
            <w:tcW w:w="346" w:type="dxa"/>
            <w:tcBorders/>
            <w:shd w:fill="CFF0FC" w:val="cle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3" w:type="dxa"/>
            <w:tcBorders/>
            <w:shd w:fill="FFFFFF"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Expenses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94.0</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val="false"/>
          <w:i/>
          <w:color w:val="000000"/>
          <w:sz w:val="20"/>
        </w:rPr>
        <w:t>Interest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expense, including other debt financing expenses, increased from $18.9 million for the three months ended September 30, 2022 to $35.0 million for the three months ended September 30, 2023. This increase was primarily due to an increase in the average interest rate on our debt outstanding and an increase in the average debt outstanding from $1,490.9 million for the three months ended September 30, 2022 to $1,730.8 million for the three months ended September 30, 2023. The average interest rate on our debt outstanding increased from 4.4% for the three months ended September 30, 2022 to 7.5% for the three months ended September 30, 2023.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Interest expense, including other debt financing expenses, increased from $40.4 million for the nine months ended September 30, 2022 to $96.0 million for the nine months ended September 30, 2023. This increase was primarily due to an increase in the average interest rate on our debt outstanding and an increase in the average debt outstanding from $1,287.1 million for the nine months ended September 30, 2022 to $1,671.8 million for the nine months ended September 30, 2023. The average interest rate on our debt outstanding increased from 3.3% for the nine months ended September 30, 2022 to 7.1% for the nine months ended September 30, 2023.</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Management Fees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Management Fees (gross of waivers) increased from $10.3 million for the three months ended September 30, 2022 to $11.9 million for the three months ended September 30, 2023 due to an increase in average assets for the three months ended September 30, 2023 compared to the same period in 2022. Management Fees (net of waivers) increased from $10.1 million for the three months ended September 30, 2022 to $11.7 million for the three months ended September 30, 2023. The Adviser waived Management Fees of $0.3 million for the three months ended September 30, 2023 pursuant to the Leverage Waiver. The Adviser waived Management Fees of $0.2 million for the three months ended September 30, 2022 pursuant to the Leverage Waiver.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Management Fees (gross of waivers) increased from $29.1 million for the nine months ended September 30, 2022 to $34.1 million for the nine months ended September 30, 2023 due to an increase in average assets for the nine months ended September 30, 2023 compared to the same period in 2022. Management Fees (net of waivers) increased from $28.9 million for the nine months ended September 30, 2022 to $33.2 million for the nine months ended September 30, 2023. The Adviser waived Management Fees of $0.8 million for the nine months ended September 30, 2023 pursuant to the Leverage Waiver. The Adviser waived Management Fees of $0.2 million for the nine months ended September 30, 2022 pursuant to the Leverage Waiver.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waived Management Fees are not subject to recoupment by the Adviser.</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Incentive Fees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Incentive Fees related to pre-Incentive Fee net investment income increased from $7.9 million for the three months ended September 30, 2022 to $11.2 million for the three months ended September 30, 2023. This increase resulted from an increase in reference rates for the three months ended September 30, 2023 and a larger average portfolio size for the period ended September 30, 2023 compared to the same period in 2022. The Adviser did not waive any Incentive Fees related to pre-Incentive Fee net investment income for the three months ended September 30, 2023 or 2022. For the three months ended September 30, 2022, less than $(0.1) million of Incentive Fees were accrued related to the reversal of Capital Gains Fees. For the three months ended September 30, 2023, $2.6 million of Incentive Fees were accrued related to Capital Gains Fees. As of September 30, 2023, these accrued Incentive Fees are not contractually payable to the Adviser.</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Incentive Fees related to pre-Incentive Fee net investment income increased from $22.5 million for the nine months ended September 30, 2022 to $31.1 million for the nine months ended September 30, 2023. This increase resulted from an increase in reference rates for the nine months ended September 30, 2023 and a larger average portfolio size for the period ended September 30, 2023 compared to the same period in 2022. The Adviser did not waive any Incentive Fees related to pre-Incentive Fee net investment income for the nine months ended September 30, 2023 or 2022. For the nine months ended September 30, 2022, $(7.7) million of Incentive Fees were accrued related to the reversal of Capital Gains Fees. For the nine months ended September 30, 2023, $5.1 million of Incentive Fees were accrued related to Capital Gains Fees. As of September 30, 2023, these accrued Incentive Fees are not contractually payable to the Adviser.</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Professional Fees and Other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Professional fees decreased from $2.0 million for the three months ended September 30, 2022 to $1.9 million for the three months ended September 30, 2023. Other general and administrative expenses increased from $1.2 million for the three months ended September 30, 2022 to $1.4 million for the three months ended September 30, 2023.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Professional fees increased from $5.3 million for the nine months ended September 30, 2022 to $5.4 million for the nine months ended September 30, 2023. Other general and administrative expenses decreased from $4.0 million for the nine months ended September 30, 2022 to $3.6 million for the nine months ended September 30, 2023.</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 Including Excise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we recorded a net expense of $0.5 million and $1.8 million, respectively, for U.S. federal excise tax and other taxes. For the three and nine months ended September 30, 2022, we recorded a net expense of $0.4 million and $1.5 million, respectively, for U.S. federal excise tax and other taxes.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Realized and Unrealized Gains and Losses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our net realized and unrealized gains (losses) for the three and nine months ended September 30, 2023 and 2022:</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47"/>
        <w:gridCol w:w="146"/>
        <w:gridCol w:w="375"/>
        <w:gridCol w:w="940"/>
        <w:gridCol w:w="166"/>
        <w:gridCol w:w="146"/>
        <w:gridCol w:w="375"/>
        <w:gridCol w:w="940"/>
        <w:gridCol w:w="166"/>
        <w:gridCol w:w="146"/>
        <w:gridCol w:w="375"/>
        <w:gridCol w:w="940"/>
        <w:gridCol w:w="166"/>
        <w:gridCol w:w="146"/>
        <w:gridCol w:w="375"/>
        <w:gridCol w:w="940"/>
        <w:gridCol w:w="216"/>
      </w:tblGrid>
      <w:tr>
        <w:trPr/>
        <w:tc>
          <w:tcPr>
            <w:tcW w:w="3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6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146" w:type="dxa"/>
            <w:tcBorders/>
            <w:shd w:fill="FFFFFF" w:val="cle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realized gains (losses) on investments</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w:t>
            </w:r>
          </w:p>
        </w:tc>
        <w:tc>
          <w:tcPr>
            <w:tcW w:w="216" w:type="dxa"/>
            <w:tcBorders/>
            <w:shd w:fill="CFF0FC" w:val="clear"/>
            <w:vAlign w:val="center"/>
          </w:tcPr>
          <w:p>
            <w:pPr>
              <w:pStyle w:val="TableContents"/>
              <w:bidi w:val="0"/>
              <w:spacing w:before="0" w:after="283"/>
              <w:jc w:val="left"/>
              <w:rPr/>
            </w:pPr>
            <w:r>
              <w:rPr/>
              <w:t> </w:t>
            </w:r>
          </w:p>
        </w:tc>
      </w:tr>
      <w:tr>
        <w:trPr/>
        <w:tc>
          <w:tcPr>
            <w:tcW w:w="36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realized gains (losses) on foreign currency transactions</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realized gains (losses) on foreign currency investments</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315" w:type="dxa"/>
            <w:gridSpan w:val="2"/>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216" w:type="dxa"/>
            <w:tcBorders/>
            <w:shd w:fill="CFF0FC" w:val="clear"/>
            <w:vAlign w:val="center"/>
          </w:tcPr>
          <w:p>
            <w:pPr>
              <w:pStyle w:val="TableContents"/>
              <w:bidi w:val="0"/>
              <w:spacing w:before="0" w:after="283"/>
              <w:jc w:val="left"/>
              <w:rPr/>
            </w:pPr>
            <w:r>
              <w:rPr/>
              <w:t> </w:t>
            </w:r>
          </w:p>
        </w:tc>
      </w:tr>
      <w:tr>
        <w:trPr/>
        <w:tc>
          <w:tcPr>
            <w:tcW w:w="36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realized gains (losses) on foreign currency borrowings</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realized gains (losses) on interest rate swaps</w:t>
            </w:r>
          </w:p>
        </w:tc>
        <w:tc>
          <w:tcPr>
            <w:tcW w:w="146" w:type="dxa"/>
            <w:tcBorders/>
            <w:shd w:fill="CFF0FC" w:val="clear"/>
            <w:vAlign w:val="center"/>
          </w:tcPr>
          <w:p>
            <w:pPr>
              <w:pStyle w:val="TableContents"/>
              <w:bidi w:val="0"/>
              <w:spacing w:before="0" w:after="283"/>
              <w:jc w:val="left"/>
              <w:rPr/>
            </w:pPr>
            <w:r>
              <w:rPr/>
              <w:t> </w:t>
            </w:r>
          </w:p>
        </w:tc>
        <w:tc>
          <w:tcPr>
            <w:tcW w:w="13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Realized Gains (Losses)</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1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1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1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15"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r>
      <w:tr>
        <w:trPr/>
        <w:tc>
          <w:tcPr>
            <w:tcW w:w="36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unrealized gains on investments</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w:t>
            </w:r>
          </w:p>
        </w:tc>
        <w:tc>
          <w:tcPr>
            <w:tcW w:w="216" w:type="dxa"/>
            <w:tcBorders/>
            <w:shd w:fill="FFFFFF" w:val="clear"/>
            <w:vAlign w:val="center"/>
          </w:tcPr>
          <w:p>
            <w:pPr>
              <w:pStyle w:val="TableContents"/>
              <w:bidi w:val="0"/>
              <w:spacing w:before="0" w:after="283"/>
              <w:jc w:val="left"/>
              <w:rPr/>
            </w:pPr>
            <w:r>
              <w:rPr/>
              <w:t> </w:t>
            </w:r>
          </w:p>
        </w:tc>
      </w:tr>
      <w:tr>
        <w:trPr/>
        <w:tc>
          <w:tcPr>
            <w:tcW w:w="36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unrealized (losses) on investments</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(99.3</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4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w:t>
              <w:br/>
              <w:t>   Investments</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(76.3</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1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1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1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15"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r>
      <w:tr>
        <w:trPr/>
        <w:tc>
          <w:tcPr>
            <w:tcW w:w="36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Unrealized gains (losses) on foreign currency borrowings</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w:t>
            </w:r>
          </w:p>
        </w:tc>
        <w:tc>
          <w:tcPr>
            <w:tcW w:w="216" w:type="dxa"/>
            <w:tcBorders/>
            <w:shd w:fill="FFFFFF" w:val="clear"/>
            <w:vAlign w:val="center"/>
          </w:tcPr>
          <w:p>
            <w:pPr>
              <w:pStyle w:val="TableContents"/>
              <w:bidi w:val="0"/>
              <w:spacing w:before="0" w:after="283"/>
              <w:jc w:val="left"/>
              <w:rPr/>
            </w:pPr>
            <w:r>
              <w:rPr/>
              <w:t> </w:t>
            </w:r>
          </w:p>
        </w:tc>
      </w:tr>
      <w:tr>
        <w:trPr/>
        <w:tc>
          <w:tcPr>
            <w:tcW w:w="36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Unrealized gains (losses) on foreign currency cash</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Unrealized gains (losses) on interest rate swaps</w:t>
            </w:r>
          </w:p>
        </w:tc>
        <w:tc>
          <w:tcPr>
            <w:tcW w:w="146" w:type="dxa"/>
            <w:tcBorders/>
            <w:shd w:fill="FFFFFF" w:val="cle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4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 Foreign</w:t>
              <w:br/>
              <w:t>   Currency Transactions and Interest Rate Swaps</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w:t>
            </w:r>
          </w:p>
        </w:tc>
        <w:tc>
          <w:tcPr>
            <w:tcW w:w="216" w:type="dxa"/>
            <w:tcBorders/>
            <w:shd w:fill="CFF0FC" w:val="clear"/>
            <w:vAlign w:val="center"/>
          </w:tcPr>
          <w:p>
            <w:pPr>
              <w:pStyle w:val="TableContents"/>
              <w:bidi w:val="0"/>
              <w:spacing w:before="0" w:after="283"/>
              <w:jc w:val="left"/>
              <w:rPr/>
            </w:pPr>
            <w:r>
              <w:rPr/>
              <w:t> </w:t>
            </w:r>
          </w:p>
        </w:tc>
      </w:tr>
      <w:tr>
        <w:trPr/>
        <w:tc>
          <w:tcPr>
            <w:tcW w:w="36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4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we had net realized gains on investments of $5.3 million and $11.8 million, respectively, primarily driven by two investment and three investments, respectively. For the three and nine months ended September 30, 2023, we had net realized losses of $0.1 million and net realized gains of less than $0.1 million, respectively, on foreign currency transactions, primarily as a result of translating foreign currency related to our non-USD denominated investments. For the three and nine months ended September 30, 2023, we had net realized losses of $0.2 million and $0.2 million, respectively, on foreign currency investments. For the three and nine months ended September 30, 2023, we had net realized gains of $0.1 million and $0.2 million, respectively, on foreign currency borrowings, primarily as a result of payments on our revolving credit facility.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months ended September 30, 2023, we had $24.6 million in unrealized gains on 97 portfolio company investments, which was offset by $20.3 million in unrealized losses on 40 portfolio company investments. Unrealized gains resulted from an increase in fair value, primarily due to tightening credit spreads and positive portfolio company specific developments. Unrealized losses primarily resulted from the reversal of prior period unrealized gains due to realizations and negative portfolio company specific developments. For the nine months ended September 30, 2023, we had $56.3 million in unrealized gains on 117 portfolio company investments, which was offset by $41.6 million in unrealized losses on 25 portfolio company investments. Unrealized gains resulted from an increase in fair value, primarily due to tightening credit spreads and positive portfolio company specific developments. Unrealized losses primarily resulted from the reversal of prior period unrealized gains due to realizations and negative portfolio company specific developments.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we had unrealized gains on foreign currency borrowings of $5.6 million and $2.8 million, respectively, on foreign currency borrowings, as a result of fluctuations in the AUD, CAD, EUR and GBP exchange rates. For the three and nine months ended September 30, 2023, we had unrealized losses on foreign currency cash of $0.1 million and $0.3 million, respectively. For the three and nine months ended September 30, 2023, we had no unrealized gains (losses) and $0.2 million of unrealized gains, respectively, on interest rate swaps not designated in a hedge accounting relationship, due to fluctuations in interest rates and the periodic settlement of interest rate swaps.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2022, we had net realized gains on investments of $0.3 million and $14.4 million, respectively, primarily driven by one investment and one investment, respectively. For the three and nine months ended September 30, 2022, we had net realized losses of $0.2 million on foreign currency transactions, primarily as a result of translating foreign currency related to our non-USD denominated investments. For the nine months ended September 30, 2022, we had net realized gains of $0.1 million, on foreign currency investments. For the three and nine months ended September 30, 2022, we had net realized losses of less than $0.1 million and $0.1 million, respectively, on foreign currency borrowings. The net realized gains and losses on foreign currency borrowings were a result of payments on our revolving credit facility. For the three and nine months ended September 30, 2022, we had net realized gains on interest rate swaps of $2.3 million related to the reversal of unrealized gains for upfront fees on the interest rate swaps associated with the 2022 Convertible Notes.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months ended September 30, 2022, we had $12.6 million in unrealized gains on 30 portfolio company investments, which was offset by $24.3 million in unrealized losses on 88 portfolio company investments. Unrealized gains resulted from an increase in fair value, primarily due to positive portfolio company specific developments. Unrealized losses primarily resulted from widening credit spreads, and also lesser impacts from the reversal of prior period unrealized gains due to realizations and negative portfolio company specific developments. For the nine months ended September 30, 2022, we had $23.0 million in unrealized gains on 17 portfolio company investments, which was offset by $99.3 million in unrealized losses on 110 portfolio company investments. Unrealized gains resulted from an increase in fair value, primarily due to positive portfolio company specific developments. Unrealized losses primarily resulted from widening credit spreads, and also lesser impacts from the reversal of prior period unrealized gains due to realizations and negative portfolio company specific developments.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2022, we had unrealized gains on foreign currency borrowings of $9.2 million and $15.1 million, respectively, on foreign currency borrowings, as a result of fluctuations in the AUD, CAD, EUR and GBP exchange rates. For the three and nine months ended September 30, 2022, we had unrealized losses on foreign currency cash of less than $0.1 million. For the three and nine months ended September 30, 2022, we had unrealized losses on interest rate swaps of $2.6 million and $7.2 million, respectively, due to fluctuations in interest rates and the periodic settlement of interest rate swaps and the reversal of unrealized gains less for upfront fees received on the interest rate swaps associated with the 2022 Convertible Notes.</w:t>
      </w:r>
    </w:p>
    <w:p>
      <w:pPr>
        <w:pStyle w:val="TextBody"/>
        <w:bidi w:val="0"/>
        <w:spacing w:before="360" w:after="283"/>
        <w:jc w:val="left"/>
        <w:rPr>
          <w:rFonts w:ascii="Times New Roman" w:hAnsi="Times New Roman"/>
          <w:sz w:val="20"/>
        </w:rPr>
      </w:pPr>
      <w:r>
        <w:rPr>
          <w:rFonts w:ascii="Times New Roman" w:hAnsi="Times New Roman"/>
          <w:b/>
          <w:i/>
          <w:color w:val="000000"/>
          <w:sz w:val="20"/>
        </w:rPr>
        <w:t>Realized Gross Internal Rate of Return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Since we began investing in 2011 through September 30, 2023, weighted by capital invested, our exited investments have generated an average realized gross internal rate of return to us of 17.5% (based on total capital invested of $6.9 billion and total proceeds from these exited investments of $8.7 billion). Ninety percent of these exited investments resulted in a realized gross internal rate of return to us of 10% or greater.</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Average gross IRR is the average of the gross IRR for each of our exited investments (each calculated as described above), weighted by the total capital invested for each of those investments.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Average gross IRR on our exited investments reflects only invested and realized cash amounts as described above, and does not reflect any unrealized gains or losses in our portfolio.</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and Foreign Currency Hedging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current approach to hedging the foreign currency exposure in our non-U.S. dollar denominated investments is primarily to borrow the par amount in local currency under our Revolving Credit Facility to fund these investments. For the nine months ended September 30, 2023 and 2022, we had $2.9 million and $15.1 million of unrealized gains, respectively, on the translation of our non-U.S. dollar denominated debt into U.S. dollars; such amounts approximate the corresponding unrealized losses on the translation of our non-U.S. dollar denominated investments into U.S. dollars for the nine months ended September 30, 2023 and 2022. See Note 2 for additional disclosure regarding our accounting for foreign currency. See Note 7 for additional disclosure regarding the amounts of outstanding debt denominated in each foreign currency at September 30, 2023. See our consolidated schedule of investments for additional disclosure regarding the foreign currency amounts (in both par and fair value) of our non-U.S. dollar denominated investments.</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Condition, 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liquidity and capital resources are derived primarily from proceeds from equity issuances, advances from our credit facilities, and cash flows from operations. The primary uses of our cash and cash equivalents are: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investments in portfolio companies and other investments and to comply with certain portfolio diversification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operations (including paying our Adviser);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debt service, repayment, and other financing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cash dividends to the holders of our shares.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intend to continue to generate cash primarily from cash flows from operations, future borrowings and future offerings of securities. We may from time to time enter into additional debt facilities, increase the size of existing facilities or issue debt securities.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150%. For more information, see “Key Components of Our Results of Operations — Leverage” above. As of September 30, 2023 and December 31, 2022, our asset coverage ratio was 187.3% and 188.6%,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Cash and cash equivalents as of September 30, 2023, taken together with cash available under our credit facilities, is expected to be sufficient for our investing activities and to conduct our operations in the near term. As of September 30, 2023, we had approximately $1.0 billion of availability on our Revolving Credit Facility, subject to asset coverage limitations.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we had $29.9 million in cash and cash equivalents, including $26.9 million of restricted cash, an increase of $4.2 million from December 31, 2022. During the nine months ended September 30, 2023, cash used in operating activities was $149.9 million, primarily attributable to funding portfolio investments of $634.9 million and other operating activities of $46.2 million, which was offset by repayments and proceeds from investments of $360.3 million and an increase in net assets resulting from operations of $170.9 million. Cash provided by financing activities was $154.2 million during the period due to borrowings of $1,227.8 million and proceeds from the issuance of common stock $89.2 million, which was offset by paydowns on our debt of $1,037.7 million, dividends paid to stockholders of $115.8 million and deferred financing costs of $9.4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Equity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February 23, 2021, we issued a total of 4,000,000 shares of common stock at $21.30 per share. Net of underwriting fees and offering costs, we received total cash proceeds of $84.9 million. Subsequent to the offering we issued an additional 49,689 shares on March 24, 2021 pursuant to the overallotment option granted to underwriters and received, net of underwriting fees, total cash proceeds of $1.0 million.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three months ended December 2021, we issued a total of 2,324,820 shares of common stock, or $42.3 million, as settlement for the conversion of $42.8 million principal amount of the 2022 Convertible Notes.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August 1, 2022, we issued a total of 4,360,125 share of common stock, or $77.6 million, as settlement for the conversion of $79.2 million principal amount of the 2022 Convertible Notes.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May 15, 2023, we issued a total of 4,500,000 shares of common stock at $17.60 per share. Net of underwriting fees and offering costs, we received total cash proceeds of $77.6 million. Subsequent to the offering we issued an additional 675,000 shares on June 12, 2023 pursuant to the overallotment option granted to underwriters and received, net of underwriting fees, total cash proceeds of $11.7 million.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and 2022, we also issued 982,211 and 1,219,840 shares of our common stock, respectively, to investors who have not opted out of our dividend reinvestment plan for proceeds of $17.8 million and $23.7 million, respectively.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May 8, 2023. The amount and timing of stock repurchases under the program may vary depending on market conditions, and no assurance can be given that any particular amount of common stock will be repurchased.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three and nine months ended September 30, 2022, we repurchased 180,542 shares at a weighted average share price of $16.62 inclusive of commissions, for a total cost of $3.0 million. No shares were repurchased during the nine months ended September 30, 2023.</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Debt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Revolving Credit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23, 2012, we entered into a senior secured revolving credit agreement with Truist Bank (as a successor by merger to SunTrust Bank), as administrative agent, and J.P. Morgan Chase Bank, N.A., as syndication agent, and certain other lenders (as amended and restated, the “Revolving Credit Facility”).</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March 31, 2023, aggregate commitments under the facility were $1.585 billion. Pursuant to an amendment to the Revolving Credit Facility dated as of June 12, 2023 (the “Fourteenth Amendment”), the aggregate commitments under the facility were increased to $1.710 billion. The facility includes an uncommitted accordion feature that allows the Company, under certain circumstances, to increase the size of the facility to up to $2.0 billion.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the Fourteenth Amendment, with respect to $1.465 billion in commitments, the revolving period, during which period the Company, subject to certain conditions, may make borrowings under the facility, was extended to June 11, 2027 and the stated maturity date was extended to June 12, 2028. For the remaining $245.0 million of commitments, (A) with respect to $25.0 million of commitments, the revolving period ends January 31, 2024 and the stated maturity is January 31, 2025, (B) with respect to $50.0 million of commitments, the revolving period ends on February 4, 2025 and the stated maturity is February 4, 2026 and (C) with respect to $170.0 million of commitments, the revolving period ends April 24, 2026 and the stated maturity is April 23, 2027.</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borrow amounts in U.S. dollars or certain other permitted currencies. As of September 30, 2023, we had outstanding debt denominated in Australian Dollars (AUD) of 66.9 million, British pounds (GBP) of 32.5 million, Canadian Dollars (CAD) of 100.2 million, and Euro (EUR) of 37.7 million on our Revolving Credit Facility, included in the outstanding principal amount in the table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Revolving Credit Facility also provides for the issuance of letters of credit up to an aggregate amount of $75.0 million. As of September 30, 2023 and December 31, 2022 the Company had $0.2 million and less than $0.1 million letters of credit issued through the Revolving Credit Facility. The amount available for borrowing under the Revolving Credit Facility is reduced by any letters of credit issued through the Revolving Credit Facility.</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Revolving Credit Facility includes customary events of default, as well as customary covenants, including restrictions on certain distributions and financial covenants. In accordance with the terms of the Fourteenth Amendment, the financial covenants require: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 asset coverage ratio of no less than 1.5 to 1 on the last day of any fiscal quarter;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stockholders’ equity of at least $500 million plus 25% of the net proceeds of the sale of equity interests after January 31, 2020;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Revolving Credit Facility also contains certain additional concentration limits in connection with the calculation of the borrowing base, based on the Obligor Asset Coverage Ratio.</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2022 Convertible Notes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2017, we issued in a private offering $115.0</w:t>
      </w:r>
      <w:r>
        <w:rPr>
          <w:rFonts w:ascii="Times New Roman" w:hAnsi="Times New Roman"/>
          <w:color w:val="000000"/>
          <w:sz w:val="20"/>
        </w:rPr>
        <w:t xml:space="preserve"> </w:t>
      </w:r>
      <w:r>
        <w:rPr>
          <w:rFonts w:ascii="Times New Roman" w:hAnsi="Times New Roman"/>
          <w:b w:val="false"/>
          <w:color w:val="000000"/>
          <w:sz w:val="20"/>
        </w:rPr>
        <w:t>million aggregate principal amount convertible notes due August 2022 (the “2022 Convertible Notes</w:t>
      </w:r>
      <w:r>
        <w:rPr>
          <w:rFonts w:ascii="Times New Roman" w:hAnsi="Times New Roman"/>
          <w:color w:val="000000"/>
          <w:sz w:val="20"/>
        </w:rPr>
        <w:t>”</w:t>
      </w:r>
      <w:r>
        <w:rPr>
          <w:rFonts w:ascii="Times New Roman" w:hAnsi="Times New Roman"/>
          <w:b w:val="false"/>
          <w:color w:val="000000"/>
          <w:sz w:val="20"/>
        </w:rPr>
        <w:t>). The 2022 Convertible Notes were issued in a private placement only to qualified institutional buyers pursuant to Rule 144A under the Securities Act. The 2022 Convertible Notes were unsecured, and bore interest at a rate of 4.50% per year, payable semiannually.</w:t>
      </w:r>
      <w:r>
        <w:rPr>
          <w:rFonts w:ascii="Times New Roman" w:hAnsi="Times New Roman"/>
          <w:color w:val="000000"/>
          <w:sz w:val="20"/>
        </w:rPr>
        <w:t xml:space="preserve"> </w:t>
      </w:r>
      <w:r>
        <w:rPr>
          <w:rFonts w:ascii="Times New Roman" w:hAnsi="Times New Roman"/>
          <w:b w:val="false"/>
          <w:color w:val="000000"/>
          <w:sz w:val="20"/>
        </w:rPr>
        <w:t>In June 2018, we issued an additional $57.5</w:t>
      </w:r>
      <w:r>
        <w:rPr>
          <w:rFonts w:ascii="Times New Roman" w:hAnsi="Times New Roman"/>
          <w:color w:val="000000"/>
          <w:sz w:val="20"/>
        </w:rPr>
        <w:t xml:space="preserve"> </w:t>
      </w:r>
      <w:r>
        <w:rPr>
          <w:rFonts w:ascii="Times New Roman" w:hAnsi="Times New Roman"/>
          <w:b w:val="false"/>
          <w:color w:val="000000"/>
          <w:sz w:val="20"/>
        </w:rPr>
        <w:t>million aggregate principal amount of 2022 Convertible Notes. The additional 2022 Convertible Notes were issued with identical terms, and were fungible with and were part of a single series with the previously outstanding $115.0</w:t>
      </w:r>
      <w:r>
        <w:rPr>
          <w:rFonts w:ascii="Times New Roman" w:hAnsi="Times New Roman"/>
          <w:color w:val="000000"/>
          <w:sz w:val="20"/>
        </w:rPr>
        <w:t xml:space="preserve"> </w:t>
      </w:r>
      <w:r>
        <w:rPr>
          <w:rFonts w:ascii="Times New Roman" w:hAnsi="Times New Roman"/>
          <w:b w:val="false"/>
          <w:color w:val="000000"/>
          <w:sz w:val="20"/>
        </w:rPr>
        <w:t>million aggregate principal amount of our 2022 Convertible Notes issued in February 2017. In connection with the offering of 2022 Convertible Notes in February 2017 and the reopening in June 2018, we entered into interest rate swaps to align the interest rates of our liabilities with our investment portfolio, which consists of predominately floating rate loans. The notional amount of the interest rate swaps matched the amount of principal outstanding, and matured on August 1, 2022, matching the maturity date of the 2022 Convertible Notes.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August 1, 2022, the 2022 Convertible Notes matured in accordance with the governing indenture. Holders of $79.2 million aggregate principal amount of notes provided valid notice of conversion and were subject to the combination settlement method previously elected by us, with a specified cash amount (as defined in the indenture governing the 2022 Convertible Notes) of $20.00 per $1,000 principal amount of the 2022 Convertible Notes and any additional amounts in stock based on the applicable conversion rate as described in the indenture. In accordance with the settlement method, we issued a total of 4,360,125 shares of common stock, or $77.6 million at the adjusted conversion price per share of $17.92. The remaining balance of the notes that were not converted into newly issued shares of common stock were settled with existing cash resources, including through utilization of our Revolving Credit Facility. The interest rate swaps associated with the principal amount of the notes outstanding were terminated on the date of maturity of the 2022 Convertible Notes.</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2023 Notes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January 2018, we issued $150.0</w:t>
      </w:r>
      <w:r>
        <w:rPr>
          <w:rFonts w:ascii="Times New Roman" w:hAnsi="Times New Roman"/>
          <w:color w:val="000000"/>
          <w:sz w:val="20"/>
        </w:rPr>
        <w:t xml:space="preserve"> </w:t>
      </w:r>
      <w:r>
        <w:rPr>
          <w:rFonts w:ascii="Times New Roman" w:hAnsi="Times New Roman"/>
          <w:b w:val="false"/>
          <w:color w:val="000000"/>
          <w:sz w:val="20"/>
        </w:rPr>
        <w:t>million aggregate principal amount of unsecured notes that matured on January 22, 2023 (the “2023 Notes</w:t>
      </w:r>
      <w:r>
        <w:rPr>
          <w:rFonts w:ascii="Times New Roman" w:hAnsi="Times New Roman"/>
          <w:color w:val="000000"/>
          <w:sz w:val="20"/>
        </w:rPr>
        <w:t>”</w:t>
      </w:r>
      <w:r>
        <w:rPr>
          <w:rFonts w:ascii="Times New Roman" w:hAnsi="Times New Roman"/>
          <w:b w:val="false"/>
          <w:color w:val="000000"/>
          <w:sz w:val="20"/>
        </w:rPr>
        <w:t>). The principal amount of the 2023 Notes was payable at maturity. The 2023 Notes bore interest at a rate of 4.50% per year, payable semi-annually commencing on July 22, 2018, and were redeemable in whole or in part at our option at any time at par plus a “make whole” premium.</w:t>
      </w:r>
      <w:r>
        <w:rPr>
          <w:rFonts w:ascii="Times New Roman" w:hAnsi="Times New Roman"/>
          <w:color w:val="000000"/>
          <w:sz w:val="20"/>
        </w:rPr>
        <w:t xml:space="preserve"> </w:t>
      </w:r>
      <w:r>
        <w:rPr>
          <w:rFonts w:ascii="Times New Roman" w:hAnsi="Times New Roman"/>
          <w:b w:val="false"/>
          <w:color w:val="000000"/>
          <w:sz w:val="20"/>
        </w:rPr>
        <w:t>Total proceeds from the issuance of the 2023 Notes, net of underwriting discounts and offering costs, were $146.9 million. We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2024 Notes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November 2019, we issued $300.0</w:t>
      </w:r>
      <w:r>
        <w:rPr>
          <w:rFonts w:ascii="Times New Roman" w:hAnsi="Times New Roman"/>
          <w:color w:val="000000"/>
          <w:sz w:val="20"/>
        </w:rPr>
        <w:t xml:space="preserve"> </w:t>
      </w:r>
      <w:r>
        <w:rPr>
          <w:rFonts w:ascii="Times New Roman" w:hAnsi="Times New Roman"/>
          <w:b w:val="false"/>
          <w:color w:val="000000"/>
          <w:sz w:val="20"/>
        </w:rPr>
        <w:t>million aggregate principal amount of unsecured notes that mature on November 1, 2024 (the “2024 Notes</w:t>
      </w:r>
      <w:r>
        <w:rPr>
          <w:rFonts w:ascii="Times New Roman" w:hAnsi="Times New Roman"/>
          <w:color w:val="000000"/>
          <w:sz w:val="20"/>
        </w:rPr>
        <w:t>”</w:t>
      </w:r>
      <w:r>
        <w:rPr>
          <w:rFonts w:ascii="Times New Roman" w:hAnsi="Times New Roman"/>
          <w:b w:val="false"/>
          <w:color w:val="000000"/>
          <w:sz w:val="20"/>
        </w:rPr>
        <w:t>). The principal amount of the 2024 Notes is payable at maturity. The 2024 Notes bear interest at a rate of 3.875% per year, payable semi-annually commencing on May 1, 2020, and may be redeemed in whole or in part at our option at any time at par plus a “make whole” premium.</w:t>
      </w:r>
      <w:r>
        <w:rPr>
          <w:rFonts w:ascii="Times New Roman" w:hAnsi="Times New Roman"/>
          <w:color w:val="000000"/>
          <w:sz w:val="20"/>
        </w:rPr>
        <w:t xml:space="preserve"> </w:t>
      </w:r>
      <w:r>
        <w:rPr>
          <w:rFonts w:ascii="Times New Roman" w:hAnsi="Times New Roman"/>
          <w:b w:val="false"/>
          <w:color w:val="000000"/>
          <w:sz w:val="20"/>
        </w:rPr>
        <w:t>Total proceeds from the issuance of the 2024 Notes, net of underwriting discounts, offering costs and original issue discount were $292.9 million. We used the net proceeds of the 2024 Notes to repay outstanding indebtedness under the Revolving Credit Facility.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February 5, 2020, we issued an additional $50.0</w:t>
      </w:r>
      <w:r>
        <w:rPr>
          <w:rFonts w:ascii="Times New Roman" w:hAnsi="Times New Roman"/>
          <w:color w:val="000000"/>
          <w:sz w:val="20"/>
        </w:rPr>
        <w:t xml:space="preserve"> </w:t>
      </w:r>
      <w:r>
        <w:rPr>
          <w:rFonts w:ascii="Times New Roman" w:hAnsi="Times New Roman"/>
          <w:b w:val="false"/>
          <w:color w:val="000000"/>
          <w:sz w:val="20"/>
        </w:rPr>
        <w:t>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2024 Notes offering and reopening of the 2024 Notes, we entered into interest rate swaps to align the interest rates of our liabilities with our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our effective interest rate on the 2024 Notes is SOFR plus 2.54% (on a weighted average basis).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year ended December 31,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we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our effective interest rate on the outstanding 2024 Notes is SOFR plus 2.54% (on a weighted average basis).</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2026 Notes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February 3, 2021, we issued $300.0</w:t>
      </w:r>
      <w:r>
        <w:rPr>
          <w:rFonts w:ascii="Times New Roman" w:hAnsi="Times New Roman"/>
          <w:color w:val="000000"/>
          <w:sz w:val="20"/>
        </w:rPr>
        <w:t xml:space="preserve"> </w:t>
      </w:r>
      <w:r>
        <w:rPr>
          <w:rFonts w:ascii="Times New Roman" w:hAnsi="Times New Roman"/>
          <w:b w:val="false"/>
          <w:color w:val="000000"/>
          <w:sz w:val="20"/>
        </w:rPr>
        <w:t>million aggregate principal amount of unsecured notes that mature on August 1, 2026 (the “2026 Notes</w:t>
      </w:r>
      <w:r>
        <w:rPr>
          <w:rFonts w:ascii="Times New Roman" w:hAnsi="Times New Roman"/>
          <w:color w:val="000000"/>
          <w:sz w:val="20"/>
        </w:rPr>
        <w:t>”</w:t>
      </w:r>
      <w:r>
        <w:rPr>
          <w:rFonts w:ascii="Times New Roman" w:hAnsi="Times New Roman"/>
          <w:b w:val="false"/>
          <w:color w:val="000000"/>
          <w:sz w:val="20"/>
        </w:rPr>
        <w:t>). The principal amount of the 2026 Notes is payable at maturity. The 2026 Notes bear interest at a rate of 2.50% per year, payable semi-annually commencing on August 1, 2021, and may be redeemed in whole or in part at our option at any time at par plus a “make whole” premium.</w:t>
      </w:r>
      <w:r>
        <w:rPr>
          <w:rFonts w:ascii="Times New Roman" w:hAnsi="Times New Roman"/>
          <w:color w:val="000000"/>
          <w:sz w:val="20"/>
        </w:rPr>
        <w:t xml:space="preserve"> </w:t>
      </w:r>
      <w:r>
        <w:rPr>
          <w:rFonts w:ascii="Times New Roman" w:hAnsi="Times New Roman"/>
          <w:b w:val="false"/>
          <w:color w:val="000000"/>
          <w:sz w:val="20"/>
        </w:rPr>
        <w:t>Total proceeds from the issuance of the 2026 Notes, net of underwriting discounts, offering costs and original issue discount, were $293.7 million. We used the net proceeds of the 2026 Notes to repay outstanding indebtedness under the Revolving Credit Facility.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issuance of the 2026 Notes, we entered into an interest rate swap to align the interest rates of our liabilities with our investment portfolio, which consists of predominately floating rate loans. The notional amount of the interest rate swap is $300.0 million, which matures on August 1, 2026, matching the maturity date of the 2026 Notes. As a result of the swap, our effective interest rate on the 2026 Notes SOFR plus 2.17%.</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2028 Notes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14, 2023, we issued $300.0</w:t>
      </w:r>
      <w:r>
        <w:rPr>
          <w:rFonts w:ascii="Times New Roman" w:hAnsi="Times New Roman"/>
          <w:color w:val="000000"/>
          <w:sz w:val="20"/>
        </w:rPr>
        <w:t xml:space="preserve"> </w:t>
      </w:r>
      <w:r>
        <w:rPr>
          <w:rFonts w:ascii="Times New Roman" w:hAnsi="Times New Roman"/>
          <w:b w:val="false"/>
          <w:color w:val="000000"/>
          <w:sz w:val="20"/>
        </w:rPr>
        <w:t>million aggregate principal amount of unsecured notes that mature on August 14, 2028 (the “2028 Notes</w:t>
      </w:r>
      <w:r>
        <w:rPr>
          <w:rFonts w:ascii="Times New Roman" w:hAnsi="Times New Roman"/>
          <w:color w:val="000000"/>
          <w:sz w:val="20"/>
        </w:rPr>
        <w:t>”</w:t>
      </w:r>
      <w:r>
        <w:rPr>
          <w:rFonts w:ascii="Times New Roman" w:hAnsi="Times New Roman"/>
          <w:b w:val="false"/>
          <w:color w:val="000000"/>
          <w:sz w:val="20"/>
        </w:rPr>
        <w:t>). The principal amount of the 2028 Notes is payable at maturity. The 2028 Notes bear interest at a rate of 6.95% per year, payable semi-annually commencing on February 14, 2024, and may be redeemed in whole or in part at our option at any time at par plus a “make whole” premium.</w:t>
      </w:r>
      <w:r>
        <w:rPr>
          <w:rFonts w:ascii="Times New Roman" w:hAnsi="Times New Roman"/>
          <w:color w:val="000000"/>
          <w:sz w:val="20"/>
        </w:rPr>
        <w:t xml:space="preserve"> </w:t>
      </w:r>
      <w:r>
        <w:rPr>
          <w:rFonts w:ascii="Times New Roman" w:hAnsi="Times New Roman"/>
          <w:b w:val="false"/>
          <w:color w:val="000000"/>
          <w:sz w:val="20"/>
        </w:rPr>
        <w:t>Total proceeds from the issuance of the 2028 Notes, net of underwriting discounts, offering costs and original issue discount, were $293.9 million. We used the net proceeds of the 2028 Notes to repay outstanding indebtedness under the Revolving Credit Facility.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issuance of the 2028 Notes, we entered into an interest rate swap to align the interest rates of our liabilities with our investment portfolio, which consists of predominately floating rate loans. The notional amount of the interest rate swap is $300.0 million, which matures on August 14, 2028, matching the maturity date of the 2028 Notes. As a result of the swap, our effective interest rate on the 2028 Notes is SOFR plus 2.99%.</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Debt obligations consisted of the following as of September 30, 2023 and December 31, 2022:</w:t>
      </w:r>
      <w:r>
        <w:rPr>
          <w:rFonts w:ascii="Times New Roman" w:hAnsi="Times New Roman"/>
          <w:color w:val="000000"/>
          <w:sz w:val="20"/>
        </w:rPr>
        <w:t xml:space="preserve"> </w:t>
      </w:r>
    </w:p>
    <w:p>
      <w:pPr>
        <w:pStyle w:val="TextBody"/>
        <w:bidi w:val="0"/>
        <w:jc w:val="left"/>
        <w:rPr/>
      </w:pPr>
      <w:r>
        <w:rPr/>
        <w:t>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58"/>
        <w:gridCol w:w="702"/>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Revolving Credit Facility</w:t>
            </w:r>
          </w:p>
        </w:tc>
        <w:tc>
          <w:tcPr>
            <w:tcW w:w="146" w:type="dxa"/>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742.2</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 Notes</w:t>
            </w:r>
          </w:p>
        </w:tc>
        <w:tc>
          <w:tcPr>
            <w:tcW w:w="146" w:type="dxa"/>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60"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330.8</w:t>
            </w:r>
          </w:p>
        </w:tc>
        <w:tc>
          <w:tcPr>
            <w:tcW w:w="3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 Notes</w:t>
            </w:r>
          </w:p>
        </w:tc>
        <w:tc>
          <w:tcPr>
            <w:tcW w:w="146" w:type="dxa"/>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left"/>
              <w:rPr/>
            </w:pPr>
            <w:r>
              <w:rPr/>
              <w:t> </w:t>
            </w:r>
          </w:p>
        </w:tc>
        <w:tc>
          <w:tcPr>
            <w:tcW w:w="12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60"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262.0</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2028 Notes</w:t>
            </w:r>
          </w:p>
        </w:tc>
        <w:tc>
          <w:tcPr>
            <w:tcW w:w="146" w:type="dxa"/>
            <w:tcBorders/>
            <w:shd w:fill="FFFFFF" w:val="clear"/>
            <w:vAlign w:val="center"/>
          </w:tcPr>
          <w:p>
            <w:pPr>
              <w:pStyle w:val="TableContents"/>
              <w:bidi w:val="0"/>
              <w:spacing w:before="0" w:after="283"/>
              <w:jc w:val="righ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vAlign w:val="center"/>
          </w:tcPr>
          <w:p>
            <w:pPr>
              <w:pStyle w:val="TableContents"/>
              <w:bidi w:val="0"/>
              <w:spacing w:before="0" w:after="283"/>
              <w:jc w:val="righ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amount available may be subject to limitations related to the borrowing base under the Revolving Credit Facility and asset coverage requirements.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carrying values of the Revolving Credit Facility, 2024 Notes, 2026 Notes and 2028 Notes are presented net of the combination of deferred financing costs and original issue discounts totaling $16.0 million, $1.5 million, $3.3 million and $5.9 million, respectively.</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carrying values of the 2024 Notes, 2026 Notes and 2028 Notes are presented inclusive of an incremental $(15.1) million, $(34.7) million and $(6.1) million, respectively, which represents an adjustment in the carrying values of the 2024 Notes, 2026 Notes and 2028 Notes, each resulting from a hedge accounting relationship.</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58"/>
        <w:gridCol w:w="702"/>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Revolving Credit Facility</w:t>
            </w:r>
          </w:p>
        </w:tc>
        <w:tc>
          <w:tcPr>
            <w:tcW w:w="146" w:type="dxa"/>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706.2</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 Notes</w:t>
            </w:r>
          </w:p>
        </w:tc>
        <w:tc>
          <w:tcPr>
            <w:tcW w:w="146" w:type="dxa"/>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60"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149.9</w:t>
            </w:r>
          </w:p>
        </w:tc>
        <w:tc>
          <w:tcPr>
            <w:tcW w:w="3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 Notes</w:t>
            </w:r>
          </w:p>
        </w:tc>
        <w:tc>
          <w:tcPr>
            <w:tcW w:w="146" w:type="dxa"/>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left"/>
              <w:rPr/>
            </w:pPr>
            <w:r>
              <w:rPr/>
              <w:t> </w:t>
            </w:r>
          </w:p>
        </w:tc>
        <w:tc>
          <w:tcPr>
            <w:tcW w:w="12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60"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325.5</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 Notes</w:t>
            </w:r>
          </w:p>
        </w:tc>
        <w:tc>
          <w:tcPr>
            <w:tcW w:w="146" w:type="dxa"/>
            <w:tcBorders/>
            <w:shd w:fill="FFFFFF" w:val="clear"/>
            <w:vAlign w:val="center"/>
          </w:tcPr>
          <w:p>
            <w:pPr>
              <w:pStyle w:val="TableContents"/>
              <w:bidi w:val="0"/>
              <w:spacing w:before="0" w:after="283"/>
              <w:jc w:val="righ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vAlign w:val="center"/>
          </w:tcPr>
          <w:p>
            <w:pPr>
              <w:pStyle w:val="TableContents"/>
              <w:bidi w:val="0"/>
              <w:spacing w:before="0" w:after="283"/>
              <w:jc w:val="righ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amount available may be subject to limitations related to the borrowing base under the Revolving Credit Facility and asset coverage requirements.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carrying values of the Revolving Credit Facility, 2023 Notes, 2024 Notes and 2026 Notes are presented net of the combination of deferred financing costs and original issue discounts totaling $13.2 million, less than $0.1 million, $2.6 million and $4.1 million, respectively.</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carrying values of the 2024 Notes and 2026 Notes are presented inclusive of an incremental $(19.4) million and $(35.7) million, which represents an adjustment in the carrying values of the 2024 Notes and 2026 Notes, each resulting from a hedge accounting relationship.</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and December 31, 2022, we were in compliance with the terms of our debt arrangements. We intend to continue to utilize our credit facilities to fund investments and for other general corporate purposes.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Portfolio Company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we may enter into commitments to fund investments. We incorporate these commitments into our assessment of our liquidity position.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September 30, 2023 and December 31, 2022, we had the following commitments to fund investments in current portfolio companies: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130" w:type="dxa"/>
        <w:jc w:val="left"/>
        <w:tblInd w:w="0" w:type="dxa"/>
        <w:tblLayout w:type="fixed"/>
        <w:tblCellMar>
          <w:top w:w="28" w:type="dxa"/>
          <w:left w:w="28" w:type="dxa"/>
          <w:bottom w:w="28" w:type="dxa"/>
          <w:right w:w="28" w:type="dxa"/>
        </w:tblCellMar>
      </w:tblPr>
      <w:tblGrid>
        <w:gridCol w:w="5056"/>
        <w:gridCol w:w="146"/>
        <w:gridCol w:w="427"/>
        <w:gridCol w:w="1118"/>
        <w:gridCol w:w="246"/>
        <w:gridCol w:w="246"/>
        <w:gridCol w:w="414"/>
        <w:gridCol w:w="1086"/>
        <w:gridCol w:w="3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Alaska Bidco Oy - Delayed Draw &amp; Revolver</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8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Alpha Midco, Inc. - Delayed Draw</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0.9</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American Achievement, Corp. - Revolver</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Arrow Buyer, Inc. - Delayed Draw</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righ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ASG II, LLC - Delayed Draw</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Avalara, Inc. - Revolver</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Axonify, Inc. - Delayed Draw</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Banyan Software Holdings, LLC - Delayed Draw</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righ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Bayshore Intermediate #2, L.P. - Revolver</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BCTO Ace Purchaser, Inc. - Delayed Draw</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BCTO Bluebill Buyer, Inc. - Delayed Draw</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Bear OpCo, LLC - Delayed Draw</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BlueSnap, Inc. - Delayed Draw &amp; Revolver</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BTRS Holdings, Inc. - Delayed Draw &amp; Revolver</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Carlstar Group, LLC - Revolver</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Cordance Operations, LLC - Delayed Draw &amp; Revolver</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Coupa Holdings, LLC - Delayed Draw &amp; Revolver</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CrunchTime Information Systems, Inc. - Delayed Draw</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Disco Parent, Inc. - Revolver</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0.5</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Dye &amp; Durham Corp. - Delayed Draw &amp; Revolver</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EDB Parent, LLC - Delayed Draw</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Edge Bidco B.V. - Delayed Draw &amp; Revolver</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righ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Elysian Finco Ltd. - Delayed Draw &amp; Revolver</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Employment Hero Holdings Pty Ltd. - Delayed Draw &amp; Revolver</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EMS Linq, Inc. - Revolver</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Erling Lux Bidco SARL - Delayed Draw &amp; Revolver</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ExtraHop Networks, Inc. - Delayed Draw</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17.1</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ForeScout Technologies, Inc. - Delayed Draw &amp; Revolver</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 Treasury SS, LLC - Delayed Draw</w:t>
            </w:r>
          </w:p>
        </w:tc>
        <w:tc>
          <w:tcPr>
            <w:tcW w:w="146" w:type="dxa"/>
            <w:tcBorders/>
            <w:shd w:fill="CFF0FC" w:val="clear"/>
            <w:vAlign w:val="center"/>
          </w:tcPr>
          <w:p>
            <w:pPr>
              <w:pStyle w:val="TableContents"/>
              <w:bidi w:val="0"/>
              <w:spacing w:before="0" w:after="283"/>
              <w:jc w:val="right"/>
              <w:rPr/>
            </w:pPr>
            <w:r>
              <w:rPr/>
              <w:t> </w:t>
            </w:r>
          </w:p>
        </w:tc>
        <w:tc>
          <w:tcPr>
            <w:tcW w:w="1545" w:type="dxa"/>
            <w:gridSpan w:val="2"/>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Galileo Parent, Inc. - Revolver</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righ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Hirevue, Inc. - Revolver</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Hornetsecurity Holding GmbH - Delayed Draw &amp; Revolver</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Ibis Intermediate Co. - Delayed Draw</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IRGSE Holding Corp. - Revolver</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Kyriba Corp. - Delayed Draw &amp; Revolver</w:t>
            </w:r>
          </w:p>
        </w:tc>
        <w:tc>
          <w:tcPr>
            <w:tcW w:w="146" w:type="dxa"/>
            <w:tcBorders/>
            <w:shd w:fill="CFF0FC" w:val="clear"/>
            <w:vAlign w:val="center"/>
          </w:tcPr>
          <w:p>
            <w:pPr>
              <w:pStyle w:val="TableContents"/>
              <w:bidi w:val="0"/>
              <w:spacing w:before="0" w:after="283"/>
              <w:jc w:val="right"/>
              <w:rPr/>
            </w:pPr>
            <w:r>
              <w:rPr/>
              <w:t> </w:t>
            </w:r>
          </w:p>
        </w:tc>
        <w:tc>
          <w:tcPr>
            <w:tcW w:w="1545" w:type="dxa"/>
            <w:gridSpan w:val="2"/>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Laramie Energy, LLC - Delayed Draw</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righ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LeanTaaS Holdings, Inc. - Delayed Draw</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47.2</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Lithium Technologies, LLC - Revolver</w:t>
            </w:r>
          </w:p>
        </w:tc>
        <w:tc>
          <w:tcPr>
            <w:tcW w:w="146" w:type="dxa"/>
            <w:tcBorders/>
            <w:shd w:fill="FFFFFF" w:val="clear"/>
            <w:vAlign w:val="center"/>
          </w:tcPr>
          <w:p>
            <w:pPr>
              <w:pStyle w:val="TableContents"/>
              <w:bidi w:val="0"/>
              <w:spacing w:before="0" w:after="283"/>
              <w:jc w:val="right"/>
              <w:rPr/>
            </w:pPr>
            <w:r>
              <w:rPr/>
              <w:t> </w:t>
            </w:r>
          </w:p>
        </w:tc>
        <w:tc>
          <w:tcPr>
            <w:tcW w:w="1545" w:type="dxa"/>
            <w:gridSpan w:val="2"/>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Lucidworks, Inc. - Delayed Draw</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0.8</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Marcura Equities LTD - Delayed Draw &amp; Revolver</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righ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Murchison Oil and Gas, LLC - Delayed Draw</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Netwrix Corp. - Delayed Draw &amp; Revolver</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13.9</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Neuintel, LLC - Delayed Draw</w:t>
            </w:r>
          </w:p>
        </w:tc>
        <w:tc>
          <w:tcPr>
            <w:tcW w:w="146" w:type="dxa"/>
            <w:tcBorders/>
            <w:shd w:fill="CFF0FC" w:val="clear"/>
            <w:vAlign w:val="center"/>
          </w:tcPr>
          <w:p>
            <w:pPr>
              <w:pStyle w:val="TableContents"/>
              <w:bidi w:val="0"/>
              <w:spacing w:before="0" w:after="283"/>
              <w:jc w:val="right"/>
              <w:rPr/>
            </w:pPr>
            <w:r>
              <w:rPr/>
              <w:t> </w:t>
            </w:r>
          </w:p>
        </w:tc>
        <w:tc>
          <w:tcPr>
            <w:tcW w:w="1545" w:type="dxa"/>
            <w:gridSpan w:val="2"/>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OutSystems Luxco SARL - Delayed Draw</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PageUp People, Ltd. - Delayed Draw &amp; Revolver</w:t>
            </w:r>
          </w:p>
        </w:tc>
        <w:tc>
          <w:tcPr>
            <w:tcW w:w="146" w:type="dxa"/>
            <w:tcBorders/>
            <w:shd w:fill="CFF0FC" w:val="clear"/>
            <w:vAlign w:val="center"/>
          </w:tcPr>
          <w:p>
            <w:pPr>
              <w:pStyle w:val="TableContents"/>
              <w:bidi w:val="0"/>
              <w:spacing w:before="0" w:after="283"/>
              <w:jc w:val="right"/>
              <w:rPr/>
            </w:pPr>
            <w:r>
              <w:rPr/>
              <w:t> </w:t>
            </w:r>
          </w:p>
        </w:tc>
        <w:tc>
          <w:tcPr>
            <w:tcW w:w="1545" w:type="dxa"/>
            <w:gridSpan w:val="2"/>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Passport Labs, Inc. - Delayed Draw &amp; Revolver</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Ping Identity Holding Corp. - Revolver</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PrimePay Intermediate, LLC - Delayed Draw</w:t>
            </w:r>
          </w:p>
        </w:tc>
        <w:tc>
          <w:tcPr>
            <w:tcW w:w="146" w:type="dxa"/>
            <w:tcBorders/>
            <w:shd w:fill="FFFFFF" w:val="clear"/>
            <w:vAlign w:val="center"/>
          </w:tcPr>
          <w:p>
            <w:pPr>
              <w:pStyle w:val="TableContents"/>
              <w:bidi w:val="0"/>
              <w:spacing w:before="0" w:after="283"/>
              <w:jc w:val="right"/>
              <w:rPr/>
            </w:pPr>
            <w:r>
              <w:rPr/>
              <w:t> </w:t>
            </w:r>
          </w:p>
        </w:tc>
        <w:tc>
          <w:tcPr>
            <w:tcW w:w="1545" w:type="dxa"/>
            <w:gridSpan w:val="2"/>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PrimeRevenue, Inc. - Delayed Draw &amp; Revolver</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Project44, Inc. - Delayed Draw</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Rapid Data GmbH Unternehmensberatung - Delayed Draw &amp; Revolver</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ReliaQuest Holdings, LLC - Delayed Draw</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22.7</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SkyLark UK DebtCo - Delayed Draw &amp; Revolver</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righ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SL Buyer Corp. - Delyaed Draw</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righ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Tango Management Consulting, LLC - Delayed Draw &amp; Revolver</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26.6</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TRP Assets, LLC - Delayed Draw &amp; Membership Interest</w:t>
            </w:r>
          </w:p>
        </w:tc>
        <w:tc>
          <w:tcPr>
            <w:tcW w:w="146"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w:t>
            </w:r>
          </w:p>
        </w:tc>
        <w:tc>
          <w:tcPr>
            <w:tcW w:w="3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WideOrbit, Inc. - Revolver</w:t>
            </w:r>
          </w:p>
        </w:tc>
        <w:tc>
          <w:tcPr>
            <w:tcW w:w="146" w:type="dxa"/>
            <w:tcBorders/>
            <w:shd w:fill="CFF0FC" w:val="clear"/>
            <w:vAlign w:val="center"/>
          </w:tcPr>
          <w:p>
            <w:pPr>
              <w:pStyle w:val="TableContents"/>
              <w:bidi w:val="0"/>
              <w:spacing w:before="0" w:after="283"/>
              <w:jc w:val="right"/>
              <w:rPr/>
            </w:pPr>
            <w:r>
              <w:rPr/>
              <w:t> </w:t>
            </w:r>
          </w:p>
        </w:tc>
        <w:tc>
          <w:tcPr>
            <w:tcW w:w="1545" w:type="dxa"/>
            <w:gridSpan w:val="2"/>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w:t>
            </w:r>
          </w:p>
        </w:tc>
        <w:tc>
          <w:tcPr>
            <w:tcW w:w="3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Wrangler TopCo, LLC - Revolver</w:t>
            </w:r>
          </w:p>
        </w:tc>
        <w:tc>
          <w:tcPr>
            <w:tcW w:w="146" w:type="dxa"/>
            <w:tcBorders/>
            <w:shd w:fill="FFFFFF" w:val="clear"/>
            <w:vAlign w:val="center"/>
          </w:tcPr>
          <w:p>
            <w:pPr>
              <w:pStyle w:val="TableContents"/>
              <w:bidi w:val="0"/>
              <w:spacing w:before="0" w:after="283"/>
              <w:jc w:val="righ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056" w:type="dxa"/>
            <w:tcBorders/>
            <w:shd w:fill="CFF0FC" w:val="clear"/>
            <w:vAlign w:val="center"/>
          </w:tcPr>
          <w:p>
            <w:pPr>
              <w:pStyle w:val="TableContents"/>
              <w:bidi w:val="0"/>
              <w:spacing w:before="0" w:after="283"/>
              <w:ind w:left="200" w:right="0" w:firstLine="200"/>
              <w:jc w:val="left"/>
              <w:rPr>
                <w:rFonts w:ascii="Times New Roman" w:hAnsi="Times New Roman"/>
                <w:sz w:val="16"/>
              </w:rPr>
            </w:pPr>
            <w:r>
              <w:rPr>
                <w:rFonts w:ascii="Times New Roman" w:hAnsi="Times New Roman"/>
                <w:b/>
                <w:color w:val="000000"/>
                <w:sz w:val="16"/>
              </w:rPr>
              <w:t>Total Portfolio Company Commitments</w:t>
            </w:r>
            <w:r>
              <w:rPr>
                <w:rFonts w:ascii="Times New Roman" w:hAnsi="Times New Roman"/>
                <w:color w:val="000000"/>
                <w:sz w:val="16"/>
              </w:rPr>
              <w:t xml:space="preserve"> </w:t>
            </w:r>
            <w:r>
              <w:rPr>
                <w:rFonts w:ascii="Times New Roman" w:hAnsi="Times New Roman"/>
                <w:b/>
                <w:color w:val="000000"/>
                <w:sz w:val="11"/>
              </w:rPr>
              <w:t>(1)(2)</w:t>
            </w:r>
          </w:p>
        </w:tc>
        <w:tc>
          <w:tcPr>
            <w:tcW w:w="146" w:type="dxa"/>
            <w:tcBorders/>
            <w:shd w:fill="CFF0FC" w:val="clear"/>
            <w:vAlign w:val="center"/>
          </w:tcPr>
          <w:p>
            <w:pPr>
              <w:pStyle w:val="TableContents"/>
              <w:bidi w:val="0"/>
              <w:spacing w:before="0" w:after="283"/>
              <w:jc w:val="righ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327.2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338.0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xml:space="preserve">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Our estimate of the fair value of the current investments in these portfolio companies includes an analysis of the fair value of any unfunded commitments.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Company had an unfunded commitment of EUR 0.9 million to a new borrower that is not a current portfolio company. As of December 31, 2022 the Company did not have any unfunded commitments to fund investments to new borrowers that were not current portfolio companies as of such date.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From time to time, we may become a party to certain legal proceedings incidental to the normal course of our business. As of September 30, 2023, management is not aware of any material pending or threatened litigation that would require accounting recognition or financial statement disclosure.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have certain contracts under which we have material future commitments. Under the Investment Advisory Agreement, our Adviser provides us with investment advisory and management services. For these services, we pay the Management Fee and the Incentive Fee.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summary of our contractual payment obligations as of September 30, 2023 is as follows:</w:t>
      </w:r>
      <w:r>
        <w:rPr>
          <w:rFonts w:ascii="Times New Roman" w:hAnsi="Times New Roman"/>
          <w:color w:val="000000"/>
          <w:sz w:val="20"/>
        </w:rPr>
        <w:t xml:space="preserve"> </w:t>
      </w:r>
    </w:p>
    <w:p>
      <w:pPr>
        <w:pStyle w:val="TextBody"/>
        <w:bidi w:val="0"/>
        <w:jc w:val="left"/>
        <w:rPr/>
      </w:pPr>
      <w:r>
        <w:rPr/>
        <w:t> </w:t>
      </w:r>
    </w:p>
    <w:tbl>
      <w:tblPr>
        <w:tblW w:w="9082" w:type="dxa"/>
        <w:jc w:val="left"/>
        <w:tblInd w:w="0" w:type="dxa"/>
        <w:tblLayout w:type="fixed"/>
        <w:tblCellMar>
          <w:top w:w="28" w:type="dxa"/>
          <w:left w:w="28" w:type="dxa"/>
          <w:bottom w:w="28" w:type="dxa"/>
          <w:right w:w="28" w:type="dxa"/>
        </w:tblCellMar>
      </w:tblPr>
      <w:tblGrid>
        <w:gridCol w:w="2886"/>
        <w:gridCol w:w="146"/>
        <w:gridCol w:w="211"/>
        <w:gridCol w:w="721"/>
        <w:gridCol w:w="146"/>
        <w:gridCol w:w="146"/>
        <w:gridCol w:w="295"/>
        <w:gridCol w:w="485"/>
        <w:gridCol w:w="146"/>
        <w:gridCol w:w="146"/>
        <w:gridCol w:w="211"/>
        <w:gridCol w:w="571"/>
        <w:gridCol w:w="146"/>
        <w:gridCol w:w="146"/>
        <w:gridCol w:w="211"/>
        <w:gridCol w:w="721"/>
        <w:gridCol w:w="146"/>
        <w:gridCol w:w="146"/>
        <w:gridCol w:w="403"/>
        <w:gridCol w:w="662"/>
        <w:gridCol w:w="3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65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8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Revolving Credit Facility</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8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 Notes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8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 Notes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8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2028 Notes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Contractual Obligations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In addition to the contractual payment obligations in the tables above, we also have commitments to fund investments and to pledge assets as collateral under the terms of our derivatives agreements.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Distributions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investment company taxable income (which is generally our ordinary income plus the excess of realized net short-term capital gains over realized net long-term capital losses), determined without regard to the deduction for dividends paid, for such taxable year;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net tax-exempt interest income (which is the excess of our gross tax exempt interest income over certain disallowed deductions) for such taxable year.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a RIC, we (but not our stockholders) generally will not be subject to U.S. federal income tax on investment company taxable income and net capital gains that we distribute to our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98% of our net ordinary income excluding certain ordinary gains or losses for that calendar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98.2% of our capital gain net income, adjusted for certain ordinary gains and losses, recognized for the twelve-month period ending on October 31 of that calendar year;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100% of any income or gains recognized, but not distributed, in preceding years.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Related-Party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entered into a number of business relationships with affiliated or related parties,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Investment Advisory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Administration Agreement;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ongoing agreement with an affiliate of TPG Global, LLC governing, inter alia, the parties’ respective ownership of and rights to use the “Sixth Street” and “TPG” trademarks and certain variations thereof.</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2022, filed with the SEC on February 16, 2023, and elsewhere in our filings with the SEC.</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subject to financial market risks, including valuation risk, interest rate risk and currency risk.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Valuation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99.7% of our debt investments based on fair value in our portfolio bore interest at floating rates, with 100.0% of these subject to interest rate floors. Our credit facilities also bear interest at floating rates, and in connection with our 2024 Notes, 2026 Notes and 2028 Notes, which bear interest at fixed rates, we entered into fixed-to-floating interest rate swaps in order to align the interest rates of our liabilities with our investment portfolio.</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Assuming that our consolidated balance sheet as of September 30, 2023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pStyle w:val="TextBody"/>
        <w:bidi w:val="0"/>
        <w:jc w:val="left"/>
        <w:rPr/>
      </w:pPr>
      <w:r>
        <w:rPr/>
        <w:t> </w:t>
      </w:r>
    </w:p>
    <w:tbl>
      <w:tblPr>
        <w:tblW w:w="6892" w:type="dxa"/>
        <w:jc w:val="left"/>
        <w:tblInd w:w="0" w:type="dxa"/>
        <w:tblLayout w:type="fixed"/>
        <w:tblCellMar>
          <w:top w:w="28" w:type="dxa"/>
          <w:left w:w="28" w:type="dxa"/>
          <w:bottom w:w="28" w:type="dxa"/>
          <w:right w:w="28" w:type="dxa"/>
        </w:tblCellMar>
      </w:tblPr>
      <w:tblGrid>
        <w:gridCol w:w="1861"/>
        <w:gridCol w:w="146"/>
        <w:gridCol w:w="352"/>
        <w:gridCol w:w="878"/>
        <w:gridCol w:w="166"/>
        <w:gridCol w:w="146"/>
        <w:gridCol w:w="401"/>
        <w:gridCol w:w="889"/>
        <w:gridCol w:w="166"/>
        <w:gridCol w:w="146"/>
        <w:gridCol w:w="477"/>
        <w:gridCol w:w="1053"/>
        <w:gridCol w:w="21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23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Basis Point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Up 300 basis points</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w:t>
            </w:r>
          </w:p>
        </w:tc>
        <w:tc>
          <w:tcPr>
            <w:tcW w:w="21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Up 200 basis points</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w:t>
            </w:r>
          </w:p>
        </w:tc>
        <w:tc>
          <w:tcPr>
            <w:tcW w:w="211" w:type="dxa"/>
            <w:tcBorders/>
            <w:shd w:fill="FFFFFF" w:val="clear"/>
            <w:vAlign w:val="center"/>
          </w:tcPr>
          <w:p>
            <w:pPr>
              <w:pStyle w:val="TableContents"/>
              <w:bidi w:val="0"/>
              <w:spacing w:before="0" w:after="283"/>
              <w:jc w:val="left"/>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Up 100 basis points</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w:t>
            </w:r>
          </w:p>
        </w:tc>
        <w:tc>
          <w:tcPr>
            <w:tcW w:w="21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Down 25 basis points</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Down 50 basis points</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Currency Risk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r>
        <w:rPr>
          <w:rFonts w:ascii="Times New Roman" w:hAnsi="Times New Roman"/>
          <w:b w:val="false"/>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r>
        <w:rPr>
          <w:rFonts w:ascii="Times New Roman" w:hAnsi="Times New Roman"/>
          <w:b w:val="false"/>
          <w:color w:val="000000"/>
          <w:sz w:val="20"/>
        </w:rPr>
        <w:t>There have been no changes in our internal control over financial reporting that occurred during our most recently completed fiscal quarter that have materially affected, or are reasonably likely to materially affect, our internal control over financial reporting.</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3" w:name="part_ii_or_information"/>
      <w:bookmarkEnd w:id="13"/>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to the other information set forth in this report, you should carefully consider the risk factors discussed in Part I, “Item 1A. Risk Factors” in our Annual Report on Form 10-K for the fiscal year ended December 31, 2022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Pursuant to Section 61(a)(2)(C)(ii) of the 1940 Act, the principal risk factors associated with our senior securities are set forth below. However, since we already use leverage in optimizing our investment portfolio, the principal risk factors associated with our senior securities do not represent material changes to the risk factors previously disclosed in our Annual Report on Form 10-K for the fiscal year ended December 31, 2022.</w:t>
      </w:r>
    </w:p>
    <w:p>
      <w:pPr>
        <w:pStyle w:val="TextBody"/>
        <w:bidi w:val="0"/>
        <w:spacing w:before="360" w:after="283"/>
        <w:jc w:val="left"/>
        <w:rPr>
          <w:rFonts w:ascii="Times New Roman" w:hAnsi="Times New Roman"/>
          <w:sz w:val="20"/>
        </w:rPr>
      </w:pPr>
      <w:r>
        <w:rPr>
          <w:rFonts w:ascii="Times New Roman" w:hAnsi="Times New Roman"/>
          <w:b/>
          <w:i/>
          <w:color w:val="000000"/>
          <w:sz w:val="20"/>
        </w:rPr>
        <w:t>Legislation allows us to incur additional leverage.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a result, you may face increased investment risk. We may not be able to implement our strategy to utilize additional leverage successfully. Any impact on returns or equity or our business associated with additional leverage may not outweigh the additional risk. See “</w:t>
      </w:r>
      <w:r>
        <w:rPr>
          <w:rFonts w:ascii="Times New Roman" w:hAnsi="Times New Roman"/>
          <w:color w:val="000000"/>
          <w:sz w:val="20"/>
        </w:rPr>
        <w:t>—</w:t>
      </w:r>
      <w:r>
        <w:rPr>
          <w:rFonts w:ascii="Times New Roman" w:hAnsi="Times New Roman"/>
          <w:b w:val="false"/>
          <w:i/>
          <w:color w:val="000000"/>
          <w:sz w:val="20"/>
        </w:rPr>
        <w:t>We borrow money, which magnifies the potential for gain or loss and increases the risk of investing in us.</w:t>
      </w:r>
      <w:r>
        <w:rPr>
          <w:rFonts w:ascii="Times New Roman" w:hAnsi="Times New Roman"/>
          <w:color w:val="000000"/>
          <w:sz w:val="20"/>
        </w:rPr>
        <w:t>”</w:t>
      </w:r>
    </w:p>
    <w:p>
      <w:pPr>
        <w:pStyle w:val="TextBody"/>
        <w:bidi w:val="0"/>
        <w:spacing w:before="360" w:after="283"/>
        <w:jc w:val="left"/>
        <w:rPr>
          <w:rFonts w:ascii="Times New Roman" w:hAnsi="Times New Roman"/>
          <w:sz w:val="20"/>
        </w:rPr>
      </w:pPr>
      <w:r>
        <w:rPr>
          <w:rFonts w:ascii="Times New Roman" w:hAnsi="Times New Roman"/>
          <w:b/>
          <w:i/>
          <w:color w:val="000000"/>
          <w:sz w:val="20"/>
        </w:rPr>
        <w:t>Regulations governing our operation as a BDC affect our ability to, and the way in which we, raise additional capital.</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1940 Act imposes numerous constraints on the operations of BDCs. See “ITEM 1. BUSINESS—Regulation as a Business Development Company” in our Annual Report on Form 10-K for the year ended December 31, 2022, filed with the SEC on February 16, 2023,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may in the future seek such approval again;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borrow money, which magnifies the potential for gain or loss and increases the risk of investing in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The amount of leverage that we employ will depend on our Adviser’s and our Board’s assessment of market and other factors at the time of any proposed borrowing. We cannot assure you that we will be able to obtain credit at all or on terms acceptable to us.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credit facilities and indentures governing our indebtedness also impose financial and operating covenants that restrict our business activities, remedies on default and similar matters. As of September 30, 2023,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we had $1,705.7 million of outstanding indebtedness, which had an annualized interest cost of 7.53% under the terms of our debt, excluding fees (such as fees on undrawn amounts and amortization of upfront fees) and giving effect to the swap-adjusted interest rates on our 2024 Notes, 2026 Notes and 2028 Notes. As of September 24, 2023, as adjusted to give effect to the interest rate swaps, the interest rate on the 2024 Notes was three-month LIBOR plus 2.28% (on a weighted-average basis), and the interest rate on the 2026 Notes was three-month LIBOR plus 1.91%. On September 25, 2023, the swap-adjusted interest rate on the 2024 Notes and 2026 Notes transitioned to SOFR plus 2.54% (on a weighted average basis), and SOFR plus 2.17%, respectively. On September 30, 2023, the swap-adjusted interest rate on the 2028 Notes was SOFR plus 2.99%.</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us to cover these annualized interest payments on indebtedness, we must achieve annual returns on our investments of at least 4.1%.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Effects of Leverage Based on Actual Amount of Borrowings Incurred by us as of September 30, 2023</w:t>
      </w:r>
    </w:p>
    <w:p>
      <w:pPr>
        <w:pStyle w:val="TextBody"/>
        <w:bidi w:val="0"/>
        <w:jc w:val="left"/>
        <w:rPr/>
      </w:pPr>
      <w:r>
        <w:rPr/>
        <w:t> </w:t>
      </w:r>
    </w:p>
    <w:tbl>
      <w:tblPr>
        <w:tblW w:w="8876" w:type="dxa"/>
        <w:jc w:val="left"/>
        <w:tblInd w:w="0" w:type="dxa"/>
        <w:tblLayout w:type="fixed"/>
        <w:tblCellMar>
          <w:top w:w="28" w:type="dxa"/>
          <w:left w:w="28" w:type="dxa"/>
          <w:bottom w:w="28" w:type="dxa"/>
          <w:right w:w="28" w:type="dxa"/>
        </w:tblCellMar>
      </w:tblPr>
      <w:tblGrid>
        <w:gridCol w:w="3226"/>
        <w:gridCol w:w="109"/>
        <w:gridCol w:w="177"/>
        <w:gridCol w:w="618"/>
        <w:gridCol w:w="316"/>
        <w:gridCol w:w="109"/>
        <w:gridCol w:w="121"/>
        <w:gridCol w:w="584"/>
        <w:gridCol w:w="316"/>
        <w:gridCol w:w="109"/>
        <w:gridCol w:w="132"/>
        <w:gridCol w:w="513"/>
        <w:gridCol w:w="316"/>
        <w:gridCol w:w="109"/>
        <w:gridCol w:w="149"/>
        <w:gridCol w:w="496"/>
        <w:gridCol w:w="316"/>
        <w:gridCol w:w="109"/>
        <w:gridCol w:w="139"/>
        <w:gridCol w:w="596"/>
        <w:gridCol w:w="316"/>
      </w:tblGrid>
      <w:tr>
        <w:trPr/>
        <w:tc>
          <w:tcPr>
            <w:tcW w:w="3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5" w:type="dxa"/>
            <w:gridSpan w:val="18"/>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Assumed Return on Our Portfolio</w:t>
            </w:r>
          </w:p>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(net of expenses) </w:t>
            </w:r>
            <w:r>
              <w:rPr>
                <w:rFonts w:ascii="Times New Roman" w:hAnsi="Times New Roman"/>
                <w:b/>
                <w:color w:val="000000"/>
                <w:sz w:val="11"/>
              </w:rPr>
              <w:t>(1)</w:t>
            </w:r>
          </w:p>
        </w:tc>
        <w:tc>
          <w:tcPr>
            <w:tcW w:w="3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16"/>
              </w:rPr>
              <w:t>-10%</w:t>
            </w:r>
            <w:r>
              <w:rPr>
                <w:rFonts w:ascii="Times New Roman" w:hAnsi="Times New Roman"/>
                <w:color w:val="000000"/>
                <w:sz w:val="16"/>
              </w:rPr>
              <w:t xml:space="preserve"> </w:t>
            </w:r>
          </w:p>
        </w:tc>
        <w:tc>
          <w:tcPr>
            <w:tcW w:w="3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16"/>
              </w:rPr>
              <w:t>-5%</w:t>
            </w:r>
            <w:r>
              <w:rPr>
                <w:rFonts w:ascii="Times New Roman" w:hAnsi="Times New Roman"/>
                <w:color w:val="000000"/>
                <w:sz w:val="16"/>
              </w:rPr>
              <w:t xml:space="preserve"> </w:t>
            </w:r>
          </w:p>
        </w:tc>
        <w:tc>
          <w:tcPr>
            <w:tcW w:w="3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16"/>
              </w:rPr>
              <w:t>0%</w:t>
            </w:r>
            <w:r>
              <w:rPr>
                <w:rFonts w:ascii="Times New Roman" w:hAnsi="Times New Roman"/>
                <w:color w:val="000000"/>
                <w:sz w:val="16"/>
              </w:rPr>
              <w:t xml:space="preserve"> </w:t>
            </w:r>
          </w:p>
        </w:tc>
        <w:tc>
          <w:tcPr>
            <w:tcW w:w="3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16"/>
              </w:rPr>
              <w:t>5%</w:t>
            </w:r>
            <w:r>
              <w:rPr>
                <w:rFonts w:ascii="Times New Roman" w:hAnsi="Times New Roman"/>
                <w:color w:val="000000"/>
                <w:sz w:val="16"/>
              </w:rPr>
              <w:t xml:space="preserve"> </w:t>
            </w:r>
          </w:p>
        </w:tc>
        <w:tc>
          <w:tcPr>
            <w:tcW w:w="3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16"/>
              </w:rPr>
              <w:t>10%</w:t>
            </w:r>
            <w:r>
              <w:rPr>
                <w:rFonts w:ascii="Times New Roman" w:hAnsi="Times New Roman"/>
                <w:color w:val="000000"/>
                <w:sz w:val="16"/>
              </w:rPr>
              <w:t xml:space="preserve"> </w:t>
            </w:r>
          </w:p>
        </w:tc>
        <w:tc>
          <w:tcPr>
            <w:tcW w:w="3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Corresponding return to stockholder </w:t>
            </w:r>
            <w:r>
              <w:rPr>
                <w:rFonts w:ascii="Times New Roman" w:hAnsi="Times New Roman"/>
                <w:b w:val="false"/>
                <w:color w:val="000000"/>
                <w:sz w:val="9"/>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3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w:t>
            </w:r>
            <w:r>
              <w:rPr>
                <w:rFonts w:ascii="Times New Roman" w:hAnsi="Times New Roman"/>
                <w:color w:val="000000"/>
                <w:sz w:val="20"/>
              </w:rPr>
              <w:t xml:space="preserv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584"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w:t>
            </w:r>
          </w:p>
        </w:tc>
        <w:tc>
          <w:tcPr>
            <w:tcW w:w="3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w:t>
            </w:r>
            <w:r>
              <w:rPr>
                <w:rFonts w:ascii="Times New Roman" w:hAnsi="Times New Roman"/>
                <w:color w:val="000000"/>
                <w:sz w:val="20"/>
              </w:rPr>
              <w:t xml:space="preserv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3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w:t>
            </w:r>
            <w:r>
              <w:rPr>
                <w:rFonts w:ascii="Times New Roman" w:hAnsi="Times New Roman"/>
                <w:color w:val="000000"/>
                <w:sz w:val="20"/>
              </w:rPr>
              <w:t xml:space="preserv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49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3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w:t>
            </w:r>
            <w:r>
              <w:rPr>
                <w:rFonts w:ascii="Times New Roman" w:hAnsi="Times New Roman"/>
                <w:color w:val="000000"/>
                <w:sz w:val="20"/>
              </w:rPr>
              <w:t xml:space="preserv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 w:type="dxa"/>
            <w:tcBorders/>
            <w:shd w:fill="CCEEFF" w:val="clear"/>
            <w:vAlign w:val="center"/>
          </w:tcPr>
          <w:p>
            <w:pPr>
              <w:pStyle w:val="TableContents"/>
              <w:bidi w:val="0"/>
              <w:spacing w:before="0" w:after="283"/>
              <w:jc w:val="left"/>
              <w:rPr>
                <w:sz w:val="4"/>
                <w:szCs w:val="4"/>
              </w:rPr>
            </w:pPr>
            <w:r>
              <w:rPr>
                <w:sz w:val="4"/>
                <w:szCs w:val="4"/>
              </w:rPr>
            </w:r>
          </w:p>
        </w:tc>
        <w:tc>
          <w:tcPr>
            <w:tcW w:w="596"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w:t>
            </w:r>
          </w:p>
        </w:tc>
        <w:tc>
          <w:tcPr>
            <w:tcW w:w="316"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September 30, 2023. As a result, it has not been updated to take into account any changes in assets or leverage since September 30, 2023.</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jc w:val="left"/>
        <w:rPr>
          <w:rFonts w:ascii="Times New Roman" w:hAnsi="Times New Roman"/>
          <w:sz w:val="20"/>
        </w:rPr>
      </w:pPr>
      <w:r>
        <w:rPr>
          <w:rFonts w:ascii="Times New Roman" w:hAnsi="Times New Roman"/>
          <w:b w:val="false"/>
          <w:color w:val="000000"/>
          <w:sz w:val="20"/>
        </w:rPr>
        <w:t>In order to compute the “Corresponding return to stockholder,” the “Assumed Return on Our Portfolio” is multiplied by the total value of our assets at September 30, 2023 to obtain an assumed return to us. From this amount, the interest expense (calculated by multiplying the weighted average stated interest rate of 7.53% by the approximately $1,705.7 million of principal debt outstanding) is subtracted to determine the return available to stockholders. The return available to stockholders is then divided by the total value of our net assets at September 30, 2023</w:t>
      </w:r>
      <w:r>
        <w:rPr>
          <w:rFonts w:ascii="Times New Roman" w:hAnsi="Times New Roman"/>
          <w:color w:val="000000"/>
          <w:sz w:val="20"/>
        </w:rPr>
        <w:t xml:space="preserve"> </w:t>
      </w:r>
      <w:r>
        <w:rPr>
          <w:rFonts w:ascii="Times New Roman" w:hAnsi="Times New Roman"/>
          <w:b w:val="false"/>
          <w:color w:val="000000"/>
          <w:sz w:val="20"/>
        </w:rPr>
        <w:t>to determine the “Corresponding return to stockholder.”</w:t>
      </w:r>
    </w:p>
    <w:p>
      <w:pPr>
        <w:pStyle w:val="TextBody"/>
        <w:bidi w:val="0"/>
        <w:spacing w:before="360" w:after="283"/>
        <w:jc w:val="left"/>
        <w:rPr>
          <w:rFonts w:ascii="Times New Roman" w:hAnsi="Times New Roman"/>
          <w:sz w:val="20"/>
        </w:rPr>
      </w:pPr>
      <w:r>
        <w:rPr>
          <w:rFonts w:ascii="Times New Roman" w:hAnsi="Times New Roman"/>
          <w:b/>
          <w:i/>
          <w:color w:val="000000"/>
          <w:sz w:val="20"/>
        </w:rPr>
        <w:t>Our indebtedness could adversely affect our business, financial conditions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in the event the value of your investment declines, the Management Fee and, in certain circumstances, the Incentive Fee will still be payable to the Adviser.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three months ended September 30, 2023, none of our directors or officers (as defined in Rule 16a-1(f) under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 S-K.</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20" w:name="item_6_exhibits"/>
      <w:bookmarkEnd w:id="2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663"/>
        <w:gridCol w:w="146"/>
        <w:gridCol w:w="9396"/>
      </w:tblGrid>
      <w:tr>
        <w:trPr/>
        <w:tc>
          <w:tcPr>
            <w:tcW w:w="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96" w:type="dxa"/>
            <w:tcBorders/>
            <w:vAlign w:val="center"/>
          </w:tcPr>
          <w:p>
            <w:pPr>
              <w:pStyle w:val="TableContents"/>
              <w:bidi w:val="0"/>
              <w:spacing w:before="0" w:after="283"/>
              <w:jc w:val="left"/>
              <w:rPr>
                <w:sz w:val="4"/>
                <w:szCs w:val="4"/>
              </w:rPr>
            </w:pPr>
            <w:r>
              <w:rPr>
                <w:sz w:val="4"/>
                <w:szCs w:val="4"/>
              </w:rPr>
            </w:r>
          </w:p>
        </w:tc>
      </w:tr>
      <w:tr>
        <w:trPr/>
        <w:tc>
          <w:tcPr>
            <w:tcW w:w="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jc w:val="left"/>
              <w:rPr/>
            </w:pPr>
            <w:hyperlink r:id="rId2">
              <w:r>
                <w:rPr>
                  <w:rStyle w:val="InternetLink"/>
                  <w:rFonts w:ascii="Times New Roman" w:hAnsi="Times New Roman"/>
                  <w:b w:val="false"/>
                  <w:color w:val="0000FF"/>
                  <w:sz w:val="20"/>
                  <w:u w:val="single"/>
                </w:rPr>
                <w:t>Second Amended and Restated Bylaws dated July 10, 2023 (incorporated by reference to Exhibit 3.1 to the Company’s</w:t>
              </w:r>
            </w:hyperlink>
          </w:p>
          <w:p>
            <w:pPr>
              <w:pStyle w:val="TableContents"/>
              <w:bidi w:val="0"/>
              <w:jc w:val="left"/>
              <w:rPr/>
            </w:pPr>
            <w:hyperlink r:id="rId3">
              <w:r>
                <w:rPr>
                  <w:rStyle w:val="InternetLink"/>
                  <w:rFonts w:ascii="Times New Roman" w:hAnsi="Times New Roman"/>
                  <w:b w:val="false"/>
                  <w:color w:val="0000FF"/>
                  <w:sz w:val="20"/>
                  <w:u w:val="single"/>
                </w:rPr>
                <w:t>Current Report on Form 8-K/A filed on July 17, 2023)</w:t>
              </w:r>
            </w:hyperlink>
          </w:p>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4.1</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jc w:val="left"/>
              <w:rPr/>
            </w:pPr>
            <w:hyperlink r:id="rId4">
              <w:r>
                <w:rPr>
                  <w:rStyle w:val="InternetLink"/>
                  <w:rFonts w:ascii="Times New Roman" w:hAnsi="Times New Roman"/>
                  <w:b w:val="false"/>
                  <w:color w:val="0000FF"/>
                  <w:sz w:val="20"/>
                  <w:u w:val="single"/>
                </w:rPr>
                <w:t>Indenture, dated as of January 22, 2018, between TPG Specialty Lending, Inc. and Wells Fargo Bank, National Association, as Trustee (incorporated by reference to Exhibit 4.1 to the Company's Current Report on Form 8-K filed on January 22, 2018)</w:t>
              </w:r>
            </w:hyperlink>
          </w:p>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4.2</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jc w:val="left"/>
              <w:rPr/>
            </w:pPr>
            <w:hyperlink r:id="rId5">
              <w:r>
                <w:rPr>
                  <w:rStyle w:val="InternetLink"/>
                  <w:rFonts w:ascii="Times New Roman" w:hAnsi="Times New Roman"/>
                  <w:b w:val="false"/>
                  <w:color w:val="0000FF"/>
                  <w:sz w:val="20"/>
                  <w:u w:val="single"/>
                </w:rPr>
                <w:t>Fourth Supplemental Indenture, dated as of August 14, 2023, between Sixth Street Specialty Lending, Inc. and Computershare Trust Company, N.A., as successor to Wells Fargo Bank, National Association, as Trustee</w:t>
              </w:r>
            </w:hyperlink>
          </w:p>
          <w:p>
            <w:pPr>
              <w:pStyle w:val="TableContents"/>
              <w:bidi w:val="0"/>
              <w:jc w:val="left"/>
              <w:rPr/>
            </w:pPr>
            <w:hyperlink r:id="rId6">
              <w:r>
                <w:rPr>
                  <w:rStyle w:val="InternetLink"/>
                  <w:rFonts w:ascii="Times New Roman" w:hAnsi="Times New Roman"/>
                  <w:b w:val="false"/>
                  <w:color w:val="0000FF"/>
                  <w:sz w:val="20"/>
                  <w:u w:val="single"/>
                </w:rPr>
                <w:t>(incorporated by reference to Exhibit 4.2 to the Company's Current Report on Form 8-K filed on August 14, 2023)</w:t>
              </w:r>
            </w:hyperlink>
          </w:p>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4.3</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jc w:val="left"/>
              <w:rPr/>
            </w:pPr>
            <w:hyperlink r:id="rId7">
              <w:r>
                <w:rPr>
                  <w:rStyle w:val="InternetLink"/>
                  <w:rFonts w:ascii="Times New Roman" w:hAnsi="Times New Roman"/>
                  <w:b w:val="false"/>
                  <w:color w:val="0000FF"/>
                  <w:sz w:val="20"/>
                  <w:u w:val="single"/>
                </w:rPr>
                <w:t>Form of 6.950% Note Due 2028 (incorporated by reference to Exhibit 4.3 to the Company's Current Report on Form 8-K filed on August 14, 2023)</w:t>
              </w:r>
            </w:hyperlink>
          </w:p>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jc w:val="left"/>
              <w:rPr/>
            </w:pPr>
            <w:hyperlink w:anchor="tslx-ex31_1.htm">
              <w:r>
                <w:rPr>
                  <w:rStyle w:val="InternetLink"/>
                  <w:rFonts w:ascii="Times New Roman" w:hAnsi="Times New Roman"/>
                  <w:b w:val="false"/>
                  <w:color w:val="0000FF"/>
                  <w:sz w:val="20"/>
                  <w:u w:val="single"/>
                </w:rPr>
                <w:t>Certification of Chief Executive Officer Pursuant to 18 U.S.C. Section 1350, as Adopted Pursuant to Section 302 of the Sarbanes-Oxley Act of 2002</w:t>
              </w:r>
            </w:hyperlink>
          </w:p>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jc w:val="left"/>
              <w:rPr/>
            </w:pPr>
            <w:hyperlink w:anchor="tslx-ex31_2.htm">
              <w:r>
                <w:rPr>
                  <w:rStyle w:val="InternetLink"/>
                  <w:rFonts w:ascii="Times New Roman" w:hAnsi="Times New Roman"/>
                  <w:b w:val="false"/>
                  <w:color w:val="0000FF"/>
                  <w:sz w:val="20"/>
                  <w:u w:val="single"/>
                </w:rPr>
                <w:t>Certification of Chief Financial Officer Pursuant to 18 U.S.C. Section 1350, as Adopted Pursuant to Section 302 of the Sarbanes-Oxley Act of 2002</w:t>
              </w:r>
            </w:hyperlink>
          </w:p>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jc w:val="left"/>
              <w:rPr/>
            </w:pPr>
            <w:hyperlink w:anchor="tslx-ex32.htm">
              <w:r>
                <w:rPr>
                  <w:rStyle w:val="InternetLink"/>
                  <w:rFonts w:ascii="Times New Roman" w:hAnsi="Times New Roman"/>
                  <w:b w:val="false"/>
                  <w:color w:val="0000FF"/>
                  <w:sz w:val="20"/>
                  <w:u w:val="single"/>
                </w:rPr>
                <w:t>Certification of CEO and CFO Pursuant to 18 U.S.C. Section 1350, as Adopted Pursuant to Section 906 of the Sarbanes-Oxley Act of 2002</w:t>
              </w:r>
            </w:hyperlink>
          </w:p>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XBRL tags are embedded within the Inline XBRL document.</w:t>
            </w:r>
          </w:p>
        </w:tc>
      </w:tr>
      <w:tr>
        <w:trPr/>
        <w:tc>
          <w:tcPr>
            <w:tcW w:w="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Pursuant to the requirements of the Securities Exchange Act of 1934, as amended, the registrant has duly caused this report to be signed on its behalf by the undersigned thereunto duly authorized.</w:t>
      </w:r>
      <w:r>
        <w:rPr>
          <w:rFonts w:ascii="Times New Roman" w:hAnsi="Times New Roman"/>
          <w:color w:val="000000"/>
          <w:sz w:val="20"/>
        </w:rPr>
        <w:t xml:space="preserve"> </w:t>
      </w:r>
    </w:p>
    <w:p>
      <w:pPr>
        <w:pStyle w:val="TextBody"/>
        <w:bidi w:val="0"/>
        <w:jc w:val="left"/>
        <w:rPr/>
      </w:pPr>
      <w:r>
        <w:rPr/>
        <w:t> </w:t>
      </w:r>
    </w:p>
    <w:tbl>
      <w:tblPr>
        <w:tblW w:w="6147" w:type="dxa"/>
        <w:jc w:val="left"/>
        <w:tblInd w:w="0" w:type="dxa"/>
        <w:tblLayout w:type="fixed"/>
        <w:tblCellMar>
          <w:top w:w="28" w:type="dxa"/>
          <w:left w:w="28" w:type="dxa"/>
          <w:bottom w:w="28" w:type="dxa"/>
          <w:right w:w="28" w:type="dxa"/>
        </w:tblCellMar>
      </w:tblPr>
      <w:tblGrid>
        <w:gridCol w:w="2101"/>
        <w:gridCol w:w="146"/>
        <w:gridCol w:w="603"/>
        <w:gridCol w:w="217"/>
        <w:gridCol w:w="3080"/>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0"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SIXTH STREET SPECIALTY LENDING, INC.</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0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17" w:type="dxa"/>
            <w:tcBorders/>
            <w:vAlign w:val="center"/>
          </w:tcPr>
          <w:p>
            <w:pPr>
              <w:pStyle w:val="TableContents"/>
              <w:bidi w:val="0"/>
              <w:spacing w:before="0" w:after="283"/>
              <w:jc w:val="left"/>
              <w:rPr/>
            </w:pPr>
            <w:r>
              <w:rPr/>
              <w:t> </w:t>
            </w:r>
          </w:p>
        </w:tc>
        <w:tc>
          <w:tcPr>
            <w:tcW w:w="308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Joshua Easterly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Joshua Easterly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0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17" w:type="dxa"/>
            <w:tcBorders/>
            <w:vAlign w:val="center"/>
          </w:tcPr>
          <w:p>
            <w:pPr>
              <w:pStyle w:val="TableContents"/>
              <w:bidi w:val="0"/>
              <w:spacing w:before="0" w:after="283"/>
              <w:jc w:val="left"/>
              <w:rPr/>
            </w:pPr>
            <w:r>
              <w:rPr/>
              <w:t> </w:t>
            </w:r>
          </w:p>
        </w:tc>
        <w:tc>
          <w:tcPr>
            <w:tcW w:w="308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Ian Simmonds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Ian Simmonds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bookmarkStart w:id="22" w:name="tslx-ex31_1.htm"/>
      <w:bookmarkStart w:id="23" w:name="kstslxex31_1"/>
      <w:bookmarkEnd w:id="22"/>
      <w:bookmarkEnd w:id="2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CEO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Joshua Easterly,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(1) I have reviewed this quarterly report on Form 10-Q of Sixth Street Specialty Lending, Inc.;</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4870" w:type="dxa"/>
        <w:jc w:val="left"/>
        <w:tblInd w:w="0" w:type="dxa"/>
        <w:tblLayout w:type="fixed"/>
        <w:tblCellMar>
          <w:top w:w="28" w:type="dxa"/>
          <w:left w:w="28" w:type="dxa"/>
          <w:bottom w:w="28" w:type="dxa"/>
          <w:right w:w="28" w:type="dxa"/>
        </w:tblCellMar>
      </w:tblPr>
      <w:tblGrid>
        <w:gridCol w:w="2101"/>
        <w:gridCol w:w="146"/>
        <w:gridCol w:w="406"/>
        <w:gridCol w:w="146"/>
        <w:gridCol w:w="207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207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Joshua Easterly</w:t>
            </w:r>
          </w:p>
        </w:tc>
      </w:tr>
      <w:tr>
        <w:trPr/>
        <w:tc>
          <w:tcPr>
            <w:tcW w:w="2101"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406"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2071" w:type="dxa"/>
            <w:tcBorders/>
            <w:vAlign w:val="center"/>
          </w:tcPr>
          <w:p>
            <w:pPr>
              <w:pStyle w:val="TableContents"/>
              <w:bidi w:val="0"/>
              <w:spacing w:before="40" w:after="283"/>
              <w:jc w:val="left"/>
              <w:rPr>
                <w:rFonts w:ascii="Times New Roman" w:hAnsi="Times New Roman"/>
                <w:b w:val="false"/>
                <w:color w:val="000000"/>
                <w:sz w:val="20"/>
              </w:rPr>
            </w:pPr>
            <w:r>
              <w:rPr>
                <w:rFonts w:ascii="Times New Roman" w:hAnsi="Times New Roman"/>
                <w:b w:val="false"/>
                <w:color w:val="000000"/>
                <w:sz w:val="20"/>
              </w:rPr>
              <w:t>Joshua Easterly</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tslx-ex31_2.htm"/>
      <w:bookmarkStart w:id="25" w:name="kstslxex31_2"/>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CFO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Ian Simmonds,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(1) I have reviewed this quarterly report on Form 10-Q of Sixth Street Specialty Lending, Inc.;</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4810" w:type="dxa"/>
        <w:jc w:val="left"/>
        <w:tblInd w:w="0" w:type="dxa"/>
        <w:tblLayout w:type="fixed"/>
        <w:tblCellMar>
          <w:top w:w="28" w:type="dxa"/>
          <w:left w:w="28" w:type="dxa"/>
          <w:bottom w:w="28" w:type="dxa"/>
          <w:right w:w="28" w:type="dxa"/>
        </w:tblCellMar>
      </w:tblPr>
      <w:tblGrid>
        <w:gridCol w:w="2101"/>
        <w:gridCol w:w="146"/>
        <w:gridCol w:w="406"/>
        <w:gridCol w:w="146"/>
        <w:gridCol w:w="201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20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Ian Simmonds</w:t>
            </w:r>
          </w:p>
        </w:tc>
      </w:tr>
      <w:tr>
        <w:trPr/>
        <w:tc>
          <w:tcPr>
            <w:tcW w:w="2101"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406"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2011" w:type="dxa"/>
            <w:tcBorders/>
            <w:vAlign w:val="center"/>
          </w:tcPr>
          <w:p>
            <w:pPr>
              <w:pStyle w:val="TableContents"/>
              <w:bidi w:val="0"/>
              <w:spacing w:before="40" w:after="283"/>
              <w:jc w:val="left"/>
              <w:rPr>
                <w:rFonts w:ascii="Times New Roman" w:hAnsi="Times New Roman"/>
                <w:b w:val="false"/>
                <w:color w:val="000000"/>
                <w:sz w:val="20"/>
              </w:rPr>
            </w:pPr>
            <w:r>
              <w:rPr>
                <w:rFonts w:ascii="Times New Roman" w:hAnsi="Times New Roman"/>
                <w:b w:val="false"/>
                <w:color w:val="000000"/>
                <w:sz w:val="20"/>
              </w:rPr>
              <w:t>Ian Simmonds</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6" w:name="tslx-ex32.htm"/>
      <w:bookmarkStart w:id="27" w:name="kstslxex32"/>
      <w:bookmarkEnd w:id="26"/>
      <w:bookmarkEnd w:id="27"/>
      <w:r>
        <w:rPr>
          <w:rFonts w:ascii="Times New Roman" w:hAnsi="Times New Roman"/>
          <w:b/>
          <w:color w:val="000000"/>
          <w:sz w:val="20"/>
        </w:rPr>
        <w:t>Exhibit 32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CEO and CFO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quarterly report on Form 10-Q of Sixth Street Specialty Lending, Inc. (the “Company”) for the quarterly period ended September 30, 2023,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tbl>
      <w:tblPr>
        <w:tblW w:w="2863" w:type="dxa"/>
        <w:jc w:val="left"/>
        <w:tblInd w:w="0" w:type="dxa"/>
        <w:tblLayout w:type="fixed"/>
        <w:tblCellMar>
          <w:top w:w="28" w:type="dxa"/>
          <w:left w:w="28" w:type="dxa"/>
          <w:bottom w:w="28" w:type="dxa"/>
          <w:right w:w="28" w:type="dxa"/>
        </w:tblCellMar>
      </w:tblPr>
      <w:tblGrid>
        <w:gridCol w:w="646"/>
        <w:gridCol w:w="146"/>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Joshua Easterly</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14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Joshua Easterly</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14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14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2, 2023</w:t>
            </w:r>
          </w:p>
        </w:tc>
      </w:tr>
    </w:tbl>
    <w:tbl>
      <w:tblPr>
        <w:tblW w:w="2803" w:type="dxa"/>
        <w:jc w:val="left"/>
        <w:tblInd w:w="0" w:type="dxa"/>
        <w:tblLayout w:type="fixed"/>
        <w:tblCellMar>
          <w:top w:w="28" w:type="dxa"/>
          <w:left w:w="28" w:type="dxa"/>
          <w:bottom w:w="28" w:type="dxa"/>
          <w:right w:w="28" w:type="dxa"/>
        </w:tblCellMar>
      </w:tblPr>
      <w:tblGrid>
        <w:gridCol w:w="646"/>
        <w:gridCol w:w="146"/>
        <w:gridCol w:w="20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Ian Simmonds</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Ian Simmonds</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2, 2023</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The foregoing certification is being furnished solely pursuant to 18 U.S.C. §1350 and is not being filed as part of the Report or as a separate disclosure document.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08655/000119312523188221/d534568d8ka.htm" TargetMode="External"/><Relationship Id="rId3" Type="http://schemas.openxmlformats.org/officeDocument/2006/relationships/hyperlink" Target="https://www.sec.gov/ix?doc=/Archives/edgar/data/1508655/000119312523188221/d534568d8ka.htm" TargetMode="External"/><Relationship Id="rId4" Type="http://schemas.openxmlformats.org/officeDocument/2006/relationships/hyperlink" Target="https://www.sec.gov/Archives/edgar/data/1508655/000119312518016134/d428064dex41.htm" TargetMode="External"/><Relationship Id="rId5" Type="http://schemas.openxmlformats.org/officeDocument/2006/relationships/hyperlink" Target="https://www.sec.gov/Archives/edgar/data/1508655/000119312523212327/d480136dex42.htm" TargetMode="External"/><Relationship Id="rId6" Type="http://schemas.openxmlformats.org/officeDocument/2006/relationships/hyperlink" Target="https://www.sec.gov/Archives/edgar/data/1508655/000119312523212327/d480136dex42.htm" TargetMode="External"/><Relationship Id="rId7" Type="http://schemas.openxmlformats.org/officeDocument/2006/relationships/hyperlink" Target="https://www.sec.gov/Archives/edgar/data/1508655/000119312523212327/d480136dex4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48210</Words>
  <Characters>258755</Characters>
  <CharactersWithSpaces>312947</CharactersWithSpaces>
  <Paragraphs>21466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