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193675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jc w:val="center"/>
        <w:ind w:right="-45"/>
        <w:spacing w:after="0"/>
        <w:rPr>
          <w:sz w:val="20"/>
          <w:szCs w:val="20"/>
          <w:color w:val="auto"/>
        </w:rPr>
      </w:pPr>
      <w:r>
        <w:rPr>
          <w:rFonts w:ascii="Arial" w:cs="Arial" w:eastAsia="Arial" w:hAnsi="Arial"/>
          <w:sz w:val="28"/>
          <w:szCs w:val="28"/>
          <w:b w:val="1"/>
          <w:bCs w:val="1"/>
          <w:color w:val="auto"/>
        </w:rPr>
        <w:t>UNITED STATES</w:t>
      </w:r>
    </w:p>
    <w:p>
      <w:pPr>
        <w:spacing w:after="0" w:line="24" w:lineRule="exact"/>
        <w:rPr>
          <w:sz w:val="24"/>
          <w:szCs w:val="24"/>
          <w:color w:val="auto"/>
        </w:rPr>
      </w:pPr>
    </w:p>
    <w:p>
      <w:pPr>
        <w:jc w:val="center"/>
        <w:ind w:right="-4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191770</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5"/>
        <w:spacing w:after="0"/>
        <w:rPr>
          <w:sz w:val="20"/>
          <w:szCs w:val="20"/>
          <w:color w:val="auto"/>
        </w:rPr>
      </w:pPr>
      <w:r>
        <w:rPr>
          <w:rFonts w:ascii="Arial" w:cs="Arial" w:eastAsia="Arial" w:hAnsi="Arial"/>
          <w:sz w:val="28"/>
          <w:szCs w:val="28"/>
          <w:b w:val="1"/>
          <w:bCs w:val="1"/>
          <w:color w:val="auto"/>
        </w:rPr>
        <w:t>SCHEDULE 14A INFORMATION</w:t>
      </w:r>
    </w:p>
    <w:p>
      <w:pPr>
        <w:spacing w:after="0" w:line="195" w:lineRule="exact"/>
        <w:rPr>
          <w:sz w:val="24"/>
          <w:szCs w:val="24"/>
          <w:color w:val="auto"/>
        </w:rPr>
      </w:pPr>
    </w:p>
    <w:p>
      <w:pPr>
        <w:jc w:val="center"/>
        <w:ind w:right="-45"/>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5" w:lineRule="exact"/>
        <w:rPr>
          <w:sz w:val="24"/>
          <w:szCs w:val="24"/>
          <w:color w:val="auto"/>
        </w:rPr>
      </w:pPr>
    </w:p>
    <w:p>
      <w:pPr>
        <w:jc w:val="center"/>
        <w:ind w:right="-45"/>
        <w:spacing w:after="0"/>
        <w:rPr>
          <w:sz w:val="20"/>
          <w:szCs w:val="20"/>
          <w:color w:val="auto"/>
        </w:rPr>
      </w:pPr>
      <w:r>
        <w:rPr>
          <w:rFonts w:ascii="Arial" w:cs="Arial" w:eastAsia="Arial" w:hAnsi="Arial"/>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199390</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6"/>
        <w:spacing w:after="0" w:line="184" w:lineRule="exact"/>
        <w:tabs>
          <w:tab w:leader="none" w:pos="2766"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20" w:lineRule="exact"/>
        <w:rPr>
          <w:sz w:val="24"/>
          <w:szCs w:val="24"/>
          <w:color w:val="auto"/>
        </w:rPr>
      </w:pPr>
    </w:p>
    <w:p>
      <w:pPr>
        <w:ind w:left="6"/>
        <w:spacing w:after="0"/>
        <w:rPr>
          <w:sz w:val="20"/>
          <w:szCs w:val="20"/>
          <w:color w:val="auto"/>
        </w:rPr>
      </w:pPr>
      <w:r>
        <w:rPr>
          <w:rFonts w:ascii="Arial" w:cs="Arial" w:eastAsia="Arial" w:hAnsi="Arial"/>
          <w:sz w:val="16"/>
          <w:szCs w:val="16"/>
          <w:color w:val="auto"/>
        </w:rPr>
        <w:t>Check the appropriate box:</w:t>
      </w:r>
    </w:p>
    <w:p>
      <w:pPr>
        <w:spacing w:after="0" w:line="110" w:lineRule="exact"/>
        <w:rPr>
          <w:sz w:val="24"/>
          <w:szCs w:val="24"/>
          <w:color w:val="auto"/>
        </w:rPr>
      </w:pPr>
    </w:p>
    <w:p>
      <w:pPr>
        <w:ind w:left="586" w:hanging="586"/>
        <w:spacing w:after="0"/>
        <w:tabs>
          <w:tab w:leader="none" w:pos="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8" w:lineRule="exact"/>
        <w:rPr>
          <w:rFonts w:ascii="MS PGothic" w:cs="MS PGothic" w:eastAsia="MS PGothic" w:hAnsi="MS PGothic"/>
          <w:sz w:val="16"/>
          <w:szCs w:val="16"/>
          <w:color w:val="auto"/>
        </w:rPr>
      </w:pPr>
    </w:p>
    <w:p>
      <w:pPr>
        <w:ind w:left="586" w:hanging="586"/>
        <w:spacing w:after="0"/>
        <w:tabs>
          <w:tab w:leader="none" w:pos="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98" w:lineRule="exact"/>
        <w:rPr>
          <w:rFonts w:ascii="MS PGothic" w:cs="MS PGothic" w:eastAsia="MS PGothic" w:hAnsi="MS PGothic"/>
          <w:sz w:val="16"/>
          <w:szCs w:val="16"/>
          <w:color w:val="auto"/>
        </w:rPr>
      </w:pPr>
    </w:p>
    <w:p>
      <w:pPr>
        <w:ind w:left="586" w:hanging="586"/>
        <w:spacing w:after="0"/>
        <w:tabs>
          <w:tab w:leader="none" w:pos="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98" w:lineRule="exact"/>
        <w:rPr>
          <w:sz w:val="24"/>
          <w:szCs w:val="24"/>
          <w:color w:val="auto"/>
        </w:rPr>
      </w:pPr>
    </w:p>
    <w:p>
      <w:pPr>
        <w:ind w:left="586" w:hanging="586"/>
        <w:spacing w:after="0"/>
        <w:tabs>
          <w:tab w:leader="none" w:pos="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98" w:lineRule="exact"/>
        <w:rPr>
          <w:sz w:val="24"/>
          <w:szCs w:val="24"/>
          <w:color w:val="auto"/>
        </w:rPr>
      </w:pPr>
    </w:p>
    <w:p>
      <w:pPr>
        <w:ind w:left="586" w:hanging="586"/>
        <w:spacing w:after="0"/>
        <w:tabs>
          <w:tab w:leader="none" w:pos="58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57" w:lineRule="exact"/>
        <w:rPr>
          <w:sz w:val="24"/>
          <w:szCs w:val="24"/>
          <w:color w:val="auto"/>
        </w:rPr>
      </w:pPr>
    </w:p>
    <w:p>
      <w:pPr>
        <w:jc w:val="center"/>
        <w:ind w:right="-45"/>
        <w:spacing w:after="0"/>
        <w:rPr>
          <w:sz w:val="20"/>
          <w:szCs w:val="20"/>
          <w:color w:val="auto"/>
        </w:rPr>
      </w:pPr>
      <w:r>
        <w:rPr>
          <w:rFonts w:ascii="Arial" w:cs="Arial" w:eastAsia="Arial" w:hAnsi="Arial"/>
          <w:sz w:val="34"/>
          <w:szCs w:val="34"/>
          <w:b w:val="1"/>
          <w:bCs w:val="1"/>
          <w:color w:val="auto"/>
        </w:rPr>
        <w:t>TICC CAPITAL CORP.</w:t>
      </w:r>
    </w:p>
    <w:p>
      <w:pPr>
        <w:spacing w:after="0" w:line="40"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68"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TPG Specialty Lending, Inc.</w:t>
      </w:r>
    </w:p>
    <w:p>
      <w:pPr>
        <w:spacing w:after="0" w:line="13" w:lineRule="exact"/>
        <w:rPr>
          <w:sz w:val="24"/>
          <w:szCs w:val="24"/>
          <w:color w:val="auto"/>
        </w:rPr>
      </w:pPr>
    </w:p>
    <w:p>
      <w:pPr>
        <w:jc w:val="center"/>
        <w:ind w:right="-45"/>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57" w:lineRule="exact"/>
        <w:rPr>
          <w:sz w:val="24"/>
          <w:szCs w:val="24"/>
          <w:color w:val="auto"/>
        </w:rPr>
      </w:pPr>
    </w:p>
    <w:p>
      <w:pPr>
        <w:ind w:left="6"/>
        <w:spacing w:after="0"/>
        <w:rPr>
          <w:sz w:val="20"/>
          <w:szCs w:val="20"/>
          <w:color w:val="auto"/>
        </w:rPr>
      </w:pPr>
      <w:r>
        <w:rPr>
          <w:rFonts w:ascii="Arial" w:cs="Arial" w:eastAsia="Arial" w:hAnsi="Arial"/>
          <w:sz w:val="16"/>
          <w:szCs w:val="16"/>
          <w:color w:val="auto"/>
        </w:rPr>
        <w:t>Payment of Filing Fee (Check the appropriate box):</w:t>
      </w:r>
    </w:p>
    <w:p>
      <w:pPr>
        <w:spacing w:after="0" w:line="192" w:lineRule="exact"/>
        <w:rPr>
          <w:sz w:val="24"/>
          <w:szCs w:val="24"/>
          <w:color w:val="auto"/>
        </w:rPr>
      </w:pPr>
    </w:p>
    <w:p>
      <w:pPr>
        <w:ind w:left="586" w:hanging="586"/>
        <w:spacing w:after="0"/>
        <w:tabs>
          <w:tab w:leader="none" w:pos="58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not required.</w:t>
      </w:r>
    </w:p>
    <w:p>
      <w:pPr>
        <w:spacing w:after="0" w:line="192" w:lineRule="exact"/>
        <w:rPr>
          <w:sz w:val="24"/>
          <w:szCs w:val="24"/>
          <w:color w:val="auto"/>
        </w:rPr>
      </w:pPr>
    </w:p>
    <w:p>
      <w:pPr>
        <w:ind w:left="586" w:hanging="586"/>
        <w:spacing w:after="0"/>
        <w:tabs>
          <w:tab w:leader="none" w:pos="58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2" w:lineRule="exact"/>
        <w:rPr>
          <w:rFonts w:ascii="MS PGothic" w:cs="MS PGothic" w:eastAsia="MS PGothic" w:hAnsi="MS PGothic"/>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line="265" w:lineRule="auto"/>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586" w:hanging="586"/>
        <w:spacing w:after="0"/>
        <w:tabs>
          <w:tab w:leader="none" w:pos="58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86" w:lineRule="exact"/>
        <w:rPr>
          <w:rFonts w:ascii="MS PGothic" w:cs="MS PGothic" w:eastAsia="MS PGothic" w:hAnsi="MS PGothic"/>
          <w:sz w:val="16"/>
          <w:szCs w:val="16"/>
          <w:color w:val="auto"/>
        </w:rPr>
      </w:pPr>
    </w:p>
    <w:p>
      <w:pPr>
        <w:ind w:left="586" w:right="160" w:hanging="586"/>
        <w:spacing w:after="0" w:line="265" w:lineRule="auto"/>
        <w:tabs>
          <w:tab w:leader="none" w:pos="58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2" w:lineRule="exact"/>
        <w:rPr>
          <w:rFonts w:ascii="MS PGothic" w:cs="MS PGothic" w:eastAsia="MS PGothic" w:hAnsi="MS PGothic"/>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6" w:hanging="570"/>
        <w:spacing w:after="0"/>
        <w:tabs>
          <w:tab w:leader="none" w:pos="1146"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-3856355</wp:posOffset>
            </wp:positionV>
            <wp:extent cx="6532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-3467735</wp:posOffset>
            </wp:positionV>
            <wp:extent cx="6532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-2960370</wp:posOffset>
            </wp:positionV>
            <wp:extent cx="65328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-2571750</wp:posOffset>
            </wp:positionV>
            <wp:extent cx="6532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-2183765</wp:posOffset>
            </wp:positionV>
            <wp:extent cx="65328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-899795</wp:posOffset>
            </wp:positionV>
            <wp:extent cx="65328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-511175</wp:posOffset>
            </wp:positionV>
            <wp:extent cx="65328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-123190</wp:posOffset>
            </wp:positionV>
            <wp:extent cx="65328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264160</wp:posOffset>
            </wp:positionV>
            <wp:extent cx="65328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2880" cy="762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left="6"/>
        <w:spacing w:after="0" w:line="342" w:lineRule="auto"/>
        <w:rPr>
          <w:sz w:val="20"/>
          <w:szCs w:val="20"/>
          <w:color w:val="auto"/>
        </w:rPr>
      </w:pPr>
      <w:r>
        <w:rPr>
          <w:rFonts w:ascii="Arial" w:cs="Arial" w:eastAsia="Arial" w:hAnsi="Arial"/>
          <w:sz w:val="13"/>
          <w:szCs w:val="13"/>
          <w:color w:val="auto"/>
        </w:rPr>
        <w:t>TPG Specialty Lending, Inc. (“TSLX”) has filed a definitive proxy statement with the Securities and Exchange Commission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13" w:lineRule="exact"/>
        <w:rPr>
          <w:sz w:val="24"/>
          <w:szCs w:val="24"/>
          <w:color w:val="auto"/>
        </w:rPr>
      </w:pPr>
    </w:p>
    <w:p>
      <w:pPr>
        <w:ind w:left="6"/>
        <w:spacing w:after="0" w:line="382" w:lineRule="auto"/>
        <w:rPr>
          <w:sz w:val="20"/>
          <w:szCs w:val="20"/>
          <w:color w:val="auto"/>
        </w:rPr>
      </w:pPr>
      <w:r>
        <w:rPr>
          <w:rFonts w:ascii="Arial" w:cs="Arial" w:eastAsia="Arial" w:hAnsi="Arial"/>
          <w:sz w:val="13"/>
          <w:szCs w:val="13"/>
          <w:color w:val="auto"/>
        </w:rPr>
        <w:t>On October 7, 2015, representatives of TSLX gave a presentation to representatives of Institutional Shareholder Services Inc. (“ISS”) regarding the Company (the “ISS Presentation”). A revised version of the ISS Presentation was submitted to ISS on October 13, 2015, along with additional materials. A copy of the new materials and the revised ISS</w:t>
      </w:r>
    </w:p>
    <w:p>
      <w:pPr>
        <w:sectPr>
          <w:pgSz w:w="11900" w:h="16864" w:orient="portrait"/>
          <w:cols w:equalWidth="0" w:num="1">
            <w:col w:w="11386"/>
          </w:cols>
          <w:pgMar w:left="234" w:top="467" w:right="27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Presentation are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44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211455</wp:posOffset>
            </wp:positionV>
            <wp:extent cx="72644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Arial" w:cs="Arial" w:eastAsia="Arial" w:hAnsi="Arial"/>
          <w:sz w:val="55"/>
          <w:szCs w:val="55"/>
          <w:color w:val="FEFFFF"/>
        </w:rPr>
        <w:t>TPG Specialty Lending Proposal</w:t>
      </w: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34"/>
          <w:szCs w:val="34"/>
          <w:color w:val="E1D5DB"/>
        </w:rPr>
        <w:t>The Right and Value Maximizing Choice for TICC Stockholders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8"/>
          <w:szCs w:val="28"/>
          <w:color w:val="DDD7DF"/>
        </w:rPr>
        <w:t>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http://www.tpgspecialtylending.com/</w:t>
      </w:r>
    </w:p>
    <w:p>
      <w:pPr>
        <w:sectPr>
          <w:pgSz w:w="11900" w:h="16838" w:orient="portrait"/>
          <w:cols w:equalWidth="0" w:num="1">
            <w:col w:w="10040"/>
          </w:cols>
          <w:pgMar w:left="940" w:top="1440" w:right="919" w:bottom="1440" w:gutter="0" w:footer="0" w:header="0"/>
        </w:sectPr>
      </w:pPr>
    </w:p>
    <w:bookmarkStart w:id="3" w:name="page4"/>
    <w:bookmarkEnd w:id="3"/>
    <w:p>
      <w:pPr>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Forward-Looking Statement</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Forward-Looking Statements</w:t>
      </w:r>
    </w:p>
    <w:p>
      <w:pPr>
        <w:spacing w:after="0" w:line="149" w:lineRule="exact"/>
        <w:rPr>
          <w:sz w:val="20"/>
          <w:szCs w:val="20"/>
          <w:color w:val="auto"/>
        </w:rPr>
      </w:pPr>
    </w:p>
    <w:p>
      <w:pPr>
        <w:ind w:left="20" w:right="860"/>
        <w:spacing w:after="0" w:line="282" w:lineRule="auto"/>
        <w:rPr>
          <w:sz w:val="20"/>
          <w:szCs w:val="20"/>
          <w:color w:val="auto"/>
        </w:rPr>
      </w:pPr>
      <w:r>
        <w:rPr>
          <w:rFonts w:ascii="Arial" w:cs="Arial" w:eastAsia="Arial" w:hAnsi="Arial"/>
          <w:sz w:val="14"/>
          <w:szCs w:val="14"/>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w:t>
      </w:r>
    </w:p>
    <w:p>
      <w:pPr>
        <w:spacing w:after="0" w:line="2" w:lineRule="exact"/>
        <w:rPr>
          <w:sz w:val="20"/>
          <w:szCs w:val="20"/>
          <w:color w:val="auto"/>
        </w:rPr>
      </w:pPr>
    </w:p>
    <w:p>
      <w:pPr>
        <w:ind w:left="20" w:right="160"/>
        <w:spacing w:after="0" w:line="261" w:lineRule="auto"/>
        <w:rPr>
          <w:sz w:val="20"/>
          <w:szCs w:val="20"/>
          <w:color w:val="auto"/>
        </w:rPr>
      </w:pPr>
      <w:r>
        <w:rPr>
          <w:rFonts w:ascii="Arial" w:cs="Arial" w:eastAsia="Arial" w:hAnsi="Arial"/>
          <w:sz w:val="15"/>
          <w:szCs w:val="15"/>
          <w:color w:val="auto"/>
        </w:rPr>
        <w:t>strategy, budgets, capital expenditures, competitive positions, growth opportunities, plans and objectives of management, and statements containing the words such as “anticipate,” “approximate,” “believe,” “plan,” “estimate,” “expect,” “project,” “could,” “would,” “should,” “will,” “intend,” “may,”</w:t>
      </w:r>
    </w:p>
    <w:p>
      <w:pPr>
        <w:spacing w:after="0" w:line="1" w:lineRule="exact"/>
        <w:rPr>
          <w:sz w:val="20"/>
          <w:szCs w:val="20"/>
          <w:color w:val="auto"/>
        </w:rPr>
      </w:pPr>
    </w:p>
    <w:p>
      <w:pPr>
        <w:ind w:left="20" w:right="1280"/>
        <w:spacing w:after="0" w:line="269" w:lineRule="auto"/>
        <w:rPr>
          <w:sz w:val="20"/>
          <w:szCs w:val="20"/>
          <w:color w:val="auto"/>
        </w:rPr>
      </w:pPr>
      <w:r>
        <w:rPr>
          <w:rFonts w:ascii="Arial" w:cs="Arial" w:eastAsia="Arial" w:hAnsi="Arial"/>
          <w:sz w:val="15"/>
          <w:szCs w:val="15"/>
          <w:color w:val="auto"/>
        </w:rPr>
        <w:t>“potential,”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02" w:lineRule="exact"/>
        <w:rPr>
          <w:sz w:val="20"/>
          <w:szCs w:val="20"/>
          <w:color w:val="auto"/>
        </w:rPr>
      </w:pPr>
    </w:p>
    <w:p>
      <w:pPr>
        <w:ind w:left="20" w:right="1260"/>
        <w:spacing w:after="0" w:line="290" w:lineRule="auto"/>
        <w:rPr>
          <w:sz w:val="20"/>
          <w:szCs w:val="20"/>
          <w:color w:val="auto"/>
        </w:rPr>
      </w:pPr>
      <w:r>
        <w:rPr>
          <w:rFonts w:ascii="Arial" w:cs="Arial" w:eastAsia="Arial" w:hAnsi="Arial"/>
          <w:sz w:val="14"/>
          <w:szCs w:val="14"/>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Risks and uncertainties related to the proposed transaction include, among others, uncertainty as to whether TSLX will further pursue, enter into or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consummate the transaction on the terms set forth in the proposal or on other terms, potential adverse reactions or changes to business relationships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resulting from the announcement or completion of the transaction, uncertainties as to the timing of the transaction, adverse effects on TSLX’s stock price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resulting from the announcement or consummation of the transaction or any failure to complete the transaction, competitive responses to the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announcement or consummation of the transaction, the risk that regulatory or other approvals and any financing required in connection with the</w:t>
      </w:r>
    </w:p>
    <w:p>
      <w:pPr>
        <w:spacing w:after="0" w:line="16" w:lineRule="exact"/>
        <w:rPr>
          <w:sz w:val="20"/>
          <w:szCs w:val="20"/>
          <w:color w:val="auto"/>
        </w:rPr>
      </w:pPr>
    </w:p>
    <w:p>
      <w:pPr>
        <w:ind w:left="20"/>
        <w:spacing w:after="0"/>
        <w:tabs>
          <w:tab w:leader="none" w:pos="1080" w:val="left"/>
          <w:tab w:leader="none" w:pos="2340" w:val="left"/>
          <w:tab w:leader="none" w:pos="3500" w:val="left"/>
          <w:tab w:leader="none" w:pos="4580" w:val="left"/>
          <w:tab w:leader="none" w:pos="6800" w:val="left"/>
          <w:tab w:leader="none" w:pos="8480" w:val="left"/>
          <w:tab w:leader="none" w:pos="9940" w:val="left"/>
        </w:tabs>
        <w:rPr>
          <w:sz w:val="20"/>
          <w:szCs w:val="20"/>
          <w:color w:val="auto"/>
        </w:rPr>
      </w:pPr>
      <w:r>
        <w:rPr>
          <w:rFonts w:ascii="Arial" w:cs="Arial" w:eastAsia="Arial" w:hAnsi="Arial"/>
          <w:sz w:val="15"/>
          <w:szCs w:val="15"/>
          <w:color w:val="auto"/>
        </w:rPr>
        <w:t>consummation</w:t>
        <w:tab/>
        <w:t>of the transaction</w:t>
        <w:tab/>
        <w:t>are not obtained</w:t>
        <w:tab/>
        <w:t>or are obtained</w:t>
        <w:tab/>
        <w:t>subject to terms and conditions</w:t>
        <w:tab/>
        <w:t>that are not anticipated,</w:t>
        <w:tab/>
        <w:t>costs and difficulties</w:t>
      </w:r>
      <w:r>
        <w:rPr>
          <w:sz w:val="20"/>
          <w:szCs w:val="20"/>
          <w:color w:val="auto"/>
        </w:rPr>
        <w:tab/>
      </w:r>
      <w:r>
        <w:rPr>
          <w:rFonts w:ascii="Arial" w:cs="Arial" w:eastAsia="Arial" w:hAnsi="Arial"/>
          <w:sz w:val="13"/>
          <w:szCs w:val="13"/>
          <w:color w:val="auto"/>
        </w:rPr>
        <w:t>related to</w:t>
      </w:r>
    </w:p>
    <w:p>
      <w:pPr>
        <w:spacing w:after="0" w:line="16" w:lineRule="exact"/>
        <w:rPr>
          <w:sz w:val="20"/>
          <w:szCs w:val="20"/>
          <w:color w:val="auto"/>
        </w:rPr>
      </w:pPr>
    </w:p>
    <w:p>
      <w:pPr>
        <w:ind w:left="20"/>
        <w:spacing w:after="0"/>
        <w:tabs>
          <w:tab w:leader="none" w:pos="1080" w:val="left"/>
          <w:tab w:leader="none" w:pos="2540" w:val="left"/>
          <w:tab w:leader="none" w:pos="3620" w:val="left"/>
          <w:tab w:leader="none" w:pos="5280" w:val="left"/>
          <w:tab w:leader="none" w:pos="6400" w:val="left"/>
          <w:tab w:leader="none" w:pos="7280" w:val="left"/>
          <w:tab w:leader="none" w:pos="9540" w:val="left"/>
        </w:tabs>
        <w:rPr>
          <w:sz w:val="20"/>
          <w:szCs w:val="20"/>
          <w:color w:val="auto"/>
        </w:rPr>
      </w:pPr>
      <w:r>
        <w:rPr>
          <w:rFonts w:ascii="Arial" w:cs="Arial" w:eastAsia="Arial" w:hAnsi="Arial"/>
          <w:sz w:val="15"/>
          <w:szCs w:val="15"/>
          <w:color w:val="auto"/>
        </w:rPr>
        <w:t>the integration</w:t>
        <w:tab/>
        <w:t>of TICC’s businesses</w:t>
        <w:tab/>
        <w:t>and operations</w:t>
        <w:tab/>
        <w:t>with TSLX’s businesses</w:t>
        <w:tab/>
        <w:t>and operations,</w:t>
        <w:tab/>
        <w:t>the inability</w:t>
        <w:tab/>
        <w:t>to obtain,  or delays in obtaining,</w:t>
      </w:r>
      <w:r>
        <w:rPr>
          <w:sz w:val="20"/>
          <w:szCs w:val="20"/>
          <w:color w:val="auto"/>
        </w:rPr>
        <w:tab/>
      </w:r>
      <w:r>
        <w:rPr>
          <w:rFonts w:ascii="Arial" w:cs="Arial" w:eastAsia="Arial" w:hAnsi="Arial"/>
          <w:sz w:val="14"/>
          <w:szCs w:val="14"/>
          <w:color w:val="auto"/>
        </w:rPr>
        <w:t>cost savings</w:t>
      </w:r>
    </w:p>
    <w:p>
      <w:pPr>
        <w:spacing w:after="0" w:line="16" w:lineRule="exact"/>
        <w:rPr>
          <w:sz w:val="20"/>
          <w:szCs w:val="20"/>
          <w:color w:val="auto"/>
        </w:rPr>
      </w:pPr>
    </w:p>
    <w:p>
      <w:pPr>
        <w:ind w:left="20" w:right="1460"/>
        <w:spacing w:after="0" w:line="283" w:lineRule="auto"/>
        <w:rPr>
          <w:sz w:val="20"/>
          <w:szCs w:val="20"/>
          <w:color w:val="auto"/>
        </w:rPr>
      </w:pPr>
      <w:r>
        <w:rPr>
          <w:rFonts w:ascii="Arial" w:cs="Arial" w:eastAsia="Arial" w:hAnsi="Arial"/>
          <w:sz w:val="15"/>
          <w:szCs w:val="15"/>
          <w:color w:val="auto"/>
        </w:rPr>
        <w:t>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93" w:lineRule="exact"/>
        <w:rPr>
          <w:sz w:val="20"/>
          <w:szCs w:val="20"/>
          <w:color w:val="auto"/>
        </w:rPr>
      </w:pPr>
    </w:p>
    <w:p>
      <w:pPr>
        <w:ind w:left="20" w:right="1340"/>
        <w:spacing w:after="0" w:line="291" w:lineRule="auto"/>
        <w:rPr>
          <w:sz w:val="20"/>
          <w:szCs w:val="20"/>
          <w:color w:val="auto"/>
        </w:rPr>
      </w:pPr>
      <w:r>
        <w:rPr>
          <w:rFonts w:ascii="Arial" w:cs="Arial" w:eastAsia="Arial" w:hAnsi="Arial"/>
          <w:sz w:val="15"/>
          <w:szCs w:val="15"/>
          <w:color w:val="auto"/>
        </w:rPr>
        <w:t>In addition to these factors, other factors that may affect TSLX’s plans, results or stock price are set forth in TSLX’s Annual Report on Form 10-K and in its reports on Forms 10-Q and 8-K.</w:t>
      </w:r>
    </w:p>
    <w:p>
      <w:pPr>
        <w:spacing w:after="0" w:line="87" w:lineRule="exact"/>
        <w:rPr>
          <w:sz w:val="20"/>
          <w:szCs w:val="20"/>
          <w:color w:val="auto"/>
        </w:rPr>
      </w:pPr>
    </w:p>
    <w:p>
      <w:pPr>
        <w:ind w:left="20" w:right="1340"/>
        <w:spacing w:after="0" w:line="276" w:lineRule="auto"/>
        <w:rPr>
          <w:sz w:val="20"/>
          <w:szCs w:val="20"/>
          <w:color w:val="auto"/>
        </w:rPr>
      </w:pPr>
      <w:r>
        <w:rPr>
          <w:rFonts w:ascii="Arial" w:cs="Arial" w:eastAsia="Arial" w:hAnsi="Arial"/>
          <w:sz w:val="15"/>
          <w:szCs w:val="15"/>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5620" w:type="dxa"/>
            <w:vAlign w:val="bottom"/>
          </w:tcPr>
          <w:p>
            <w:pPr>
              <w:spacing w:after="0"/>
              <w:rPr>
                <w:sz w:val="20"/>
                <w:szCs w:val="20"/>
                <w:color w:val="auto"/>
              </w:rPr>
            </w:pPr>
            <w:r>
              <w:rPr>
                <w:rFonts w:ascii="Arial" w:cs="Arial" w:eastAsia="Arial" w:hAnsi="Arial"/>
                <w:sz w:val="11"/>
                <w:szCs w:val="11"/>
                <w:color w:val="auto"/>
              </w:rPr>
              <w:t>TSLX (NYSE)</w:t>
            </w:r>
          </w:p>
        </w:tc>
        <w:tc>
          <w:tcPr>
            <w:tcW w:w="5020" w:type="dxa"/>
            <w:vAlign w:val="bottom"/>
          </w:tcPr>
          <w:p>
            <w:pPr>
              <w:jc w:val="right"/>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0740"/>
          </w:cols>
          <w:pgMar w:left="660" w:top="464" w:right="49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Third Party-Sourced Statements and Information | Proxy Solicitation Information</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Third Party-Sourced Statements and Information</w:t>
      </w:r>
    </w:p>
    <w:p>
      <w:pPr>
        <w:spacing w:after="0" w:line="149" w:lineRule="exact"/>
        <w:rPr>
          <w:sz w:val="20"/>
          <w:szCs w:val="20"/>
          <w:color w:val="auto"/>
        </w:rPr>
      </w:pPr>
    </w:p>
    <w:p>
      <w:pPr>
        <w:ind w:left="20" w:right="1480"/>
        <w:spacing w:after="0" w:line="305" w:lineRule="auto"/>
        <w:rPr>
          <w:sz w:val="20"/>
          <w:szCs w:val="20"/>
          <w:color w:val="auto"/>
        </w:rPr>
      </w:pPr>
      <w:r>
        <w:rPr>
          <w:rFonts w:ascii="Arial" w:cs="Arial" w:eastAsia="Arial" w:hAnsi="Arial"/>
          <w:sz w:val="13"/>
          <w:szCs w:val="13"/>
          <w:color w:val="auto"/>
        </w:rPr>
        <w:t>Certain statements and information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w:t>
      </w:r>
    </w:p>
    <w:tbl>
      <w:tblPr>
        <w:tblLayout w:type="fixed"/>
        <w:tblInd w:w="2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5"/>
                <w:szCs w:val="15"/>
                <w:color w:val="auto"/>
              </w:rPr>
              <w:t>support</w:t>
            </w:r>
          </w:p>
        </w:tc>
        <w:tc>
          <w:tcPr>
            <w:tcW w:w="400" w:type="dxa"/>
            <w:vAlign w:val="bottom"/>
          </w:tcPr>
          <w:p>
            <w:pPr>
              <w:ind w:left="20"/>
              <w:spacing w:after="0"/>
              <w:rPr>
                <w:sz w:val="20"/>
                <w:szCs w:val="20"/>
                <w:color w:val="auto"/>
              </w:rPr>
            </w:pPr>
            <w:r>
              <w:rPr>
                <w:rFonts w:ascii="Arial" w:cs="Arial" w:eastAsia="Arial" w:hAnsi="Arial"/>
                <w:sz w:val="15"/>
                <w:szCs w:val="15"/>
                <w:color w:val="auto"/>
              </w:rPr>
              <w:t>from</w:t>
            </w:r>
          </w:p>
        </w:tc>
        <w:tc>
          <w:tcPr>
            <w:tcW w:w="1760" w:type="dxa"/>
            <w:vAlign w:val="bottom"/>
            <w:gridSpan w:val="3"/>
          </w:tcPr>
          <w:p>
            <w:pPr>
              <w:spacing w:after="0"/>
              <w:rPr>
                <w:sz w:val="20"/>
                <w:szCs w:val="20"/>
                <w:color w:val="auto"/>
              </w:rPr>
            </w:pPr>
            <w:r>
              <w:rPr>
                <w:rFonts w:ascii="Arial" w:cs="Arial" w:eastAsia="Arial" w:hAnsi="Arial"/>
                <w:sz w:val="15"/>
                <w:szCs w:val="15"/>
                <w:color w:val="auto"/>
              </w:rPr>
              <w:t>such third  parties  for the</w:t>
            </w:r>
          </w:p>
        </w:tc>
        <w:tc>
          <w:tcPr>
            <w:tcW w:w="380" w:type="dxa"/>
            <w:vAlign w:val="bottom"/>
          </w:tcPr>
          <w:p>
            <w:pPr>
              <w:jc w:val="right"/>
              <w:spacing w:after="0"/>
              <w:rPr>
                <w:sz w:val="20"/>
                <w:szCs w:val="20"/>
                <w:color w:val="auto"/>
              </w:rPr>
            </w:pPr>
            <w:r>
              <w:rPr>
                <w:rFonts w:ascii="Arial" w:cs="Arial" w:eastAsia="Arial" w:hAnsi="Arial"/>
                <w:sz w:val="15"/>
                <w:szCs w:val="15"/>
                <w:color w:val="auto"/>
                <w:w w:val="90"/>
              </w:rPr>
              <w:t>views</w:t>
            </w:r>
          </w:p>
        </w:tc>
        <w:tc>
          <w:tcPr>
            <w:tcW w:w="780" w:type="dxa"/>
            <w:vAlign w:val="bottom"/>
          </w:tcPr>
          <w:p>
            <w:pPr>
              <w:ind w:left="80"/>
              <w:spacing w:after="0"/>
              <w:rPr>
                <w:sz w:val="20"/>
                <w:szCs w:val="20"/>
                <w:color w:val="auto"/>
              </w:rPr>
            </w:pPr>
            <w:r>
              <w:rPr>
                <w:rFonts w:ascii="Arial" w:cs="Arial" w:eastAsia="Arial" w:hAnsi="Arial"/>
                <w:sz w:val="15"/>
                <w:szCs w:val="15"/>
                <w:color w:val="auto"/>
                <w:w w:val="98"/>
              </w:rPr>
              <w:t>expressed</w:t>
            </w:r>
          </w:p>
        </w:tc>
        <w:tc>
          <w:tcPr>
            <w:tcW w:w="1680" w:type="dxa"/>
            <w:vAlign w:val="bottom"/>
            <w:gridSpan w:val="5"/>
          </w:tcPr>
          <w:p>
            <w:pPr>
              <w:ind w:left="20"/>
              <w:spacing w:after="0"/>
              <w:rPr>
                <w:sz w:val="20"/>
                <w:szCs w:val="20"/>
                <w:color w:val="auto"/>
              </w:rPr>
            </w:pPr>
            <w:r>
              <w:rPr>
                <w:rFonts w:ascii="Arial" w:cs="Arial" w:eastAsia="Arial" w:hAnsi="Arial"/>
                <w:sz w:val="15"/>
                <w:szCs w:val="15"/>
                <w:color w:val="auto"/>
              </w:rPr>
              <w:t>herein.  All information</w:t>
            </w:r>
          </w:p>
        </w:tc>
        <w:tc>
          <w:tcPr>
            <w:tcW w:w="440" w:type="dxa"/>
            <w:vAlign w:val="bottom"/>
          </w:tcPr>
          <w:p>
            <w:pPr>
              <w:ind w:left="20"/>
              <w:spacing w:after="0"/>
              <w:rPr>
                <w:sz w:val="20"/>
                <w:szCs w:val="20"/>
                <w:color w:val="auto"/>
              </w:rPr>
            </w:pPr>
            <w:r>
              <w:rPr>
                <w:rFonts w:ascii="Arial" w:cs="Arial" w:eastAsia="Arial" w:hAnsi="Arial"/>
                <w:sz w:val="15"/>
                <w:szCs w:val="15"/>
                <w:color w:val="auto"/>
              </w:rPr>
              <w:t>in this</w:t>
            </w:r>
          </w:p>
        </w:tc>
        <w:tc>
          <w:tcPr>
            <w:tcW w:w="1020" w:type="dxa"/>
            <w:vAlign w:val="bottom"/>
            <w:gridSpan w:val="2"/>
          </w:tcPr>
          <w:p>
            <w:pPr>
              <w:ind w:left="40"/>
              <w:spacing w:after="0"/>
              <w:rPr>
                <w:sz w:val="20"/>
                <w:szCs w:val="20"/>
                <w:color w:val="auto"/>
              </w:rPr>
            </w:pPr>
            <w:r>
              <w:rPr>
                <w:rFonts w:ascii="Arial" w:cs="Arial" w:eastAsia="Arial" w:hAnsi="Arial"/>
                <w:sz w:val="15"/>
                <w:szCs w:val="15"/>
                <w:color w:val="auto"/>
                <w:w w:val="95"/>
              </w:rPr>
              <w:t>communication</w:t>
            </w:r>
          </w:p>
        </w:tc>
        <w:tc>
          <w:tcPr>
            <w:tcW w:w="820" w:type="dxa"/>
            <w:vAlign w:val="bottom"/>
            <w:gridSpan w:val="2"/>
          </w:tcPr>
          <w:p>
            <w:pPr>
              <w:ind w:left="160"/>
              <w:spacing w:after="0"/>
              <w:rPr>
                <w:sz w:val="20"/>
                <w:szCs w:val="20"/>
                <w:color w:val="auto"/>
              </w:rPr>
            </w:pPr>
            <w:r>
              <w:rPr>
                <w:rFonts w:ascii="Arial" w:cs="Arial" w:eastAsia="Arial" w:hAnsi="Arial"/>
                <w:sz w:val="15"/>
                <w:szCs w:val="15"/>
                <w:color w:val="auto"/>
              </w:rPr>
              <w:t>regarding</w:t>
            </w:r>
          </w:p>
        </w:tc>
        <w:tc>
          <w:tcPr>
            <w:tcW w:w="1180" w:type="dxa"/>
            <w:vAlign w:val="bottom"/>
            <w:gridSpan w:val="3"/>
          </w:tcPr>
          <w:p>
            <w:pPr>
              <w:ind w:left="60"/>
              <w:spacing w:after="0"/>
              <w:rPr>
                <w:sz w:val="20"/>
                <w:szCs w:val="20"/>
                <w:color w:val="auto"/>
              </w:rPr>
            </w:pPr>
            <w:r>
              <w:rPr>
                <w:rFonts w:ascii="Arial" w:cs="Arial" w:eastAsia="Arial" w:hAnsi="Arial"/>
                <w:sz w:val="15"/>
                <w:szCs w:val="15"/>
                <w:color w:val="auto"/>
              </w:rPr>
              <w:t>TICC, including</w:t>
            </w:r>
          </w:p>
        </w:tc>
        <w:tc>
          <w:tcPr>
            <w:tcW w:w="1500" w:type="dxa"/>
            <w:vAlign w:val="bottom"/>
          </w:tcPr>
          <w:p>
            <w:pPr>
              <w:jc w:val="right"/>
              <w:ind w:right="504"/>
              <w:spacing w:after="0"/>
              <w:rPr>
                <w:sz w:val="20"/>
                <w:szCs w:val="20"/>
                <w:color w:val="auto"/>
              </w:rPr>
            </w:pPr>
            <w:r>
              <w:rPr>
                <w:rFonts w:ascii="Arial" w:cs="Arial" w:eastAsia="Arial" w:hAnsi="Arial"/>
                <w:sz w:val="15"/>
                <w:szCs w:val="15"/>
                <w:color w:val="auto"/>
                <w:w w:val="91"/>
              </w:rPr>
              <w:t>its businesses,</w:t>
            </w:r>
          </w:p>
        </w:tc>
      </w:tr>
      <w:tr>
        <w:trPr>
          <w:trHeight w:val="188"/>
        </w:trPr>
        <w:tc>
          <w:tcPr>
            <w:tcW w:w="10520" w:type="dxa"/>
            <w:vAlign w:val="bottom"/>
            <w:gridSpan w:val="21"/>
          </w:tcPr>
          <w:p>
            <w:pPr>
              <w:spacing w:after="0"/>
              <w:rPr>
                <w:sz w:val="20"/>
                <w:szCs w:val="20"/>
                <w:color w:val="auto"/>
              </w:rPr>
            </w:pPr>
            <w:r>
              <w:rPr>
                <w:rFonts w:ascii="Arial" w:cs="Arial" w:eastAsia="Arial" w:hAnsi="Arial"/>
                <w:sz w:val="15"/>
                <w:szCs w:val="15"/>
                <w:color w:val="auto"/>
              </w:rPr>
              <w:t>operations and financial results, was obtained from public sources. While TSLX has no knowledge that any such information is inaccurate or incomplete,</w:t>
            </w:r>
          </w:p>
        </w:tc>
      </w:tr>
      <w:tr>
        <w:trPr>
          <w:trHeight w:val="188"/>
        </w:trPr>
        <w:tc>
          <w:tcPr>
            <w:tcW w:w="960" w:type="dxa"/>
            <w:vAlign w:val="bottom"/>
            <w:gridSpan w:val="2"/>
          </w:tcPr>
          <w:p>
            <w:pPr>
              <w:spacing w:after="0"/>
              <w:rPr>
                <w:sz w:val="20"/>
                <w:szCs w:val="20"/>
                <w:color w:val="auto"/>
              </w:rPr>
            </w:pPr>
            <w:r>
              <w:rPr>
                <w:rFonts w:ascii="Arial" w:cs="Arial" w:eastAsia="Arial" w:hAnsi="Arial"/>
                <w:sz w:val="15"/>
                <w:szCs w:val="15"/>
                <w:color w:val="auto"/>
              </w:rPr>
              <w:t>TSLX has not</w:t>
            </w:r>
          </w:p>
        </w:tc>
        <w:tc>
          <w:tcPr>
            <w:tcW w:w="2140" w:type="dxa"/>
            <w:vAlign w:val="bottom"/>
            <w:gridSpan w:val="4"/>
          </w:tcPr>
          <w:p>
            <w:pPr>
              <w:jc w:val="right"/>
              <w:spacing w:after="0"/>
              <w:rPr>
                <w:sz w:val="20"/>
                <w:szCs w:val="20"/>
                <w:color w:val="auto"/>
              </w:rPr>
            </w:pPr>
            <w:r>
              <w:rPr>
                <w:rFonts w:ascii="Arial" w:cs="Arial" w:eastAsia="Arial" w:hAnsi="Arial"/>
                <w:sz w:val="15"/>
                <w:szCs w:val="15"/>
                <w:color w:val="auto"/>
              </w:rPr>
              <w:t>verified  any of that information.</w:t>
            </w:r>
          </w:p>
        </w:tc>
        <w:tc>
          <w:tcPr>
            <w:tcW w:w="1140" w:type="dxa"/>
            <w:vAlign w:val="bottom"/>
            <w:gridSpan w:val="2"/>
          </w:tcPr>
          <w:p>
            <w:pPr>
              <w:ind w:left="160"/>
              <w:spacing w:after="0"/>
              <w:rPr>
                <w:sz w:val="20"/>
                <w:szCs w:val="20"/>
                <w:color w:val="auto"/>
              </w:rPr>
            </w:pPr>
            <w:r>
              <w:rPr>
                <w:rFonts w:ascii="Arial" w:cs="Arial" w:eastAsia="Arial" w:hAnsi="Arial"/>
                <w:sz w:val="15"/>
                <w:szCs w:val="15"/>
                <w:color w:val="auto"/>
                <w:w w:val="96"/>
              </w:rPr>
              <w:t>TSLX reserves</w:t>
            </w:r>
          </w:p>
        </w:tc>
        <w:tc>
          <w:tcPr>
            <w:tcW w:w="680" w:type="dxa"/>
            <w:vAlign w:val="bottom"/>
            <w:gridSpan w:val="2"/>
          </w:tcPr>
          <w:p>
            <w:pPr>
              <w:ind w:left="60"/>
              <w:spacing w:after="0"/>
              <w:rPr>
                <w:sz w:val="20"/>
                <w:szCs w:val="20"/>
                <w:color w:val="auto"/>
              </w:rPr>
            </w:pPr>
            <w:r>
              <w:rPr>
                <w:rFonts w:ascii="Arial" w:cs="Arial" w:eastAsia="Arial" w:hAnsi="Arial"/>
                <w:sz w:val="15"/>
                <w:szCs w:val="15"/>
                <w:color w:val="auto"/>
              </w:rPr>
              <w:t>the right</w:t>
            </w:r>
          </w:p>
        </w:tc>
        <w:tc>
          <w:tcPr>
            <w:tcW w:w="640" w:type="dxa"/>
            <w:vAlign w:val="bottom"/>
            <w:gridSpan w:val="2"/>
          </w:tcPr>
          <w:p>
            <w:pPr>
              <w:ind w:left="20"/>
              <w:spacing w:after="0"/>
              <w:rPr>
                <w:sz w:val="20"/>
                <w:szCs w:val="20"/>
                <w:color w:val="auto"/>
              </w:rPr>
            </w:pPr>
            <w:r>
              <w:rPr>
                <w:rFonts w:ascii="Arial" w:cs="Arial" w:eastAsia="Arial" w:hAnsi="Arial"/>
                <w:sz w:val="15"/>
                <w:szCs w:val="15"/>
                <w:color w:val="auto"/>
                <w:w w:val="90"/>
              </w:rPr>
              <w:t>to change</w:t>
            </w:r>
          </w:p>
        </w:tc>
        <w:tc>
          <w:tcPr>
            <w:tcW w:w="2020" w:type="dxa"/>
            <w:vAlign w:val="bottom"/>
            <w:gridSpan w:val="4"/>
          </w:tcPr>
          <w:p>
            <w:pPr>
              <w:ind w:left="80"/>
              <w:spacing w:after="0"/>
              <w:rPr>
                <w:sz w:val="20"/>
                <w:szCs w:val="20"/>
                <w:color w:val="auto"/>
              </w:rPr>
            </w:pPr>
            <w:r>
              <w:rPr>
                <w:rFonts w:ascii="Arial" w:cs="Arial" w:eastAsia="Arial" w:hAnsi="Arial"/>
                <w:sz w:val="15"/>
                <w:szCs w:val="15"/>
                <w:color w:val="auto"/>
                <w:w w:val="97"/>
              </w:rPr>
              <w:t>any of its opinions  expressed</w:t>
            </w:r>
          </w:p>
        </w:tc>
        <w:tc>
          <w:tcPr>
            <w:tcW w:w="560" w:type="dxa"/>
            <w:vAlign w:val="bottom"/>
            <w:gridSpan w:val="2"/>
          </w:tcPr>
          <w:p>
            <w:pPr>
              <w:ind w:left="120"/>
              <w:spacing w:after="0"/>
              <w:rPr>
                <w:sz w:val="20"/>
                <w:szCs w:val="20"/>
                <w:color w:val="auto"/>
              </w:rPr>
            </w:pPr>
            <w:r>
              <w:rPr>
                <w:rFonts w:ascii="Arial" w:cs="Arial" w:eastAsia="Arial" w:hAnsi="Arial"/>
                <w:sz w:val="15"/>
                <w:szCs w:val="15"/>
                <w:color w:val="auto"/>
              </w:rPr>
              <w:t>herein</w:t>
            </w:r>
          </w:p>
        </w:tc>
        <w:tc>
          <w:tcPr>
            <w:tcW w:w="2380" w:type="dxa"/>
            <w:vAlign w:val="bottom"/>
            <w:gridSpan w:val="3"/>
          </w:tcPr>
          <w:p>
            <w:pPr>
              <w:jc w:val="right"/>
              <w:spacing w:after="0"/>
              <w:rPr>
                <w:sz w:val="20"/>
                <w:szCs w:val="20"/>
                <w:color w:val="auto"/>
              </w:rPr>
            </w:pPr>
            <w:r>
              <w:rPr>
                <w:rFonts w:ascii="Arial" w:cs="Arial" w:eastAsia="Arial" w:hAnsi="Arial"/>
                <w:sz w:val="15"/>
                <w:szCs w:val="15"/>
                <w:color w:val="auto"/>
                <w:w w:val="98"/>
              </w:rPr>
              <w:t>at any time as it deems appropriate.</w:t>
            </w:r>
          </w:p>
        </w:tc>
      </w:tr>
      <w:tr>
        <w:trPr>
          <w:trHeight w:val="194"/>
        </w:trPr>
        <w:tc>
          <w:tcPr>
            <w:tcW w:w="6000" w:type="dxa"/>
            <w:vAlign w:val="bottom"/>
            <w:gridSpan w:val="13"/>
          </w:tcPr>
          <w:p>
            <w:pPr>
              <w:spacing w:after="0"/>
              <w:rPr>
                <w:sz w:val="20"/>
                <w:szCs w:val="20"/>
                <w:color w:val="auto"/>
              </w:rPr>
            </w:pPr>
            <w:r>
              <w:rPr>
                <w:rFonts w:ascii="Arial" w:cs="Arial" w:eastAsia="Arial" w:hAnsi="Arial"/>
                <w:sz w:val="15"/>
                <w:szCs w:val="15"/>
                <w:color w:val="auto"/>
                <w:w w:val="98"/>
              </w:rPr>
              <w:t>TSLX disclaims any obligation to update the data, information or opinions contained herein.</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17"/>
        </w:trPr>
        <w:tc>
          <w:tcPr>
            <w:tcW w:w="2720" w:type="dxa"/>
            <w:vAlign w:val="bottom"/>
            <w:gridSpan w:val="5"/>
          </w:tcPr>
          <w:p>
            <w:pPr>
              <w:spacing w:after="0"/>
              <w:rPr>
                <w:sz w:val="20"/>
                <w:szCs w:val="20"/>
                <w:color w:val="auto"/>
              </w:rPr>
            </w:pPr>
            <w:r>
              <w:rPr>
                <w:rFonts w:ascii="Arial" w:cs="Arial" w:eastAsia="Arial" w:hAnsi="Arial"/>
                <w:sz w:val="15"/>
                <w:szCs w:val="15"/>
                <w:b w:val="1"/>
                <w:bCs w:val="1"/>
                <w:color w:val="auto"/>
              </w:rPr>
              <w:t>Proxy Solicitation Information</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0"/>
        </w:trPr>
        <w:tc>
          <w:tcPr>
            <w:tcW w:w="1040" w:type="dxa"/>
            <w:vAlign w:val="bottom"/>
            <w:gridSpan w:val="3"/>
          </w:tcPr>
          <w:p>
            <w:pPr>
              <w:spacing w:after="0"/>
              <w:rPr>
                <w:sz w:val="20"/>
                <w:szCs w:val="20"/>
                <w:color w:val="auto"/>
              </w:rPr>
            </w:pPr>
            <w:r>
              <w:rPr>
                <w:rFonts w:ascii="Arial" w:cs="Arial" w:eastAsia="Arial" w:hAnsi="Arial"/>
                <w:sz w:val="15"/>
                <w:szCs w:val="15"/>
                <w:color w:val="auto"/>
                <w:w w:val="97"/>
              </w:rPr>
              <w:t>The information</w:t>
            </w:r>
          </w:p>
        </w:tc>
        <w:tc>
          <w:tcPr>
            <w:tcW w:w="2060" w:type="dxa"/>
            <w:vAlign w:val="bottom"/>
            <w:gridSpan w:val="3"/>
          </w:tcPr>
          <w:p>
            <w:pPr>
              <w:jc w:val="right"/>
              <w:ind w:right="64"/>
              <w:spacing w:after="0"/>
              <w:rPr>
                <w:sz w:val="20"/>
                <w:szCs w:val="20"/>
                <w:color w:val="auto"/>
              </w:rPr>
            </w:pPr>
            <w:r>
              <w:rPr>
                <w:rFonts w:ascii="Arial" w:cs="Arial" w:eastAsia="Arial" w:hAnsi="Arial"/>
                <w:sz w:val="15"/>
                <w:szCs w:val="15"/>
                <w:color w:val="auto"/>
              </w:rPr>
              <w:t>set forth herein  is provided</w:t>
            </w:r>
          </w:p>
        </w:tc>
        <w:tc>
          <w:tcPr>
            <w:tcW w:w="1140" w:type="dxa"/>
            <w:vAlign w:val="bottom"/>
            <w:gridSpan w:val="2"/>
          </w:tcPr>
          <w:p>
            <w:pPr>
              <w:spacing w:after="0"/>
              <w:rPr>
                <w:sz w:val="20"/>
                <w:szCs w:val="20"/>
                <w:color w:val="auto"/>
              </w:rPr>
            </w:pPr>
            <w:r>
              <w:rPr>
                <w:rFonts w:ascii="Arial" w:cs="Arial" w:eastAsia="Arial" w:hAnsi="Arial"/>
                <w:sz w:val="15"/>
                <w:szCs w:val="15"/>
                <w:color w:val="auto"/>
              </w:rPr>
              <w:t>for informational</w:t>
            </w:r>
          </w:p>
        </w:tc>
        <w:tc>
          <w:tcPr>
            <w:tcW w:w="680" w:type="dxa"/>
            <w:vAlign w:val="bottom"/>
            <w:gridSpan w:val="2"/>
          </w:tcPr>
          <w:p>
            <w:pPr>
              <w:ind w:left="100"/>
              <w:spacing w:after="0"/>
              <w:rPr>
                <w:sz w:val="20"/>
                <w:szCs w:val="20"/>
                <w:color w:val="auto"/>
              </w:rPr>
            </w:pPr>
            <w:r>
              <w:rPr>
                <w:rFonts w:ascii="Arial" w:cs="Arial" w:eastAsia="Arial" w:hAnsi="Arial"/>
                <w:sz w:val="15"/>
                <w:szCs w:val="15"/>
                <w:color w:val="auto"/>
                <w:w w:val="90"/>
              </w:rPr>
              <w:t>purposes</w:t>
            </w:r>
          </w:p>
        </w:tc>
        <w:tc>
          <w:tcPr>
            <w:tcW w:w="1080" w:type="dxa"/>
            <w:vAlign w:val="bottom"/>
            <w:gridSpan w:val="3"/>
          </w:tcPr>
          <w:p>
            <w:pPr>
              <w:jc w:val="center"/>
              <w:spacing w:after="0"/>
              <w:rPr>
                <w:sz w:val="20"/>
                <w:szCs w:val="20"/>
                <w:color w:val="auto"/>
              </w:rPr>
            </w:pPr>
            <w:r>
              <w:rPr>
                <w:rFonts w:ascii="Arial" w:cs="Arial" w:eastAsia="Arial" w:hAnsi="Arial"/>
                <w:sz w:val="15"/>
                <w:szCs w:val="15"/>
                <w:color w:val="auto"/>
              </w:rPr>
              <w:t>only and does</w:t>
            </w: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not constitute</w:t>
            </w:r>
          </w:p>
        </w:tc>
        <w:tc>
          <w:tcPr>
            <w:tcW w:w="560" w:type="dxa"/>
            <w:vAlign w:val="bottom"/>
          </w:tcPr>
          <w:p>
            <w:pPr>
              <w:ind w:left="20"/>
              <w:spacing w:after="0"/>
              <w:rPr>
                <w:sz w:val="20"/>
                <w:szCs w:val="20"/>
                <w:color w:val="auto"/>
              </w:rPr>
            </w:pPr>
            <w:r>
              <w:rPr>
                <w:rFonts w:ascii="Arial" w:cs="Arial" w:eastAsia="Arial" w:hAnsi="Arial"/>
                <w:sz w:val="15"/>
                <w:szCs w:val="15"/>
                <w:color w:val="auto"/>
              </w:rPr>
              <w:t>an offer</w:t>
            </w:r>
          </w:p>
        </w:tc>
        <w:tc>
          <w:tcPr>
            <w:tcW w:w="2940" w:type="dxa"/>
            <w:vAlign w:val="bottom"/>
            <w:gridSpan w:val="5"/>
          </w:tcPr>
          <w:p>
            <w:pPr>
              <w:jc w:val="right"/>
              <w:spacing w:after="0"/>
              <w:rPr>
                <w:sz w:val="20"/>
                <w:szCs w:val="20"/>
                <w:color w:val="auto"/>
              </w:rPr>
            </w:pPr>
            <w:r>
              <w:rPr>
                <w:rFonts w:ascii="Arial" w:cs="Arial" w:eastAsia="Arial" w:hAnsi="Arial"/>
                <w:sz w:val="15"/>
                <w:szCs w:val="15"/>
                <w:color w:val="auto"/>
              </w:rPr>
              <w:t>to purchase  or the solicitation  of an offer to</w:t>
            </w:r>
          </w:p>
        </w:tc>
      </w:tr>
      <w:tr>
        <w:trPr>
          <w:trHeight w:val="188"/>
        </w:trPr>
        <w:tc>
          <w:tcPr>
            <w:tcW w:w="10520" w:type="dxa"/>
            <w:vAlign w:val="bottom"/>
            <w:gridSpan w:val="21"/>
          </w:tcPr>
          <w:p>
            <w:pPr>
              <w:spacing w:after="0"/>
              <w:rPr>
                <w:sz w:val="20"/>
                <w:szCs w:val="20"/>
                <w:color w:val="auto"/>
              </w:rPr>
            </w:pPr>
            <w:r>
              <w:rPr>
                <w:rFonts w:ascii="Arial" w:cs="Arial" w:eastAsia="Arial" w:hAnsi="Arial"/>
                <w:sz w:val="15"/>
                <w:szCs w:val="15"/>
                <w:color w:val="auto"/>
              </w:rPr>
              <w:t>sell any securities. TSLX has filed with the SEC and mailed to TICC stockholders a definitive proxy statement and accompanying GOLD proxy card to be</w:t>
            </w:r>
          </w:p>
        </w:tc>
      </w:tr>
      <w:tr>
        <w:trPr>
          <w:trHeight w:val="188"/>
        </w:trPr>
        <w:tc>
          <w:tcPr>
            <w:tcW w:w="960" w:type="dxa"/>
            <w:vAlign w:val="bottom"/>
            <w:gridSpan w:val="2"/>
          </w:tcPr>
          <w:p>
            <w:pPr>
              <w:spacing w:after="0"/>
              <w:rPr>
                <w:sz w:val="20"/>
                <w:szCs w:val="20"/>
                <w:color w:val="auto"/>
              </w:rPr>
            </w:pPr>
            <w:r>
              <w:rPr>
                <w:rFonts w:ascii="Arial" w:cs="Arial" w:eastAsia="Arial" w:hAnsi="Arial"/>
                <w:sz w:val="15"/>
                <w:szCs w:val="15"/>
                <w:color w:val="auto"/>
              </w:rPr>
              <w:t>used to solicit</w:t>
            </w:r>
          </w:p>
        </w:tc>
        <w:tc>
          <w:tcPr>
            <w:tcW w:w="1760" w:type="dxa"/>
            <w:vAlign w:val="bottom"/>
            <w:gridSpan w:val="3"/>
          </w:tcPr>
          <w:p>
            <w:pPr>
              <w:ind w:left="40"/>
              <w:spacing w:after="0"/>
              <w:rPr>
                <w:sz w:val="20"/>
                <w:szCs w:val="20"/>
                <w:color w:val="auto"/>
              </w:rPr>
            </w:pPr>
            <w:r>
              <w:rPr>
                <w:rFonts w:ascii="Arial" w:cs="Arial" w:eastAsia="Arial" w:hAnsi="Arial"/>
                <w:sz w:val="15"/>
                <w:szCs w:val="15"/>
                <w:color w:val="auto"/>
                <w:w w:val="98"/>
              </w:rPr>
              <w:t>votes at a special meeting</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3"/>
              </w:rPr>
              <w:t>of stockholders</w:t>
            </w:r>
          </w:p>
        </w:tc>
        <w:tc>
          <w:tcPr>
            <w:tcW w:w="1260" w:type="dxa"/>
            <w:vAlign w:val="bottom"/>
            <w:gridSpan w:val="4"/>
          </w:tcPr>
          <w:p>
            <w:pPr>
              <w:ind w:left="20"/>
              <w:spacing w:after="0"/>
              <w:rPr>
                <w:sz w:val="20"/>
                <w:szCs w:val="20"/>
                <w:color w:val="auto"/>
              </w:rPr>
            </w:pPr>
            <w:r>
              <w:rPr>
                <w:rFonts w:ascii="Arial" w:cs="Arial" w:eastAsia="Arial" w:hAnsi="Arial"/>
                <w:sz w:val="15"/>
                <w:szCs w:val="15"/>
                <w:color w:val="auto"/>
                <w:w w:val="98"/>
              </w:rPr>
              <w:t>of TICC scheduled</w:t>
            </w:r>
          </w:p>
        </w:tc>
        <w:tc>
          <w:tcPr>
            <w:tcW w:w="2700" w:type="dxa"/>
            <w:vAlign w:val="bottom"/>
            <w:gridSpan w:val="6"/>
          </w:tcPr>
          <w:p>
            <w:pPr>
              <w:ind w:left="100"/>
              <w:spacing w:after="0"/>
              <w:rPr>
                <w:sz w:val="20"/>
                <w:szCs w:val="20"/>
                <w:color w:val="auto"/>
              </w:rPr>
            </w:pPr>
            <w:r>
              <w:rPr>
                <w:rFonts w:ascii="Arial" w:cs="Arial" w:eastAsia="Arial" w:hAnsi="Arial"/>
                <w:sz w:val="15"/>
                <w:szCs w:val="15"/>
                <w:color w:val="auto"/>
                <w:w w:val="99"/>
              </w:rPr>
              <w:t>to be held on October 27, 2015 against</w:t>
            </w:r>
          </w:p>
        </w:tc>
        <w:tc>
          <w:tcPr>
            <w:tcW w:w="920" w:type="dxa"/>
            <w:vAlign w:val="bottom"/>
            <w:gridSpan w:val="2"/>
          </w:tcPr>
          <w:p>
            <w:pPr>
              <w:ind w:left="60"/>
              <w:spacing w:after="0"/>
              <w:rPr>
                <w:sz w:val="20"/>
                <w:szCs w:val="20"/>
                <w:color w:val="auto"/>
              </w:rPr>
            </w:pPr>
            <w:r>
              <w:rPr>
                <w:rFonts w:ascii="Arial" w:cs="Arial" w:eastAsia="Arial" w:hAnsi="Arial"/>
                <w:sz w:val="15"/>
                <w:szCs w:val="15"/>
                <w:color w:val="auto"/>
              </w:rPr>
              <w:t>(a) approval</w:t>
            </w:r>
          </w:p>
        </w:tc>
        <w:tc>
          <w:tcPr>
            <w:tcW w:w="1760" w:type="dxa"/>
            <w:vAlign w:val="bottom"/>
            <w:gridSpan w:val="2"/>
          </w:tcPr>
          <w:p>
            <w:pPr>
              <w:jc w:val="right"/>
              <w:ind w:right="364"/>
              <w:spacing w:after="0"/>
              <w:rPr>
                <w:sz w:val="20"/>
                <w:szCs w:val="20"/>
                <w:color w:val="auto"/>
              </w:rPr>
            </w:pPr>
            <w:r>
              <w:rPr>
                <w:rFonts w:ascii="Arial" w:cs="Arial" w:eastAsia="Arial" w:hAnsi="Arial"/>
                <w:sz w:val="15"/>
                <w:szCs w:val="15"/>
                <w:color w:val="auto"/>
              </w:rPr>
              <w:t>of the new advisory</w:t>
            </w:r>
          </w:p>
        </w:tc>
      </w:tr>
      <w:tr>
        <w:trPr>
          <w:trHeight w:val="188"/>
        </w:trPr>
        <w:tc>
          <w:tcPr>
            <w:tcW w:w="10520" w:type="dxa"/>
            <w:vAlign w:val="bottom"/>
            <w:gridSpan w:val="21"/>
          </w:tcPr>
          <w:p>
            <w:pPr>
              <w:spacing w:after="0"/>
              <w:rPr>
                <w:sz w:val="20"/>
                <w:szCs w:val="20"/>
                <w:color w:val="auto"/>
              </w:rPr>
            </w:pPr>
            <w:r>
              <w:rPr>
                <w:rFonts w:ascii="Arial" w:cs="Arial" w:eastAsia="Arial" w:hAnsi="Arial"/>
                <w:sz w:val="15"/>
                <w:szCs w:val="15"/>
                <w:color w:val="auto"/>
              </w:rPr>
              <w:t>agreement between TICC and TICC Management, LLC (the “Adviser”), to take effect upon a change of control of the Adviser in connection with the</w:t>
            </w:r>
          </w:p>
        </w:tc>
      </w:tr>
      <w:tr>
        <w:trPr>
          <w:trHeight w:val="188"/>
        </w:trPr>
        <w:tc>
          <w:tcPr>
            <w:tcW w:w="560" w:type="dxa"/>
            <w:vAlign w:val="bottom"/>
          </w:tcPr>
          <w:p>
            <w:pPr>
              <w:spacing w:after="0"/>
              <w:rPr>
                <w:sz w:val="20"/>
                <w:szCs w:val="20"/>
                <w:color w:val="auto"/>
              </w:rPr>
            </w:pPr>
            <w:r>
              <w:rPr>
                <w:rFonts w:ascii="Arial" w:cs="Arial" w:eastAsia="Arial" w:hAnsi="Arial"/>
                <w:sz w:val="15"/>
                <w:szCs w:val="15"/>
                <w:color w:val="auto"/>
                <w:w w:val="92"/>
              </w:rPr>
              <w:t>entrance</w:t>
            </w:r>
          </w:p>
        </w:tc>
        <w:tc>
          <w:tcPr>
            <w:tcW w:w="480" w:type="dxa"/>
            <w:vAlign w:val="bottom"/>
            <w:gridSpan w:val="2"/>
          </w:tcPr>
          <w:p>
            <w:pPr>
              <w:ind w:left="80"/>
              <w:spacing w:after="0"/>
              <w:rPr>
                <w:sz w:val="20"/>
                <w:szCs w:val="20"/>
                <w:color w:val="auto"/>
              </w:rPr>
            </w:pPr>
            <w:r>
              <w:rPr>
                <w:rFonts w:ascii="Arial" w:cs="Arial" w:eastAsia="Arial" w:hAnsi="Arial"/>
                <w:sz w:val="15"/>
                <w:szCs w:val="15"/>
                <w:color w:val="auto"/>
              </w:rPr>
              <w:t>of the</w:t>
            </w:r>
          </w:p>
        </w:tc>
        <w:tc>
          <w:tcPr>
            <w:tcW w:w="520" w:type="dxa"/>
            <w:vAlign w:val="bottom"/>
          </w:tcPr>
          <w:p>
            <w:pPr>
              <w:ind w:left="40"/>
              <w:spacing w:after="0"/>
              <w:rPr>
                <w:sz w:val="20"/>
                <w:szCs w:val="20"/>
                <w:color w:val="auto"/>
              </w:rPr>
            </w:pPr>
            <w:r>
              <w:rPr>
                <w:rFonts w:ascii="Arial" w:cs="Arial" w:eastAsia="Arial" w:hAnsi="Arial"/>
                <w:sz w:val="15"/>
                <w:szCs w:val="15"/>
                <w:color w:val="auto"/>
                <w:w w:val="91"/>
              </w:rPr>
              <w:t>Adviser</w:t>
            </w:r>
          </w:p>
        </w:tc>
        <w:tc>
          <w:tcPr>
            <w:tcW w:w="1160" w:type="dxa"/>
            <w:vAlign w:val="bottom"/>
          </w:tcPr>
          <w:p>
            <w:pPr>
              <w:ind w:left="100"/>
              <w:spacing w:after="0"/>
              <w:rPr>
                <w:sz w:val="20"/>
                <w:szCs w:val="20"/>
                <w:color w:val="auto"/>
              </w:rPr>
            </w:pPr>
            <w:r>
              <w:rPr>
                <w:rFonts w:ascii="Arial" w:cs="Arial" w:eastAsia="Arial" w:hAnsi="Arial"/>
                <w:sz w:val="15"/>
                <w:szCs w:val="15"/>
                <w:color w:val="auto"/>
              </w:rPr>
              <w:t>into a purchase</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agreement  with</w:t>
            </w:r>
          </w:p>
        </w:tc>
        <w:tc>
          <w:tcPr>
            <w:tcW w:w="780" w:type="dxa"/>
            <w:vAlign w:val="bottom"/>
            <w:gridSpan w:val="2"/>
          </w:tcPr>
          <w:p>
            <w:pPr>
              <w:ind w:left="20"/>
              <w:spacing w:after="0"/>
              <w:rPr>
                <w:sz w:val="20"/>
                <w:szCs w:val="20"/>
                <w:color w:val="auto"/>
              </w:rPr>
            </w:pPr>
            <w:r>
              <w:rPr>
                <w:rFonts w:ascii="Arial" w:cs="Arial" w:eastAsia="Arial" w:hAnsi="Arial"/>
                <w:sz w:val="15"/>
                <w:szCs w:val="15"/>
                <w:color w:val="auto"/>
              </w:rPr>
              <w:t>an affiliate</w:t>
            </w:r>
          </w:p>
        </w:tc>
        <w:tc>
          <w:tcPr>
            <w:tcW w:w="1660" w:type="dxa"/>
            <w:vAlign w:val="bottom"/>
            <w:gridSpan w:val="5"/>
          </w:tcPr>
          <w:p>
            <w:pPr>
              <w:jc w:val="center"/>
              <w:spacing w:after="0"/>
              <w:rPr>
                <w:sz w:val="20"/>
                <w:szCs w:val="20"/>
                <w:color w:val="auto"/>
              </w:rPr>
            </w:pPr>
            <w:r>
              <w:rPr>
                <w:rFonts w:ascii="Arial" w:cs="Arial" w:eastAsia="Arial" w:hAnsi="Arial"/>
                <w:sz w:val="15"/>
                <w:szCs w:val="15"/>
                <w:color w:val="auto"/>
                <w:w w:val="97"/>
              </w:rPr>
              <w:t>of Benefit Street Partners</w:t>
            </w:r>
          </w:p>
        </w:tc>
        <w:tc>
          <w:tcPr>
            <w:tcW w:w="1820" w:type="dxa"/>
            <w:vAlign w:val="bottom"/>
            <w:gridSpan w:val="4"/>
          </w:tcPr>
          <w:p>
            <w:pPr>
              <w:jc w:val="center"/>
              <w:spacing w:after="0"/>
              <w:rPr>
                <w:sz w:val="20"/>
                <w:szCs w:val="20"/>
                <w:color w:val="auto"/>
              </w:rPr>
            </w:pPr>
            <w:r>
              <w:rPr>
                <w:rFonts w:ascii="Arial" w:cs="Arial" w:eastAsia="Arial" w:hAnsi="Arial"/>
                <w:sz w:val="15"/>
                <w:szCs w:val="15"/>
                <w:color w:val="auto"/>
                <w:w w:val="98"/>
              </w:rPr>
              <w:t>L.L.C. (“BSP”), pursuant</w:t>
            </w:r>
          </w:p>
        </w:tc>
        <w:tc>
          <w:tcPr>
            <w:tcW w:w="620" w:type="dxa"/>
            <w:vAlign w:val="bottom"/>
          </w:tcPr>
          <w:p>
            <w:pPr>
              <w:ind w:left="40"/>
              <w:spacing w:after="0"/>
              <w:rPr>
                <w:sz w:val="20"/>
                <w:szCs w:val="20"/>
                <w:color w:val="auto"/>
              </w:rPr>
            </w:pPr>
            <w:r>
              <w:rPr>
                <w:rFonts w:ascii="Arial" w:cs="Arial" w:eastAsia="Arial" w:hAnsi="Arial"/>
                <w:sz w:val="15"/>
                <w:szCs w:val="15"/>
                <w:color w:val="auto"/>
              </w:rPr>
              <w:t>to which</w:t>
            </w:r>
          </w:p>
        </w:tc>
        <w:tc>
          <w:tcPr>
            <w:tcW w:w="1760" w:type="dxa"/>
            <w:vAlign w:val="bottom"/>
            <w:gridSpan w:val="2"/>
          </w:tcPr>
          <w:p>
            <w:pPr>
              <w:jc w:val="right"/>
              <w:ind w:right="24"/>
              <w:spacing w:after="0"/>
              <w:rPr>
                <w:sz w:val="20"/>
                <w:szCs w:val="20"/>
                <w:color w:val="auto"/>
              </w:rPr>
            </w:pPr>
            <w:r>
              <w:rPr>
                <w:rFonts w:ascii="Arial" w:cs="Arial" w:eastAsia="Arial" w:hAnsi="Arial"/>
                <w:sz w:val="15"/>
                <w:szCs w:val="15"/>
                <w:color w:val="auto"/>
              </w:rPr>
              <w:t>BSP will acquire  control</w:t>
            </w:r>
          </w:p>
        </w:tc>
      </w:tr>
      <w:tr>
        <w:trPr>
          <w:trHeight w:val="188"/>
        </w:trPr>
        <w:tc>
          <w:tcPr>
            <w:tcW w:w="960" w:type="dxa"/>
            <w:vAlign w:val="bottom"/>
            <w:gridSpan w:val="2"/>
          </w:tcPr>
          <w:p>
            <w:pPr>
              <w:spacing w:after="0"/>
              <w:rPr>
                <w:sz w:val="20"/>
                <w:szCs w:val="20"/>
                <w:color w:val="auto"/>
              </w:rPr>
            </w:pPr>
            <w:r>
              <w:rPr>
                <w:rFonts w:ascii="Arial" w:cs="Arial" w:eastAsia="Arial" w:hAnsi="Arial"/>
                <w:sz w:val="15"/>
                <w:szCs w:val="15"/>
                <w:color w:val="auto"/>
                <w:w w:val="97"/>
              </w:rPr>
              <w:t>of the Adviser,</w:t>
            </w:r>
          </w:p>
        </w:tc>
        <w:tc>
          <w:tcPr>
            <w:tcW w:w="8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5"/>
                <w:szCs w:val="15"/>
                <w:color w:val="auto"/>
              </w:rPr>
              <w:t>(b) the</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w w:val="98"/>
              </w:rPr>
              <w:t>election of six directors</w:t>
            </w:r>
          </w:p>
        </w:tc>
        <w:tc>
          <w:tcPr>
            <w:tcW w:w="780" w:type="dxa"/>
            <w:vAlign w:val="bottom"/>
          </w:tcPr>
          <w:p>
            <w:pPr>
              <w:ind w:left="100"/>
              <w:spacing w:after="0"/>
              <w:rPr>
                <w:sz w:val="20"/>
                <w:szCs w:val="20"/>
                <w:color w:val="auto"/>
              </w:rPr>
            </w:pPr>
            <w:r>
              <w:rPr>
                <w:rFonts w:ascii="Arial" w:cs="Arial" w:eastAsia="Arial" w:hAnsi="Arial"/>
                <w:sz w:val="15"/>
                <w:szCs w:val="15"/>
                <w:color w:val="auto"/>
                <w:w w:val="94"/>
              </w:rPr>
              <w:t>nominated</w:t>
            </w:r>
          </w:p>
        </w:tc>
        <w:tc>
          <w:tcPr>
            <w:tcW w:w="780" w:type="dxa"/>
            <w:vAlign w:val="bottom"/>
            <w:gridSpan w:val="2"/>
          </w:tcPr>
          <w:p>
            <w:pPr>
              <w:ind w:left="100"/>
              <w:spacing w:after="0"/>
              <w:rPr>
                <w:sz w:val="20"/>
                <w:szCs w:val="20"/>
                <w:color w:val="auto"/>
              </w:rPr>
            </w:pPr>
            <w:r>
              <w:rPr>
                <w:rFonts w:ascii="Arial" w:cs="Arial" w:eastAsia="Arial" w:hAnsi="Arial"/>
                <w:sz w:val="15"/>
                <w:szCs w:val="15"/>
                <w:color w:val="auto"/>
              </w:rPr>
              <w:t>by TICC’s</w:t>
            </w:r>
          </w:p>
        </w:tc>
        <w:tc>
          <w:tcPr>
            <w:tcW w:w="480" w:type="dxa"/>
            <w:vAlign w:val="bottom"/>
            <w:gridSpan w:val="2"/>
          </w:tcPr>
          <w:p>
            <w:pPr>
              <w:ind w:left="60"/>
              <w:spacing w:after="0"/>
              <w:rPr>
                <w:sz w:val="20"/>
                <w:szCs w:val="20"/>
                <w:color w:val="auto"/>
              </w:rPr>
            </w:pPr>
            <w:r>
              <w:rPr>
                <w:rFonts w:ascii="Arial" w:cs="Arial" w:eastAsia="Arial" w:hAnsi="Arial"/>
                <w:sz w:val="15"/>
                <w:szCs w:val="15"/>
                <w:color w:val="auto"/>
              </w:rPr>
              <w:t>board</w:t>
            </w:r>
          </w:p>
        </w:tc>
        <w:tc>
          <w:tcPr>
            <w:tcW w:w="860" w:type="dxa"/>
            <w:vAlign w:val="bottom"/>
            <w:gridSpan w:val="2"/>
          </w:tcPr>
          <w:p>
            <w:pPr>
              <w:ind w:left="40"/>
              <w:spacing w:after="0"/>
              <w:rPr>
                <w:sz w:val="20"/>
                <w:szCs w:val="20"/>
                <w:color w:val="auto"/>
              </w:rPr>
            </w:pPr>
            <w:r>
              <w:rPr>
                <w:rFonts w:ascii="Arial" w:cs="Arial" w:eastAsia="Arial" w:hAnsi="Arial"/>
                <w:sz w:val="15"/>
                <w:szCs w:val="15"/>
                <w:color w:val="auto"/>
              </w:rPr>
              <w:t>of directors,</w:t>
            </w:r>
          </w:p>
        </w:tc>
        <w:tc>
          <w:tcPr>
            <w:tcW w:w="320" w:type="dxa"/>
            <w:vAlign w:val="bottom"/>
          </w:tcPr>
          <w:p>
            <w:pPr>
              <w:ind w:left="40"/>
              <w:spacing w:after="0"/>
              <w:rPr>
                <w:sz w:val="20"/>
                <w:szCs w:val="20"/>
                <w:color w:val="auto"/>
              </w:rPr>
            </w:pPr>
            <w:r>
              <w:rPr>
                <w:rFonts w:ascii="Arial" w:cs="Arial" w:eastAsia="Arial" w:hAnsi="Arial"/>
                <w:sz w:val="15"/>
                <w:szCs w:val="15"/>
                <w:color w:val="auto"/>
              </w:rPr>
              <w:t>and</w:t>
            </w:r>
          </w:p>
        </w:tc>
        <w:tc>
          <w:tcPr>
            <w:tcW w:w="1820" w:type="dxa"/>
            <w:vAlign w:val="bottom"/>
            <w:gridSpan w:val="4"/>
          </w:tcPr>
          <w:p>
            <w:pPr>
              <w:jc w:val="center"/>
              <w:spacing w:after="0"/>
              <w:rPr>
                <w:sz w:val="20"/>
                <w:szCs w:val="20"/>
                <w:color w:val="auto"/>
              </w:rPr>
            </w:pPr>
            <w:r>
              <w:rPr>
                <w:rFonts w:ascii="Arial" w:cs="Arial" w:eastAsia="Arial" w:hAnsi="Arial"/>
                <w:sz w:val="15"/>
                <w:szCs w:val="15"/>
                <w:color w:val="auto"/>
                <w:w w:val="99"/>
              </w:rPr>
              <w:t>(c) the proposal  to adjourn</w:t>
            </w:r>
          </w:p>
        </w:tc>
        <w:tc>
          <w:tcPr>
            <w:tcW w:w="880" w:type="dxa"/>
            <w:vAlign w:val="bottom"/>
            <w:gridSpan w:val="2"/>
          </w:tcPr>
          <w:p>
            <w:pPr>
              <w:ind w:left="100"/>
              <w:spacing w:after="0"/>
              <w:rPr>
                <w:sz w:val="20"/>
                <w:szCs w:val="20"/>
                <w:color w:val="auto"/>
              </w:rPr>
            </w:pPr>
            <w:r>
              <w:rPr>
                <w:rFonts w:ascii="Arial" w:cs="Arial" w:eastAsia="Arial" w:hAnsi="Arial"/>
                <w:sz w:val="15"/>
                <w:szCs w:val="15"/>
                <w:color w:val="auto"/>
                <w:w w:val="96"/>
              </w:rPr>
              <w:t>the meeting</w:t>
            </w:r>
          </w:p>
        </w:tc>
        <w:tc>
          <w:tcPr>
            <w:tcW w:w="1500" w:type="dxa"/>
            <w:vAlign w:val="bottom"/>
          </w:tcPr>
          <w:p>
            <w:pPr>
              <w:jc w:val="right"/>
              <w:ind w:right="444"/>
              <w:spacing w:after="0"/>
              <w:rPr>
                <w:sz w:val="20"/>
                <w:szCs w:val="20"/>
                <w:color w:val="auto"/>
              </w:rPr>
            </w:pPr>
            <w:r>
              <w:rPr>
                <w:rFonts w:ascii="Arial" w:cs="Arial" w:eastAsia="Arial" w:hAnsi="Arial"/>
                <w:sz w:val="15"/>
                <w:szCs w:val="15"/>
                <w:color w:val="auto"/>
                <w:w w:val="98"/>
              </w:rPr>
              <w:t>if necessary or</w:t>
            </w:r>
          </w:p>
        </w:tc>
      </w:tr>
      <w:tr>
        <w:trPr>
          <w:trHeight w:val="194"/>
        </w:trPr>
        <w:tc>
          <w:tcPr>
            <w:tcW w:w="2720" w:type="dxa"/>
            <w:vAlign w:val="bottom"/>
            <w:gridSpan w:val="5"/>
          </w:tcPr>
          <w:p>
            <w:pPr>
              <w:spacing w:after="0"/>
              <w:rPr>
                <w:sz w:val="20"/>
                <w:szCs w:val="20"/>
                <w:color w:val="auto"/>
              </w:rPr>
            </w:pPr>
            <w:r>
              <w:rPr>
                <w:rFonts w:ascii="Arial" w:cs="Arial" w:eastAsia="Arial" w:hAnsi="Arial"/>
                <w:sz w:val="15"/>
                <w:szCs w:val="15"/>
                <w:color w:val="auto"/>
              </w:rPr>
              <w:t>appropriate to solicit additional votes.</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123" w:lineRule="exact"/>
        <w:rPr>
          <w:sz w:val="20"/>
          <w:szCs w:val="20"/>
          <w:color w:val="auto"/>
        </w:rPr>
      </w:pPr>
    </w:p>
    <w:p>
      <w:pPr>
        <w:ind w:left="20" w:right="820"/>
        <w:spacing w:after="0" w:line="264" w:lineRule="auto"/>
        <w:rPr>
          <w:sz w:val="20"/>
          <w:szCs w:val="20"/>
          <w:color w:val="auto"/>
        </w:rPr>
      </w:pPr>
      <w:r>
        <w:rPr>
          <w:rFonts w:ascii="Arial" w:cs="Arial" w:eastAsia="Arial" w:hAnsi="Arial"/>
          <w:sz w:val="15"/>
          <w:szCs w:val="15"/>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5"/>
          <w:szCs w:val="15"/>
          <w:color w:val="385F28"/>
        </w:rPr>
        <w:t>HTTP://WWW.SEC.GOV</w:t>
      </w:r>
      <w:r>
        <w:rPr>
          <w:rFonts w:ascii="Arial" w:cs="Arial" w:eastAsia="Arial" w:hAnsi="Arial"/>
          <w:sz w:val="15"/>
          <w:szCs w:val="15"/>
          <w:color w:val="auto"/>
        </w:rPr>
        <w:t xml:space="preserve"> AND AT TSLX’S WEBSITE AT</w:t>
      </w:r>
    </w:p>
    <w:p>
      <w:pPr>
        <w:spacing w:after="0" w:line="1" w:lineRule="exact"/>
        <w:rPr>
          <w:sz w:val="20"/>
          <w:szCs w:val="20"/>
          <w:color w:val="auto"/>
        </w:rPr>
      </w:pPr>
    </w:p>
    <w:p>
      <w:pPr>
        <w:ind w:left="20" w:right="300"/>
        <w:spacing w:after="0" w:line="283" w:lineRule="auto"/>
        <w:rPr>
          <w:sz w:val="20"/>
          <w:szCs w:val="20"/>
          <w:color w:val="auto"/>
        </w:rPr>
      </w:pPr>
      <w:r>
        <w:rPr>
          <w:rFonts w:ascii="Arial" w:cs="Arial" w:eastAsia="Arial" w:hAnsi="Arial"/>
          <w:sz w:val="15"/>
          <w:szCs w:val="15"/>
          <w:color w:val="385F28"/>
        </w:rPr>
        <w:t>HTTP://WWW.TPGSPECIALTYLENDING.COM</w:t>
      </w:r>
      <w:r>
        <w:rPr>
          <w:rFonts w:ascii="Arial" w:cs="Arial" w:eastAsia="Arial" w:hAnsi="Arial"/>
          <w:sz w:val="15"/>
          <w:szCs w:val="15"/>
          <w:color w:val="000000"/>
        </w:rPr>
        <w:t>. IN ADDITION, TSLX WILL PROVIDE COPIES OF THE PROXY STATEMENT WITHOUT CHARGE</w:t>
      </w:r>
      <w:r>
        <w:rPr>
          <w:rFonts w:ascii="Arial" w:cs="Arial" w:eastAsia="Arial" w:hAnsi="Arial"/>
          <w:sz w:val="15"/>
          <w:szCs w:val="15"/>
          <w:color w:val="385F28"/>
        </w:rPr>
        <w:t xml:space="preserve"> </w:t>
      </w:r>
      <w:r>
        <w:rPr>
          <w:rFonts w:ascii="Arial" w:cs="Arial" w:eastAsia="Arial" w:hAnsi="Arial"/>
          <w:sz w:val="15"/>
          <w:szCs w:val="15"/>
          <w:color w:val="000000"/>
        </w:rPr>
        <w:t xml:space="preserve">UPON REQUEST. REQUESTS FOR COPIES SHOULD BE DIRECTED TO TSLX’S PROXY SOLICITOR AT </w:t>
      </w:r>
      <w:r>
        <w:rPr>
          <w:rFonts w:ascii="Arial" w:cs="Arial" w:eastAsia="Arial" w:hAnsi="Arial"/>
          <w:sz w:val="15"/>
          <w:szCs w:val="15"/>
          <w:color w:val="385F28"/>
        </w:rPr>
        <w:t>TPG@MACKENZIEPARTNERS.COM</w:t>
      </w:r>
      <w:r>
        <w:rPr>
          <w:rFonts w:ascii="Arial" w:cs="Arial" w:eastAsia="Arial" w:hAnsi="Arial"/>
          <w:sz w:val="15"/>
          <w:szCs w:val="15"/>
          <w:color w:val="000000"/>
        </w:rPr>
        <w:t>.</w:t>
      </w:r>
    </w:p>
    <w:p>
      <w:pPr>
        <w:spacing w:after="0" w:line="93" w:lineRule="exact"/>
        <w:rPr>
          <w:sz w:val="20"/>
          <w:szCs w:val="20"/>
          <w:color w:val="auto"/>
        </w:rPr>
      </w:pPr>
    </w:p>
    <w:p>
      <w:pPr>
        <w:ind w:left="20" w:right="1360"/>
        <w:spacing w:after="0" w:line="291" w:lineRule="auto"/>
        <w:rPr>
          <w:sz w:val="20"/>
          <w:szCs w:val="20"/>
          <w:color w:val="auto"/>
        </w:rPr>
      </w:pPr>
      <w:r>
        <w:rPr>
          <w:rFonts w:ascii="Arial" w:cs="Arial" w:eastAsia="Arial" w:hAnsi="Arial"/>
          <w:sz w:val="15"/>
          <w:szCs w:val="15"/>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w:t>
      </w:r>
    </w:p>
    <w:p>
      <w:pPr>
        <w:spacing w:after="0" w:line="22" w:lineRule="exact"/>
        <w:rPr>
          <w:sz w:val="20"/>
          <w:szCs w:val="20"/>
          <w:color w:val="auto"/>
        </w:rPr>
      </w:pPr>
    </w:p>
    <w:p>
      <w:pPr>
        <w:ind w:left="20" w:right="260"/>
        <w:spacing w:after="0" w:line="261" w:lineRule="auto"/>
        <w:rPr>
          <w:sz w:val="20"/>
          <w:szCs w:val="20"/>
          <w:color w:val="auto"/>
        </w:rPr>
      </w:pPr>
      <w:r>
        <w:rPr>
          <w:rFonts w:ascii="Arial" w:cs="Arial" w:eastAsia="Arial" w:hAnsi="Arial"/>
          <w:sz w:val="15"/>
          <w:szCs w:val="15"/>
          <w:color w:val="auto"/>
        </w:rPr>
        <w:t>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w:t>
      </w:r>
    </w:p>
    <w:p>
      <w:pPr>
        <w:spacing w:after="0" w:line="1" w:lineRule="exact"/>
        <w:rPr>
          <w:sz w:val="20"/>
          <w:szCs w:val="20"/>
          <w:color w:val="auto"/>
        </w:rPr>
      </w:pPr>
    </w:p>
    <w:p>
      <w:pPr>
        <w:ind w:left="20" w:right="1480"/>
        <w:spacing w:after="0" w:line="272" w:lineRule="auto"/>
        <w:rPr>
          <w:sz w:val="20"/>
          <w:szCs w:val="20"/>
          <w:color w:val="auto"/>
        </w:rPr>
      </w:pPr>
      <w:r>
        <w:rPr>
          <w:rFonts w:ascii="Arial" w:cs="Arial" w:eastAsia="Arial" w:hAnsi="Arial"/>
          <w:sz w:val="15"/>
          <w:szCs w:val="15"/>
          <w:color w:val="auto"/>
        </w:rPr>
        <w:t>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5620" w:type="dxa"/>
            <w:vAlign w:val="bottom"/>
          </w:tcPr>
          <w:p>
            <w:pPr>
              <w:spacing w:after="0"/>
              <w:rPr>
                <w:sz w:val="20"/>
                <w:szCs w:val="20"/>
                <w:color w:val="auto"/>
              </w:rPr>
            </w:pPr>
            <w:r>
              <w:rPr>
                <w:rFonts w:ascii="Arial" w:cs="Arial" w:eastAsia="Arial" w:hAnsi="Arial"/>
                <w:sz w:val="11"/>
                <w:szCs w:val="11"/>
                <w:color w:val="auto"/>
              </w:rPr>
              <w:t>TSLX (NYSE)</w:t>
            </w:r>
          </w:p>
        </w:tc>
        <w:tc>
          <w:tcPr>
            <w:tcW w:w="5020" w:type="dxa"/>
            <w:vAlign w:val="bottom"/>
          </w:tcPr>
          <w:p>
            <w:pPr>
              <w:jc w:val="right"/>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0740"/>
          </w:cols>
          <w:pgMar w:left="660" w:top="463" w:right="499" w:bottom="1440" w:gutter="0" w:footer="0" w:header="0"/>
        </w:sectPr>
      </w:pPr>
    </w:p>
    <w:bookmarkStart w:id="5" w:name="page6"/>
    <w:bookmarkEnd w:id="5"/>
    <w:p>
      <w:pPr>
        <w:ind w:left="100"/>
        <w:spacing w:after="0"/>
        <w:tabs>
          <w:tab w:leader="none" w:pos="3220" w:val="left"/>
        </w:tabs>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Response to NexPoint</w:t>
      </w:r>
      <w:r>
        <w:rPr>
          <w:sz w:val="20"/>
          <w:szCs w:val="20"/>
          <w:color w:val="auto"/>
        </w:rPr>
        <w:tab/>
      </w:r>
      <w:r>
        <w:rPr>
          <w:rFonts w:ascii="Arial" w:cs="Arial" w:eastAsia="Arial" w:hAnsi="Arial"/>
          <w:sz w:val="30"/>
          <w:szCs w:val="30"/>
          <w:color w:val="003668"/>
        </w:rPr>
        <w:t>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875780" cy="4949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5780" cy="4949825"/>
                    </a:xfrm>
                    <a:prstGeom prst="rect">
                      <a:avLst/>
                    </a:prstGeom>
                    <a:noFill/>
                  </pic:spPr>
                </pic:pic>
              </a:graphicData>
            </a:graphic>
          </wp:anchor>
        </w:drawing>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404040"/>
        </w:rPr>
        <w:t>($ in millions)</w:t>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Fees and expenses are best benchmarked against returns generated, not based on assets under management</w:t>
      </w:r>
    </w:p>
    <w:p>
      <w:pPr>
        <w:spacing w:after="0" w:line="158" w:lineRule="exact"/>
        <w:rPr>
          <w:sz w:val="20"/>
          <w:szCs w:val="20"/>
          <w:color w:val="auto"/>
        </w:rPr>
      </w:pPr>
    </w:p>
    <w:p>
      <w:pPr>
        <w:ind w:left="1700" w:right="1060" w:hanging="353"/>
        <w:spacing w:after="0" w:line="294" w:lineRule="auto"/>
        <w:rPr>
          <w:sz w:val="20"/>
          <w:szCs w:val="20"/>
          <w:color w:val="auto"/>
        </w:rPr>
      </w:pPr>
      <w:r>
        <w:rPr>
          <w:rFonts w:ascii="Arial" w:cs="Arial" w:eastAsia="Arial" w:hAnsi="Arial"/>
          <w:sz w:val="19"/>
          <w:szCs w:val="19"/>
          <w:color w:val="2D4B6F"/>
        </w:rPr>
        <w:t xml:space="preserve">— </w:t>
      </w:r>
      <w:r>
        <w:rPr>
          <w:rFonts w:ascii="Arial" w:cs="Arial" w:eastAsia="Arial" w:hAnsi="Arial"/>
          <w:sz w:val="19"/>
          <w:szCs w:val="19"/>
          <w:color w:val="000000"/>
        </w:rPr>
        <w:t>Investors would be inclined to pay higher fees if they generated a better total return on their investment net</w:t>
      </w:r>
      <w:r>
        <w:rPr>
          <w:rFonts w:ascii="Arial" w:cs="Arial" w:eastAsia="Arial" w:hAnsi="Arial"/>
          <w:sz w:val="19"/>
          <w:szCs w:val="19"/>
          <w:color w:val="2D4B6F"/>
        </w:rPr>
        <w:t xml:space="preserve"> </w:t>
      </w:r>
      <w:r>
        <w:rPr>
          <w:rFonts w:ascii="Arial" w:cs="Arial" w:eastAsia="Arial" w:hAnsi="Arial"/>
          <w:sz w:val="19"/>
          <w:szCs w:val="19"/>
          <w:color w:val="000000"/>
        </w:rPr>
        <w:t>of those fees</w:t>
      </w:r>
    </w:p>
    <w:p>
      <w:pPr>
        <w:spacing w:after="0" w:line="241" w:lineRule="exact"/>
        <w:rPr>
          <w:sz w:val="20"/>
          <w:szCs w:val="20"/>
          <w:color w:val="auto"/>
        </w:rPr>
      </w:pPr>
    </w:p>
    <w:p>
      <w:pPr>
        <w:ind w:left="1320" w:right="300"/>
        <w:spacing w:after="0" w:line="282" w:lineRule="auto"/>
        <w:rPr>
          <w:sz w:val="20"/>
          <w:szCs w:val="20"/>
          <w:color w:val="auto"/>
        </w:rPr>
      </w:pPr>
      <w:r>
        <w:rPr>
          <w:rFonts w:ascii="Arial" w:cs="Arial" w:eastAsia="Arial" w:hAnsi="Arial"/>
          <w:sz w:val="19"/>
          <w:szCs w:val="19"/>
          <w:color w:val="auto"/>
        </w:rPr>
        <w:t>TICC Capital Corp (“TICC”) stockholders would have incurred 31%</w:t>
      </w:r>
      <w:r>
        <w:rPr>
          <w:rFonts w:ascii="Arial" w:cs="Arial" w:eastAsia="Arial" w:hAnsi="Arial"/>
          <w:sz w:val="12"/>
          <w:szCs w:val="12"/>
          <w:color w:val="auto"/>
        </w:rPr>
        <w:t>(1)</w:t>
      </w:r>
      <w:r>
        <w:rPr>
          <w:rFonts w:ascii="Arial" w:cs="Arial" w:eastAsia="Arial" w:hAnsi="Arial"/>
          <w:sz w:val="19"/>
          <w:szCs w:val="19"/>
          <w:color w:val="auto"/>
        </w:rPr>
        <w:t xml:space="preserve"> in total shareholder costs as a percentage of economic profit assuming NexPoint Advisors, L.P. (“NexPoint”) fee structure had been in place since inception</w:t>
      </w:r>
    </w:p>
    <w:p>
      <w:pPr>
        <w:spacing w:after="0" w:line="100" w:lineRule="exact"/>
        <w:rPr>
          <w:sz w:val="20"/>
          <w:szCs w:val="20"/>
          <w:color w:val="auto"/>
        </w:rPr>
      </w:pPr>
    </w:p>
    <w:p>
      <w:pPr>
        <w:ind w:left="1700" w:right="1100" w:hanging="353"/>
        <w:spacing w:after="0" w:line="313" w:lineRule="auto"/>
        <w:rPr>
          <w:sz w:val="20"/>
          <w:szCs w:val="20"/>
          <w:color w:val="auto"/>
        </w:rPr>
      </w:pPr>
      <w:r>
        <w:rPr>
          <w:rFonts w:ascii="Arial" w:cs="Arial" w:eastAsia="Arial" w:hAnsi="Arial"/>
          <w:sz w:val="19"/>
          <w:szCs w:val="19"/>
          <w:color w:val="2D4B6F"/>
        </w:rPr>
        <w:t xml:space="preserve">— </w:t>
      </w:r>
      <w:r>
        <w:rPr>
          <w:rFonts w:ascii="Arial" w:cs="Arial" w:eastAsia="Arial" w:hAnsi="Arial"/>
          <w:sz w:val="19"/>
          <w:szCs w:val="19"/>
          <w:color w:val="000000"/>
        </w:rPr>
        <w:t>This is marginally lower than the historical rate paid by TPG Specialty Lending (“TSLX”) stockholders of</w:t>
      </w:r>
      <w:r>
        <w:rPr>
          <w:rFonts w:ascii="Arial" w:cs="Arial" w:eastAsia="Arial" w:hAnsi="Arial"/>
          <w:sz w:val="19"/>
          <w:szCs w:val="19"/>
          <w:color w:val="2D4B6F"/>
        </w:rPr>
        <w:t xml:space="preserve"> </w:t>
      </w:r>
      <w:r>
        <w:rPr>
          <w:rFonts w:ascii="Arial" w:cs="Arial" w:eastAsia="Arial" w:hAnsi="Arial"/>
          <w:sz w:val="19"/>
          <w:szCs w:val="19"/>
          <w:color w:val="000000"/>
        </w:rPr>
        <w:t>34%</w:t>
      </w:r>
      <w:r>
        <w:rPr>
          <w:rFonts w:ascii="Arial" w:cs="Arial" w:eastAsia="Arial" w:hAnsi="Arial"/>
          <w:sz w:val="25"/>
          <w:szCs w:val="25"/>
          <w:color w:val="000000"/>
          <w:vertAlign w:val="superscript"/>
        </w:rPr>
        <w:t>(1)</w:t>
      </w:r>
    </w:p>
    <w:p>
      <w:pPr>
        <w:spacing w:after="0" w:line="281" w:lineRule="exact"/>
        <w:rPr>
          <w:sz w:val="20"/>
          <w:szCs w:val="20"/>
          <w:color w:val="auto"/>
        </w:rPr>
      </w:pPr>
    </w:p>
    <w:p>
      <w:pPr>
        <w:ind w:left="1320" w:right="1120"/>
        <w:spacing w:after="0" w:line="294" w:lineRule="auto"/>
        <w:rPr>
          <w:sz w:val="20"/>
          <w:szCs w:val="20"/>
          <w:color w:val="auto"/>
        </w:rPr>
      </w:pPr>
      <w:r>
        <w:rPr>
          <w:rFonts w:ascii="Arial" w:cs="Arial" w:eastAsia="Arial" w:hAnsi="Arial"/>
          <w:sz w:val="19"/>
          <w:szCs w:val="19"/>
          <w:color w:val="auto"/>
        </w:rPr>
        <w:t>This modestly higher fee ratio is more than justified when looking at the historical performance of the manager and taking into account TSLX’s active management approach</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9"/>
          <w:szCs w:val="19"/>
          <w:color w:val="2D4B6F"/>
        </w:rPr>
        <w:t xml:space="preserve">—  </w:t>
      </w:r>
      <w:r>
        <w:rPr>
          <w:rFonts w:ascii="Arial" w:cs="Arial" w:eastAsia="Arial" w:hAnsi="Arial"/>
          <w:sz w:val="19"/>
          <w:szCs w:val="19"/>
          <w:color w:val="000000"/>
        </w:rPr>
        <w:t>Since commencement of investment activities in July 2011, TSLX has generated a total return of 62.4%</w:t>
      </w:r>
    </w:p>
    <w:p>
      <w:pPr>
        <w:spacing w:after="0" w:line="122" w:lineRule="exact"/>
        <w:rPr>
          <w:sz w:val="20"/>
          <w:szCs w:val="20"/>
          <w:color w:val="auto"/>
        </w:rPr>
      </w:pPr>
    </w:p>
    <w:p>
      <w:pPr>
        <w:ind w:left="1700" w:right="420" w:hanging="353"/>
        <w:spacing w:after="0" w:line="244" w:lineRule="auto"/>
        <w:rPr>
          <w:sz w:val="20"/>
          <w:szCs w:val="20"/>
          <w:color w:val="auto"/>
        </w:rPr>
      </w:pPr>
      <w:r>
        <w:rPr>
          <w:rFonts w:ascii="Arial" w:cs="Arial" w:eastAsia="Arial" w:hAnsi="Arial"/>
          <w:sz w:val="19"/>
          <w:szCs w:val="19"/>
          <w:color w:val="2D4B6F"/>
        </w:rPr>
        <w:t xml:space="preserve">— </w:t>
      </w:r>
      <w:r>
        <w:rPr>
          <w:rFonts w:ascii="Arial" w:cs="Arial" w:eastAsia="Arial" w:hAnsi="Arial"/>
          <w:sz w:val="19"/>
          <w:szCs w:val="19"/>
          <w:color w:val="000000"/>
        </w:rPr>
        <w:t>Under the direction of members of the NexPoint management team, Highland Distressed Opportunities, a</w:t>
      </w:r>
      <w:r>
        <w:rPr>
          <w:rFonts w:ascii="Arial" w:cs="Arial" w:eastAsia="Arial" w:hAnsi="Arial"/>
          <w:sz w:val="19"/>
          <w:szCs w:val="19"/>
          <w:color w:val="2D4B6F"/>
        </w:rPr>
        <w:t xml:space="preserve"> </w:t>
      </w:r>
      <w:r>
        <w:rPr>
          <w:rFonts w:ascii="Arial" w:cs="Arial" w:eastAsia="Arial" w:hAnsi="Arial"/>
          <w:sz w:val="19"/>
          <w:szCs w:val="19"/>
          <w:color w:val="000000"/>
        </w:rPr>
        <w:t>BDC, generated market price returns of NEGATIVE 57%</w:t>
      </w:r>
      <w:r>
        <w:rPr>
          <w:rFonts w:ascii="Arial" w:cs="Arial" w:eastAsia="Arial" w:hAnsi="Arial"/>
          <w:sz w:val="25"/>
          <w:szCs w:val="25"/>
          <w:color w:val="000000"/>
          <w:vertAlign w:val="superscript"/>
        </w:rPr>
        <w:t>(2)</w:t>
      </w:r>
      <w:r>
        <w:rPr>
          <w:rFonts w:ascii="Arial" w:cs="Arial" w:eastAsia="Arial" w:hAnsi="Arial"/>
          <w:sz w:val="19"/>
          <w:szCs w:val="19"/>
          <w:color w:val="000000"/>
        </w:rPr>
        <w:t xml:space="preserve"> before it was absorbed into Highland Credit Strategies</w:t>
      </w:r>
    </w:p>
    <w:p>
      <w:pPr>
        <w:spacing w:after="0" w:line="298" w:lineRule="exact"/>
        <w:rPr>
          <w:sz w:val="20"/>
          <w:szCs w:val="20"/>
          <w:color w:val="auto"/>
        </w:rPr>
      </w:pPr>
    </w:p>
    <w:p>
      <w:pPr>
        <w:ind w:left="1320" w:right="1200"/>
        <w:spacing w:after="0" w:line="294" w:lineRule="auto"/>
        <w:rPr>
          <w:sz w:val="20"/>
          <w:szCs w:val="20"/>
          <w:color w:val="auto"/>
        </w:rPr>
      </w:pPr>
      <w:r>
        <w:rPr>
          <w:rFonts w:ascii="Arial" w:cs="Arial" w:eastAsia="Arial" w:hAnsi="Arial"/>
          <w:sz w:val="19"/>
          <w:szCs w:val="19"/>
          <w:color w:val="auto"/>
        </w:rPr>
        <w:t>Investors would need to consider the fees paid to the manager in conjunction with the confidence they have in the manager’s ability to generate returns</w:t>
      </w:r>
    </w:p>
    <w:p>
      <w:pPr>
        <w:spacing w:after="0" w:line="88" w:lineRule="exact"/>
        <w:rPr>
          <w:sz w:val="20"/>
          <w:szCs w:val="20"/>
          <w:color w:val="auto"/>
        </w:rPr>
      </w:pPr>
    </w:p>
    <w:p>
      <w:pPr>
        <w:ind w:left="1700" w:right="980" w:hanging="353"/>
        <w:spacing w:after="0" w:line="357" w:lineRule="auto"/>
        <w:rPr>
          <w:sz w:val="20"/>
          <w:szCs w:val="20"/>
          <w:color w:val="auto"/>
        </w:rPr>
      </w:pPr>
      <w:r>
        <w:rPr>
          <w:rFonts w:ascii="Arial" w:cs="Arial" w:eastAsia="Arial" w:hAnsi="Arial"/>
          <w:sz w:val="17"/>
          <w:szCs w:val="17"/>
          <w:color w:val="2D4B6F"/>
        </w:rPr>
        <w:t xml:space="preserve">— </w:t>
      </w:r>
      <w:r>
        <w:rPr>
          <w:rFonts w:ascii="Arial" w:cs="Arial" w:eastAsia="Arial" w:hAnsi="Arial"/>
          <w:sz w:val="17"/>
          <w:szCs w:val="17"/>
          <w:color w:val="000000"/>
        </w:rPr>
        <w:t>NexPoint’s analysis assumes that they are able to generate the same return for TICC stockholders as TSLX</w:t>
      </w:r>
      <w:r>
        <w:rPr>
          <w:rFonts w:ascii="Arial" w:cs="Arial" w:eastAsia="Arial" w:hAnsi="Arial"/>
          <w:sz w:val="17"/>
          <w:szCs w:val="17"/>
          <w:color w:val="2D4B6F"/>
        </w:rPr>
        <w:t xml:space="preserve"> </w:t>
      </w:r>
      <w:r>
        <w:rPr>
          <w:rFonts w:ascii="Arial" w:cs="Arial" w:eastAsia="Arial" w:hAnsi="Arial"/>
          <w:sz w:val="17"/>
          <w:szCs w:val="17"/>
          <w:color w:val="000000"/>
        </w:rPr>
        <w:t>could, but given their respective historical performance, investors should be understandably skeptical</w:t>
      </w:r>
    </w:p>
    <w:p>
      <w:pPr>
        <w:spacing w:after="0" w:line="200" w:lineRule="exact"/>
        <w:rPr>
          <w:sz w:val="20"/>
          <w:szCs w:val="20"/>
          <w:color w:val="auto"/>
        </w:rPr>
      </w:pPr>
    </w:p>
    <w:p>
      <w:pPr>
        <w:spacing w:after="0" w:line="321" w:lineRule="exact"/>
        <w:rPr>
          <w:sz w:val="20"/>
          <w:szCs w:val="20"/>
          <w:color w:val="auto"/>
        </w:rPr>
      </w:pPr>
    </w:p>
    <w:p>
      <w:pPr>
        <w:ind w:left="280" w:hanging="277"/>
        <w:spacing w:after="0"/>
        <w:tabs>
          <w:tab w:leader="none" w:pos="28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See page titled “Fees as a Portion of Total Economics” for supporting calculation</w:t>
      </w:r>
    </w:p>
    <w:p>
      <w:pPr>
        <w:ind w:left="280" w:hanging="277"/>
        <w:spacing w:after="0" w:line="235" w:lineRule="auto"/>
        <w:tabs>
          <w:tab w:leader="none" w:pos="28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Supplement Dated April 22, 2009 to the Proxy Statement/Prospectus Dated March 5, 2009 of Highland Distressed Opportunities</w:t>
      </w:r>
    </w:p>
    <w:p>
      <w:pPr>
        <w:spacing w:after="0"/>
        <w:rPr>
          <w:sz w:val="20"/>
          <w:szCs w:val="20"/>
          <w:color w:val="auto"/>
        </w:rPr>
      </w:pPr>
      <w:r>
        <w:rPr>
          <w:rFonts w:ascii="Arial" w:cs="Arial" w:eastAsia="Arial" w:hAnsi="Arial"/>
          <w:sz w:val="11"/>
          <w:szCs w:val="11"/>
          <w:i w:val="1"/>
          <w:iCs w:val="1"/>
          <w:color w:val="auto"/>
        </w:rPr>
        <w:t>Source: Company Filings. Financial data as of Q2 2015</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44"/>
        </w:trPr>
        <w:tc>
          <w:tcPr>
            <w:tcW w:w="5560" w:type="dxa"/>
            <w:vAlign w:val="bottom"/>
          </w:tcPr>
          <w:p>
            <w:pPr>
              <w:spacing w:after="0"/>
              <w:rPr>
                <w:sz w:val="20"/>
                <w:szCs w:val="20"/>
                <w:color w:val="auto"/>
              </w:rPr>
            </w:pPr>
            <w:r>
              <w:rPr>
                <w:rFonts w:ascii="Arial" w:cs="Arial" w:eastAsia="Arial" w:hAnsi="Arial"/>
                <w:sz w:val="11"/>
                <w:szCs w:val="11"/>
                <w:color w:val="auto"/>
              </w:rPr>
              <w:t>TSLX (NYSE)</w:t>
            </w:r>
          </w:p>
        </w:tc>
        <w:tc>
          <w:tcPr>
            <w:tcW w:w="4980" w:type="dxa"/>
            <w:vAlign w:val="bottom"/>
          </w:tcPr>
          <w:p>
            <w:pPr>
              <w:jc w:val="right"/>
              <w:spacing w:after="0"/>
              <w:rPr>
                <w:sz w:val="20"/>
                <w:szCs w:val="20"/>
                <w:color w:val="auto"/>
              </w:rPr>
            </w:pPr>
            <w:r>
              <w:rPr>
                <w:rFonts w:ascii="Arial" w:cs="Arial" w:eastAsia="Arial" w:hAnsi="Arial"/>
                <w:sz w:val="11"/>
                <w:szCs w:val="11"/>
                <w:color w:val="auto"/>
              </w:rPr>
              <w:t>3</w:t>
            </w:r>
          </w:p>
        </w:tc>
      </w:tr>
    </w:tbl>
    <w:p>
      <w:pPr>
        <w:sectPr>
          <w:pgSz w:w="11900" w:h="16838" w:orient="portrait"/>
          <w:cols w:equalWidth="0" w:num="1">
            <w:col w:w="10800"/>
          </w:cols>
          <w:pgMar w:left="360" w:top="264" w:right="739" w:bottom="1440" w:gutter="0" w:footer="0" w:header="0"/>
        </w:sectPr>
      </w:pPr>
    </w:p>
    <w:bookmarkStart w:id="6" w:name="page7"/>
    <w:bookmarkEnd w:id="6"/>
    <w:p>
      <w:pPr>
        <w:ind w:left="10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Fees as a Portion of Total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891020" cy="4949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1020" cy="4949825"/>
                    </a:xfrm>
                    <a:prstGeom prst="rect">
                      <a:avLst/>
                    </a:prstGeom>
                    <a:noFill/>
                  </pic:spPr>
                </pic:pic>
              </a:graphicData>
            </a:graphic>
          </wp:anchor>
        </w:drawing>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404040"/>
        </w:rPr>
        <w:t>($ in millions)</w:t>
      </w:r>
    </w:p>
    <w:p>
      <w:pPr>
        <w:ind w:left="3620"/>
        <w:spacing w:after="0"/>
        <w:rPr>
          <w:sz w:val="20"/>
          <w:szCs w:val="20"/>
          <w:color w:val="auto"/>
        </w:rPr>
      </w:pPr>
      <w:r>
        <w:rPr>
          <w:rFonts w:ascii="Arial" w:cs="Arial" w:eastAsia="Arial" w:hAnsi="Arial"/>
          <w:sz w:val="19"/>
          <w:szCs w:val="19"/>
          <w:b w:val="1"/>
          <w:bCs w:val="1"/>
          <w:color w:val="FFFFFF"/>
        </w:rPr>
        <w:t>Economic Profit versus BDC Manager Compensation</w:t>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 stockholders, it is important to look at fees relative to the returns received by the stockholders</w:t>
      </w:r>
    </w:p>
    <w:p>
      <w:pPr>
        <w:spacing w:after="0" w:line="75" w:lineRule="exact"/>
        <w:rPr>
          <w:sz w:val="20"/>
          <w:szCs w:val="20"/>
          <w:color w:val="auto"/>
        </w:rPr>
      </w:pPr>
    </w:p>
    <w:p>
      <w:pPr>
        <w:ind w:left="1320" w:right="1380"/>
        <w:spacing w:after="0" w:line="291" w:lineRule="auto"/>
        <w:rPr>
          <w:sz w:val="20"/>
          <w:szCs w:val="20"/>
          <w:color w:val="auto"/>
        </w:rPr>
      </w:pPr>
      <w:r>
        <w:rPr>
          <w:rFonts w:ascii="Arial" w:cs="Arial" w:eastAsia="Arial" w:hAnsi="Arial"/>
          <w:sz w:val="18"/>
          <w:szCs w:val="18"/>
          <w:color w:val="auto"/>
        </w:rPr>
        <w:t>Investors are generally less concerned with high fees as a percentage of assets if attractive returns are passed to the stockholder</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TICC has consistently delivered lackluster returns, leading to comparatively outsized fees for themselves</w:t>
      </w:r>
    </w:p>
    <w:p>
      <w:pPr>
        <w:spacing w:after="0" w:line="87" w:lineRule="exact"/>
        <w:rPr>
          <w:sz w:val="20"/>
          <w:szCs w:val="20"/>
          <w:color w:val="auto"/>
        </w:rPr>
      </w:pPr>
    </w:p>
    <w:p>
      <w:pPr>
        <w:ind w:left="1320" w:right="740"/>
        <w:spacing w:after="0" w:line="275" w:lineRule="auto"/>
        <w:rPr>
          <w:sz w:val="20"/>
          <w:szCs w:val="20"/>
          <w:color w:val="auto"/>
        </w:rPr>
      </w:pPr>
      <w:r>
        <w:rPr>
          <w:rFonts w:ascii="Arial" w:cs="Arial" w:eastAsia="Arial" w:hAnsi="Arial"/>
          <w:sz w:val="18"/>
          <w:szCs w:val="18"/>
          <w:color w:val="auto"/>
        </w:rPr>
        <w:t>The table below analyzes economic profit versus manager compensation for TSLX, TICC, TICC pro forma as if it had been subject to the fee structure under the BSP proposal, and TICC pro forma as if it had been subject to the fee structure under the NexPoint proposal</w:t>
      </w:r>
    </w:p>
    <w:p>
      <w:pPr>
        <w:spacing w:after="0" w:line="29" w:lineRule="exact"/>
        <w:rPr>
          <w:sz w:val="20"/>
          <w:szCs w:val="20"/>
          <w:color w:val="auto"/>
        </w:rPr>
      </w:pPr>
    </w:p>
    <w:p>
      <w:pPr>
        <w:ind w:left="1320"/>
        <w:spacing w:after="0"/>
        <w:tabs>
          <w:tab w:leader="none" w:pos="6880" w:val="left"/>
        </w:tabs>
        <w:rPr>
          <w:sz w:val="20"/>
          <w:szCs w:val="20"/>
          <w:color w:val="auto"/>
        </w:rPr>
      </w:pPr>
      <w:r>
        <w:rPr>
          <w:rFonts w:ascii="Arial" w:cs="Arial" w:eastAsia="Arial" w:hAnsi="Arial"/>
          <w:sz w:val="18"/>
          <w:szCs w:val="18"/>
          <w:color w:val="auto"/>
        </w:rPr>
        <w:t>Economic profit defined as Cumulative  Net Income + Total Shareholder</w:t>
      </w:r>
      <w:r>
        <w:rPr>
          <w:sz w:val="20"/>
          <w:szCs w:val="20"/>
          <w:color w:val="auto"/>
        </w:rPr>
        <w:tab/>
      </w:r>
      <w:r>
        <w:rPr>
          <w:rFonts w:ascii="Arial" w:cs="Arial" w:eastAsia="Arial" w:hAnsi="Arial"/>
          <w:sz w:val="15"/>
          <w:szCs w:val="15"/>
          <w:color w:val="auto"/>
        </w:rPr>
        <w:t xml:space="preserve">Fees and Expenses </w:t>
      </w:r>
      <w:r>
        <w:rPr>
          <w:rFonts w:ascii="Arial" w:cs="Arial" w:eastAsia="Arial" w:hAnsi="Arial"/>
          <w:sz w:val="10"/>
          <w:szCs w:val="10"/>
          <w:color w:val="auto"/>
        </w:rPr>
        <w:t>(1)</w:t>
      </w:r>
    </w:p>
    <w:p>
      <w:pPr>
        <w:spacing w:after="0" w:line="200" w:lineRule="exact"/>
        <w:rPr>
          <w:sz w:val="20"/>
          <w:szCs w:val="20"/>
          <w:color w:val="auto"/>
        </w:rPr>
      </w:pPr>
    </w:p>
    <w:p>
      <w:pPr>
        <w:ind w:left="1620"/>
        <w:spacing w:after="0"/>
        <w:tabs>
          <w:tab w:leader="none" w:pos="4980" w:val="left"/>
        </w:tabs>
        <w:rPr>
          <w:sz w:val="20"/>
          <w:szCs w:val="20"/>
          <w:color w:val="auto"/>
        </w:rPr>
      </w:pPr>
      <w:r>
        <w:rPr>
          <w:rFonts w:ascii="Arial" w:cs="Arial" w:eastAsia="Arial" w:hAnsi="Arial"/>
          <w:sz w:val="15"/>
          <w:szCs w:val="15"/>
          <w:b w:val="1"/>
          <w:bCs w:val="1"/>
          <w:color w:val="auto"/>
        </w:rPr>
        <w:t>“Overall, the market does not look at expenses</w:t>
      </w:r>
      <w:r>
        <w:rPr>
          <w:sz w:val="20"/>
          <w:szCs w:val="20"/>
          <w:color w:val="auto"/>
        </w:rPr>
        <w:tab/>
      </w:r>
      <w:r>
        <w:rPr>
          <w:rFonts w:ascii="Arial" w:cs="Arial" w:eastAsia="Arial" w:hAnsi="Arial"/>
          <w:sz w:val="14"/>
          <w:szCs w:val="14"/>
          <w:b w:val="1"/>
          <w:bCs w:val="1"/>
          <w:color w:val="auto"/>
        </w:rPr>
        <w:t>in a vacuum and neither  should the TICC board.” – Wells  Fargo Sept. 22</w:t>
      </w:r>
    </w:p>
    <w:p>
      <w:pPr>
        <w:spacing w:after="0" w:line="291" w:lineRule="exact"/>
        <w:rPr>
          <w:sz w:val="20"/>
          <w:szCs w:val="20"/>
          <w:color w:val="auto"/>
        </w:rPr>
      </w:pPr>
    </w:p>
    <w:tbl>
      <w:tblPr>
        <w:tblLayout w:type="fixed"/>
        <w:tblInd w:w="1020" w:type="dxa"/>
        <w:tblCellMar>
          <w:top w:w="0" w:type="dxa"/>
          <w:left w:w="0" w:type="dxa"/>
          <w:bottom w:w="0" w:type="dxa"/>
          <w:right w:w="0" w:type="dxa"/>
        </w:tblCellMar>
      </w:tblPr>
      <w:tr>
        <w:trPr>
          <w:trHeight w:val="235"/>
        </w:trPr>
        <w:tc>
          <w:tcPr>
            <w:tcW w:w="3580" w:type="dxa"/>
            <w:vAlign w:val="bottom"/>
          </w:tcPr>
          <w:p>
            <w:pPr>
              <w:spacing w:after="0"/>
              <w:rPr>
                <w:sz w:val="20"/>
                <w:szCs w:val="20"/>
                <w:color w:val="auto"/>
              </w:rPr>
            </w:pPr>
          </w:p>
        </w:tc>
        <w:tc>
          <w:tcPr>
            <w:tcW w:w="1880" w:type="dxa"/>
            <w:vAlign w:val="bottom"/>
            <w:vMerge w:val="restart"/>
          </w:tcPr>
          <w:p>
            <w:pPr>
              <w:jc w:val="right"/>
              <w:ind w:right="251"/>
              <w:spacing w:after="0"/>
              <w:rPr>
                <w:sz w:val="20"/>
                <w:szCs w:val="20"/>
                <w:color w:val="auto"/>
              </w:rPr>
            </w:pPr>
            <w:r>
              <w:rPr>
                <w:rFonts w:ascii="Arial" w:cs="Arial" w:eastAsia="Arial" w:hAnsi="Arial"/>
                <w:sz w:val="19"/>
                <w:szCs w:val="19"/>
                <w:b w:val="1"/>
                <w:bCs w:val="1"/>
                <w:color w:val="FFFFFF"/>
              </w:rPr>
              <w:t>TSLX</w:t>
            </w:r>
          </w:p>
        </w:tc>
        <w:tc>
          <w:tcPr>
            <w:tcW w:w="1080" w:type="dxa"/>
            <w:vAlign w:val="bottom"/>
            <w:vMerge w:val="restart"/>
          </w:tcPr>
          <w:p>
            <w:pPr>
              <w:jc w:val="right"/>
              <w:ind w:right="11"/>
              <w:spacing w:after="0"/>
              <w:rPr>
                <w:sz w:val="20"/>
                <w:szCs w:val="20"/>
                <w:color w:val="auto"/>
              </w:rPr>
            </w:pPr>
            <w:r>
              <w:rPr>
                <w:rFonts w:ascii="Arial" w:cs="Arial" w:eastAsia="Arial" w:hAnsi="Arial"/>
                <w:sz w:val="19"/>
                <w:szCs w:val="19"/>
                <w:b w:val="1"/>
                <w:bCs w:val="1"/>
                <w:color w:val="FFFFFF"/>
              </w:rPr>
              <w:t>TICC</w:t>
            </w:r>
          </w:p>
        </w:tc>
        <w:tc>
          <w:tcPr>
            <w:tcW w:w="1680" w:type="dxa"/>
            <w:vAlign w:val="bottom"/>
          </w:tcPr>
          <w:p>
            <w:pPr>
              <w:ind w:left="560"/>
              <w:spacing w:after="0"/>
              <w:rPr>
                <w:sz w:val="20"/>
                <w:szCs w:val="20"/>
                <w:color w:val="auto"/>
              </w:rPr>
            </w:pPr>
            <w:r>
              <w:rPr>
                <w:rFonts w:ascii="Arial" w:cs="Arial" w:eastAsia="Arial" w:hAnsi="Arial"/>
                <w:sz w:val="19"/>
                <w:szCs w:val="19"/>
                <w:b w:val="1"/>
                <w:bCs w:val="1"/>
                <w:color w:val="FFFFFF"/>
              </w:rPr>
              <w:t>TICC under</w:t>
            </w:r>
          </w:p>
        </w:tc>
        <w:tc>
          <w:tcPr>
            <w:tcW w:w="1560" w:type="dxa"/>
            <w:vAlign w:val="bottom"/>
          </w:tcPr>
          <w:p>
            <w:pPr>
              <w:jc w:val="right"/>
              <w:ind w:right="151"/>
              <w:spacing w:after="0"/>
              <w:rPr>
                <w:sz w:val="20"/>
                <w:szCs w:val="20"/>
                <w:color w:val="auto"/>
              </w:rPr>
            </w:pPr>
            <w:r>
              <w:rPr>
                <w:rFonts w:ascii="Arial" w:cs="Arial" w:eastAsia="Arial" w:hAnsi="Arial"/>
                <w:sz w:val="19"/>
                <w:szCs w:val="19"/>
                <w:b w:val="1"/>
                <w:bCs w:val="1"/>
                <w:color w:val="FFFFFF"/>
              </w:rPr>
              <w:t>TICC under</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88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680" w:type="dxa"/>
            <w:vAlign w:val="bottom"/>
          </w:tcPr>
          <w:p>
            <w:pPr>
              <w:ind w:left="560"/>
              <w:spacing w:after="0" w:line="258" w:lineRule="exact"/>
              <w:rPr>
                <w:sz w:val="20"/>
                <w:szCs w:val="20"/>
                <w:color w:val="auto"/>
              </w:rPr>
            </w:pPr>
            <w:r>
              <w:rPr>
                <w:rFonts w:ascii="Arial" w:cs="Arial" w:eastAsia="Arial" w:hAnsi="Arial"/>
                <w:sz w:val="19"/>
                <w:szCs w:val="19"/>
                <w:b w:val="1"/>
                <w:bCs w:val="1"/>
                <w:color w:val="FFFFFF"/>
              </w:rPr>
              <w:t>BSP Fees</w:t>
            </w:r>
            <w:r>
              <w:rPr>
                <w:rFonts w:ascii="Arial" w:cs="Arial" w:eastAsia="Arial" w:hAnsi="Arial"/>
                <w:sz w:val="25"/>
                <w:szCs w:val="25"/>
                <w:b w:val="1"/>
                <w:bCs w:val="1"/>
                <w:color w:val="FFFFFF"/>
                <w:vertAlign w:val="superscript"/>
              </w:rPr>
              <w:t>(2)</w:t>
            </w:r>
          </w:p>
        </w:tc>
        <w:tc>
          <w:tcPr>
            <w:tcW w:w="1560" w:type="dxa"/>
            <w:vAlign w:val="bottom"/>
          </w:tcPr>
          <w:p>
            <w:pPr>
              <w:jc w:val="right"/>
              <w:spacing w:after="0" w:line="258" w:lineRule="exact"/>
              <w:rPr>
                <w:sz w:val="20"/>
                <w:szCs w:val="20"/>
                <w:color w:val="auto"/>
              </w:rPr>
            </w:pPr>
            <w:r>
              <w:rPr>
                <w:rFonts w:ascii="Arial" w:cs="Arial" w:eastAsia="Arial" w:hAnsi="Arial"/>
                <w:sz w:val="19"/>
                <w:szCs w:val="19"/>
                <w:b w:val="1"/>
                <w:bCs w:val="1"/>
                <w:color w:val="FFFFFF"/>
              </w:rPr>
              <w:t>NexPoint Fees</w:t>
            </w:r>
            <w:r>
              <w:rPr>
                <w:rFonts w:ascii="Arial" w:cs="Arial" w:eastAsia="Arial" w:hAnsi="Arial"/>
                <w:sz w:val="25"/>
                <w:szCs w:val="25"/>
                <w:b w:val="1"/>
                <w:bCs w:val="1"/>
                <w:color w:val="FFFFFF"/>
                <w:vertAlign w:val="superscript"/>
              </w:rPr>
              <w:t>(3)</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880" w:type="dxa"/>
            <w:vAlign w:val="bottom"/>
          </w:tcPr>
          <w:p>
            <w:pPr>
              <w:jc w:val="right"/>
              <w:ind w:right="491"/>
              <w:spacing w:after="0"/>
              <w:rPr>
                <w:sz w:val="20"/>
                <w:szCs w:val="20"/>
                <w:color w:val="auto"/>
              </w:rPr>
            </w:pPr>
            <w:r>
              <w:rPr>
                <w:rFonts w:ascii="Arial" w:cs="Arial" w:eastAsia="Arial" w:hAnsi="Arial"/>
                <w:sz w:val="18"/>
                <w:szCs w:val="18"/>
                <w:color w:val="auto"/>
              </w:rPr>
              <w:t>$ 380</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$ 415</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$ 415</w:t>
            </w:r>
          </w:p>
        </w:tc>
        <w:tc>
          <w:tcPr>
            <w:tcW w:w="1560" w:type="dxa"/>
            <w:vAlign w:val="bottom"/>
          </w:tcPr>
          <w:p>
            <w:pPr>
              <w:jc w:val="right"/>
              <w:ind w:right="711"/>
              <w:spacing w:after="0"/>
              <w:rPr>
                <w:sz w:val="20"/>
                <w:szCs w:val="20"/>
                <w:color w:val="auto"/>
              </w:rPr>
            </w:pPr>
            <w:r>
              <w:rPr>
                <w:rFonts w:ascii="Arial" w:cs="Arial" w:eastAsia="Arial" w:hAnsi="Arial"/>
                <w:sz w:val="18"/>
                <w:szCs w:val="18"/>
                <w:color w:val="auto"/>
              </w:rPr>
              <w:t>$ 415</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880" w:type="dxa"/>
            <w:vAlign w:val="bottom"/>
          </w:tcPr>
          <w:p>
            <w:pPr>
              <w:jc w:val="right"/>
              <w:ind w:right="511"/>
              <w:spacing w:after="0"/>
              <w:rPr>
                <w:sz w:val="20"/>
                <w:szCs w:val="20"/>
                <w:color w:val="auto"/>
              </w:rPr>
            </w:pPr>
            <w:r>
              <w:rPr>
                <w:rFonts w:ascii="Arial" w:cs="Arial" w:eastAsia="Arial" w:hAnsi="Arial"/>
                <w:sz w:val="18"/>
                <w:szCs w:val="18"/>
                <w:color w:val="auto"/>
              </w:rPr>
              <w:t>102</w:t>
            </w:r>
          </w:p>
        </w:tc>
        <w:tc>
          <w:tcPr>
            <w:tcW w:w="1080" w:type="dxa"/>
            <w:vAlign w:val="bottom"/>
          </w:tcPr>
          <w:p>
            <w:pPr>
              <w:jc w:val="right"/>
              <w:ind w:right="271"/>
              <w:spacing w:after="0"/>
              <w:rPr>
                <w:sz w:val="20"/>
                <w:szCs w:val="20"/>
                <w:color w:val="auto"/>
              </w:rPr>
            </w:pPr>
            <w:r>
              <w:rPr>
                <w:rFonts w:ascii="Arial" w:cs="Arial" w:eastAsia="Arial" w:hAnsi="Arial"/>
                <w:sz w:val="18"/>
                <w:szCs w:val="18"/>
                <w:color w:val="auto"/>
              </w:rPr>
              <w:t>128</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101</w:t>
            </w:r>
          </w:p>
        </w:tc>
        <w:tc>
          <w:tcPr>
            <w:tcW w:w="1560" w:type="dxa"/>
            <w:vAlign w:val="bottom"/>
          </w:tcPr>
          <w:p>
            <w:pPr>
              <w:jc w:val="right"/>
              <w:ind w:right="7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4"/>
                <w:szCs w:val="24"/>
                <w:color w:val="auto"/>
              </w:rPr>
            </w:pPr>
          </w:p>
        </w:tc>
        <w:tc>
          <w:tcPr>
            <w:tcW w:w="1880" w:type="dxa"/>
            <w:vAlign w:val="bottom"/>
          </w:tcPr>
          <w:p>
            <w:pPr>
              <w:jc w:val="right"/>
              <w:ind w:right="491"/>
              <w:spacing w:after="0"/>
              <w:rPr>
                <w:sz w:val="20"/>
                <w:szCs w:val="20"/>
                <w:color w:val="auto"/>
              </w:rPr>
            </w:pPr>
            <w:r>
              <w:rPr>
                <w:rFonts w:ascii="Arial" w:cs="Arial" w:eastAsia="Arial" w:hAnsi="Arial"/>
                <w:sz w:val="18"/>
                <w:szCs w:val="18"/>
                <w:color w:val="auto"/>
              </w:rPr>
              <w:t>27</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38</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38</w:t>
            </w:r>
          </w:p>
        </w:tc>
        <w:tc>
          <w:tcPr>
            <w:tcW w:w="1560" w:type="dxa"/>
            <w:vAlign w:val="bottom"/>
          </w:tcPr>
          <w:p>
            <w:pPr>
              <w:jc w:val="right"/>
              <w:ind w:right="7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880" w:type="dxa"/>
            <w:vAlign w:val="bottom"/>
          </w:tcPr>
          <w:p>
            <w:pPr>
              <w:jc w:val="right"/>
              <w:ind w:right="511"/>
              <w:spacing w:after="0"/>
              <w:rPr>
                <w:sz w:val="20"/>
                <w:szCs w:val="20"/>
                <w:color w:val="auto"/>
              </w:rPr>
            </w:pPr>
            <w:r>
              <w:rPr>
                <w:rFonts w:ascii="Arial" w:cs="Arial" w:eastAsia="Arial" w:hAnsi="Arial"/>
                <w:sz w:val="18"/>
                <w:szCs w:val="18"/>
                <w:b w:val="1"/>
                <w:bCs w:val="1"/>
                <w:color w:val="auto"/>
              </w:rPr>
              <w:t>$129</w:t>
            </w:r>
          </w:p>
        </w:tc>
        <w:tc>
          <w:tcPr>
            <w:tcW w:w="1080" w:type="dxa"/>
            <w:vAlign w:val="bottom"/>
          </w:tcPr>
          <w:p>
            <w:pPr>
              <w:jc w:val="right"/>
              <w:ind w:right="271"/>
              <w:spacing w:after="0"/>
              <w:rPr>
                <w:sz w:val="20"/>
                <w:szCs w:val="20"/>
                <w:color w:val="auto"/>
              </w:rPr>
            </w:pPr>
            <w:r>
              <w:rPr>
                <w:rFonts w:ascii="Arial" w:cs="Arial" w:eastAsia="Arial" w:hAnsi="Arial"/>
                <w:sz w:val="18"/>
                <w:szCs w:val="18"/>
                <w:b w:val="1"/>
                <w:bCs w:val="1"/>
                <w:color w:val="auto"/>
              </w:rPr>
              <w:t>$166</w:t>
            </w: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$140</w:t>
            </w:r>
          </w:p>
        </w:tc>
        <w:tc>
          <w:tcPr>
            <w:tcW w:w="1560" w:type="dxa"/>
            <w:vAlign w:val="bottom"/>
          </w:tcPr>
          <w:p>
            <w:pPr>
              <w:jc w:val="right"/>
              <w:ind w:right="731"/>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b w:val="1"/>
                <w:bCs w:val="1"/>
                <w:color w:val="auto"/>
              </w:rPr>
              <w:t>Memo – (as % Economic Profit)</w:t>
            </w:r>
          </w:p>
        </w:tc>
        <w:tc>
          <w:tcPr>
            <w:tcW w:w="1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580" w:type="dxa"/>
            <w:vAlign w:val="bottom"/>
          </w:tcPr>
          <w:p>
            <w:pPr>
              <w:ind w:left="2340"/>
              <w:spacing w:after="0"/>
              <w:rPr>
                <w:sz w:val="20"/>
                <w:szCs w:val="20"/>
                <w:color w:val="auto"/>
              </w:rPr>
            </w:pPr>
            <w:r>
              <w:rPr>
                <w:rFonts w:ascii="Arial" w:cs="Arial" w:eastAsia="Arial" w:hAnsi="Arial"/>
                <w:sz w:val="18"/>
                <w:szCs w:val="18"/>
                <w:color w:val="auto"/>
              </w:rPr>
              <w:t>Fees</w:t>
            </w:r>
          </w:p>
        </w:tc>
        <w:tc>
          <w:tcPr>
            <w:tcW w:w="1880" w:type="dxa"/>
            <w:vAlign w:val="bottom"/>
          </w:tcPr>
          <w:p>
            <w:pPr>
              <w:jc w:val="right"/>
              <w:ind w:right="351"/>
              <w:spacing w:after="0"/>
              <w:rPr>
                <w:sz w:val="20"/>
                <w:szCs w:val="20"/>
                <w:color w:val="auto"/>
              </w:rPr>
            </w:pPr>
            <w:r>
              <w:rPr>
                <w:rFonts w:ascii="Arial" w:cs="Arial" w:eastAsia="Arial" w:hAnsi="Arial"/>
                <w:sz w:val="18"/>
                <w:szCs w:val="18"/>
                <w:color w:val="auto"/>
              </w:rPr>
              <w:t>27%</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31%</w:t>
            </w:r>
          </w:p>
        </w:tc>
        <w:tc>
          <w:tcPr>
            <w:tcW w:w="1680" w:type="dxa"/>
            <w:vAlign w:val="bottom"/>
          </w:tcPr>
          <w:p>
            <w:pPr>
              <w:jc w:val="right"/>
              <w:ind w:right="352"/>
              <w:spacing w:after="0"/>
              <w:rPr>
                <w:sz w:val="20"/>
                <w:szCs w:val="20"/>
                <w:color w:val="auto"/>
              </w:rPr>
            </w:pPr>
            <w:r>
              <w:rPr>
                <w:rFonts w:ascii="Arial" w:cs="Arial" w:eastAsia="Arial" w:hAnsi="Arial"/>
                <w:sz w:val="18"/>
                <w:szCs w:val="18"/>
                <w:color w:val="auto"/>
              </w:rPr>
              <w:t>24%</w:t>
            </w:r>
          </w:p>
        </w:tc>
        <w:tc>
          <w:tcPr>
            <w:tcW w:w="1560" w:type="dxa"/>
            <w:vAlign w:val="bottom"/>
          </w:tcPr>
          <w:p>
            <w:pPr>
              <w:jc w:val="right"/>
              <w:ind w:right="5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880" w:type="dxa"/>
            <w:vAlign w:val="bottom"/>
          </w:tcPr>
          <w:p>
            <w:pPr>
              <w:jc w:val="right"/>
              <w:ind w:right="491"/>
              <w:spacing w:after="0"/>
              <w:rPr>
                <w:sz w:val="20"/>
                <w:szCs w:val="20"/>
                <w:color w:val="auto"/>
              </w:rPr>
            </w:pPr>
            <w:r>
              <w:rPr>
                <w:rFonts w:ascii="Arial" w:cs="Arial" w:eastAsia="Arial" w:hAnsi="Arial"/>
                <w:sz w:val="18"/>
                <w:szCs w:val="18"/>
                <w:color w:val="auto"/>
              </w:rPr>
              <w:t>7</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9</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7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4"/>
                <w:szCs w:val="24"/>
                <w:color w:val="auto"/>
              </w:rPr>
            </w:pPr>
          </w:p>
        </w:tc>
        <w:tc>
          <w:tcPr>
            <w:tcW w:w="1880" w:type="dxa"/>
            <w:vAlign w:val="bottom"/>
          </w:tcPr>
          <w:p>
            <w:pPr>
              <w:jc w:val="right"/>
              <w:ind w:right="311"/>
              <w:spacing w:after="0"/>
              <w:rPr>
                <w:sz w:val="20"/>
                <w:szCs w:val="20"/>
                <w:color w:val="auto"/>
              </w:rPr>
            </w:pPr>
            <w:r>
              <w:rPr>
                <w:rFonts w:ascii="Arial" w:cs="Arial" w:eastAsia="Arial" w:hAnsi="Arial"/>
                <w:sz w:val="18"/>
                <w:szCs w:val="18"/>
                <w:b w:val="1"/>
                <w:bCs w:val="1"/>
                <w:color w:val="auto"/>
              </w:rPr>
              <w:t>34%</w:t>
            </w: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40%</w:t>
            </w:r>
          </w:p>
        </w:tc>
        <w:tc>
          <w:tcPr>
            <w:tcW w:w="1680" w:type="dxa"/>
            <w:vAlign w:val="bottom"/>
          </w:tcPr>
          <w:p>
            <w:pPr>
              <w:jc w:val="right"/>
              <w:ind w:right="312"/>
              <w:spacing w:after="0"/>
              <w:rPr>
                <w:sz w:val="20"/>
                <w:szCs w:val="20"/>
                <w:color w:val="auto"/>
              </w:rPr>
            </w:pPr>
            <w:r>
              <w:rPr>
                <w:rFonts w:ascii="Arial" w:cs="Arial" w:eastAsia="Arial" w:hAnsi="Arial"/>
                <w:sz w:val="18"/>
                <w:szCs w:val="18"/>
                <w:b w:val="1"/>
                <w:bCs w:val="1"/>
                <w:color w:val="auto"/>
              </w:rPr>
              <w:t>34%</w:t>
            </w:r>
          </w:p>
        </w:tc>
        <w:tc>
          <w:tcPr>
            <w:tcW w:w="1560" w:type="dxa"/>
            <w:vAlign w:val="bottom"/>
          </w:tcPr>
          <w:p>
            <w:pPr>
              <w:jc w:val="right"/>
              <w:ind w:right="531"/>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531"/>
        </w:trPr>
        <w:tc>
          <w:tcPr>
            <w:tcW w:w="654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w w:val="94"/>
              </w:rPr>
              <w:t>Members of the NexPoint  team oversaw Highland Distressed Opportunities which had a NEGATIVE</w:t>
            </w:r>
          </w:p>
        </w:tc>
        <w:tc>
          <w:tcPr>
            <w:tcW w:w="324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5"/>
              </w:rPr>
              <w:t>market return of 57% before it was acquired by</w:t>
            </w:r>
          </w:p>
        </w:tc>
        <w:tc>
          <w:tcPr>
            <w:tcW w:w="0" w:type="dxa"/>
            <w:vAlign w:val="bottom"/>
          </w:tcPr>
          <w:p>
            <w:pPr>
              <w:spacing w:after="0"/>
              <w:rPr>
                <w:sz w:val="1"/>
                <w:szCs w:val="1"/>
                <w:color w:val="auto"/>
              </w:rPr>
            </w:pPr>
          </w:p>
        </w:tc>
      </w:tr>
    </w:tbl>
    <w:p>
      <w:pPr>
        <w:ind w:left="1620"/>
        <w:spacing w:after="0"/>
        <w:rPr>
          <w:sz w:val="20"/>
          <w:szCs w:val="20"/>
          <w:color w:val="auto"/>
        </w:rPr>
      </w:pPr>
      <w:r>
        <w:rPr>
          <w:rFonts w:ascii="Arial" w:cs="Arial" w:eastAsia="Arial" w:hAnsi="Arial"/>
          <w:sz w:val="14"/>
          <w:szCs w:val="14"/>
          <w:b w:val="1"/>
          <w:bCs w:val="1"/>
          <w:color w:val="auto"/>
        </w:rPr>
        <w:t>Highland Credit Strategies. Investors should consider management’s track record of total returns in connection with evaluating fees.</w:t>
      </w:r>
    </w:p>
    <w:p>
      <w:pPr>
        <w:spacing w:after="0" w:line="200" w:lineRule="exact"/>
        <w:rPr>
          <w:sz w:val="20"/>
          <w:szCs w:val="20"/>
          <w:color w:val="auto"/>
        </w:rPr>
      </w:pPr>
    </w:p>
    <w:p>
      <w:pPr>
        <w:spacing w:after="0" w:line="222" w:lineRule="exact"/>
        <w:rPr>
          <w:sz w:val="20"/>
          <w:szCs w:val="20"/>
          <w:color w:val="auto"/>
        </w:rPr>
      </w:pPr>
    </w:p>
    <w:p>
      <w:pPr>
        <w:ind w:left="280" w:hanging="277"/>
        <w:spacing w:after="0"/>
        <w:tabs>
          <w:tab w:leader="none" w:pos="280" w:val="left"/>
        </w:tabs>
        <w:numPr>
          <w:ilvl w:val="0"/>
          <w:numId w:val="10"/>
        </w:numPr>
        <w:rPr>
          <w:rFonts w:ascii="Arial" w:cs="Arial" w:eastAsia="Arial" w:hAnsi="Arial"/>
          <w:sz w:val="9"/>
          <w:szCs w:val="9"/>
          <w:color w:val="auto"/>
        </w:rPr>
      </w:pPr>
      <w:r>
        <w:rPr>
          <w:rFonts w:ascii="Arial" w:cs="Arial" w:eastAsia="Arial" w:hAnsi="Arial"/>
          <w:sz w:val="9"/>
          <w:szCs w:val="9"/>
          <w:i w:val="1"/>
          <w:iCs w:val="1"/>
          <w:color w:val="auto"/>
        </w:rPr>
        <w:t>See pages titled “Reconciliation of Certain Non-GAAP Financial Measures” for a reconciliation to the most recent comparable financial measures calculated and presented in accordance with GAAP.</w:t>
      </w:r>
    </w:p>
    <w:p>
      <w:pPr>
        <w:spacing w:after="0" w:line="25" w:lineRule="exact"/>
        <w:rPr>
          <w:rFonts w:ascii="Arial" w:cs="Arial" w:eastAsia="Arial" w:hAnsi="Arial"/>
          <w:sz w:val="9"/>
          <w:szCs w:val="9"/>
          <w:color w:val="auto"/>
        </w:rPr>
      </w:pPr>
    </w:p>
    <w:p>
      <w:pPr>
        <w:ind w:left="280" w:hanging="277"/>
        <w:spacing w:after="0"/>
        <w:tabs>
          <w:tab w:leader="none" w:pos="280" w:val="left"/>
        </w:tabs>
        <w:numPr>
          <w:ilvl w:val="0"/>
          <w:numId w:val="10"/>
        </w:numPr>
        <w:rPr>
          <w:rFonts w:ascii="Arial" w:cs="Arial" w:eastAsia="Arial" w:hAnsi="Arial"/>
          <w:sz w:val="9"/>
          <w:szCs w:val="9"/>
          <w:color w:val="auto"/>
        </w:rPr>
      </w:pPr>
      <w:r>
        <w:rPr>
          <w:rFonts w:ascii="Arial" w:cs="Arial" w:eastAsia="Arial" w:hAnsi="Arial"/>
          <w:sz w:val="9"/>
          <w:szCs w:val="9"/>
          <w:i w:val="1"/>
          <w:iCs w:val="1"/>
          <w:color w:val="auto"/>
        </w:rPr>
        <w:t>Assumes 25% reduction of Cumulative Investment Advisory Fees Paid (illustrating management fee reduction from 2.0% to 1.5% of AUM), holding economic profit constant</w:t>
      </w:r>
    </w:p>
    <w:p>
      <w:pPr>
        <w:spacing w:after="0" w:line="37" w:lineRule="exact"/>
        <w:rPr>
          <w:rFonts w:ascii="Arial" w:cs="Arial" w:eastAsia="Arial" w:hAnsi="Arial"/>
          <w:sz w:val="9"/>
          <w:szCs w:val="9"/>
          <w:color w:val="auto"/>
        </w:rPr>
      </w:pPr>
    </w:p>
    <w:p>
      <w:pPr>
        <w:ind w:left="280" w:hanging="277"/>
        <w:spacing w:after="0"/>
        <w:tabs>
          <w:tab w:leader="none" w:pos="280" w:val="left"/>
        </w:tabs>
        <w:numPr>
          <w:ilvl w:val="0"/>
          <w:numId w:val="10"/>
        </w:numPr>
        <w:rPr>
          <w:rFonts w:ascii="Arial" w:cs="Arial" w:eastAsia="Arial" w:hAnsi="Arial"/>
          <w:sz w:val="9"/>
          <w:szCs w:val="9"/>
          <w:color w:val="auto"/>
        </w:rPr>
      </w:pPr>
      <w:r>
        <w:rPr>
          <w:rFonts w:ascii="Arial" w:cs="Arial" w:eastAsia="Arial" w:hAnsi="Arial"/>
          <w:sz w:val="9"/>
          <w:szCs w:val="9"/>
          <w:i w:val="1"/>
          <w:iCs w:val="1"/>
          <w:color w:val="auto"/>
        </w:rPr>
        <w:t>Assumes 38% reduction of Cumulative Investment Advisory Fees Paid (illustrating management fee reduction from 2.0% to 1.25% of AUM), holding economic profit constant</w:t>
      </w:r>
    </w:p>
    <w:p>
      <w:pPr>
        <w:spacing w:after="0" w:line="2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Source: Wells Fargo Research Report, Company Filings. Financial data as of Q2 2015</w:t>
      </w:r>
    </w:p>
    <w:p>
      <w:pPr>
        <w:spacing w:after="0" w:line="145" w:lineRule="exact"/>
        <w:rPr>
          <w:sz w:val="20"/>
          <w:szCs w:val="20"/>
          <w:color w:val="auto"/>
        </w:rPr>
      </w:pPr>
    </w:p>
    <w:tbl>
      <w:tblPr>
        <w:tblLayout w:type="fixed"/>
        <w:tblInd w:w="260" w:type="dxa"/>
        <w:tblCellMar>
          <w:top w:w="0" w:type="dxa"/>
          <w:left w:w="0" w:type="dxa"/>
          <w:bottom w:w="0" w:type="dxa"/>
          <w:right w:w="0" w:type="dxa"/>
        </w:tblCellMar>
      </w:tblPr>
      <w:tr>
        <w:trPr>
          <w:trHeight w:val="144"/>
        </w:trPr>
        <w:tc>
          <w:tcPr>
            <w:tcW w:w="5560" w:type="dxa"/>
            <w:vAlign w:val="bottom"/>
          </w:tcPr>
          <w:p>
            <w:pPr>
              <w:spacing w:after="0"/>
              <w:rPr>
                <w:sz w:val="20"/>
                <w:szCs w:val="20"/>
                <w:color w:val="auto"/>
              </w:rPr>
            </w:pPr>
            <w:r>
              <w:rPr>
                <w:rFonts w:ascii="Arial" w:cs="Arial" w:eastAsia="Arial" w:hAnsi="Arial"/>
                <w:sz w:val="11"/>
                <w:szCs w:val="11"/>
                <w:color w:val="auto"/>
              </w:rPr>
              <w:t>TSLX (NYSE)</w:t>
            </w:r>
          </w:p>
        </w:tc>
        <w:tc>
          <w:tcPr>
            <w:tcW w:w="4980" w:type="dxa"/>
            <w:vAlign w:val="bottom"/>
          </w:tcPr>
          <w:p>
            <w:pPr>
              <w:jc w:val="right"/>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0800"/>
          </w:cols>
          <w:pgMar w:left="360" w:top="264" w:right="739" w:bottom="1440" w:gutter="0" w:footer="0" w:header="0"/>
        </w:sectPr>
      </w:pPr>
    </w:p>
    <w:bookmarkStart w:id="7" w:name="page8"/>
    <w:bookmarkEnd w:id="7"/>
    <w:p>
      <w:pPr>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Reconciliation of Certain Non-GAAP Financial Measures (1/2)</w:t>
      </w:r>
    </w:p>
    <w:p>
      <w:pPr>
        <w:spacing w:after="0" w:line="183" w:lineRule="exact"/>
        <w:rPr>
          <w:sz w:val="20"/>
          <w:szCs w:val="20"/>
          <w:color w:val="auto"/>
        </w:rPr>
      </w:pPr>
    </w:p>
    <w:p>
      <w:pPr>
        <w:ind w:left="380" w:hanging="288"/>
        <w:spacing w:after="0"/>
        <w:tabs>
          <w:tab w:leader="none" w:pos="3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Total economics of your investment, as set forth in this presentation, may be considered a non-GAAP financial measure. TSLX provides this</w:t>
      </w:r>
    </w:p>
    <w:p>
      <w:pPr>
        <w:spacing w:after="0" w:line="4" w:lineRule="exact"/>
        <w:rPr>
          <w:sz w:val="20"/>
          <w:szCs w:val="20"/>
          <w:color w:val="auto"/>
        </w:rPr>
      </w:pPr>
    </w:p>
    <w:p>
      <w:pPr>
        <w:ind w:left="380" w:right="220"/>
        <w:spacing w:after="0" w:line="237" w:lineRule="auto"/>
        <w:rPr>
          <w:sz w:val="20"/>
          <w:szCs w:val="20"/>
          <w:color w:val="auto"/>
        </w:rPr>
      </w:pPr>
      <w:r>
        <w:rPr>
          <w:rFonts w:ascii="Arial" w:cs="Arial" w:eastAsia="Arial" w:hAnsi="Arial"/>
          <w:sz w:val="15"/>
          <w:szCs w:val="15"/>
          <w:color w:val="auto"/>
        </w:rPr>
        <w:t>information to stockholders because TSLX believes it enhances stockholders’ understanding of the relative costs stockholder bear in relation to the assets generated by operations of TSLX, TICC, TICC pro forma as if it had been subject to the fee structure in the BSP proposal, and TICC pro forma</w:t>
      </w:r>
    </w:p>
    <w:p>
      <w:pPr>
        <w:ind w:left="380" w:right="40"/>
        <w:spacing w:after="0" w:line="243" w:lineRule="auto"/>
        <w:rPr>
          <w:sz w:val="20"/>
          <w:szCs w:val="20"/>
          <w:color w:val="auto"/>
        </w:rPr>
      </w:pPr>
      <w:r>
        <w:rPr>
          <w:rFonts w:ascii="Arial" w:cs="Arial" w:eastAsia="Arial" w:hAnsi="Arial"/>
          <w:sz w:val="15"/>
          <w:szCs w:val="15"/>
          <w:color w:val="auto"/>
        </w:rPr>
        <w:t>as if it had been subject to the fee structure in the NexPoint proposal,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46" w:lineRule="exact"/>
        <w:rPr>
          <w:sz w:val="20"/>
          <w:szCs w:val="20"/>
          <w:color w:val="auto"/>
        </w:rPr>
      </w:pPr>
    </w:p>
    <w:p>
      <w:pPr>
        <w:ind w:left="380" w:hanging="288"/>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Economic Profit = Increase in Net Assets Resulting from Operations + Total Shareholder Fees and Expenses</w:t>
      </w:r>
    </w:p>
    <w:p>
      <w:pPr>
        <w:spacing w:after="0" w:line="168" w:lineRule="exact"/>
        <w:rPr>
          <w:rFonts w:ascii="Arial" w:cs="Arial" w:eastAsia="Arial" w:hAnsi="Arial"/>
          <w:sz w:val="15"/>
          <w:szCs w:val="15"/>
          <w:color w:val="auto"/>
        </w:rPr>
      </w:pPr>
    </w:p>
    <w:p>
      <w:pPr>
        <w:ind w:left="380" w:right="1320" w:hanging="288"/>
        <w:spacing w:after="0" w:line="263"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table below illustrates a reconciliation of the increase in net assets resulting from operations over the years TSLX and TICC (on the next page) had operations to the ratio of shareholder fees and expenses to economic profit, with the table on the following page presenting the same</w:t>
      </w:r>
    </w:p>
    <w:tbl>
      <w:tblPr>
        <w:tblLayout w:type="fixed"/>
        <w:tblInd w:w="380" w:type="dxa"/>
        <w:tblCellMar>
          <w:top w:w="0" w:type="dxa"/>
          <w:left w:w="0" w:type="dxa"/>
          <w:bottom w:w="0" w:type="dxa"/>
          <w:right w:w="0" w:type="dxa"/>
        </w:tblCellMar>
      </w:tblPr>
      <w:tr>
        <w:trPr>
          <w:trHeight w:val="153"/>
        </w:trPr>
        <w:tc>
          <w:tcPr>
            <w:tcW w:w="2540" w:type="dxa"/>
            <w:vAlign w:val="bottom"/>
            <w:gridSpan w:val="3"/>
          </w:tcPr>
          <w:p>
            <w:pPr>
              <w:spacing w:after="0" w:line="153" w:lineRule="exact"/>
              <w:rPr>
                <w:sz w:val="20"/>
                <w:szCs w:val="20"/>
                <w:color w:val="auto"/>
              </w:rPr>
            </w:pPr>
            <w:r>
              <w:rPr>
                <w:rFonts w:ascii="Arial" w:cs="Arial" w:eastAsia="Arial" w:hAnsi="Arial"/>
                <w:sz w:val="15"/>
                <w:szCs w:val="15"/>
                <w:color w:val="auto"/>
              </w:rPr>
              <w:t>information  for TICC on a pro forma</w:t>
            </w:r>
          </w:p>
        </w:tc>
        <w:tc>
          <w:tcPr>
            <w:tcW w:w="1160" w:type="dxa"/>
            <w:vAlign w:val="bottom"/>
          </w:tcPr>
          <w:p>
            <w:pPr>
              <w:jc w:val="right"/>
              <w:spacing w:after="0" w:line="153" w:lineRule="exact"/>
              <w:rPr>
                <w:sz w:val="20"/>
                <w:szCs w:val="20"/>
                <w:color w:val="auto"/>
              </w:rPr>
            </w:pPr>
            <w:r>
              <w:rPr>
                <w:rFonts w:ascii="Arial" w:cs="Arial" w:eastAsia="Arial" w:hAnsi="Arial"/>
                <w:sz w:val="15"/>
                <w:szCs w:val="15"/>
                <w:color w:val="auto"/>
              </w:rPr>
              <w:t>basis as if it had</w:t>
            </w:r>
          </w:p>
        </w:tc>
        <w:tc>
          <w:tcPr>
            <w:tcW w:w="380" w:type="dxa"/>
            <w:vAlign w:val="bottom"/>
          </w:tcPr>
          <w:p>
            <w:pPr>
              <w:jc w:val="right"/>
              <w:spacing w:after="0" w:line="153" w:lineRule="exact"/>
              <w:rPr>
                <w:sz w:val="20"/>
                <w:szCs w:val="20"/>
                <w:color w:val="auto"/>
              </w:rPr>
            </w:pPr>
            <w:r>
              <w:rPr>
                <w:rFonts w:ascii="Arial" w:cs="Arial" w:eastAsia="Arial" w:hAnsi="Arial"/>
                <w:sz w:val="15"/>
                <w:szCs w:val="15"/>
                <w:color w:val="auto"/>
                <w:w w:val="89"/>
              </w:rPr>
              <w:t>been</w:t>
            </w:r>
          </w:p>
        </w:tc>
        <w:tc>
          <w:tcPr>
            <w:tcW w:w="2320" w:type="dxa"/>
            <w:vAlign w:val="bottom"/>
            <w:gridSpan w:val="3"/>
          </w:tcPr>
          <w:p>
            <w:pPr>
              <w:jc w:val="right"/>
              <w:ind w:right="4"/>
              <w:spacing w:after="0" w:line="153" w:lineRule="exact"/>
              <w:rPr>
                <w:sz w:val="20"/>
                <w:szCs w:val="20"/>
                <w:color w:val="auto"/>
              </w:rPr>
            </w:pPr>
            <w:r>
              <w:rPr>
                <w:rFonts w:ascii="Arial" w:cs="Arial" w:eastAsia="Arial" w:hAnsi="Arial"/>
                <w:sz w:val="15"/>
                <w:szCs w:val="15"/>
                <w:color w:val="auto"/>
                <w:w w:val="99"/>
              </w:rPr>
              <w:t>subject to the fee structure  under</w:t>
            </w:r>
          </w:p>
        </w:tc>
        <w:tc>
          <w:tcPr>
            <w:tcW w:w="1180" w:type="dxa"/>
            <w:vAlign w:val="bottom"/>
          </w:tcPr>
          <w:p>
            <w:pPr>
              <w:jc w:val="right"/>
              <w:spacing w:after="0" w:line="153" w:lineRule="exact"/>
              <w:rPr>
                <w:sz w:val="20"/>
                <w:szCs w:val="20"/>
                <w:color w:val="auto"/>
              </w:rPr>
            </w:pPr>
            <w:r>
              <w:rPr>
                <w:rFonts w:ascii="Arial" w:cs="Arial" w:eastAsia="Arial" w:hAnsi="Arial"/>
                <w:sz w:val="15"/>
                <w:szCs w:val="15"/>
                <w:color w:val="auto"/>
                <w:w w:val="94"/>
              </w:rPr>
              <w:t>the BSP proposal</w:t>
            </w:r>
          </w:p>
        </w:tc>
        <w:tc>
          <w:tcPr>
            <w:tcW w:w="1060" w:type="dxa"/>
            <w:vAlign w:val="bottom"/>
          </w:tcPr>
          <w:p>
            <w:pPr>
              <w:jc w:val="right"/>
              <w:spacing w:after="0" w:line="153" w:lineRule="exact"/>
              <w:rPr>
                <w:sz w:val="20"/>
                <w:szCs w:val="20"/>
                <w:color w:val="auto"/>
              </w:rPr>
            </w:pPr>
            <w:r>
              <w:rPr>
                <w:rFonts w:ascii="Arial" w:cs="Arial" w:eastAsia="Arial" w:hAnsi="Arial"/>
                <w:sz w:val="15"/>
                <w:szCs w:val="15"/>
                <w:color w:val="auto"/>
              </w:rPr>
              <w:t>and pro forma</w:t>
            </w:r>
          </w:p>
        </w:tc>
        <w:tc>
          <w:tcPr>
            <w:tcW w:w="720" w:type="dxa"/>
            <w:vAlign w:val="bottom"/>
          </w:tcPr>
          <w:p>
            <w:pPr>
              <w:jc w:val="right"/>
              <w:spacing w:after="0" w:line="153" w:lineRule="exact"/>
              <w:rPr>
                <w:sz w:val="20"/>
                <w:szCs w:val="20"/>
                <w:color w:val="auto"/>
              </w:rPr>
            </w:pPr>
            <w:r>
              <w:rPr>
                <w:rFonts w:ascii="Arial" w:cs="Arial" w:eastAsia="Arial" w:hAnsi="Arial"/>
                <w:sz w:val="15"/>
                <w:szCs w:val="15"/>
                <w:color w:val="auto"/>
              </w:rPr>
              <w:t>as if it had</w:t>
            </w:r>
          </w:p>
        </w:tc>
        <w:tc>
          <w:tcPr>
            <w:tcW w:w="540" w:type="dxa"/>
            <w:vAlign w:val="bottom"/>
          </w:tcPr>
          <w:p>
            <w:pPr>
              <w:jc w:val="right"/>
              <w:ind w:right="84"/>
              <w:spacing w:after="0" w:line="153" w:lineRule="exact"/>
              <w:rPr>
                <w:sz w:val="20"/>
                <w:szCs w:val="20"/>
                <w:color w:val="auto"/>
              </w:rPr>
            </w:pPr>
            <w:r>
              <w:rPr>
                <w:rFonts w:ascii="Arial" w:cs="Arial" w:eastAsia="Arial" w:hAnsi="Arial"/>
                <w:sz w:val="15"/>
                <w:szCs w:val="15"/>
                <w:color w:val="auto"/>
              </w:rPr>
              <w:t>been</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20"/>
                <w:szCs w:val="20"/>
                <w:color w:val="auto"/>
              </w:rPr>
            </w:pPr>
            <w:r>
              <w:rPr>
                <w:rFonts w:ascii="Arial" w:cs="Arial" w:eastAsia="Arial" w:hAnsi="Arial"/>
                <w:sz w:val="15"/>
                <w:szCs w:val="15"/>
                <w:color w:val="auto"/>
              </w:rPr>
              <w:t>subject to the fee structure</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4"/>
              </w:rPr>
              <w:t>under  the</w:t>
            </w:r>
          </w:p>
        </w:tc>
        <w:tc>
          <w:tcPr>
            <w:tcW w:w="1540" w:type="dxa"/>
            <w:vAlign w:val="bottom"/>
            <w:gridSpan w:val="2"/>
          </w:tcPr>
          <w:p>
            <w:pPr>
              <w:jc w:val="right"/>
              <w:ind w:right="164"/>
              <w:spacing w:after="0"/>
              <w:rPr>
                <w:sz w:val="20"/>
                <w:szCs w:val="20"/>
                <w:color w:val="auto"/>
              </w:rPr>
            </w:pPr>
            <w:r>
              <w:rPr>
                <w:rFonts w:ascii="Arial" w:cs="Arial" w:eastAsia="Arial" w:hAnsi="Arial"/>
                <w:sz w:val="15"/>
                <w:szCs w:val="15"/>
                <w:color w:val="auto"/>
                <w:w w:val="97"/>
              </w:rPr>
              <w:t>NexPoint  proposal:</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8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TSLX</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Arial" w:cs="Arial" w:eastAsia="Arial" w:hAnsi="Arial"/>
                <w:sz w:val="13"/>
                <w:szCs w:val="13"/>
                <w:color w:val="auto"/>
              </w:rPr>
              <w:t>2015</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jc w:val="right"/>
              <w:ind w:right="387"/>
              <w:spacing w:after="0"/>
              <w:rPr>
                <w:sz w:val="20"/>
                <w:szCs w:val="20"/>
                <w:color w:val="auto"/>
              </w:rPr>
            </w:pPr>
            <w:r>
              <w:rPr>
                <w:rFonts w:ascii="Arial" w:cs="Arial" w:eastAsia="Arial" w:hAnsi="Arial"/>
                <w:sz w:val="13"/>
                <w:szCs w:val="13"/>
                <w:color w:val="auto"/>
              </w:rPr>
              <w:t>(through</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265"/>
              <w:spacing w:after="0"/>
              <w:rPr>
                <w:sz w:val="20"/>
                <w:szCs w:val="20"/>
                <w:color w:val="auto"/>
              </w:rPr>
            </w:pPr>
            <w:r>
              <w:rPr>
                <w:rFonts w:ascii="Arial" w:cs="Arial" w:eastAsia="Arial" w:hAnsi="Arial"/>
                <w:sz w:val="13"/>
                <w:szCs w:val="13"/>
                <w:color w:val="auto"/>
              </w:rPr>
              <w:t>2011</w:t>
            </w:r>
          </w:p>
        </w:tc>
        <w:tc>
          <w:tcPr>
            <w:tcW w:w="380" w:type="dxa"/>
            <w:vAlign w:val="bottom"/>
          </w:tcPr>
          <w:p>
            <w:pPr>
              <w:spacing w:after="0"/>
              <w:rPr>
                <w:sz w:val="15"/>
                <w:szCs w:val="15"/>
                <w:color w:val="auto"/>
              </w:rPr>
            </w:pPr>
          </w:p>
        </w:tc>
        <w:tc>
          <w:tcPr>
            <w:tcW w:w="1060" w:type="dxa"/>
            <w:vAlign w:val="bottom"/>
          </w:tcPr>
          <w:p>
            <w:pPr>
              <w:jc w:val="right"/>
              <w:ind w:right="525"/>
              <w:spacing w:after="0"/>
              <w:rPr>
                <w:sz w:val="20"/>
                <w:szCs w:val="20"/>
                <w:color w:val="auto"/>
              </w:rPr>
            </w:pPr>
            <w:r>
              <w:rPr>
                <w:rFonts w:ascii="Arial" w:cs="Arial" w:eastAsia="Arial" w:hAnsi="Arial"/>
                <w:sz w:val="13"/>
                <w:szCs w:val="13"/>
                <w:color w:val="auto"/>
              </w:rPr>
              <w:t>2012</w:t>
            </w:r>
          </w:p>
        </w:tc>
        <w:tc>
          <w:tcPr>
            <w:tcW w:w="1020" w:type="dxa"/>
            <w:vAlign w:val="bottom"/>
          </w:tcPr>
          <w:p>
            <w:pPr>
              <w:jc w:val="right"/>
              <w:ind w:right="385"/>
              <w:spacing w:after="0"/>
              <w:rPr>
                <w:sz w:val="20"/>
                <w:szCs w:val="20"/>
                <w:color w:val="auto"/>
              </w:rPr>
            </w:pPr>
            <w:r>
              <w:rPr>
                <w:rFonts w:ascii="Arial" w:cs="Arial" w:eastAsia="Arial" w:hAnsi="Arial"/>
                <w:sz w:val="13"/>
                <w:szCs w:val="13"/>
                <w:color w:val="auto"/>
              </w:rPr>
              <w:t>2013</w:t>
            </w:r>
          </w:p>
        </w:tc>
        <w:tc>
          <w:tcPr>
            <w:tcW w:w="240" w:type="dxa"/>
            <w:vAlign w:val="bottom"/>
          </w:tcPr>
          <w:p>
            <w:pPr>
              <w:spacing w:after="0"/>
              <w:rPr>
                <w:sz w:val="15"/>
                <w:szCs w:val="15"/>
                <w:color w:val="auto"/>
              </w:rPr>
            </w:pPr>
          </w:p>
        </w:tc>
        <w:tc>
          <w:tcPr>
            <w:tcW w:w="1180" w:type="dxa"/>
            <w:vAlign w:val="bottom"/>
          </w:tcPr>
          <w:p>
            <w:pPr>
              <w:jc w:val="right"/>
              <w:ind w:right="625"/>
              <w:spacing w:after="0"/>
              <w:rPr>
                <w:sz w:val="20"/>
                <w:szCs w:val="20"/>
                <w:color w:val="auto"/>
              </w:rPr>
            </w:pPr>
            <w:r>
              <w:rPr>
                <w:rFonts w:ascii="Arial" w:cs="Arial" w:eastAsia="Arial" w:hAnsi="Arial"/>
                <w:sz w:val="13"/>
                <w:szCs w:val="13"/>
                <w:color w:val="auto"/>
              </w:rPr>
              <w:t>2014</w:t>
            </w:r>
          </w:p>
        </w:tc>
        <w:tc>
          <w:tcPr>
            <w:tcW w:w="1060" w:type="dxa"/>
            <w:vAlign w:val="bottom"/>
          </w:tcPr>
          <w:p>
            <w:pPr>
              <w:jc w:val="right"/>
              <w:ind w:right="367"/>
              <w:spacing w:after="0"/>
              <w:rPr>
                <w:sz w:val="20"/>
                <w:szCs w:val="20"/>
                <w:color w:val="auto"/>
              </w:rPr>
            </w:pPr>
            <w:r>
              <w:rPr>
                <w:rFonts w:ascii="Arial" w:cs="Arial" w:eastAsia="Arial" w:hAnsi="Arial"/>
                <w:sz w:val="13"/>
                <w:szCs w:val="13"/>
                <w:color w:val="auto"/>
              </w:rPr>
              <w:t>June 30)</w:t>
            </w:r>
          </w:p>
        </w:tc>
        <w:tc>
          <w:tcPr>
            <w:tcW w:w="1260" w:type="dxa"/>
            <w:vAlign w:val="bottom"/>
            <w:gridSpan w:val="2"/>
          </w:tcPr>
          <w:p>
            <w:pPr>
              <w:jc w:val="right"/>
              <w:ind w:right="224"/>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208"/>
        </w:trPr>
        <w:tc>
          <w:tcPr>
            <w:tcW w:w="2540" w:type="dxa"/>
            <w:vAlign w:val="bottom"/>
            <w:gridSpan w:val="3"/>
          </w:tcPr>
          <w:p>
            <w:pPr>
              <w:ind w:left="20"/>
              <w:spacing w:after="0"/>
              <w:rPr>
                <w:sz w:val="20"/>
                <w:szCs w:val="20"/>
                <w:color w:val="auto"/>
              </w:rPr>
            </w:pPr>
            <w:r>
              <w:rPr>
                <w:rFonts w:ascii="Arial" w:cs="Arial" w:eastAsia="Arial" w:hAnsi="Arial"/>
                <w:sz w:val="15"/>
                <w:szCs w:val="15"/>
                <w:color w:val="auto"/>
                <w:w w:val="99"/>
              </w:rPr>
              <w:t>Increase in Net Assets Resulting from</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tcPr>
          <w:p>
            <w:pPr>
              <w:ind w:left="180"/>
              <w:spacing w:after="0"/>
              <w:rPr>
                <w:sz w:val="20"/>
                <w:szCs w:val="20"/>
                <w:color w:val="auto"/>
              </w:rPr>
            </w:pPr>
            <w:r>
              <w:rPr>
                <w:rFonts w:ascii="Arial" w:cs="Arial" w:eastAsia="Arial" w:hAnsi="Arial"/>
                <w:sz w:val="15"/>
                <w:szCs w:val="15"/>
                <w:color w:val="auto"/>
              </w:rPr>
              <w:t>Operations (GAAP)</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813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39,595</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66,983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85,050</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58,573</w:t>
            </w:r>
          </w:p>
        </w:tc>
        <w:tc>
          <w:tcPr>
            <w:tcW w:w="72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251,014</w:t>
            </w:r>
          </w:p>
        </w:tc>
        <w:tc>
          <w:tcPr>
            <w:tcW w:w="0" w:type="dxa"/>
            <w:vAlign w:val="bottom"/>
          </w:tcPr>
          <w:p>
            <w:pPr>
              <w:spacing w:after="0"/>
              <w:rPr>
                <w:sz w:val="1"/>
                <w:szCs w:val="1"/>
                <w:color w:val="auto"/>
              </w:rPr>
            </w:pPr>
          </w:p>
        </w:tc>
      </w:tr>
      <w:tr>
        <w:trPr>
          <w:trHeight w:val="223"/>
        </w:trPr>
        <w:tc>
          <w:tcPr>
            <w:tcW w:w="2140" w:type="dxa"/>
            <w:vAlign w:val="bottom"/>
            <w:gridSpan w:val="2"/>
          </w:tcPr>
          <w:p>
            <w:pPr>
              <w:ind w:left="20"/>
              <w:spacing w:after="0"/>
              <w:rPr>
                <w:sz w:val="20"/>
                <w:szCs w:val="20"/>
                <w:color w:val="auto"/>
              </w:rPr>
            </w:pPr>
            <w:r>
              <w:rPr>
                <w:rFonts w:ascii="Arial" w:cs="Arial" w:eastAsia="Arial" w:hAnsi="Arial"/>
                <w:sz w:val="15"/>
                <w:szCs w:val="15"/>
                <w:color w:val="auto"/>
              </w:rPr>
              <w:t>Shareholder Fees &amp; Expenses: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140" w:type="dxa"/>
            <w:vAlign w:val="bottom"/>
            <w:gridSpan w:val="2"/>
          </w:tcPr>
          <w:p>
            <w:pPr>
              <w:ind w:left="340"/>
              <w:spacing w:after="0" w:line="119" w:lineRule="exact"/>
              <w:rPr>
                <w:sz w:val="20"/>
                <w:szCs w:val="20"/>
                <w:color w:val="auto"/>
              </w:rPr>
            </w:pPr>
            <w:r>
              <w:rPr>
                <w:rFonts w:ascii="Arial" w:cs="Arial" w:eastAsia="Arial" w:hAnsi="Arial"/>
                <w:sz w:val="13"/>
                <w:szCs w:val="13"/>
                <w:color w:val="auto"/>
              </w:rPr>
              <w:t>Management fees (GAAP)</w:t>
            </w:r>
          </w:p>
        </w:tc>
        <w:tc>
          <w:tcPr>
            <w:tcW w:w="400" w:type="dxa"/>
            <w:vAlign w:val="bottom"/>
            <w:vMerge w:val="restart"/>
          </w:tcPr>
          <w:p>
            <w:pPr>
              <w:jc w:val="right"/>
              <w:ind w:right="253"/>
              <w:spacing w:after="0"/>
              <w:rPr>
                <w:sz w:val="20"/>
                <w:szCs w:val="20"/>
                <w:color w:val="auto"/>
              </w:rPr>
            </w:pPr>
            <w:r>
              <w:rPr>
                <w:rFonts w:ascii="Arial" w:cs="Arial" w:eastAsia="Arial" w:hAnsi="Arial"/>
                <w:sz w:val="9"/>
                <w:szCs w:val="9"/>
                <w:color w:val="auto"/>
                <w:w w:val="72"/>
              </w:rPr>
              <w:t>(1)</w:t>
            </w: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1,593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8,892</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13,376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18,296</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10,247</w:t>
            </w:r>
          </w:p>
        </w:tc>
        <w:tc>
          <w:tcPr>
            <w:tcW w:w="72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52,404</w:t>
            </w:r>
          </w:p>
        </w:tc>
        <w:tc>
          <w:tcPr>
            <w:tcW w:w="0" w:type="dxa"/>
            <w:vAlign w:val="bottom"/>
          </w:tcPr>
          <w:p>
            <w:pPr>
              <w:spacing w:after="0"/>
              <w:rPr>
                <w:sz w:val="1"/>
                <w:szCs w:val="1"/>
                <w:color w:val="auto"/>
              </w:rPr>
            </w:pPr>
          </w:p>
        </w:tc>
      </w:tr>
      <w:tr>
        <w:trPr>
          <w:trHeight w:val="212"/>
        </w:trPr>
        <w:tc>
          <w:tcPr>
            <w:tcW w:w="1800" w:type="dxa"/>
            <w:vAlign w:val="bottom"/>
          </w:tcPr>
          <w:p>
            <w:pPr>
              <w:ind w:left="340"/>
              <w:spacing w:after="0"/>
              <w:rPr>
                <w:sz w:val="20"/>
                <w:szCs w:val="20"/>
                <w:color w:val="auto"/>
              </w:rPr>
            </w:pPr>
            <w:r>
              <w:rPr>
                <w:rFonts w:ascii="Arial" w:cs="Arial" w:eastAsia="Arial" w:hAnsi="Arial"/>
                <w:sz w:val="15"/>
                <w:szCs w:val="15"/>
                <w:color w:val="auto"/>
                <w:w w:val="97"/>
              </w:rPr>
              <w:t>Incentive fees (GAAP)</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347</w:t>
            </w:r>
          </w:p>
        </w:tc>
        <w:tc>
          <w:tcPr>
            <w:tcW w:w="380" w:type="dxa"/>
            <w:vAlign w:val="bottom"/>
          </w:tcPr>
          <w:p>
            <w:pPr>
              <w:spacing w:after="0"/>
              <w:rPr>
                <w:sz w:val="18"/>
                <w:szCs w:val="18"/>
                <w:color w:val="auto"/>
              </w:rPr>
            </w:pP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6,996</w:t>
            </w:r>
          </w:p>
        </w:tc>
        <w:tc>
          <w:tcPr>
            <w:tcW w:w="1020" w:type="dxa"/>
            <w:vAlign w:val="bottom"/>
          </w:tcPr>
          <w:p>
            <w:pPr>
              <w:jc w:val="right"/>
              <w:ind w:right="85"/>
              <w:spacing w:after="0"/>
              <w:rPr>
                <w:sz w:val="20"/>
                <w:szCs w:val="20"/>
                <w:color w:val="auto"/>
              </w:rPr>
            </w:pPr>
            <w:r>
              <w:rPr>
                <w:rFonts w:ascii="Arial" w:cs="Arial" w:eastAsia="Arial" w:hAnsi="Arial"/>
                <w:sz w:val="15"/>
                <w:szCs w:val="15"/>
                <w:color w:val="auto"/>
              </w:rPr>
              <w:t>11,790</w:t>
            </w:r>
          </w:p>
        </w:tc>
        <w:tc>
          <w:tcPr>
            <w:tcW w:w="240" w:type="dxa"/>
            <w:vAlign w:val="bottom"/>
          </w:tcPr>
          <w:p>
            <w:pPr>
              <w:spacing w:after="0"/>
              <w:rPr>
                <w:sz w:val="18"/>
                <w:szCs w:val="18"/>
                <w:color w:val="auto"/>
              </w:rPr>
            </w:pP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17,839</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12,137</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49,109</w:t>
            </w:r>
          </w:p>
        </w:tc>
        <w:tc>
          <w:tcPr>
            <w:tcW w:w="0" w:type="dxa"/>
            <w:vAlign w:val="bottom"/>
          </w:tcPr>
          <w:p>
            <w:pPr>
              <w:spacing w:after="0"/>
              <w:rPr>
                <w:sz w:val="1"/>
                <w:szCs w:val="1"/>
                <w:color w:val="auto"/>
              </w:rPr>
            </w:pPr>
          </w:p>
        </w:tc>
      </w:tr>
      <w:tr>
        <w:trPr>
          <w:trHeight w:val="212"/>
        </w:trPr>
        <w:tc>
          <w:tcPr>
            <w:tcW w:w="2140" w:type="dxa"/>
            <w:vAlign w:val="bottom"/>
            <w:gridSpan w:val="2"/>
          </w:tcPr>
          <w:p>
            <w:pPr>
              <w:ind w:left="340"/>
              <w:spacing w:after="0"/>
              <w:rPr>
                <w:sz w:val="20"/>
                <w:szCs w:val="20"/>
                <w:color w:val="auto"/>
              </w:rPr>
            </w:pPr>
            <w:r>
              <w:rPr>
                <w:rFonts w:ascii="Arial" w:cs="Arial" w:eastAsia="Arial" w:hAnsi="Arial"/>
                <w:sz w:val="15"/>
                <w:szCs w:val="15"/>
                <w:color w:val="auto"/>
              </w:rPr>
              <w:t>Professional fees (GAAP)</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1,563</w:t>
            </w:r>
          </w:p>
        </w:tc>
        <w:tc>
          <w:tcPr>
            <w:tcW w:w="380" w:type="dxa"/>
            <w:vAlign w:val="bottom"/>
          </w:tcPr>
          <w:p>
            <w:pPr>
              <w:spacing w:after="0"/>
              <w:rPr>
                <w:sz w:val="18"/>
                <w:szCs w:val="18"/>
                <w:color w:val="auto"/>
              </w:rPr>
            </w:pP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2,881</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3,691</w:t>
            </w:r>
          </w:p>
        </w:tc>
        <w:tc>
          <w:tcPr>
            <w:tcW w:w="240" w:type="dxa"/>
            <w:vAlign w:val="bottom"/>
          </w:tcPr>
          <w:p>
            <w:pPr>
              <w:spacing w:after="0"/>
              <w:rPr>
                <w:sz w:val="18"/>
                <w:szCs w:val="18"/>
                <w:color w:val="auto"/>
              </w:rPr>
            </w:pP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4,752</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2,490</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15,377</w:t>
            </w:r>
          </w:p>
        </w:tc>
        <w:tc>
          <w:tcPr>
            <w:tcW w:w="0" w:type="dxa"/>
            <w:vAlign w:val="bottom"/>
          </w:tcPr>
          <w:p>
            <w:pPr>
              <w:spacing w:after="0"/>
              <w:rPr>
                <w:sz w:val="1"/>
                <w:szCs w:val="1"/>
                <w:color w:val="auto"/>
              </w:rPr>
            </w:pPr>
          </w:p>
        </w:tc>
      </w:tr>
      <w:tr>
        <w:trPr>
          <w:trHeight w:val="223"/>
        </w:trPr>
        <w:tc>
          <w:tcPr>
            <w:tcW w:w="1800" w:type="dxa"/>
            <w:vAlign w:val="bottom"/>
          </w:tcPr>
          <w:p>
            <w:pPr>
              <w:ind w:left="340"/>
              <w:spacing w:after="0"/>
              <w:rPr>
                <w:sz w:val="20"/>
                <w:szCs w:val="20"/>
                <w:color w:val="auto"/>
              </w:rPr>
            </w:pPr>
            <w:r>
              <w:rPr>
                <w:rFonts w:ascii="Arial" w:cs="Arial" w:eastAsia="Arial" w:hAnsi="Arial"/>
                <w:sz w:val="15"/>
                <w:szCs w:val="15"/>
                <w:color w:val="auto"/>
                <w:w w:val="94"/>
              </w:rPr>
              <w:t>Directors’ fees (GAAP)</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245</w:t>
            </w:r>
          </w:p>
        </w:tc>
        <w:tc>
          <w:tcPr>
            <w:tcW w:w="380" w:type="dxa"/>
            <w:vAlign w:val="bottom"/>
          </w:tcPr>
          <w:p>
            <w:pPr>
              <w:spacing w:after="0"/>
              <w:rPr>
                <w:sz w:val="17"/>
                <w:szCs w:val="17"/>
                <w:color w:val="auto"/>
              </w:rPr>
            </w:pP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287</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285</w:t>
            </w:r>
          </w:p>
        </w:tc>
        <w:tc>
          <w:tcPr>
            <w:tcW w:w="240" w:type="dxa"/>
            <w:vAlign w:val="bottom"/>
          </w:tcPr>
          <w:p>
            <w:pPr>
              <w:spacing w:after="0"/>
              <w:rPr>
                <w:sz w:val="17"/>
                <w:szCs w:val="17"/>
                <w:color w:val="auto"/>
              </w:rPr>
            </w:pP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342</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187</w:t>
            </w: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12"/>
        </w:trPr>
        <w:tc>
          <w:tcPr>
            <w:tcW w:w="2540" w:type="dxa"/>
            <w:vAlign w:val="bottom"/>
            <w:gridSpan w:val="3"/>
          </w:tcPr>
          <w:p>
            <w:pPr>
              <w:ind w:left="340"/>
              <w:spacing w:after="0"/>
              <w:rPr>
                <w:sz w:val="20"/>
                <w:szCs w:val="20"/>
                <w:color w:val="auto"/>
              </w:rPr>
            </w:pPr>
            <w:r>
              <w:rPr>
                <w:rFonts w:ascii="Arial" w:cs="Arial" w:eastAsia="Arial" w:hAnsi="Arial"/>
                <w:sz w:val="15"/>
                <w:szCs w:val="15"/>
                <w:color w:val="auto"/>
              </w:rPr>
              <w:t>Other general and administrative</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tcPr>
          <w:p>
            <w:pPr>
              <w:ind w:left="480"/>
              <w:spacing w:after="0"/>
              <w:rPr>
                <w:sz w:val="20"/>
                <w:szCs w:val="20"/>
                <w:color w:val="auto"/>
              </w:rPr>
            </w:pPr>
            <w:r>
              <w:rPr>
                <w:rFonts w:ascii="Arial" w:cs="Arial" w:eastAsia="Arial" w:hAnsi="Arial"/>
                <w:sz w:val="15"/>
                <w:szCs w:val="15"/>
                <w:color w:val="auto"/>
              </w:rPr>
              <w:t>(GAAP)</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773</w:t>
            </w:r>
          </w:p>
        </w:tc>
        <w:tc>
          <w:tcPr>
            <w:tcW w:w="380" w:type="dxa"/>
            <w:vAlign w:val="bottom"/>
          </w:tcPr>
          <w:p>
            <w:pPr>
              <w:spacing w:after="0"/>
              <w:rPr>
                <w:sz w:val="19"/>
                <w:szCs w:val="19"/>
                <w:color w:val="auto"/>
              </w:rPr>
            </w:pP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1,564</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2,434</w:t>
            </w:r>
          </w:p>
        </w:tc>
        <w:tc>
          <w:tcPr>
            <w:tcW w:w="240" w:type="dxa"/>
            <w:vAlign w:val="bottom"/>
          </w:tcPr>
          <w:p>
            <w:pPr>
              <w:spacing w:after="0"/>
              <w:rPr>
                <w:sz w:val="19"/>
                <w:szCs w:val="19"/>
                <w:color w:val="auto"/>
              </w:rPr>
            </w:pP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3,858</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2,427</w:t>
            </w: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11,056</w:t>
            </w:r>
          </w:p>
        </w:tc>
        <w:tc>
          <w:tcPr>
            <w:tcW w:w="0" w:type="dxa"/>
            <w:vAlign w:val="bottom"/>
          </w:tcPr>
          <w:p>
            <w:pPr>
              <w:spacing w:after="0"/>
              <w:rPr>
                <w:sz w:val="1"/>
                <w:szCs w:val="1"/>
                <w:color w:val="auto"/>
              </w:rPr>
            </w:pPr>
          </w:p>
        </w:tc>
      </w:tr>
      <w:tr>
        <w:trPr>
          <w:trHeight w:val="223"/>
        </w:trPr>
        <w:tc>
          <w:tcPr>
            <w:tcW w:w="2540" w:type="dxa"/>
            <w:vAlign w:val="bottom"/>
            <w:gridSpan w:val="3"/>
          </w:tcPr>
          <w:p>
            <w:pPr>
              <w:ind w:left="340"/>
              <w:spacing w:after="0"/>
              <w:rPr>
                <w:sz w:val="20"/>
                <w:szCs w:val="20"/>
                <w:color w:val="auto"/>
              </w:rPr>
            </w:pPr>
            <w:r>
              <w:rPr>
                <w:rFonts w:ascii="Arial" w:cs="Arial" w:eastAsia="Arial" w:hAnsi="Arial"/>
                <w:sz w:val="15"/>
                <w:szCs w:val="15"/>
                <w:color w:val="auto"/>
              </w:rPr>
              <w:t>Compensation expense (GAAP)</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06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1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8"/>
        </w:trPr>
        <w:tc>
          <w:tcPr>
            <w:tcW w:w="1800" w:type="dxa"/>
            <w:vAlign w:val="bottom"/>
          </w:tcPr>
          <w:p>
            <w:pPr>
              <w:ind w:left="20"/>
              <w:spacing w:after="0"/>
              <w:rPr>
                <w:sz w:val="20"/>
                <w:szCs w:val="20"/>
                <w:color w:val="auto"/>
              </w:rPr>
            </w:pPr>
            <w:r>
              <w:rPr>
                <w:rFonts w:ascii="Arial" w:cs="Arial" w:eastAsia="Arial" w:hAnsi="Arial"/>
                <w:sz w:val="15"/>
                <w:szCs w:val="15"/>
                <w:color w:val="auto"/>
              </w:rPr>
              <w:t>Total Shareholder Fees &amp;</w:t>
            </w:r>
          </w:p>
        </w:tc>
        <w:tc>
          <w:tcPr>
            <w:tcW w:w="740" w:type="dxa"/>
            <w:vAlign w:val="bottom"/>
            <w:gridSpan w:val="2"/>
          </w:tcPr>
          <w:p>
            <w:pPr>
              <w:ind w:left="20"/>
              <w:spacing w:after="0"/>
              <w:rPr>
                <w:sz w:val="20"/>
                <w:szCs w:val="20"/>
                <w:color w:val="auto"/>
              </w:rPr>
            </w:pPr>
            <w:r>
              <w:rPr>
                <w:rFonts w:ascii="Arial" w:cs="Arial" w:eastAsia="Arial" w:hAnsi="Arial"/>
                <w:sz w:val="15"/>
                <w:szCs w:val="15"/>
                <w:color w:val="auto"/>
              </w:rPr>
              <w:t>Expenses</w:t>
            </w:r>
          </w:p>
        </w:tc>
        <w:tc>
          <w:tcPr>
            <w:tcW w:w="1160" w:type="dxa"/>
            <w:vAlign w:val="bottom"/>
          </w:tcPr>
          <w:p>
            <w:pPr>
              <w:jc w:val="right"/>
              <w:spacing w:after="0"/>
              <w:rPr>
                <w:sz w:val="20"/>
                <w:szCs w:val="20"/>
                <w:color w:val="auto"/>
              </w:rPr>
            </w:pPr>
            <w:r>
              <w:rPr>
                <w:rFonts w:ascii="Arial" w:cs="Arial" w:eastAsia="Arial" w:hAnsi="Arial"/>
                <w:sz w:val="15"/>
                <w:szCs w:val="15"/>
                <w:color w:val="auto"/>
              </w:rPr>
              <w:t>4,521</w:t>
            </w:r>
          </w:p>
        </w:tc>
        <w:tc>
          <w:tcPr>
            <w:tcW w:w="380" w:type="dxa"/>
            <w:vAlign w:val="bottom"/>
          </w:tcPr>
          <w:p>
            <w:pPr>
              <w:spacing w:after="0"/>
              <w:rPr>
                <w:sz w:val="24"/>
                <w:szCs w:val="24"/>
                <w:color w:val="auto"/>
              </w:rPr>
            </w:pPr>
          </w:p>
        </w:tc>
        <w:tc>
          <w:tcPr>
            <w:tcW w:w="1060" w:type="dxa"/>
            <w:vAlign w:val="bottom"/>
          </w:tcPr>
          <w:p>
            <w:pPr>
              <w:jc w:val="right"/>
              <w:ind w:right="225"/>
              <w:spacing w:after="0"/>
              <w:rPr>
                <w:sz w:val="20"/>
                <w:szCs w:val="20"/>
                <w:color w:val="auto"/>
              </w:rPr>
            </w:pPr>
            <w:r>
              <w:rPr>
                <w:rFonts w:ascii="Arial" w:cs="Arial" w:eastAsia="Arial" w:hAnsi="Arial"/>
                <w:sz w:val="15"/>
                <w:szCs w:val="15"/>
                <w:color w:val="auto"/>
              </w:rPr>
              <w:t>20,620</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31,576</w:t>
            </w:r>
          </w:p>
        </w:tc>
        <w:tc>
          <w:tcPr>
            <w:tcW w:w="240" w:type="dxa"/>
            <w:vAlign w:val="bottom"/>
          </w:tcPr>
          <w:p>
            <w:pPr>
              <w:spacing w:after="0"/>
              <w:rPr>
                <w:sz w:val="24"/>
                <w:szCs w:val="24"/>
                <w:color w:val="auto"/>
              </w:rPr>
            </w:pPr>
          </w:p>
        </w:tc>
        <w:tc>
          <w:tcPr>
            <w:tcW w:w="1180" w:type="dxa"/>
            <w:vAlign w:val="bottom"/>
          </w:tcPr>
          <w:p>
            <w:pPr>
              <w:jc w:val="right"/>
              <w:ind w:right="325"/>
              <w:spacing w:after="0"/>
              <w:rPr>
                <w:sz w:val="20"/>
                <w:szCs w:val="20"/>
                <w:color w:val="auto"/>
              </w:rPr>
            </w:pPr>
            <w:r>
              <w:rPr>
                <w:rFonts w:ascii="Arial" w:cs="Arial" w:eastAsia="Arial" w:hAnsi="Arial"/>
                <w:sz w:val="15"/>
                <w:szCs w:val="15"/>
                <w:color w:val="auto"/>
              </w:rPr>
              <w:t>45,087</w:t>
            </w:r>
          </w:p>
        </w:tc>
        <w:tc>
          <w:tcPr>
            <w:tcW w:w="1060" w:type="dxa"/>
            <w:vAlign w:val="bottom"/>
          </w:tcPr>
          <w:p>
            <w:pPr>
              <w:jc w:val="right"/>
              <w:ind w:right="87"/>
              <w:spacing w:after="0"/>
              <w:rPr>
                <w:sz w:val="20"/>
                <w:szCs w:val="20"/>
                <w:color w:val="auto"/>
              </w:rPr>
            </w:pPr>
            <w:r>
              <w:rPr>
                <w:rFonts w:ascii="Arial" w:cs="Arial" w:eastAsia="Arial" w:hAnsi="Arial"/>
                <w:sz w:val="15"/>
                <w:szCs w:val="15"/>
                <w:color w:val="auto"/>
              </w:rPr>
              <w:t>27,488</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129,292</w:t>
            </w:r>
          </w:p>
        </w:tc>
        <w:tc>
          <w:tcPr>
            <w:tcW w:w="0" w:type="dxa"/>
            <w:vAlign w:val="bottom"/>
          </w:tcPr>
          <w:p>
            <w:pPr>
              <w:spacing w:after="0"/>
              <w:rPr>
                <w:sz w:val="1"/>
                <w:szCs w:val="1"/>
                <w:color w:val="auto"/>
              </w:rPr>
            </w:pPr>
          </w:p>
        </w:tc>
      </w:tr>
      <w:tr>
        <w:trPr>
          <w:trHeight w:val="223"/>
        </w:trPr>
        <w:tc>
          <w:tcPr>
            <w:tcW w:w="1800" w:type="dxa"/>
            <w:vAlign w:val="bottom"/>
          </w:tcPr>
          <w:p>
            <w:pPr>
              <w:ind w:left="20"/>
              <w:spacing w:after="0"/>
              <w:rPr>
                <w:sz w:val="20"/>
                <w:szCs w:val="20"/>
                <w:color w:val="auto"/>
              </w:rPr>
            </w:pPr>
            <w:r>
              <w:rPr>
                <w:rFonts w:ascii="Arial" w:cs="Arial" w:eastAsia="Arial" w:hAnsi="Arial"/>
                <w:sz w:val="15"/>
                <w:szCs w:val="15"/>
                <w:color w:val="auto"/>
              </w:rPr>
              <w:t>Economic Profit</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380,306</w:t>
            </w:r>
          </w:p>
        </w:tc>
        <w:tc>
          <w:tcPr>
            <w:tcW w:w="0" w:type="dxa"/>
            <w:vAlign w:val="bottom"/>
          </w:tcPr>
          <w:p>
            <w:pPr>
              <w:spacing w:after="0"/>
              <w:rPr>
                <w:sz w:val="1"/>
                <w:szCs w:val="1"/>
                <w:color w:val="auto"/>
              </w:rPr>
            </w:pPr>
          </w:p>
        </w:tc>
      </w:tr>
      <w:tr>
        <w:trPr>
          <w:trHeight w:val="212"/>
        </w:trPr>
        <w:tc>
          <w:tcPr>
            <w:tcW w:w="2140" w:type="dxa"/>
            <w:vAlign w:val="bottom"/>
            <w:gridSpan w:val="2"/>
          </w:tcPr>
          <w:p>
            <w:pPr>
              <w:ind w:left="20"/>
              <w:spacing w:after="0"/>
              <w:rPr>
                <w:sz w:val="20"/>
                <w:szCs w:val="20"/>
                <w:color w:val="auto"/>
              </w:rPr>
            </w:pPr>
            <w:r>
              <w:rPr>
                <w:rFonts w:ascii="Arial" w:cs="Arial" w:eastAsia="Arial" w:hAnsi="Arial"/>
                <w:sz w:val="15"/>
                <w:szCs w:val="15"/>
                <w:color w:val="auto"/>
                <w:w w:val="92"/>
              </w:rPr>
              <w:t>Ratio of Total Shareholder Fees &amp;</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140" w:type="dxa"/>
            <w:vAlign w:val="bottom"/>
            <w:gridSpan w:val="2"/>
          </w:tcPr>
          <w:p>
            <w:pPr>
              <w:ind w:left="180"/>
              <w:spacing w:after="0"/>
              <w:rPr>
                <w:sz w:val="20"/>
                <w:szCs w:val="20"/>
                <w:color w:val="auto"/>
              </w:rPr>
            </w:pPr>
            <w:r>
              <w:rPr>
                <w:rFonts w:ascii="Arial" w:cs="Arial" w:eastAsia="Arial" w:hAnsi="Arial"/>
                <w:sz w:val="15"/>
                <w:szCs w:val="15"/>
                <w:color w:val="auto"/>
              </w:rPr>
              <w:t>Expenses to Economic Profit</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000"/>
        <w:spacing w:after="0"/>
        <w:rPr>
          <w:sz w:val="20"/>
          <w:szCs w:val="20"/>
          <w:color w:val="auto"/>
        </w:rPr>
      </w:pPr>
      <w:r>
        <w:rPr>
          <w:rFonts w:ascii="Arial" w:cs="Arial" w:eastAsia="Arial" w:hAnsi="Arial"/>
          <w:sz w:val="9"/>
          <w:szCs w:val="9"/>
          <w:color w:val="auto"/>
        </w:rPr>
        <w:t>(1)  Includes management fees waived by TSLX’s investment advisor prior to TSLX’s IPO in 2014, which totaled $7 in 2011, $3,704 in 2012, $7,135 in 2013 and $2,464 in 2014.</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0700"/>
          </w:cols>
          <w:pgMar w:left="460" w:top="264" w:right="739" w:bottom="1440" w:gutter="0" w:footer="0" w:header="0"/>
        </w:sectPr>
      </w:pPr>
    </w:p>
    <w:bookmarkStart w:id="8" w:name="page9"/>
    <w:bookmarkEnd w:id="8"/>
    <w:p>
      <w:pPr>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Reconciliation of Certain Non-GAAP Financial Measures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83185</wp:posOffset>
            </wp:positionV>
            <wp:extent cx="6875780" cy="4838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160" w:type="dxa"/>
        <w:tblCellMar>
          <w:top w:w="0" w:type="dxa"/>
          <w:left w:w="0" w:type="dxa"/>
          <w:bottom w:w="0" w:type="dxa"/>
          <w:right w:w="0" w:type="dxa"/>
        </w:tblCellMar>
      </w:tblPr>
      <w:tr>
        <w:trPr>
          <w:trHeight w:val="103"/>
        </w:trPr>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right"/>
              <w:ind w:right="99"/>
              <w:spacing w:after="0"/>
              <w:rPr>
                <w:sz w:val="20"/>
                <w:szCs w:val="20"/>
                <w:color w:val="auto"/>
              </w:rPr>
            </w:pPr>
            <w:r>
              <w:rPr>
                <w:rFonts w:ascii="Arial" w:cs="Arial" w:eastAsia="Arial" w:hAnsi="Arial"/>
                <w:sz w:val="8"/>
                <w:szCs w:val="8"/>
                <w:color w:val="auto"/>
              </w:rPr>
              <w:t>2015</w:t>
            </w: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99"/>
              <w:spacing w:after="0"/>
              <w:rPr>
                <w:sz w:val="20"/>
                <w:szCs w:val="20"/>
                <w:color w:val="auto"/>
              </w:rPr>
            </w:pPr>
            <w:r>
              <w:rPr>
                <w:rFonts w:ascii="Arial" w:cs="Arial" w:eastAsia="Arial" w:hAnsi="Arial"/>
                <w:sz w:val="8"/>
                <w:szCs w:val="8"/>
                <w:color w:val="auto"/>
                <w:w w:val="89"/>
              </w:rPr>
              <w:t>Cumulative</w:t>
            </w:r>
          </w:p>
        </w:tc>
        <w:tc>
          <w:tcPr>
            <w:tcW w:w="620" w:type="dxa"/>
            <w:vAlign w:val="bottom"/>
            <w:gridSpan w:val="2"/>
          </w:tcPr>
          <w:p>
            <w:pPr>
              <w:jc w:val="right"/>
              <w:spacing w:after="0"/>
              <w:rPr>
                <w:sz w:val="20"/>
                <w:szCs w:val="20"/>
                <w:color w:val="auto"/>
              </w:rPr>
            </w:pPr>
            <w:r>
              <w:rPr>
                <w:rFonts w:ascii="Arial" w:cs="Arial" w:eastAsia="Arial" w:hAnsi="Arial"/>
                <w:sz w:val="8"/>
                <w:szCs w:val="8"/>
                <w:color w:val="auto"/>
                <w:w w:val="98"/>
              </w:rPr>
              <w:t>Cumulative TICC</w:t>
            </w: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ind w:right="39"/>
              <w:spacing w:after="0"/>
              <w:rPr>
                <w:sz w:val="20"/>
                <w:szCs w:val="20"/>
                <w:color w:val="auto"/>
              </w:rPr>
            </w:pPr>
            <w:r>
              <w:rPr>
                <w:rFonts w:ascii="Arial" w:cs="Arial" w:eastAsia="Arial" w:hAnsi="Arial"/>
                <w:sz w:val="8"/>
                <w:szCs w:val="8"/>
                <w:color w:val="auto"/>
              </w:rPr>
              <w:t>(through</w:t>
            </w:r>
          </w:p>
        </w:tc>
        <w:tc>
          <w:tcPr>
            <w:tcW w:w="280" w:type="dxa"/>
            <w:vAlign w:val="bottom"/>
          </w:tcPr>
          <w:p>
            <w:pPr>
              <w:spacing w:after="0"/>
              <w:rPr>
                <w:sz w:val="10"/>
                <w:szCs w:val="10"/>
                <w:color w:val="auto"/>
              </w:rPr>
            </w:pPr>
          </w:p>
        </w:tc>
        <w:tc>
          <w:tcPr>
            <w:tcW w:w="500" w:type="dxa"/>
            <w:vAlign w:val="bottom"/>
          </w:tcPr>
          <w:p>
            <w:pPr>
              <w:jc w:val="right"/>
              <w:ind w:right="59"/>
              <w:spacing w:after="0"/>
              <w:rPr>
                <w:sz w:val="20"/>
                <w:szCs w:val="20"/>
                <w:color w:val="auto"/>
              </w:rPr>
            </w:pPr>
            <w:r>
              <w:rPr>
                <w:rFonts w:ascii="Arial" w:cs="Arial" w:eastAsia="Arial" w:hAnsi="Arial"/>
                <w:sz w:val="8"/>
                <w:szCs w:val="8"/>
                <w:color w:val="auto"/>
                <w:w w:val="94"/>
              </w:rPr>
              <w:t>Cumulative</w:t>
            </w:r>
          </w:p>
        </w:tc>
        <w:tc>
          <w:tcPr>
            <w:tcW w:w="120" w:type="dxa"/>
            <w:vAlign w:val="bottom"/>
          </w:tcPr>
          <w:p>
            <w:pPr>
              <w:spacing w:after="0"/>
              <w:rPr>
                <w:sz w:val="10"/>
                <w:szCs w:val="10"/>
                <w:color w:val="auto"/>
              </w:rPr>
            </w:pPr>
          </w:p>
        </w:tc>
        <w:tc>
          <w:tcPr>
            <w:tcW w:w="520" w:type="dxa"/>
            <w:vAlign w:val="bottom"/>
          </w:tcPr>
          <w:p>
            <w:pPr>
              <w:jc w:val="right"/>
              <w:ind w:right="79"/>
              <w:spacing w:after="0"/>
              <w:rPr>
                <w:sz w:val="20"/>
                <w:szCs w:val="20"/>
                <w:color w:val="auto"/>
              </w:rPr>
            </w:pPr>
            <w:r>
              <w:rPr>
                <w:rFonts w:ascii="Arial" w:cs="Arial" w:eastAsia="Arial" w:hAnsi="Arial"/>
                <w:sz w:val="8"/>
                <w:szCs w:val="8"/>
                <w:color w:val="auto"/>
                <w:w w:val="91"/>
              </w:rPr>
              <w:t>TICC under</w:t>
            </w: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under NexPoint</w:t>
            </w:r>
          </w:p>
        </w:tc>
        <w:tc>
          <w:tcPr>
            <w:tcW w:w="0" w:type="dxa"/>
            <w:vAlign w:val="bottom"/>
          </w:tcPr>
          <w:p>
            <w:pPr>
              <w:spacing w:after="0"/>
              <w:rPr>
                <w:sz w:val="1"/>
                <w:szCs w:val="1"/>
                <w:color w:val="auto"/>
              </w:rPr>
            </w:pPr>
          </w:p>
        </w:tc>
      </w:tr>
      <w:tr>
        <w:trPr>
          <w:trHeight w:val="132"/>
        </w:trPr>
        <w:tc>
          <w:tcPr>
            <w:tcW w:w="940" w:type="dxa"/>
            <w:vAlign w:val="bottom"/>
            <w:gridSpan w:val="2"/>
          </w:tcPr>
          <w:p>
            <w:pPr>
              <w:ind w:left="60"/>
              <w:spacing w:after="0"/>
              <w:rPr>
                <w:sz w:val="20"/>
                <w:szCs w:val="20"/>
                <w:color w:val="auto"/>
              </w:rPr>
            </w:pPr>
            <w:r>
              <w:rPr>
                <w:rFonts w:ascii="Arial" w:cs="Arial" w:eastAsia="Arial" w:hAnsi="Arial"/>
                <w:sz w:val="8"/>
                <w:szCs w:val="8"/>
                <w:color w:val="auto"/>
              </w:rPr>
              <w:t>In thousands)</w:t>
            </w:r>
          </w:p>
        </w:tc>
        <w:tc>
          <w:tcPr>
            <w:tcW w:w="420" w:type="dxa"/>
            <w:vAlign w:val="bottom"/>
            <w:gridSpan w:val="2"/>
          </w:tcPr>
          <w:p>
            <w:pPr>
              <w:jc w:val="right"/>
              <w:ind w:right="139"/>
              <w:spacing w:after="0"/>
              <w:rPr>
                <w:sz w:val="20"/>
                <w:szCs w:val="20"/>
                <w:color w:val="auto"/>
              </w:rPr>
            </w:pPr>
            <w:r>
              <w:rPr>
                <w:rFonts w:ascii="Arial" w:cs="Arial" w:eastAsia="Arial" w:hAnsi="Arial"/>
                <w:sz w:val="8"/>
                <w:szCs w:val="8"/>
                <w:color w:val="auto"/>
              </w:rPr>
              <w:t>2003</w:t>
            </w:r>
          </w:p>
        </w:tc>
        <w:tc>
          <w:tcPr>
            <w:tcW w:w="180" w:type="dxa"/>
            <w:vAlign w:val="bottom"/>
          </w:tcPr>
          <w:p>
            <w:pPr>
              <w:spacing w:after="0"/>
              <w:rPr>
                <w:sz w:val="11"/>
                <w:szCs w:val="11"/>
                <w:color w:val="auto"/>
              </w:rPr>
            </w:pPr>
          </w:p>
        </w:tc>
        <w:tc>
          <w:tcPr>
            <w:tcW w:w="540" w:type="dxa"/>
            <w:vAlign w:val="bottom"/>
          </w:tcPr>
          <w:p>
            <w:pPr>
              <w:jc w:val="right"/>
              <w:ind w:right="239"/>
              <w:spacing w:after="0"/>
              <w:rPr>
                <w:sz w:val="20"/>
                <w:szCs w:val="20"/>
                <w:color w:val="auto"/>
              </w:rPr>
            </w:pPr>
            <w:r>
              <w:rPr>
                <w:rFonts w:ascii="Arial" w:cs="Arial" w:eastAsia="Arial" w:hAnsi="Arial"/>
                <w:sz w:val="8"/>
                <w:szCs w:val="8"/>
                <w:color w:val="auto"/>
              </w:rPr>
              <w:t>2004</w:t>
            </w:r>
          </w:p>
        </w:tc>
        <w:tc>
          <w:tcPr>
            <w:tcW w:w="660" w:type="dxa"/>
            <w:vAlign w:val="bottom"/>
          </w:tcPr>
          <w:p>
            <w:pPr>
              <w:jc w:val="right"/>
              <w:ind w:right="239"/>
              <w:spacing w:after="0"/>
              <w:rPr>
                <w:sz w:val="20"/>
                <w:szCs w:val="20"/>
                <w:color w:val="auto"/>
              </w:rPr>
            </w:pPr>
            <w:r>
              <w:rPr>
                <w:rFonts w:ascii="Arial" w:cs="Arial" w:eastAsia="Arial" w:hAnsi="Arial"/>
                <w:sz w:val="8"/>
                <w:szCs w:val="8"/>
                <w:color w:val="auto"/>
              </w:rPr>
              <w:t>2005</w:t>
            </w:r>
          </w:p>
        </w:tc>
        <w:tc>
          <w:tcPr>
            <w:tcW w:w="520" w:type="dxa"/>
            <w:vAlign w:val="bottom"/>
          </w:tcPr>
          <w:p>
            <w:pPr>
              <w:jc w:val="right"/>
              <w:ind w:right="119"/>
              <w:spacing w:after="0"/>
              <w:rPr>
                <w:sz w:val="20"/>
                <w:szCs w:val="20"/>
                <w:color w:val="auto"/>
              </w:rPr>
            </w:pPr>
            <w:r>
              <w:rPr>
                <w:rFonts w:ascii="Arial" w:cs="Arial" w:eastAsia="Arial" w:hAnsi="Arial"/>
                <w:sz w:val="8"/>
                <w:szCs w:val="8"/>
                <w:color w:val="auto"/>
              </w:rPr>
              <w:t>2006</w:t>
            </w:r>
          </w:p>
        </w:tc>
        <w:tc>
          <w:tcPr>
            <w:tcW w:w="220" w:type="dxa"/>
            <w:vAlign w:val="bottom"/>
          </w:tcPr>
          <w:p>
            <w:pPr>
              <w:spacing w:after="0"/>
              <w:rPr>
                <w:sz w:val="11"/>
                <w:szCs w:val="11"/>
                <w:color w:val="auto"/>
              </w:rPr>
            </w:pPr>
          </w:p>
        </w:tc>
        <w:tc>
          <w:tcPr>
            <w:tcW w:w="540" w:type="dxa"/>
            <w:vAlign w:val="bottom"/>
          </w:tcPr>
          <w:p>
            <w:pPr>
              <w:jc w:val="right"/>
              <w:ind w:right="219"/>
              <w:spacing w:after="0"/>
              <w:rPr>
                <w:sz w:val="20"/>
                <w:szCs w:val="20"/>
                <w:color w:val="auto"/>
              </w:rPr>
            </w:pPr>
            <w:r>
              <w:rPr>
                <w:rFonts w:ascii="Arial" w:cs="Arial" w:eastAsia="Arial" w:hAnsi="Arial"/>
                <w:sz w:val="8"/>
                <w:szCs w:val="8"/>
                <w:color w:val="auto"/>
              </w:rPr>
              <w:t>2007</w:t>
            </w:r>
          </w:p>
        </w:tc>
        <w:tc>
          <w:tcPr>
            <w:tcW w:w="580" w:type="dxa"/>
            <w:vAlign w:val="bottom"/>
          </w:tcPr>
          <w:p>
            <w:pPr>
              <w:jc w:val="right"/>
              <w:ind w:right="179"/>
              <w:spacing w:after="0"/>
              <w:rPr>
                <w:sz w:val="20"/>
                <w:szCs w:val="20"/>
                <w:color w:val="auto"/>
              </w:rPr>
            </w:pPr>
            <w:r>
              <w:rPr>
                <w:rFonts w:ascii="Arial" w:cs="Arial" w:eastAsia="Arial" w:hAnsi="Arial"/>
                <w:sz w:val="8"/>
                <w:szCs w:val="8"/>
                <w:color w:val="auto"/>
              </w:rPr>
              <w:t>2008</w:t>
            </w:r>
          </w:p>
        </w:tc>
        <w:tc>
          <w:tcPr>
            <w:tcW w:w="440" w:type="dxa"/>
            <w:vAlign w:val="bottom"/>
          </w:tcPr>
          <w:p>
            <w:pPr>
              <w:jc w:val="right"/>
              <w:ind w:right="39"/>
              <w:spacing w:after="0"/>
              <w:rPr>
                <w:sz w:val="20"/>
                <w:szCs w:val="20"/>
                <w:color w:val="auto"/>
              </w:rPr>
            </w:pPr>
            <w:r>
              <w:rPr>
                <w:rFonts w:ascii="Arial" w:cs="Arial" w:eastAsia="Arial" w:hAnsi="Arial"/>
                <w:sz w:val="8"/>
                <w:szCs w:val="8"/>
                <w:color w:val="auto"/>
              </w:rPr>
              <w:t>2009</w:t>
            </w:r>
          </w:p>
        </w:tc>
        <w:tc>
          <w:tcPr>
            <w:tcW w:w="540" w:type="dxa"/>
            <w:vAlign w:val="bottom"/>
          </w:tcPr>
          <w:p>
            <w:pPr>
              <w:jc w:val="right"/>
              <w:ind w:right="39"/>
              <w:spacing w:after="0"/>
              <w:rPr>
                <w:sz w:val="20"/>
                <w:szCs w:val="20"/>
                <w:color w:val="auto"/>
              </w:rPr>
            </w:pPr>
            <w:r>
              <w:rPr>
                <w:rFonts w:ascii="Arial" w:cs="Arial" w:eastAsia="Arial" w:hAnsi="Arial"/>
                <w:sz w:val="8"/>
                <w:szCs w:val="8"/>
                <w:color w:val="auto"/>
              </w:rPr>
              <w:t>2010</w:t>
            </w:r>
          </w:p>
        </w:tc>
        <w:tc>
          <w:tcPr>
            <w:tcW w:w="600" w:type="dxa"/>
            <w:vAlign w:val="bottom"/>
          </w:tcPr>
          <w:p>
            <w:pPr>
              <w:jc w:val="right"/>
              <w:ind w:right="99"/>
              <w:spacing w:after="0"/>
              <w:rPr>
                <w:sz w:val="20"/>
                <w:szCs w:val="20"/>
                <w:color w:val="auto"/>
              </w:rPr>
            </w:pPr>
            <w:r>
              <w:rPr>
                <w:rFonts w:ascii="Arial" w:cs="Arial" w:eastAsia="Arial" w:hAnsi="Arial"/>
                <w:sz w:val="8"/>
                <w:szCs w:val="8"/>
                <w:color w:val="auto"/>
              </w:rPr>
              <w:t>2011</w:t>
            </w:r>
          </w:p>
        </w:tc>
        <w:tc>
          <w:tcPr>
            <w:tcW w:w="180" w:type="dxa"/>
            <w:vAlign w:val="bottom"/>
          </w:tcPr>
          <w:p>
            <w:pPr>
              <w:spacing w:after="0"/>
              <w:rPr>
                <w:sz w:val="11"/>
                <w:szCs w:val="11"/>
                <w:color w:val="auto"/>
              </w:rPr>
            </w:pPr>
          </w:p>
        </w:tc>
        <w:tc>
          <w:tcPr>
            <w:tcW w:w="320" w:type="dxa"/>
            <w:vAlign w:val="bottom"/>
          </w:tcPr>
          <w:p>
            <w:pPr>
              <w:jc w:val="right"/>
              <w:ind w:right="59"/>
              <w:spacing w:after="0"/>
              <w:rPr>
                <w:sz w:val="20"/>
                <w:szCs w:val="20"/>
                <w:color w:val="auto"/>
              </w:rPr>
            </w:pPr>
            <w:r>
              <w:rPr>
                <w:rFonts w:ascii="Arial" w:cs="Arial" w:eastAsia="Arial" w:hAnsi="Arial"/>
                <w:sz w:val="8"/>
                <w:szCs w:val="8"/>
                <w:color w:val="auto"/>
              </w:rPr>
              <w:t>2012</w:t>
            </w:r>
          </w:p>
        </w:tc>
        <w:tc>
          <w:tcPr>
            <w:tcW w:w="120" w:type="dxa"/>
            <w:vAlign w:val="bottom"/>
          </w:tcPr>
          <w:p>
            <w:pPr>
              <w:spacing w:after="0"/>
              <w:rPr>
                <w:sz w:val="11"/>
                <w:szCs w:val="11"/>
                <w:color w:val="auto"/>
              </w:rPr>
            </w:pPr>
          </w:p>
        </w:tc>
        <w:tc>
          <w:tcPr>
            <w:tcW w:w="400" w:type="dxa"/>
            <w:vAlign w:val="bottom"/>
          </w:tcPr>
          <w:p>
            <w:pPr>
              <w:jc w:val="right"/>
              <w:ind w:right="59"/>
              <w:spacing w:after="0"/>
              <w:rPr>
                <w:sz w:val="20"/>
                <w:szCs w:val="20"/>
                <w:color w:val="auto"/>
              </w:rPr>
            </w:pPr>
            <w:r>
              <w:rPr>
                <w:rFonts w:ascii="Arial" w:cs="Arial" w:eastAsia="Arial" w:hAnsi="Arial"/>
                <w:sz w:val="8"/>
                <w:szCs w:val="8"/>
                <w:color w:val="auto"/>
              </w:rPr>
              <w:t>2013</w:t>
            </w:r>
          </w:p>
        </w:tc>
        <w:tc>
          <w:tcPr>
            <w:tcW w:w="140" w:type="dxa"/>
            <w:vAlign w:val="bottom"/>
          </w:tcPr>
          <w:p>
            <w:pPr>
              <w:spacing w:after="0"/>
              <w:rPr>
                <w:sz w:val="11"/>
                <w:szCs w:val="11"/>
                <w:color w:val="auto"/>
              </w:rPr>
            </w:pPr>
          </w:p>
        </w:tc>
        <w:tc>
          <w:tcPr>
            <w:tcW w:w="380" w:type="dxa"/>
            <w:vAlign w:val="bottom"/>
          </w:tcPr>
          <w:p>
            <w:pPr>
              <w:jc w:val="right"/>
              <w:ind w:right="39"/>
              <w:spacing w:after="0"/>
              <w:rPr>
                <w:sz w:val="20"/>
                <w:szCs w:val="20"/>
                <w:color w:val="auto"/>
              </w:rPr>
            </w:pPr>
            <w:r>
              <w:rPr>
                <w:rFonts w:ascii="Arial" w:cs="Arial" w:eastAsia="Arial" w:hAnsi="Arial"/>
                <w:sz w:val="8"/>
                <w:szCs w:val="8"/>
                <w:color w:val="auto"/>
              </w:rPr>
              <w:t>2014</w:t>
            </w:r>
          </w:p>
        </w:tc>
        <w:tc>
          <w:tcPr>
            <w:tcW w:w="220" w:type="dxa"/>
            <w:vAlign w:val="bottom"/>
          </w:tcPr>
          <w:p>
            <w:pPr>
              <w:spacing w:after="0"/>
              <w:rPr>
                <w:sz w:val="11"/>
                <w:szCs w:val="11"/>
                <w:color w:val="auto"/>
              </w:rPr>
            </w:pPr>
          </w:p>
        </w:tc>
        <w:tc>
          <w:tcPr>
            <w:tcW w:w="460" w:type="dxa"/>
            <w:vAlign w:val="bottom"/>
          </w:tcPr>
          <w:p>
            <w:pPr>
              <w:jc w:val="right"/>
              <w:ind w:right="39"/>
              <w:spacing w:after="0"/>
              <w:rPr>
                <w:sz w:val="20"/>
                <w:szCs w:val="20"/>
                <w:color w:val="auto"/>
              </w:rPr>
            </w:pPr>
            <w:r>
              <w:rPr>
                <w:rFonts w:ascii="Arial" w:cs="Arial" w:eastAsia="Arial" w:hAnsi="Arial"/>
                <w:sz w:val="8"/>
                <w:szCs w:val="8"/>
                <w:color w:val="auto"/>
              </w:rPr>
              <w:t>June 30)</w:t>
            </w:r>
          </w:p>
        </w:tc>
        <w:tc>
          <w:tcPr>
            <w:tcW w:w="280" w:type="dxa"/>
            <w:vAlign w:val="bottom"/>
          </w:tcPr>
          <w:p>
            <w:pPr>
              <w:spacing w:after="0"/>
              <w:rPr>
                <w:sz w:val="11"/>
                <w:szCs w:val="11"/>
                <w:color w:val="auto"/>
              </w:rPr>
            </w:pPr>
          </w:p>
        </w:tc>
        <w:tc>
          <w:tcPr>
            <w:tcW w:w="500" w:type="dxa"/>
            <w:vAlign w:val="bottom"/>
          </w:tcPr>
          <w:p>
            <w:pPr>
              <w:jc w:val="right"/>
              <w:ind w:right="139"/>
              <w:spacing w:after="0"/>
              <w:rPr>
                <w:sz w:val="20"/>
                <w:szCs w:val="20"/>
                <w:color w:val="auto"/>
              </w:rPr>
            </w:pPr>
            <w:r>
              <w:rPr>
                <w:rFonts w:ascii="Arial" w:cs="Arial" w:eastAsia="Arial" w:hAnsi="Arial"/>
                <w:sz w:val="8"/>
                <w:szCs w:val="8"/>
                <w:color w:val="auto"/>
              </w:rPr>
              <w:t>TICC</w:t>
            </w:r>
          </w:p>
        </w:tc>
        <w:tc>
          <w:tcPr>
            <w:tcW w:w="120" w:type="dxa"/>
            <w:vAlign w:val="bottom"/>
          </w:tcPr>
          <w:p>
            <w:pPr>
              <w:spacing w:after="0"/>
              <w:rPr>
                <w:sz w:val="11"/>
                <w:szCs w:val="11"/>
                <w:color w:val="auto"/>
              </w:rPr>
            </w:pPr>
          </w:p>
        </w:tc>
        <w:tc>
          <w:tcPr>
            <w:tcW w:w="520" w:type="dxa"/>
            <w:vAlign w:val="bottom"/>
          </w:tcPr>
          <w:p>
            <w:pPr>
              <w:jc w:val="right"/>
              <w:ind w:right="59"/>
              <w:spacing w:after="0"/>
              <w:rPr>
                <w:sz w:val="20"/>
                <w:szCs w:val="20"/>
                <w:color w:val="auto"/>
              </w:rPr>
            </w:pPr>
            <w:r>
              <w:rPr>
                <w:rFonts w:ascii="Arial" w:cs="Arial" w:eastAsia="Arial" w:hAnsi="Arial"/>
                <w:sz w:val="8"/>
                <w:szCs w:val="8"/>
                <w:color w:val="auto"/>
                <w:w w:val="84"/>
              </w:rPr>
              <w:t xml:space="preserve">BSP Fees </w:t>
            </w:r>
            <w:r>
              <w:rPr>
                <w:rFonts w:ascii="Arial" w:cs="Arial" w:eastAsia="Arial" w:hAnsi="Arial"/>
                <w:sz w:val="11"/>
                <w:szCs w:val="11"/>
                <w:color w:val="auto"/>
                <w:w w:val="84"/>
                <w:vertAlign w:val="superscript"/>
              </w:rPr>
              <w:t>(4)</w:t>
            </w:r>
          </w:p>
        </w:tc>
        <w:tc>
          <w:tcPr>
            <w:tcW w:w="180" w:type="dxa"/>
            <w:vAlign w:val="bottom"/>
          </w:tcPr>
          <w:p>
            <w:pPr>
              <w:spacing w:after="0"/>
              <w:rPr>
                <w:sz w:val="11"/>
                <w:szCs w:val="11"/>
                <w:color w:val="auto"/>
              </w:rPr>
            </w:pPr>
          </w:p>
        </w:tc>
        <w:tc>
          <w:tcPr>
            <w:tcW w:w="440" w:type="dxa"/>
            <w:vAlign w:val="bottom"/>
          </w:tcPr>
          <w:p>
            <w:pPr>
              <w:jc w:val="right"/>
              <w:ind w:right="119"/>
              <w:spacing w:after="0"/>
              <w:rPr>
                <w:sz w:val="20"/>
                <w:szCs w:val="20"/>
                <w:color w:val="auto"/>
              </w:rPr>
            </w:pPr>
            <w:r>
              <w:rPr>
                <w:rFonts w:ascii="Arial" w:cs="Arial" w:eastAsia="Arial" w:hAnsi="Arial"/>
                <w:sz w:val="8"/>
                <w:szCs w:val="8"/>
                <w:color w:val="auto"/>
                <w:w w:val="97"/>
              </w:rPr>
              <w:t>Fees</w:t>
            </w:r>
            <w:r>
              <w:rPr>
                <w:rFonts w:ascii="Arial" w:cs="Arial" w:eastAsia="Arial" w:hAnsi="Arial"/>
                <w:sz w:val="11"/>
                <w:szCs w:val="11"/>
                <w:color w:val="auto"/>
                <w:w w:val="97"/>
                <w:vertAlign w:val="superscript"/>
              </w:rPr>
              <w:t>(5)</w:t>
            </w:r>
          </w:p>
        </w:tc>
        <w:tc>
          <w:tcPr>
            <w:tcW w:w="0" w:type="dxa"/>
            <w:vAlign w:val="bottom"/>
          </w:tcPr>
          <w:p>
            <w:pPr>
              <w:spacing w:after="0"/>
              <w:rPr>
                <w:sz w:val="1"/>
                <w:szCs w:val="1"/>
                <w:color w:val="auto"/>
              </w:rPr>
            </w:pPr>
          </w:p>
        </w:tc>
      </w:tr>
      <w:tr>
        <w:trPr>
          <w:trHeight w:val="103"/>
        </w:trPr>
        <w:tc>
          <w:tcPr>
            <w:tcW w:w="460" w:type="dxa"/>
            <w:vAlign w:val="bottom"/>
          </w:tcPr>
          <w:p>
            <w:pPr>
              <w:spacing w:after="0"/>
              <w:rPr>
                <w:sz w:val="20"/>
                <w:szCs w:val="20"/>
                <w:color w:val="auto"/>
              </w:rPr>
            </w:pPr>
            <w:r>
              <w:rPr>
                <w:rFonts w:ascii="Arial" w:cs="Arial" w:eastAsia="Arial" w:hAnsi="Arial"/>
                <w:sz w:val="8"/>
                <w:szCs w:val="8"/>
                <w:color w:val="auto"/>
              </w:rPr>
              <w:t>Increase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80"/>
              <w:spacing w:after="0"/>
              <w:rPr>
                <w:sz w:val="20"/>
                <w:szCs w:val="20"/>
                <w:color w:val="auto"/>
              </w:rPr>
            </w:pPr>
            <w:r>
              <w:rPr>
                <w:rFonts w:ascii="Arial" w:cs="Arial" w:eastAsia="Arial" w:hAnsi="Arial"/>
                <w:sz w:val="8"/>
                <w:szCs w:val="8"/>
                <w:color w:val="auto"/>
              </w:rPr>
              <w:t>(Decrease) in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 w:type="dxa"/>
            <w:vAlign w:val="bottom"/>
          </w:tcPr>
          <w:p>
            <w:pPr>
              <w:ind w:left="80"/>
              <w:spacing w:after="0"/>
              <w:rPr>
                <w:sz w:val="20"/>
                <w:szCs w:val="20"/>
                <w:color w:val="auto"/>
              </w:rPr>
            </w:pPr>
            <w:r>
              <w:rPr>
                <w:rFonts w:ascii="Arial" w:cs="Arial" w:eastAsia="Arial" w:hAnsi="Arial"/>
                <w:sz w:val="8"/>
                <w:szCs w:val="8"/>
                <w:color w:val="auto"/>
                <w:w w:val="92"/>
              </w:rPr>
              <w:t>Net Assets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80"/>
              <w:spacing w:after="0"/>
              <w:rPr>
                <w:sz w:val="20"/>
                <w:szCs w:val="20"/>
                <w:color w:val="auto"/>
              </w:rPr>
            </w:pPr>
            <w:r>
              <w:rPr>
                <w:rFonts w:ascii="Arial" w:cs="Arial" w:eastAsia="Arial" w:hAnsi="Arial"/>
                <w:sz w:val="8"/>
                <w:szCs w:val="8"/>
                <w:color w:val="auto"/>
              </w:rPr>
              <w:t>Resulting from</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 w:type="dxa"/>
            <w:vAlign w:val="bottom"/>
          </w:tcPr>
          <w:p>
            <w:pPr>
              <w:ind w:left="80"/>
              <w:spacing w:after="0"/>
              <w:rPr>
                <w:sz w:val="20"/>
                <w:szCs w:val="20"/>
                <w:color w:val="auto"/>
              </w:rPr>
            </w:pPr>
            <w:r>
              <w:rPr>
                <w:rFonts w:ascii="Arial" w:cs="Arial" w:eastAsia="Arial" w:hAnsi="Arial"/>
                <w:sz w:val="8"/>
                <w:szCs w:val="8"/>
                <w:color w:val="auto"/>
                <w:w w:val="91"/>
              </w:rPr>
              <w:t>Operations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60" w:type="dxa"/>
            <w:vAlign w:val="bottom"/>
          </w:tcPr>
          <w:p>
            <w:pPr>
              <w:ind w:left="80"/>
              <w:spacing w:after="0"/>
              <w:rPr>
                <w:sz w:val="20"/>
                <w:szCs w:val="20"/>
                <w:color w:val="auto"/>
              </w:rPr>
            </w:pPr>
            <w:r>
              <w:rPr>
                <w:rFonts w:ascii="Arial" w:cs="Arial" w:eastAsia="Arial" w:hAnsi="Arial"/>
                <w:sz w:val="8"/>
                <w:szCs w:val="8"/>
                <w:color w:val="auto"/>
              </w:rPr>
              <w:t>(GAAP)</w:t>
            </w:r>
          </w:p>
        </w:tc>
        <w:tc>
          <w:tcPr>
            <w:tcW w:w="480" w:type="dxa"/>
            <w:vAlign w:val="bottom"/>
          </w:tcPr>
          <w:p>
            <w:pPr>
              <w:jc w:val="right"/>
              <w:ind w:right="111"/>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1"/>
                <w:szCs w:val="11"/>
                <w:color w:val="auto"/>
              </w:rPr>
            </w:pPr>
          </w:p>
        </w:tc>
        <w:tc>
          <w:tcPr>
            <w:tcW w:w="280" w:type="dxa"/>
            <w:vAlign w:val="bottom"/>
          </w:tcPr>
          <w:p>
            <w:pPr>
              <w:jc w:val="right"/>
              <w:ind w:right="39"/>
              <w:spacing w:after="0"/>
              <w:rPr>
                <w:sz w:val="20"/>
                <w:szCs w:val="20"/>
                <w:color w:val="auto"/>
              </w:rPr>
            </w:pPr>
            <w:r>
              <w:rPr>
                <w:rFonts w:ascii="Arial" w:cs="Arial" w:eastAsia="Arial" w:hAnsi="Arial"/>
                <w:sz w:val="8"/>
                <w:szCs w:val="8"/>
                <w:color w:val="auto"/>
                <w:w w:val="96"/>
              </w:rPr>
              <w:t>(578)</w:t>
            </w:r>
          </w:p>
        </w:tc>
        <w:tc>
          <w:tcPr>
            <w:tcW w:w="18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540" w:type="dxa"/>
            <w:vAlign w:val="bottom"/>
          </w:tcPr>
          <w:p>
            <w:pPr>
              <w:jc w:val="right"/>
              <w:ind w:right="179"/>
              <w:spacing w:after="0"/>
              <w:rPr>
                <w:sz w:val="20"/>
                <w:szCs w:val="20"/>
                <w:color w:val="auto"/>
              </w:rPr>
            </w:pPr>
            <w:r>
              <w:rPr>
                <w:rFonts w:ascii="Arial" w:cs="Arial" w:eastAsia="Arial" w:hAnsi="Arial"/>
                <w:sz w:val="8"/>
                <w:szCs w:val="8"/>
                <w:color w:val="auto"/>
              </w:rPr>
              <w:t>3,364</w:t>
            </w:r>
          </w:p>
        </w:tc>
        <w:tc>
          <w:tcPr>
            <w:tcW w:w="660" w:type="dxa"/>
            <w:vAlign w:val="bottom"/>
          </w:tcPr>
          <w:p>
            <w:pPr>
              <w:jc w:val="right"/>
              <w:ind w:right="199"/>
              <w:spacing w:after="0"/>
              <w:rPr>
                <w:sz w:val="20"/>
                <w:szCs w:val="20"/>
                <w:color w:val="auto"/>
              </w:rPr>
            </w:pPr>
            <w:r>
              <w:rPr>
                <w:rFonts w:ascii="Arial" w:cs="Arial" w:eastAsia="Arial" w:hAnsi="Arial"/>
                <w:sz w:val="8"/>
                <w:szCs w:val="8"/>
                <w:color w:val="auto"/>
              </w:rPr>
              <w:t>16,304</w:t>
            </w:r>
          </w:p>
        </w:tc>
        <w:tc>
          <w:tcPr>
            <w:tcW w:w="520" w:type="dxa"/>
            <w:vAlign w:val="bottom"/>
          </w:tcPr>
          <w:p>
            <w:pPr>
              <w:jc w:val="right"/>
              <w:ind w:right="79"/>
              <w:spacing w:after="0"/>
              <w:rPr>
                <w:sz w:val="20"/>
                <w:szCs w:val="20"/>
                <w:color w:val="auto"/>
              </w:rPr>
            </w:pPr>
            <w:r>
              <w:rPr>
                <w:rFonts w:ascii="Arial" w:cs="Arial" w:eastAsia="Arial" w:hAnsi="Arial"/>
                <w:sz w:val="8"/>
                <w:szCs w:val="8"/>
                <w:color w:val="auto"/>
              </w:rPr>
              <w:t>26,331</w:t>
            </w:r>
          </w:p>
        </w:tc>
        <w:tc>
          <w:tcPr>
            <w:tcW w:w="2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540" w:type="dxa"/>
            <w:vAlign w:val="bottom"/>
          </w:tcPr>
          <w:p>
            <w:pPr>
              <w:jc w:val="right"/>
              <w:ind w:right="159"/>
              <w:spacing w:after="0"/>
              <w:rPr>
                <w:sz w:val="20"/>
                <w:szCs w:val="20"/>
                <w:color w:val="auto"/>
              </w:rPr>
            </w:pPr>
            <w:r>
              <w:rPr>
                <w:rFonts w:ascii="Arial" w:cs="Arial" w:eastAsia="Arial" w:hAnsi="Arial"/>
                <w:sz w:val="8"/>
                <w:szCs w:val="8"/>
                <w:color w:val="auto"/>
              </w:rPr>
              <w:t>(11,649)</w:t>
            </w:r>
          </w:p>
        </w:tc>
        <w:tc>
          <w:tcPr>
            <w:tcW w:w="580" w:type="dxa"/>
            <w:vAlign w:val="bottom"/>
          </w:tcPr>
          <w:p>
            <w:pPr>
              <w:jc w:val="right"/>
              <w:ind w:right="139"/>
              <w:spacing w:after="0"/>
              <w:rPr>
                <w:sz w:val="20"/>
                <w:szCs w:val="20"/>
                <w:color w:val="auto"/>
              </w:rPr>
            </w:pPr>
            <w:r>
              <w:rPr>
                <w:rFonts w:ascii="Arial" w:cs="Arial" w:eastAsia="Arial" w:hAnsi="Arial"/>
                <w:sz w:val="8"/>
                <w:szCs w:val="8"/>
                <w:color w:val="auto"/>
              </w:rPr>
              <w:t>(53,266</w:t>
            </w:r>
          </w:p>
        </w:tc>
        <w:tc>
          <w:tcPr>
            <w:tcW w:w="440" w:type="dxa"/>
            <w:vAlign w:val="bottom"/>
          </w:tcPr>
          <w:p>
            <w:pPr>
              <w:jc w:val="right"/>
              <w:ind w:right="59"/>
              <w:spacing w:after="0"/>
              <w:rPr>
                <w:sz w:val="20"/>
                <w:szCs w:val="20"/>
                <w:color w:val="auto"/>
              </w:rPr>
            </w:pPr>
            <w:r>
              <w:rPr>
                <w:rFonts w:ascii="Arial" w:cs="Arial" w:eastAsia="Arial" w:hAnsi="Arial"/>
                <w:sz w:val="8"/>
                <w:szCs w:val="8"/>
                <w:color w:val="auto"/>
              </w:rPr>
              <w:t>35,182</w:t>
            </w:r>
          </w:p>
        </w:tc>
        <w:tc>
          <w:tcPr>
            <w:tcW w:w="540" w:type="dxa"/>
            <w:vAlign w:val="bottom"/>
          </w:tcPr>
          <w:p>
            <w:pPr>
              <w:jc w:val="right"/>
              <w:ind w:right="59"/>
              <w:spacing w:after="0"/>
              <w:rPr>
                <w:sz w:val="20"/>
                <w:szCs w:val="20"/>
                <w:color w:val="auto"/>
              </w:rPr>
            </w:pPr>
            <w:r>
              <w:rPr>
                <w:rFonts w:ascii="Arial" w:cs="Arial" w:eastAsia="Arial" w:hAnsi="Arial"/>
                <w:sz w:val="8"/>
                <w:szCs w:val="8"/>
                <w:color w:val="auto"/>
              </w:rPr>
              <w:t>$   63,947</w:t>
            </w:r>
          </w:p>
        </w:tc>
        <w:tc>
          <w:tcPr>
            <w:tcW w:w="600" w:type="dxa"/>
            <w:vAlign w:val="bottom"/>
          </w:tcPr>
          <w:p>
            <w:pPr>
              <w:jc w:val="right"/>
              <w:ind w:right="139"/>
              <w:spacing w:after="0"/>
              <w:rPr>
                <w:sz w:val="20"/>
                <w:szCs w:val="20"/>
                <w:color w:val="auto"/>
              </w:rPr>
            </w:pPr>
            <w:r>
              <w:rPr>
                <w:rFonts w:ascii="Arial" w:cs="Arial" w:eastAsia="Arial" w:hAnsi="Arial"/>
                <w:sz w:val="8"/>
                <w:szCs w:val="8"/>
                <w:color w:val="auto"/>
              </w:rPr>
              <w:t>$   14,209</w:t>
            </w:r>
          </w:p>
        </w:tc>
        <w:tc>
          <w:tcPr>
            <w:tcW w:w="500" w:type="dxa"/>
            <w:vAlign w:val="bottom"/>
            <w:gridSpan w:val="2"/>
          </w:tcPr>
          <w:p>
            <w:pPr>
              <w:jc w:val="right"/>
              <w:ind w:right="99"/>
              <w:spacing w:after="0"/>
              <w:rPr>
                <w:sz w:val="20"/>
                <w:szCs w:val="20"/>
                <w:color w:val="auto"/>
              </w:rPr>
            </w:pPr>
            <w:r>
              <w:rPr>
                <w:rFonts w:ascii="Arial" w:cs="Arial" w:eastAsia="Arial" w:hAnsi="Arial"/>
                <w:sz w:val="8"/>
                <w:szCs w:val="8"/>
                <w:color w:val="auto"/>
              </w:rPr>
              <w:t>68,323</w:t>
            </w: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58,945</w:t>
            </w:r>
          </w:p>
        </w:tc>
        <w:tc>
          <w:tcPr>
            <w:tcW w:w="14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380" w:type="dxa"/>
            <w:vAlign w:val="bottom"/>
          </w:tcPr>
          <w:p>
            <w:pPr>
              <w:jc w:val="right"/>
              <w:ind w:right="39"/>
              <w:spacing w:after="0"/>
              <w:rPr>
                <w:sz w:val="20"/>
                <w:szCs w:val="20"/>
                <w:color w:val="auto"/>
              </w:rPr>
            </w:pPr>
            <w:r>
              <w:rPr>
                <w:rFonts w:ascii="Arial" w:cs="Arial" w:eastAsia="Arial" w:hAnsi="Arial"/>
                <w:sz w:val="8"/>
                <w:szCs w:val="8"/>
                <w:color w:val="auto"/>
              </w:rPr>
              <w:t>(3,348)</w:t>
            </w:r>
          </w:p>
        </w:tc>
        <w:tc>
          <w:tcPr>
            <w:tcW w:w="220" w:type="dxa"/>
            <w:vAlign w:val="bottom"/>
          </w:tcPr>
          <w:p>
            <w:pPr>
              <w:jc w:val="right"/>
              <w:ind w:right="99"/>
              <w:spacing w:after="0"/>
              <w:rPr>
                <w:sz w:val="20"/>
                <w:szCs w:val="20"/>
                <w:color w:val="auto"/>
              </w:rPr>
            </w:pPr>
            <w:r>
              <w:rPr>
                <w:rFonts w:ascii="Arial" w:cs="Arial" w:eastAsia="Arial" w:hAnsi="Arial"/>
                <w:sz w:val="8"/>
                <w:szCs w:val="8"/>
                <w:color w:val="auto"/>
              </w:rPr>
              <w:t>$</w:t>
            </w:r>
          </w:p>
        </w:tc>
        <w:tc>
          <w:tcPr>
            <w:tcW w:w="460" w:type="dxa"/>
            <w:vAlign w:val="bottom"/>
          </w:tcPr>
          <w:p>
            <w:pPr>
              <w:jc w:val="right"/>
              <w:ind w:right="39"/>
              <w:spacing w:after="0"/>
              <w:rPr>
                <w:sz w:val="20"/>
                <w:szCs w:val="20"/>
                <w:color w:val="auto"/>
              </w:rPr>
            </w:pPr>
            <w:r>
              <w:rPr>
                <w:rFonts w:ascii="Arial" w:cs="Arial" w:eastAsia="Arial" w:hAnsi="Arial"/>
                <w:sz w:val="8"/>
                <w:szCs w:val="8"/>
                <w:color w:val="auto"/>
              </w:rPr>
              <w:t>30,856</w:t>
            </w:r>
          </w:p>
        </w:tc>
        <w:tc>
          <w:tcPr>
            <w:tcW w:w="28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00" w:type="dxa"/>
            <w:vAlign w:val="bottom"/>
          </w:tcPr>
          <w:p>
            <w:pPr>
              <w:jc w:val="right"/>
              <w:ind w:right="119"/>
              <w:spacing w:after="0"/>
              <w:rPr>
                <w:sz w:val="20"/>
                <w:szCs w:val="20"/>
                <w:color w:val="auto"/>
              </w:rPr>
            </w:pPr>
            <w:r>
              <w:rPr>
                <w:rFonts w:ascii="Arial" w:cs="Arial" w:eastAsia="Arial" w:hAnsi="Arial"/>
                <w:sz w:val="8"/>
                <w:szCs w:val="8"/>
                <w:color w:val="auto"/>
              </w:rPr>
              <w:t>248,620</w:t>
            </w: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520" w:type="dxa"/>
            <w:vAlign w:val="bottom"/>
          </w:tcPr>
          <w:p>
            <w:pPr>
              <w:jc w:val="right"/>
              <w:ind w:right="79"/>
              <w:spacing w:after="0"/>
              <w:rPr>
                <w:sz w:val="20"/>
                <w:szCs w:val="20"/>
                <w:color w:val="auto"/>
              </w:rPr>
            </w:pPr>
            <w:r>
              <w:rPr>
                <w:rFonts w:ascii="Arial" w:cs="Arial" w:eastAsia="Arial" w:hAnsi="Arial"/>
                <w:sz w:val="8"/>
                <w:szCs w:val="8"/>
                <w:color w:val="auto"/>
              </w:rPr>
              <w:t>275,195</w:t>
            </w:r>
          </w:p>
        </w:tc>
        <w:tc>
          <w:tcPr>
            <w:tcW w:w="18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19"/>
              <w:spacing w:after="0"/>
              <w:rPr>
                <w:sz w:val="20"/>
                <w:szCs w:val="20"/>
                <w:color w:val="auto"/>
              </w:rPr>
            </w:pPr>
            <w:r>
              <w:rPr>
                <w:rFonts w:ascii="Arial" w:cs="Arial" w:eastAsia="Arial" w:hAnsi="Arial"/>
                <w:sz w:val="8"/>
                <w:szCs w:val="8"/>
                <w:color w:val="auto"/>
              </w:rPr>
              <w:t>288,483</w:t>
            </w:r>
          </w:p>
        </w:tc>
        <w:tc>
          <w:tcPr>
            <w:tcW w:w="0" w:type="dxa"/>
            <w:vAlign w:val="bottom"/>
          </w:tcPr>
          <w:p>
            <w:pPr>
              <w:spacing w:after="0"/>
              <w:rPr>
                <w:sz w:val="1"/>
                <w:szCs w:val="1"/>
                <w:color w:val="auto"/>
              </w:rPr>
            </w:pPr>
          </w:p>
        </w:tc>
      </w:tr>
      <w:tr>
        <w:trPr>
          <w:trHeight w:val="306"/>
        </w:trPr>
        <w:tc>
          <w:tcPr>
            <w:tcW w:w="940" w:type="dxa"/>
            <w:vAlign w:val="bottom"/>
            <w:gridSpan w:val="2"/>
          </w:tcPr>
          <w:p>
            <w:pPr>
              <w:spacing w:after="0"/>
              <w:rPr>
                <w:sz w:val="20"/>
                <w:szCs w:val="20"/>
                <w:color w:val="auto"/>
              </w:rPr>
            </w:pPr>
            <w:r>
              <w:rPr>
                <w:rFonts w:ascii="Arial" w:cs="Arial" w:eastAsia="Arial" w:hAnsi="Arial"/>
                <w:sz w:val="8"/>
                <w:szCs w:val="8"/>
                <w:color w:val="auto"/>
              </w:rPr>
              <w:t>Shareholder Fees &amp;</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60" w:type="dxa"/>
            <w:vAlign w:val="bottom"/>
          </w:tcPr>
          <w:p>
            <w:pPr>
              <w:ind w:left="80"/>
              <w:spacing w:after="0"/>
              <w:rPr>
                <w:sz w:val="20"/>
                <w:szCs w:val="20"/>
                <w:color w:val="auto"/>
              </w:rPr>
            </w:pPr>
            <w:r>
              <w:rPr>
                <w:rFonts w:ascii="Arial" w:cs="Arial" w:eastAsia="Arial" w:hAnsi="Arial"/>
                <w:sz w:val="8"/>
                <w:szCs w:val="8"/>
                <w:color w:val="auto"/>
                <w:w w:val="96"/>
              </w:rPr>
              <w:t>Expenses:</w:t>
            </w:r>
          </w:p>
        </w:tc>
        <w:tc>
          <w:tcPr>
            <w:tcW w:w="480" w:type="dxa"/>
            <w:vAlign w:val="bottom"/>
          </w:tcPr>
          <w:p>
            <w:pPr>
              <w:jc w:val="right"/>
              <w:ind w:right="391"/>
              <w:spacing w:after="0"/>
              <w:rPr>
                <w:sz w:val="20"/>
                <w:szCs w:val="20"/>
                <w:color w:val="auto"/>
              </w:rPr>
            </w:pPr>
            <w:r>
              <w:rPr>
                <w:rFonts w:ascii="Arial" w:cs="Arial" w:eastAsia="Arial" w:hAnsi="Arial"/>
                <w:sz w:val="4"/>
                <w:szCs w:val="4"/>
                <w:color w:val="auto"/>
                <w:w w:val="80"/>
              </w:rPr>
              <w:t>(2)</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Compensation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w w:val="99"/>
              </w:rPr>
              <w:t>expense (GAAP)</w:t>
            </w:r>
          </w:p>
        </w:tc>
        <w:tc>
          <w:tcPr>
            <w:tcW w:w="1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280" w:type="dxa"/>
            <w:vAlign w:val="bottom"/>
            <w:vMerge w:val="restart"/>
          </w:tcPr>
          <w:p>
            <w:pPr>
              <w:jc w:val="right"/>
              <w:spacing w:after="0"/>
              <w:rPr>
                <w:sz w:val="20"/>
                <w:szCs w:val="20"/>
                <w:color w:val="auto"/>
              </w:rPr>
            </w:pPr>
            <w:r>
              <w:rPr>
                <w:rFonts w:ascii="Arial" w:cs="Arial" w:eastAsia="Arial" w:hAnsi="Arial"/>
                <w:sz w:val="8"/>
                <w:szCs w:val="8"/>
                <w:color w:val="auto"/>
              </w:rPr>
              <w:t>27</w:t>
            </w:r>
          </w:p>
        </w:tc>
        <w:tc>
          <w:tcPr>
            <w:tcW w:w="180" w:type="dxa"/>
            <w:vAlign w:val="bottom"/>
          </w:tcPr>
          <w:p>
            <w:pPr>
              <w:spacing w:after="0"/>
              <w:rPr>
                <w:sz w:val="10"/>
                <w:szCs w:val="10"/>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8"/>
                <w:szCs w:val="8"/>
                <w:color w:val="auto"/>
              </w:rPr>
              <w:t>208</w:t>
            </w:r>
          </w:p>
        </w:tc>
        <w:tc>
          <w:tcPr>
            <w:tcW w:w="660" w:type="dxa"/>
            <w:vAlign w:val="bottom"/>
            <w:vMerge w:val="restart"/>
          </w:tcPr>
          <w:p>
            <w:pPr>
              <w:jc w:val="right"/>
              <w:ind w:right="159"/>
              <w:spacing w:after="0"/>
              <w:rPr>
                <w:sz w:val="20"/>
                <w:szCs w:val="20"/>
                <w:color w:val="auto"/>
              </w:rPr>
            </w:pPr>
            <w:r>
              <w:rPr>
                <w:rFonts w:ascii="Arial" w:cs="Arial" w:eastAsia="Arial" w:hAnsi="Arial"/>
                <w:sz w:val="8"/>
                <w:szCs w:val="8"/>
                <w:color w:val="auto"/>
              </w:rPr>
              <w:t>725</w:t>
            </w: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712</w:t>
            </w:r>
          </w:p>
        </w:tc>
        <w:tc>
          <w:tcPr>
            <w:tcW w:w="220" w:type="dxa"/>
            <w:vAlign w:val="bottom"/>
            <w:vMerge w:val="restart"/>
          </w:tcPr>
          <w:p>
            <w:pPr>
              <w:jc w:val="right"/>
              <w:ind w:right="19"/>
              <w:spacing w:after="0"/>
              <w:rPr>
                <w:sz w:val="20"/>
                <w:szCs w:val="20"/>
                <w:color w:val="auto"/>
              </w:rPr>
            </w:pPr>
            <w:r>
              <w:rPr>
                <w:rFonts w:ascii="Arial" w:cs="Arial" w:eastAsia="Arial" w:hAnsi="Arial"/>
                <w:sz w:val="8"/>
                <w:szCs w:val="8"/>
                <w:color w:val="auto"/>
              </w:rPr>
              <w:t>$</w:t>
            </w:r>
          </w:p>
        </w:tc>
        <w:tc>
          <w:tcPr>
            <w:tcW w:w="540" w:type="dxa"/>
            <w:vAlign w:val="bottom"/>
            <w:vMerge w:val="restart"/>
          </w:tcPr>
          <w:p>
            <w:pPr>
              <w:jc w:val="right"/>
              <w:ind w:right="119"/>
              <w:spacing w:after="0"/>
              <w:rPr>
                <w:sz w:val="20"/>
                <w:szCs w:val="20"/>
                <w:color w:val="auto"/>
              </w:rPr>
            </w:pPr>
            <w:r>
              <w:rPr>
                <w:rFonts w:ascii="Arial" w:cs="Arial" w:eastAsia="Arial" w:hAnsi="Arial"/>
                <w:sz w:val="8"/>
                <w:szCs w:val="8"/>
                <w:color w:val="auto"/>
              </w:rPr>
              <w:t>898</w:t>
            </w:r>
          </w:p>
        </w:tc>
        <w:tc>
          <w:tcPr>
            <w:tcW w:w="580" w:type="dxa"/>
            <w:vAlign w:val="bottom"/>
            <w:vMerge w:val="restart"/>
          </w:tcPr>
          <w:p>
            <w:pPr>
              <w:jc w:val="right"/>
              <w:ind w:right="79"/>
              <w:spacing w:after="0"/>
              <w:rPr>
                <w:sz w:val="20"/>
                <w:szCs w:val="20"/>
                <w:color w:val="auto"/>
              </w:rPr>
            </w:pPr>
            <w:r>
              <w:rPr>
                <w:rFonts w:ascii="Arial" w:cs="Arial" w:eastAsia="Arial" w:hAnsi="Arial"/>
                <w:sz w:val="8"/>
                <w:szCs w:val="8"/>
                <w:color w:val="auto"/>
              </w:rPr>
              <w:t>906</w:t>
            </w:r>
          </w:p>
        </w:tc>
        <w:tc>
          <w:tcPr>
            <w:tcW w:w="440" w:type="dxa"/>
            <w:vAlign w:val="bottom"/>
            <w:vMerge w:val="restart"/>
          </w:tcPr>
          <w:p>
            <w:pPr>
              <w:jc w:val="right"/>
              <w:ind w:right="59"/>
              <w:spacing w:after="0"/>
              <w:rPr>
                <w:sz w:val="20"/>
                <w:szCs w:val="20"/>
                <w:color w:val="auto"/>
              </w:rPr>
            </w:pPr>
            <w:r>
              <w:rPr>
                <w:rFonts w:ascii="Arial" w:cs="Arial" w:eastAsia="Arial" w:hAnsi="Arial"/>
                <w:sz w:val="8"/>
                <w:szCs w:val="8"/>
                <w:color w:val="auto"/>
              </w:rPr>
              <w:t>971</w:t>
            </w:r>
          </w:p>
        </w:tc>
        <w:tc>
          <w:tcPr>
            <w:tcW w:w="540" w:type="dxa"/>
            <w:vAlign w:val="bottom"/>
            <w:vMerge w:val="restart"/>
          </w:tcPr>
          <w:p>
            <w:pPr>
              <w:jc w:val="right"/>
              <w:ind w:right="339"/>
              <w:spacing w:after="0"/>
              <w:rPr>
                <w:sz w:val="20"/>
                <w:szCs w:val="20"/>
                <w:color w:val="auto"/>
              </w:rPr>
            </w:pPr>
            <w:r>
              <w:rPr>
                <w:rFonts w:ascii="Arial" w:cs="Arial" w:eastAsia="Arial" w:hAnsi="Arial"/>
                <w:sz w:val="8"/>
                <w:szCs w:val="8"/>
                <w:color w:val="auto"/>
              </w:rPr>
              <w:t>$</w:t>
            </w:r>
          </w:p>
        </w:tc>
        <w:tc>
          <w:tcPr>
            <w:tcW w:w="600" w:type="dxa"/>
            <w:vAlign w:val="bottom"/>
            <w:vMerge w:val="restart"/>
          </w:tcPr>
          <w:p>
            <w:pPr>
              <w:jc w:val="right"/>
              <w:ind w:right="59"/>
              <w:spacing w:after="0"/>
              <w:rPr>
                <w:sz w:val="20"/>
                <w:szCs w:val="20"/>
                <w:color w:val="auto"/>
              </w:rPr>
            </w:pPr>
            <w:r>
              <w:rPr>
                <w:rFonts w:ascii="Arial" w:cs="Arial" w:eastAsia="Arial" w:hAnsi="Arial"/>
                <w:sz w:val="8"/>
                <w:szCs w:val="8"/>
                <w:color w:val="auto"/>
              </w:rPr>
              <w:t>1,091</w:t>
            </w:r>
          </w:p>
        </w:tc>
        <w:tc>
          <w:tcPr>
            <w:tcW w:w="1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320" w:type="dxa"/>
            <w:vAlign w:val="bottom"/>
            <w:vMerge w:val="restart"/>
          </w:tcPr>
          <w:p>
            <w:pPr>
              <w:jc w:val="right"/>
              <w:spacing w:after="0"/>
              <w:rPr>
                <w:sz w:val="20"/>
                <w:szCs w:val="20"/>
                <w:color w:val="auto"/>
              </w:rPr>
            </w:pPr>
            <w:r>
              <w:rPr>
                <w:rFonts w:ascii="Arial" w:cs="Arial" w:eastAsia="Arial" w:hAnsi="Arial"/>
                <w:sz w:val="8"/>
                <w:szCs w:val="8"/>
                <w:color w:val="auto"/>
              </w:rPr>
              <w:t>1,183</w:t>
            </w: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8"/>
                <w:szCs w:val="8"/>
                <w:color w:val="auto"/>
              </w:rPr>
              <w:t>1,648</w:t>
            </w: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1,861</w:t>
            </w:r>
          </w:p>
        </w:tc>
        <w:tc>
          <w:tcPr>
            <w:tcW w:w="220" w:type="dxa"/>
            <w:vAlign w:val="bottom"/>
            <w:vMerge w:val="restart"/>
          </w:tcPr>
          <w:p>
            <w:pPr>
              <w:jc w:val="right"/>
              <w:ind w:right="39"/>
              <w:spacing w:after="0"/>
              <w:rPr>
                <w:sz w:val="20"/>
                <w:szCs w:val="20"/>
                <w:color w:val="auto"/>
              </w:rPr>
            </w:pPr>
            <w:r>
              <w:rPr>
                <w:rFonts w:ascii="Arial" w:cs="Arial" w:eastAsia="Arial" w:hAnsi="Arial"/>
                <w:sz w:val="8"/>
                <w:szCs w:val="8"/>
                <w:color w:val="auto"/>
              </w:rPr>
              <w:t>$</w:t>
            </w:r>
          </w:p>
        </w:tc>
        <w:tc>
          <w:tcPr>
            <w:tcW w:w="460" w:type="dxa"/>
            <w:vAlign w:val="bottom"/>
            <w:vMerge w:val="restart"/>
          </w:tcPr>
          <w:p>
            <w:pPr>
              <w:jc w:val="right"/>
              <w:ind w:right="79"/>
              <w:spacing w:after="0"/>
              <w:rPr>
                <w:sz w:val="20"/>
                <w:szCs w:val="20"/>
                <w:color w:val="auto"/>
              </w:rPr>
            </w:pPr>
            <w:r>
              <w:rPr>
                <w:rFonts w:ascii="Arial" w:cs="Arial" w:eastAsia="Arial" w:hAnsi="Arial"/>
                <w:sz w:val="8"/>
                <w:szCs w:val="8"/>
                <w:color w:val="auto"/>
              </w:rPr>
              <w:t>876</w:t>
            </w:r>
          </w:p>
        </w:tc>
        <w:tc>
          <w:tcPr>
            <w:tcW w:w="280" w:type="dxa"/>
            <w:vAlign w:val="bottom"/>
          </w:tcPr>
          <w:p>
            <w:pPr>
              <w:spacing w:after="0"/>
              <w:rPr>
                <w:sz w:val="10"/>
                <w:szCs w:val="10"/>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12,127</w:t>
            </w:r>
          </w:p>
        </w:tc>
        <w:tc>
          <w:tcPr>
            <w:tcW w:w="120" w:type="dxa"/>
            <w:vAlign w:val="bottom"/>
          </w:tcPr>
          <w:p>
            <w:pPr>
              <w:spacing w:after="0"/>
              <w:rPr>
                <w:sz w:val="10"/>
                <w:szCs w:val="1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8"/>
                <w:szCs w:val="8"/>
                <w:color w:val="auto"/>
              </w:rPr>
              <w:t>12,127</w:t>
            </w:r>
          </w:p>
        </w:tc>
        <w:tc>
          <w:tcPr>
            <w:tcW w:w="180" w:type="dxa"/>
            <w:vAlign w:val="bottom"/>
          </w:tcPr>
          <w:p>
            <w:pPr>
              <w:spacing w:after="0"/>
              <w:rPr>
                <w:sz w:val="10"/>
                <w:szCs w:val="10"/>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8"/>
                <w:szCs w:val="8"/>
                <w:color w:val="auto"/>
              </w:rPr>
              <w:t>12,127</w:t>
            </w: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Investment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advisory fees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(GAAP)</w:t>
            </w:r>
          </w:p>
        </w:tc>
        <w:tc>
          <w:tcPr>
            <w:tcW w:w="1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8"/>
                <w:szCs w:val="8"/>
                <w:color w:val="auto"/>
              </w:rPr>
              <w:t>259</w:t>
            </w:r>
          </w:p>
        </w:tc>
        <w:tc>
          <w:tcPr>
            <w:tcW w:w="180" w:type="dxa"/>
            <w:vAlign w:val="bottom"/>
          </w:tcPr>
          <w:p>
            <w:pPr>
              <w:spacing w:after="0"/>
              <w:rPr>
                <w:sz w:val="10"/>
                <w:szCs w:val="10"/>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8"/>
                <w:szCs w:val="8"/>
                <w:color w:val="auto"/>
              </w:rPr>
              <w:t>2,774</w:t>
            </w:r>
          </w:p>
        </w:tc>
        <w:tc>
          <w:tcPr>
            <w:tcW w:w="660" w:type="dxa"/>
            <w:vAlign w:val="bottom"/>
            <w:vMerge w:val="restart"/>
          </w:tcPr>
          <w:p>
            <w:pPr>
              <w:jc w:val="right"/>
              <w:ind w:right="159"/>
              <w:spacing w:after="0"/>
              <w:rPr>
                <w:sz w:val="20"/>
                <w:szCs w:val="20"/>
                <w:color w:val="auto"/>
              </w:rPr>
            </w:pPr>
            <w:r>
              <w:rPr>
                <w:rFonts w:ascii="Arial" w:cs="Arial" w:eastAsia="Arial" w:hAnsi="Arial"/>
                <w:sz w:val="8"/>
                <w:szCs w:val="8"/>
                <w:color w:val="auto"/>
              </w:rPr>
              <w:t>4,346</w:t>
            </w: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6,240</w:t>
            </w:r>
          </w:p>
        </w:tc>
        <w:tc>
          <w:tcPr>
            <w:tcW w:w="220" w:type="dxa"/>
            <w:vAlign w:val="bottom"/>
          </w:tcPr>
          <w:p>
            <w:pPr>
              <w:spacing w:after="0"/>
              <w:rPr>
                <w:sz w:val="10"/>
                <w:szCs w:val="10"/>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8"/>
                <w:szCs w:val="8"/>
                <w:color w:val="auto"/>
              </w:rPr>
              <w:t>7,462</w:t>
            </w:r>
          </w:p>
        </w:tc>
        <w:tc>
          <w:tcPr>
            <w:tcW w:w="580" w:type="dxa"/>
            <w:vAlign w:val="bottom"/>
            <w:vMerge w:val="restart"/>
          </w:tcPr>
          <w:p>
            <w:pPr>
              <w:jc w:val="right"/>
              <w:ind w:right="79"/>
              <w:spacing w:after="0"/>
              <w:rPr>
                <w:sz w:val="20"/>
                <w:szCs w:val="20"/>
                <w:color w:val="auto"/>
              </w:rPr>
            </w:pPr>
            <w:r>
              <w:rPr>
                <w:rFonts w:ascii="Arial" w:cs="Arial" w:eastAsia="Arial" w:hAnsi="Arial"/>
                <w:sz w:val="8"/>
                <w:szCs w:val="8"/>
                <w:color w:val="auto"/>
              </w:rPr>
              <w:t>7,001</w:t>
            </w:r>
          </w:p>
        </w:tc>
        <w:tc>
          <w:tcPr>
            <w:tcW w:w="440" w:type="dxa"/>
            <w:vAlign w:val="bottom"/>
            <w:vMerge w:val="restart"/>
          </w:tcPr>
          <w:p>
            <w:pPr>
              <w:jc w:val="right"/>
              <w:ind w:right="79"/>
              <w:spacing w:after="0"/>
              <w:rPr>
                <w:sz w:val="20"/>
                <w:szCs w:val="20"/>
                <w:color w:val="auto"/>
              </w:rPr>
            </w:pPr>
            <w:r>
              <w:rPr>
                <w:rFonts w:ascii="Arial" w:cs="Arial" w:eastAsia="Arial" w:hAnsi="Arial"/>
                <w:sz w:val="8"/>
                <w:szCs w:val="8"/>
                <w:color w:val="auto"/>
              </w:rPr>
              <w:t>4,070</w:t>
            </w:r>
          </w:p>
        </w:tc>
        <w:tc>
          <w:tcPr>
            <w:tcW w:w="540" w:type="dxa"/>
            <w:vAlign w:val="bottom"/>
          </w:tcPr>
          <w:p>
            <w:pPr>
              <w:spacing w:after="0"/>
              <w:rPr>
                <w:sz w:val="10"/>
                <w:szCs w:val="10"/>
                <w:color w:val="auto"/>
              </w:rPr>
            </w:pPr>
          </w:p>
        </w:tc>
        <w:tc>
          <w:tcPr>
            <w:tcW w:w="600" w:type="dxa"/>
            <w:vAlign w:val="bottom"/>
            <w:vMerge w:val="restart"/>
          </w:tcPr>
          <w:p>
            <w:pPr>
              <w:jc w:val="right"/>
              <w:ind w:right="59"/>
              <w:spacing w:after="0"/>
              <w:rPr>
                <w:sz w:val="20"/>
                <w:szCs w:val="20"/>
                <w:color w:val="auto"/>
              </w:rPr>
            </w:pPr>
            <w:r>
              <w:rPr>
                <w:rFonts w:ascii="Arial" w:cs="Arial" w:eastAsia="Arial" w:hAnsi="Arial"/>
                <w:sz w:val="8"/>
                <w:szCs w:val="8"/>
                <w:color w:val="auto"/>
              </w:rPr>
              <w:t>7,317</w:t>
            </w: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8"/>
                <w:szCs w:val="8"/>
                <w:color w:val="auto"/>
              </w:rPr>
              <w:t>11,223</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21,150</w:t>
            </w:r>
          </w:p>
        </w:tc>
        <w:tc>
          <w:tcPr>
            <w:tcW w:w="220" w:type="dxa"/>
            <w:vAlign w:val="bottom"/>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8"/>
                <w:szCs w:val="8"/>
                <w:color w:val="auto"/>
              </w:rPr>
              <w:t>10,319</w:t>
            </w:r>
          </w:p>
        </w:tc>
        <w:tc>
          <w:tcPr>
            <w:tcW w:w="280" w:type="dxa"/>
            <w:vAlign w:val="bottom"/>
          </w:tcPr>
          <w:p>
            <w:pPr>
              <w:spacing w:after="0"/>
              <w:rPr>
                <w:sz w:val="10"/>
                <w:szCs w:val="10"/>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106,301</w:t>
            </w:r>
          </w:p>
        </w:tc>
        <w:tc>
          <w:tcPr>
            <w:tcW w:w="120" w:type="dxa"/>
            <w:vAlign w:val="bottom"/>
          </w:tcPr>
          <w:p>
            <w:pPr>
              <w:spacing w:after="0"/>
              <w:rPr>
                <w:sz w:val="10"/>
                <w:szCs w:val="1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8"/>
                <w:szCs w:val="8"/>
                <w:color w:val="auto"/>
              </w:rPr>
              <w:t>79,726</w:t>
            </w:r>
          </w:p>
        </w:tc>
        <w:tc>
          <w:tcPr>
            <w:tcW w:w="180" w:type="dxa"/>
            <w:vAlign w:val="bottom"/>
          </w:tcPr>
          <w:p>
            <w:pPr>
              <w:spacing w:after="0"/>
              <w:rPr>
                <w:sz w:val="10"/>
                <w:szCs w:val="10"/>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8"/>
                <w:szCs w:val="8"/>
                <w:color w:val="auto"/>
              </w:rPr>
              <w:t>66,438</w:t>
            </w: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Professional fees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(GAAP)</w:t>
            </w:r>
          </w:p>
        </w:tc>
        <w:tc>
          <w:tcPr>
            <w:tcW w:w="1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8"/>
                <w:szCs w:val="8"/>
                <w:color w:val="auto"/>
              </w:rPr>
              <w:t>30</w:t>
            </w:r>
          </w:p>
        </w:tc>
        <w:tc>
          <w:tcPr>
            <w:tcW w:w="180" w:type="dxa"/>
            <w:vAlign w:val="bottom"/>
          </w:tcPr>
          <w:p>
            <w:pPr>
              <w:spacing w:after="0"/>
              <w:rPr>
                <w:sz w:val="10"/>
                <w:szCs w:val="10"/>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8"/>
                <w:szCs w:val="8"/>
                <w:color w:val="auto"/>
              </w:rPr>
              <w:t>587</w:t>
            </w:r>
          </w:p>
        </w:tc>
        <w:tc>
          <w:tcPr>
            <w:tcW w:w="660" w:type="dxa"/>
            <w:vAlign w:val="bottom"/>
            <w:vMerge w:val="restart"/>
          </w:tcPr>
          <w:p>
            <w:pPr>
              <w:jc w:val="right"/>
              <w:ind w:right="159"/>
              <w:spacing w:after="0"/>
              <w:rPr>
                <w:sz w:val="20"/>
                <w:szCs w:val="20"/>
                <w:color w:val="auto"/>
              </w:rPr>
            </w:pPr>
            <w:r>
              <w:rPr>
                <w:rFonts w:ascii="Arial" w:cs="Arial" w:eastAsia="Arial" w:hAnsi="Arial"/>
                <w:sz w:val="8"/>
                <w:szCs w:val="8"/>
                <w:color w:val="auto"/>
              </w:rPr>
              <w:t>1,102</w:t>
            </w: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1,060</w:t>
            </w:r>
          </w:p>
        </w:tc>
        <w:tc>
          <w:tcPr>
            <w:tcW w:w="220" w:type="dxa"/>
            <w:vAlign w:val="bottom"/>
          </w:tcPr>
          <w:p>
            <w:pPr>
              <w:spacing w:after="0"/>
              <w:rPr>
                <w:sz w:val="10"/>
                <w:szCs w:val="10"/>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8"/>
                <w:szCs w:val="8"/>
                <w:color w:val="auto"/>
              </w:rPr>
              <w:t>1,010</w:t>
            </w:r>
          </w:p>
        </w:tc>
        <w:tc>
          <w:tcPr>
            <w:tcW w:w="580" w:type="dxa"/>
            <w:vAlign w:val="bottom"/>
            <w:vMerge w:val="restart"/>
          </w:tcPr>
          <w:p>
            <w:pPr>
              <w:jc w:val="right"/>
              <w:ind w:right="79"/>
              <w:spacing w:after="0"/>
              <w:rPr>
                <w:sz w:val="20"/>
                <w:szCs w:val="20"/>
                <w:color w:val="auto"/>
              </w:rPr>
            </w:pPr>
            <w:r>
              <w:rPr>
                <w:rFonts w:ascii="Arial" w:cs="Arial" w:eastAsia="Arial" w:hAnsi="Arial"/>
                <w:sz w:val="8"/>
                <w:szCs w:val="8"/>
                <w:color w:val="auto"/>
              </w:rPr>
              <w:t>1,626</w:t>
            </w:r>
          </w:p>
        </w:tc>
        <w:tc>
          <w:tcPr>
            <w:tcW w:w="440" w:type="dxa"/>
            <w:vAlign w:val="bottom"/>
            <w:vMerge w:val="restart"/>
          </w:tcPr>
          <w:p>
            <w:pPr>
              <w:jc w:val="right"/>
              <w:ind w:right="79"/>
              <w:spacing w:after="0"/>
              <w:rPr>
                <w:sz w:val="20"/>
                <w:szCs w:val="20"/>
                <w:color w:val="auto"/>
              </w:rPr>
            </w:pPr>
            <w:r>
              <w:rPr>
                <w:rFonts w:ascii="Arial" w:cs="Arial" w:eastAsia="Arial" w:hAnsi="Arial"/>
                <w:sz w:val="8"/>
                <w:szCs w:val="8"/>
                <w:color w:val="auto"/>
              </w:rPr>
              <w:t>1,306</w:t>
            </w:r>
          </w:p>
        </w:tc>
        <w:tc>
          <w:tcPr>
            <w:tcW w:w="540" w:type="dxa"/>
            <w:vAlign w:val="bottom"/>
          </w:tcPr>
          <w:p>
            <w:pPr>
              <w:spacing w:after="0"/>
              <w:rPr>
                <w:sz w:val="10"/>
                <w:szCs w:val="10"/>
                <w:color w:val="auto"/>
              </w:rPr>
            </w:pPr>
          </w:p>
        </w:tc>
        <w:tc>
          <w:tcPr>
            <w:tcW w:w="600" w:type="dxa"/>
            <w:vAlign w:val="bottom"/>
            <w:vMerge w:val="restart"/>
          </w:tcPr>
          <w:p>
            <w:pPr>
              <w:jc w:val="right"/>
              <w:ind w:right="59"/>
              <w:spacing w:after="0"/>
              <w:rPr>
                <w:sz w:val="20"/>
                <w:szCs w:val="20"/>
                <w:color w:val="auto"/>
              </w:rPr>
            </w:pPr>
            <w:r>
              <w:rPr>
                <w:rFonts w:ascii="Arial" w:cs="Arial" w:eastAsia="Arial" w:hAnsi="Arial"/>
                <w:sz w:val="8"/>
                <w:szCs w:val="8"/>
                <w:color w:val="auto"/>
              </w:rPr>
              <w:t>1,191</w:t>
            </w: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8"/>
                <w:szCs w:val="8"/>
                <w:color w:val="auto"/>
              </w:rPr>
              <w:t>1,874</w:t>
            </w: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8"/>
                <w:szCs w:val="8"/>
                <w:color w:val="auto"/>
              </w:rPr>
              <w:t>1,996</w:t>
            </w: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2,150</w:t>
            </w:r>
          </w:p>
        </w:tc>
        <w:tc>
          <w:tcPr>
            <w:tcW w:w="220" w:type="dxa"/>
            <w:vAlign w:val="bottom"/>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8"/>
                <w:szCs w:val="8"/>
                <w:color w:val="auto"/>
              </w:rPr>
              <w:t>1,512</w:t>
            </w:r>
          </w:p>
        </w:tc>
        <w:tc>
          <w:tcPr>
            <w:tcW w:w="280" w:type="dxa"/>
            <w:vAlign w:val="bottom"/>
          </w:tcPr>
          <w:p>
            <w:pPr>
              <w:spacing w:after="0"/>
              <w:rPr>
                <w:sz w:val="10"/>
                <w:szCs w:val="10"/>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16,478</w:t>
            </w:r>
          </w:p>
        </w:tc>
        <w:tc>
          <w:tcPr>
            <w:tcW w:w="120" w:type="dxa"/>
            <w:vAlign w:val="bottom"/>
          </w:tcPr>
          <w:p>
            <w:pPr>
              <w:spacing w:after="0"/>
              <w:rPr>
                <w:sz w:val="10"/>
                <w:szCs w:val="1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8"/>
                <w:szCs w:val="8"/>
                <w:color w:val="auto"/>
              </w:rPr>
              <w:t>16,478</w:t>
            </w:r>
          </w:p>
        </w:tc>
        <w:tc>
          <w:tcPr>
            <w:tcW w:w="180" w:type="dxa"/>
            <w:vAlign w:val="bottom"/>
          </w:tcPr>
          <w:p>
            <w:pPr>
              <w:spacing w:after="0"/>
              <w:rPr>
                <w:sz w:val="10"/>
                <w:szCs w:val="10"/>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8"/>
                <w:szCs w:val="8"/>
                <w:color w:val="auto"/>
              </w:rPr>
              <w:t>16,478</w:t>
            </w: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General and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administrative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 xml:space="preserve">(GAAP) </w:t>
            </w:r>
            <w:r>
              <w:rPr>
                <w:rFonts w:ascii="Arial" w:cs="Arial" w:eastAsia="Arial" w:hAnsi="Arial"/>
                <w:sz w:val="4"/>
                <w:szCs w:val="4"/>
                <w:color w:val="auto"/>
              </w:rPr>
              <w:t>(3)</w:t>
            </w:r>
          </w:p>
        </w:tc>
        <w:tc>
          <w:tcPr>
            <w:tcW w:w="1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9</w:t>
            </w:r>
          </w:p>
        </w:tc>
        <w:tc>
          <w:tcPr>
            <w:tcW w:w="180" w:type="dxa"/>
            <w:vAlign w:val="bottom"/>
          </w:tcPr>
          <w:p>
            <w:pPr>
              <w:spacing w:after="0"/>
              <w:rPr>
                <w:sz w:val="10"/>
                <w:szCs w:val="10"/>
                <w:color w:val="auto"/>
              </w:rPr>
            </w:pPr>
          </w:p>
        </w:tc>
        <w:tc>
          <w:tcPr>
            <w:tcW w:w="540" w:type="dxa"/>
            <w:vAlign w:val="bottom"/>
          </w:tcPr>
          <w:p>
            <w:pPr>
              <w:jc w:val="right"/>
              <w:ind w:right="179"/>
              <w:spacing w:after="0"/>
              <w:rPr>
                <w:sz w:val="20"/>
                <w:szCs w:val="20"/>
                <w:color w:val="auto"/>
              </w:rPr>
            </w:pPr>
            <w:r>
              <w:rPr>
                <w:rFonts w:ascii="Arial" w:cs="Arial" w:eastAsia="Arial" w:hAnsi="Arial"/>
                <w:sz w:val="8"/>
                <w:szCs w:val="8"/>
                <w:color w:val="auto"/>
              </w:rPr>
              <w:t>145</w:t>
            </w:r>
          </w:p>
        </w:tc>
        <w:tc>
          <w:tcPr>
            <w:tcW w:w="660" w:type="dxa"/>
            <w:vAlign w:val="bottom"/>
          </w:tcPr>
          <w:p>
            <w:pPr>
              <w:jc w:val="right"/>
              <w:ind w:right="159"/>
              <w:spacing w:after="0"/>
              <w:rPr>
                <w:sz w:val="20"/>
                <w:szCs w:val="20"/>
                <w:color w:val="auto"/>
              </w:rPr>
            </w:pPr>
            <w:r>
              <w:rPr>
                <w:rFonts w:ascii="Arial" w:cs="Arial" w:eastAsia="Arial" w:hAnsi="Arial"/>
                <w:sz w:val="8"/>
                <w:szCs w:val="8"/>
                <w:color w:val="auto"/>
              </w:rPr>
              <w:t>368</w:t>
            </w:r>
          </w:p>
        </w:tc>
        <w:tc>
          <w:tcPr>
            <w:tcW w:w="520" w:type="dxa"/>
            <w:vAlign w:val="bottom"/>
          </w:tcPr>
          <w:p>
            <w:pPr>
              <w:jc w:val="right"/>
              <w:ind w:right="39"/>
              <w:spacing w:after="0"/>
              <w:rPr>
                <w:sz w:val="20"/>
                <w:szCs w:val="20"/>
                <w:color w:val="auto"/>
              </w:rPr>
            </w:pPr>
            <w:r>
              <w:rPr>
                <w:rFonts w:ascii="Arial" w:cs="Arial" w:eastAsia="Arial" w:hAnsi="Arial"/>
                <w:sz w:val="8"/>
                <w:szCs w:val="8"/>
                <w:color w:val="auto"/>
              </w:rPr>
              <w:t>221</w:t>
            </w:r>
          </w:p>
        </w:tc>
        <w:tc>
          <w:tcPr>
            <w:tcW w:w="220" w:type="dxa"/>
            <w:vAlign w:val="bottom"/>
          </w:tcPr>
          <w:p>
            <w:pPr>
              <w:spacing w:after="0"/>
              <w:rPr>
                <w:sz w:val="10"/>
                <w:szCs w:val="10"/>
                <w:color w:val="auto"/>
              </w:rPr>
            </w:pPr>
          </w:p>
        </w:tc>
        <w:tc>
          <w:tcPr>
            <w:tcW w:w="540" w:type="dxa"/>
            <w:vAlign w:val="bottom"/>
          </w:tcPr>
          <w:p>
            <w:pPr>
              <w:jc w:val="right"/>
              <w:ind w:right="119"/>
              <w:spacing w:after="0"/>
              <w:rPr>
                <w:sz w:val="20"/>
                <w:szCs w:val="20"/>
                <w:color w:val="auto"/>
              </w:rPr>
            </w:pPr>
            <w:r>
              <w:rPr>
                <w:rFonts w:ascii="Arial" w:cs="Arial" w:eastAsia="Arial" w:hAnsi="Arial"/>
                <w:sz w:val="8"/>
                <w:szCs w:val="8"/>
                <w:color w:val="auto"/>
              </w:rPr>
              <w:t>310</w:t>
            </w:r>
          </w:p>
        </w:tc>
        <w:tc>
          <w:tcPr>
            <w:tcW w:w="580" w:type="dxa"/>
            <w:vAlign w:val="bottom"/>
          </w:tcPr>
          <w:p>
            <w:pPr>
              <w:jc w:val="right"/>
              <w:ind w:right="79"/>
              <w:spacing w:after="0"/>
              <w:rPr>
                <w:sz w:val="20"/>
                <w:szCs w:val="20"/>
                <w:color w:val="auto"/>
              </w:rPr>
            </w:pPr>
            <w:r>
              <w:rPr>
                <w:rFonts w:ascii="Arial" w:cs="Arial" w:eastAsia="Arial" w:hAnsi="Arial"/>
                <w:sz w:val="8"/>
                <w:szCs w:val="8"/>
                <w:color w:val="auto"/>
              </w:rPr>
              <w:t>401</w:t>
            </w:r>
          </w:p>
        </w:tc>
        <w:tc>
          <w:tcPr>
            <w:tcW w:w="440" w:type="dxa"/>
            <w:vAlign w:val="bottom"/>
          </w:tcPr>
          <w:p>
            <w:pPr>
              <w:jc w:val="right"/>
              <w:ind w:right="59"/>
              <w:spacing w:after="0"/>
              <w:rPr>
                <w:sz w:val="20"/>
                <w:szCs w:val="20"/>
                <w:color w:val="auto"/>
              </w:rPr>
            </w:pPr>
            <w:r>
              <w:rPr>
                <w:rFonts w:ascii="Arial" w:cs="Arial" w:eastAsia="Arial" w:hAnsi="Arial"/>
                <w:sz w:val="8"/>
                <w:szCs w:val="8"/>
                <w:color w:val="auto"/>
              </w:rPr>
              <w:t>250</w:t>
            </w:r>
          </w:p>
        </w:tc>
        <w:tc>
          <w:tcPr>
            <w:tcW w:w="540" w:type="dxa"/>
            <w:vAlign w:val="bottom"/>
          </w:tcPr>
          <w:p>
            <w:pPr>
              <w:jc w:val="right"/>
              <w:spacing w:after="0"/>
              <w:rPr>
                <w:sz w:val="20"/>
                <w:szCs w:val="20"/>
                <w:color w:val="auto"/>
              </w:rPr>
            </w:pPr>
            <w:r>
              <w:rPr>
                <w:rFonts w:ascii="Arial" w:cs="Arial" w:eastAsia="Arial" w:hAnsi="Arial"/>
                <w:sz w:val="8"/>
                <w:szCs w:val="8"/>
                <w:color w:val="auto"/>
              </w:rPr>
              <w:t>401</w:t>
            </w:r>
          </w:p>
        </w:tc>
        <w:tc>
          <w:tcPr>
            <w:tcW w:w="600" w:type="dxa"/>
            <w:vAlign w:val="bottom"/>
          </w:tcPr>
          <w:p>
            <w:pPr>
              <w:jc w:val="right"/>
              <w:ind w:right="39"/>
              <w:spacing w:after="0"/>
              <w:rPr>
                <w:sz w:val="20"/>
                <w:szCs w:val="20"/>
                <w:color w:val="auto"/>
              </w:rPr>
            </w:pPr>
            <w:r>
              <w:rPr>
                <w:rFonts w:ascii="Arial" w:cs="Arial" w:eastAsia="Arial" w:hAnsi="Arial"/>
                <w:sz w:val="8"/>
                <w:szCs w:val="8"/>
                <w:color w:val="auto"/>
              </w:rPr>
              <w:t>587</w:t>
            </w:r>
          </w:p>
        </w:tc>
        <w:tc>
          <w:tcPr>
            <w:tcW w:w="1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8"/>
                <w:szCs w:val="8"/>
                <w:color w:val="auto"/>
              </w:rPr>
              <w:t>1,028</w:t>
            </w:r>
          </w:p>
        </w:tc>
        <w:tc>
          <w:tcPr>
            <w:tcW w:w="1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1,590</w:t>
            </w: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1,398</w:t>
            </w:r>
          </w:p>
        </w:tc>
        <w:tc>
          <w:tcPr>
            <w:tcW w:w="220" w:type="dxa"/>
            <w:vAlign w:val="bottom"/>
          </w:tcPr>
          <w:p>
            <w:pPr>
              <w:spacing w:after="0"/>
              <w:rPr>
                <w:sz w:val="10"/>
                <w:szCs w:val="10"/>
                <w:color w:val="auto"/>
              </w:rPr>
            </w:pPr>
          </w:p>
        </w:tc>
        <w:tc>
          <w:tcPr>
            <w:tcW w:w="460" w:type="dxa"/>
            <w:vAlign w:val="bottom"/>
          </w:tcPr>
          <w:p>
            <w:pPr>
              <w:jc w:val="right"/>
              <w:ind w:right="99"/>
              <w:spacing w:after="0"/>
              <w:rPr>
                <w:sz w:val="20"/>
                <w:szCs w:val="20"/>
                <w:color w:val="auto"/>
              </w:rPr>
            </w:pPr>
            <w:r>
              <w:rPr>
                <w:rFonts w:ascii="Arial" w:cs="Arial" w:eastAsia="Arial" w:hAnsi="Arial"/>
                <w:sz w:val="8"/>
                <w:szCs w:val="8"/>
                <w:color w:val="auto"/>
              </w:rPr>
              <w:t>1,184</w:t>
            </w:r>
          </w:p>
        </w:tc>
        <w:tc>
          <w:tcPr>
            <w:tcW w:w="280" w:type="dxa"/>
            <w:vAlign w:val="bottom"/>
          </w:tcPr>
          <w:p>
            <w:pPr>
              <w:spacing w:after="0"/>
              <w:rPr>
                <w:sz w:val="10"/>
                <w:szCs w:val="10"/>
                <w:color w:val="auto"/>
              </w:rPr>
            </w:pPr>
          </w:p>
        </w:tc>
        <w:tc>
          <w:tcPr>
            <w:tcW w:w="500" w:type="dxa"/>
            <w:vAlign w:val="bottom"/>
          </w:tcPr>
          <w:p>
            <w:pPr>
              <w:jc w:val="right"/>
              <w:ind w:right="59"/>
              <w:spacing w:after="0"/>
              <w:rPr>
                <w:sz w:val="20"/>
                <w:szCs w:val="20"/>
                <w:color w:val="auto"/>
              </w:rPr>
            </w:pPr>
            <w:r>
              <w:rPr>
                <w:rFonts w:ascii="Arial" w:cs="Arial" w:eastAsia="Arial" w:hAnsi="Arial"/>
                <w:sz w:val="8"/>
                <w:szCs w:val="8"/>
                <w:color w:val="auto"/>
              </w:rPr>
              <w:t>7,892</w:t>
            </w:r>
          </w:p>
        </w:tc>
        <w:tc>
          <w:tcPr>
            <w:tcW w:w="120" w:type="dxa"/>
            <w:vAlign w:val="bottom"/>
          </w:tcPr>
          <w:p>
            <w:pPr>
              <w:spacing w:after="0"/>
              <w:rPr>
                <w:sz w:val="10"/>
                <w:szCs w:val="10"/>
                <w:color w:val="auto"/>
              </w:rPr>
            </w:pPr>
          </w:p>
        </w:tc>
        <w:tc>
          <w:tcPr>
            <w:tcW w:w="520" w:type="dxa"/>
            <w:vAlign w:val="bottom"/>
          </w:tcPr>
          <w:p>
            <w:pPr>
              <w:jc w:val="right"/>
              <w:ind w:right="39"/>
              <w:spacing w:after="0"/>
              <w:rPr>
                <w:sz w:val="20"/>
                <w:szCs w:val="20"/>
                <w:color w:val="auto"/>
              </w:rPr>
            </w:pPr>
            <w:r>
              <w:rPr>
                <w:rFonts w:ascii="Arial" w:cs="Arial" w:eastAsia="Arial" w:hAnsi="Arial"/>
                <w:sz w:val="8"/>
                <w:szCs w:val="8"/>
                <w:color w:val="auto"/>
              </w:rPr>
              <w:t>7,892</w:t>
            </w:r>
          </w:p>
        </w:tc>
        <w:tc>
          <w:tcPr>
            <w:tcW w:w="180" w:type="dxa"/>
            <w:vAlign w:val="bottom"/>
          </w:tcPr>
          <w:p>
            <w:pPr>
              <w:spacing w:after="0"/>
              <w:rPr>
                <w:sz w:val="10"/>
                <w:szCs w:val="10"/>
                <w:color w:val="auto"/>
              </w:rPr>
            </w:pPr>
          </w:p>
        </w:tc>
        <w:tc>
          <w:tcPr>
            <w:tcW w:w="440" w:type="dxa"/>
            <w:vAlign w:val="bottom"/>
          </w:tcPr>
          <w:p>
            <w:pPr>
              <w:jc w:val="right"/>
              <w:ind w:right="19"/>
              <w:spacing w:after="0"/>
              <w:rPr>
                <w:sz w:val="20"/>
                <w:szCs w:val="20"/>
                <w:color w:val="auto"/>
              </w:rPr>
            </w:pPr>
            <w:r>
              <w:rPr>
                <w:rFonts w:ascii="Arial" w:cs="Arial" w:eastAsia="Arial" w:hAnsi="Arial"/>
                <w:sz w:val="8"/>
                <w:szCs w:val="8"/>
                <w:color w:val="auto"/>
              </w:rPr>
              <w:t>7,892</w:t>
            </w:r>
          </w:p>
        </w:tc>
        <w:tc>
          <w:tcPr>
            <w:tcW w:w="0" w:type="dxa"/>
            <w:vAlign w:val="bottom"/>
          </w:tcPr>
          <w:p>
            <w:pPr>
              <w:spacing w:after="0"/>
              <w:rPr>
                <w:sz w:val="1"/>
                <w:szCs w:val="1"/>
                <w:color w:val="auto"/>
              </w:rPr>
            </w:pPr>
          </w:p>
        </w:tc>
      </w:tr>
      <w:tr>
        <w:trPr>
          <w:trHeight w:val="118"/>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Directors’ Fees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(GAAP)</w:t>
            </w:r>
          </w:p>
        </w:tc>
        <w:tc>
          <w:tcPr>
            <w:tcW w:w="140" w:type="dxa"/>
            <w:vAlign w:val="bottom"/>
          </w:tcPr>
          <w:p>
            <w:pPr>
              <w:spacing w:after="0"/>
              <w:rPr>
                <w:sz w:val="10"/>
                <w:szCs w:val="10"/>
                <w:color w:val="auto"/>
              </w:rPr>
            </w:pPr>
          </w:p>
        </w:tc>
        <w:tc>
          <w:tcPr>
            <w:tcW w:w="280" w:type="dxa"/>
            <w:vAlign w:val="bottom"/>
            <w:vMerge w:val="restart"/>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8"/>
                <w:szCs w:val="8"/>
                <w:color w:val="auto"/>
              </w:rPr>
              <w:t>141</w:t>
            </w:r>
          </w:p>
        </w:tc>
        <w:tc>
          <w:tcPr>
            <w:tcW w:w="660" w:type="dxa"/>
            <w:vAlign w:val="bottom"/>
            <w:vMerge w:val="restart"/>
          </w:tcPr>
          <w:p>
            <w:pPr>
              <w:jc w:val="right"/>
              <w:ind w:right="159"/>
              <w:spacing w:after="0"/>
              <w:rPr>
                <w:sz w:val="20"/>
                <w:szCs w:val="20"/>
                <w:color w:val="auto"/>
              </w:rPr>
            </w:pPr>
            <w:r>
              <w:rPr>
                <w:rFonts w:ascii="Arial" w:cs="Arial" w:eastAsia="Arial" w:hAnsi="Arial"/>
                <w:sz w:val="8"/>
                <w:szCs w:val="8"/>
                <w:color w:val="auto"/>
              </w:rPr>
              <w:t>135</w:t>
            </w: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169</w:t>
            </w:r>
          </w:p>
        </w:tc>
        <w:tc>
          <w:tcPr>
            <w:tcW w:w="220" w:type="dxa"/>
            <w:vAlign w:val="bottom"/>
          </w:tcPr>
          <w:p>
            <w:pPr>
              <w:spacing w:after="0"/>
              <w:rPr>
                <w:sz w:val="10"/>
                <w:szCs w:val="10"/>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8"/>
                <w:szCs w:val="8"/>
                <w:color w:val="auto"/>
              </w:rPr>
              <w:t>165</w:t>
            </w:r>
          </w:p>
        </w:tc>
        <w:tc>
          <w:tcPr>
            <w:tcW w:w="580" w:type="dxa"/>
            <w:vAlign w:val="bottom"/>
            <w:vMerge w:val="restart"/>
          </w:tcPr>
          <w:p>
            <w:pPr>
              <w:jc w:val="right"/>
              <w:ind w:right="79"/>
              <w:spacing w:after="0"/>
              <w:rPr>
                <w:sz w:val="20"/>
                <w:szCs w:val="20"/>
                <w:color w:val="auto"/>
              </w:rPr>
            </w:pPr>
            <w:r>
              <w:rPr>
                <w:rFonts w:ascii="Arial" w:cs="Arial" w:eastAsia="Arial" w:hAnsi="Arial"/>
                <w:sz w:val="8"/>
                <w:szCs w:val="8"/>
                <w:color w:val="auto"/>
              </w:rPr>
              <w:t>185</w:t>
            </w:r>
          </w:p>
        </w:tc>
        <w:tc>
          <w:tcPr>
            <w:tcW w:w="440" w:type="dxa"/>
            <w:vAlign w:val="bottom"/>
            <w:vMerge w:val="restart"/>
          </w:tcPr>
          <w:p>
            <w:pPr>
              <w:jc w:val="right"/>
              <w:ind w:right="59"/>
              <w:spacing w:after="0"/>
              <w:rPr>
                <w:sz w:val="20"/>
                <w:szCs w:val="20"/>
                <w:color w:val="auto"/>
              </w:rPr>
            </w:pPr>
            <w:r>
              <w:rPr>
                <w:rFonts w:ascii="Arial" w:cs="Arial" w:eastAsia="Arial" w:hAnsi="Arial"/>
                <w:sz w:val="8"/>
                <w:szCs w:val="8"/>
                <w:color w:val="auto"/>
              </w:rPr>
              <w:t>193</w:t>
            </w: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179</w:t>
            </w:r>
          </w:p>
        </w:tc>
        <w:tc>
          <w:tcPr>
            <w:tcW w:w="600" w:type="dxa"/>
            <w:vAlign w:val="bottom"/>
            <w:vMerge w:val="restart"/>
          </w:tcPr>
          <w:p>
            <w:pPr>
              <w:jc w:val="right"/>
              <w:ind w:right="39"/>
              <w:spacing w:after="0"/>
              <w:rPr>
                <w:sz w:val="20"/>
                <w:szCs w:val="20"/>
                <w:color w:val="auto"/>
              </w:rPr>
            </w:pPr>
            <w:r>
              <w:rPr>
                <w:rFonts w:ascii="Arial" w:cs="Arial" w:eastAsia="Arial" w:hAnsi="Arial"/>
                <w:sz w:val="8"/>
                <w:szCs w:val="8"/>
                <w:color w:val="auto"/>
              </w:rPr>
              <w:t>223</w:t>
            </w: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8"/>
                <w:szCs w:val="8"/>
                <w:color w:val="auto"/>
              </w:rPr>
              <w:t>261</w:t>
            </w: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8"/>
                <w:szCs w:val="8"/>
                <w:color w:val="auto"/>
              </w:rPr>
              <w:t>323</w:t>
            </w: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317</w:t>
            </w:r>
          </w:p>
        </w:tc>
        <w:tc>
          <w:tcPr>
            <w:tcW w:w="220" w:type="dxa"/>
            <w:vAlign w:val="bottom"/>
          </w:tcPr>
          <w:p>
            <w:pPr>
              <w:spacing w:after="0"/>
              <w:rPr>
                <w:sz w:val="10"/>
                <w:szCs w:val="10"/>
                <w:color w:val="auto"/>
              </w:rPr>
            </w:pPr>
          </w:p>
        </w:tc>
        <w:tc>
          <w:tcPr>
            <w:tcW w:w="460" w:type="dxa"/>
            <w:vAlign w:val="bottom"/>
            <w:vMerge w:val="restart"/>
          </w:tcPr>
          <w:p>
            <w:pPr>
              <w:jc w:val="center"/>
              <w:ind w:left="19"/>
              <w:spacing w:after="0"/>
              <w:rPr>
                <w:sz w:val="20"/>
                <w:szCs w:val="20"/>
                <w:color w:val="auto"/>
              </w:rPr>
            </w:pPr>
            <w:r>
              <w:rPr>
                <w:rFonts w:ascii="Arial" w:cs="Arial" w:eastAsia="Arial" w:hAnsi="Arial"/>
                <w:sz w:val="8"/>
                <w:szCs w:val="8"/>
                <w:color w:val="auto"/>
                <w:w w:val="99"/>
              </w:rPr>
              <w:t>—</w:t>
            </w:r>
          </w:p>
        </w:tc>
        <w:tc>
          <w:tcPr>
            <w:tcW w:w="280" w:type="dxa"/>
            <w:vAlign w:val="bottom"/>
          </w:tcPr>
          <w:p>
            <w:pPr>
              <w:spacing w:after="0"/>
              <w:rPr>
                <w:sz w:val="10"/>
                <w:szCs w:val="10"/>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2,291</w:t>
            </w:r>
          </w:p>
        </w:tc>
        <w:tc>
          <w:tcPr>
            <w:tcW w:w="120" w:type="dxa"/>
            <w:vAlign w:val="bottom"/>
          </w:tcPr>
          <w:p>
            <w:pPr>
              <w:spacing w:after="0"/>
              <w:rPr>
                <w:sz w:val="10"/>
                <w:szCs w:val="10"/>
                <w:color w:val="auto"/>
              </w:rPr>
            </w:pP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2,291</w:t>
            </w:r>
          </w:p>
        </w:tc>
        <w:tc>
          <w:tcPr>
            <w:tcW w:w="180" w:type="dxa"/>
            <w:vAlign w:val="bottom"/>
          </w:tcPr>
          <w:p>
            <w:pPr>
              <w:spacing w:after="0"/>
              <w:rPr>
                <w:sz w:val="10"/>
                <w:szCs w:val="10"/>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8"/>
                <w:szCs w:val="8"/>
                <w:color w:val="auto"/>
              </w:rPr>
              <w:t>2,291</w:t>
            </w: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240"/>
              <w:spacing w:after="0"/>
              <w:rPr>
                <w:sz w:val="20"/>
                <w:szCs w:val="20"/>
                <w:color w:val="auto"/>
              </w:rPr>
            </w:pPr>
            <w:r>
              <w:rPr>
                <w:rFonts w:ascii="Arial" w:cs="Arial" w:eastAsia="Arial" w:hAnsi="Arial"/>
                <w:sz w:val="8"/>
                <w:szCs w:val="8"/>
                <w:color w:val="auto"/>
              </w:rPr>
              <w:t>Total incentive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320"/>
              <w:spacing w:after="0"/>
              <w:rPr>
                <w:sz w:val="20"/>
                <w:szCs w:val="20"/>
                <w:color w:val="auto"/>
              </w:rPr>
            </w:pPr>
            <w:r>
              <w:rPr>
                <w:rFonts w:ascii="Arial" w:cs="Arial" w:eastAsia="Arial" w:hAnsi="Arial"/>
                <w:sz w:val="8"/>
                <w:szCs w:val="8"/>
                <w:color w:val="auto"/>
              </w:rPr>
              <w:t>fees (GAAP)</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7"/>
                <w:szCs w:val="17"/>
                <w:color w:val="auto"/>
              </w:rPr>
            </w:pPr>
          </w:p>
        </w:tc>
        <w:tc>
          <w:tcPr>
            <w:tcW w:w="540" w:type="dxa"/>
            <w:vAlign w:val="bottom"/>
          </w:tcPr>
          <w:p>
            <w:pPr>
              <w:jc w:val="right"/>
              <w:ind w:right="199"/>
              <w:spacing w:after="0"/>
              <w:rPr>
                <w:sz w:val="20"/>
                <w:szCs w:val="20"/>
                <w:color w:val="auto"/>
              </w:rPr>
            </w:pPr>
            <w:r>
              <w:rPr>
                <w:rFonts w:ascii="Arial" w:cs="Arial" w:eastAsia="Arial" w:hAnsi="Arial"/>
                <w:sz w:val="8"/>
                <w:szCs w:val="8"/>
                <w:color w:val="auto"/>
              </w:rPr>
              <w:t>—</w:t>
            </w:r>
          </w:p>
        </w:tc>
        <w:tc>
          <w:tcPr>
            <w:tcW w:w="660" w:type="dxa"/>
            <w:vAlign w:val="bottom"/>
          </w:tcPr>
          <w:p>
            <w:pPr>
              <w:jc w:val="right"/>
              <w:ind w:right="179"/>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7"/>
                <w:szCs w:val="17"/>
                <w:color w:val="auto"/>
              </w:rPr>
            </w:pPr>
          </w:p>
        </w:tc>
        <w:tc>
          <w:tcPr>
            <w:tcW w:w="54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99"/>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59"/>
              <w:spacing w:after="0"/>
              <w:rPr>
                <w:sz w:val="20"/>
                <w:szCs w:val="20"/>
                <w:color w:val="auto"/>
              </w:rPr>
            </w:pPr>
            <w:r>
              <w:rPr>
                <w:rFonts w:ascii="Arial" w:cs="Arial" w:eastAsia="Arial" w:hAnsi="Arial"/>
                <w:sz w:val="8"/>
                <w:szCs w:val="8"/>
                <w:color w:val="auto"/>
              </w:rPr>
              <w:t>52</w:t>
            </w:r>
          </w:p>
        </w:tc>
        <w:tc>
          <w:tcPr>
            <w:tcW w:w="54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8"/>
                <w:szCs w:val="8"/>
                <w:color w:val="auto"/>
              </w:rPr>
              <w:t>3,350</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8"/>
                <w:szCs w:val="8"/>
                <w:color w:val="auto"/>
              </w:rPr>
              <w:t>10,969</w:t>
            </w: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5,388</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1,731</w:t>
            </w:r>
          </w:p>
        </w:tc>
        <w:tc>
          <w:tcPr>
            <w:tcW w:w="22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8"/>
                <w:szCs w:val="8"/>
                <w:color w:val="auto"/>
              </w:rPr>
              <w:t>(1,505)</w:t>
            </w:r>
          </w:p>
        </w:tc>
        <w:tc>
          <w:tcPr>
            <w:tcW w:w="28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8"/>
                <w:szCs w:val="8"/>
                <w:color w:val="auto"/>
              </w:rPr>
              <w:t>21,389</w:t>
            </w:r>
          </w:p>
        </w:tc>
        <w:tc>
          <w:tcPr>
            <w:tcW w:w="120" w:type="dxa"/>
            <w:vAlign w:val="bottom"/>
          </w:tcPr>
          <w:p>
            <w:pPr>
              <w:spacing w:after="0"/>
              <w:rPr>
                <w:sz w:val="17"/>
                <w:szCs w:val="17"/>
                <w:color w:val="auto"/>
              </w:rPr>
            </w:pPr>
          </w:p>
        </w:tc>
        <w:tc>
          <w:tcPr>
            <w:tcW w:w="520" w:type="dxa"/>
            <w:vAlign w:val="bottom"/>
          </w:tcPr>
          <w:p>
            <w:pPr>
              <w:jc w:val="right"/>
              <w:ind w:right="59"/>
              <w:spacing w:after="0"/>
              <w:rPr>
                <w:sz w:val="20"/>
                <w:szCs w:val="20"/>
                <w:color w:val="auto"/>
              </w:rPr>
            </w:pPr>
            <w:r>
              <w:rPr>
                <w:rFonts w:ascii="Arial" w:cs="Arial" w:eastAsia="Arial" w:hAnsi="Arial"/>
                <w:sz w:val="8"/>
                <w:szCs w:val="8"/>
                <w:color w:val="auto"/>
              </w:rPr>
              <w:t>21,389</w:t>
            </w:r>
          </w:p>
        </w:tc>
        <w:tc>
          <w:tcPr>
            <w:tcW w:w="18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8"/>
                <w:szCs w:val="8"/>
                <w:color w:val="auto"/>
              </w:rPr>
              <w:t>21,389</w:t>
            </w:r>
          </w:p>
        </w:tc>
        <w:tc>
          <w:tcPr>
            <w:tcW w:w="0" w:type="dxa"/>
            <w:vAlign w:val="bottom"/>
          </w:tcPr>
          <w:p>
            <w:pPr>
              <w:spacing w:after="0"/>
              <w:rPr>
                <w:sz w:val="1"/>
                <w:szCs w:val="1"/>
                <w:color w:val="auto"/>
              </w:rPr>
            </w:pPr>
          </w:p>
        </w:tc>
      </w:tr>
      <w:tr>
        <w:trPr>
          <w:trHeight w:val="329"/>
        </w:trPr>
        <w:tc>
          <w:tcPr>
            <w:tcW w:w="940" w:type="dxa"/>
            <w:vAlign w:val="bottom"/>
            <w:gridSpan w:val="2"/>
          </w:tcPr>
          <w:p>
            <w:pPr>
              <w:spacing w:after="0"/>
              <w:rPr>
                <w:sz w:val="20"/>
                <w:szCs w:val="20"/>
                <w:color w:val="auto"/>
              </w:rPr>
            </w:pPr>
            <w:r>
              <w:rPr>
                <w:rFonts w:ascii="Arial" w:cs="Arial" w:eastAsia="Arial" w:hAnsi="Arial"/>
                <w:sz w:val="8"/>
                <w:szCs w:val="8"/>
                <w:color w:val="auto"/>
              </w:rPr>
              <w:t>Total Shareholder Fees &amp;</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60" w:type="dxa"/>
            <w:vAlign w:val="bottom"/>
          </w:tcPr>
          <w:p>
            <w:pPr>
              <w:ind w:left="80"/>
              <w:spacing w:after="0"/>
              <w:rPr>
                <w:sz w:val="20"/>
                <w:szCs w:val="20"/>
                <w:color w:val="auto"/>
              </w:rPr>
            </w:pPr>
            <w:r>
              <w:rPr>
                <w:rFonts w:ascii="Arial" w:cs="Arial" w:eastAsia="Arial" w:hAnsi="Arial"/>
                <w:sz w:val="8"/>
                <w:szCs w:val="8"/>
                <w:color w:val="auto"/>
              </w:rPr>
              <w:t>Expenses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8"/>
                <w:szCs w:val="8"/>
                <w:color w:val="auto"/>
              </w:rPr>
              <w:t>325</w:t>
            </w:r>
          </w:p>
        </w:tc>
        <w:tc>
          <w:tcPr>
            <w:tcW w:w="180" w:type="dxa"/>
            <w:vAlign w:val="bottom"/>
          </w:tcPr>
          <w:p>
            <w:pPr>
              <w:spacing w:after="0"/>
              <w:rPr>
                <w:sz w:val="10"/>
                <w:szCs w:val="10"/>
                <w:color w:val="auto"/>
              </w:rPr>
            </w:pPr>
          </w:p>
        </w:tc>
        <w:tc>
          <w:tcPr>
            <w:tcW w:w="540" w:type="dxa"/>
            <w:vAlign w:val="bottom"/>
            <w:vMerge w:val="restart"/>
          </w:tcPr>
          <w:p>
            <w:pPr>
              <w:jc w:val="right"/>
              <w:ind w:right="179"/>
              <w:spacing w:after="0"/>
              <w:rPr>
                <w:sz w:val="20"/>
                <w:szCs w:val="20"/>
                <w:color w:val="auto"/>
              </w:rPr>
            </w:pPr>
            <w:r>
              <w:rPr>
                <w:rFonts w:ascii="Arial" w:cs="Arial" w:eastAsia="Arial" w:hAnsi="Arial"/>
                <w:sz w:val="8"/>
                <w:szCs w:val="8"/>
                <w:color w:val="auto"/>
              </w:rPr>
              <w:t>3,855</w:t>
            </w:r>
          </w:p>
        </w:tc>
        <w:tc>
          <w:tcPr>
            <w:tcW w:w="660" w:type="dxa"/>
            <w:vAlign w:val="bottom"/>
            <w:vMerge w:val="restart"/>
          </w:tcPr>
          <w:p>
            <w:pPr>
              <w:jc w:val="right"/>
              <w:ind w:right="159"/>
              <w:spacing w:after="0"/>
              <w:rPr>
                <w:sz w:val="20"/>
                <w:szCs w:val="20"/>
                <w:color w:val="auto"/>
              </w:rPr>
            </w:pPr>
            <w:r>
              <w:rPr>
                <w:rFonts w:ascii="Arial" w:cs="Arial" w:eastAsia="Arial" w:hAnsi="Arial"/>
                <w:sz w:val="8"/>
                <w:szCs w:val="8"/>
                <w:color w:val="auto"/>
              </w:rPr>
              <w:t>6,676</w:t>
            </w:r>
          </w:p>
        </w:tc>
        <w:tc>
          <w:tcPr>
            <w:tcW w:w="520" w:type="dxa"/>
            <w:vAlign w:val="bottom"/>
            <w:vMerge w:val="restart"/>
          </w:tcPr>
          <w:p>
            <w:pPr>
              <w:jc w:val="right"/>
              <w:ind w:right="39"/>
              <w:spacing w:after="0"/>
              <w:rPr>
                <w:sz w:val="20"/>
                <w:szCs w:val="20"/>
                <w:color w:val="auto"/>
              </w:rPr>
            </w:pPr>
            <w:r>
              <w:rPr>
                <w:rFonts w:ascii="Arial" w:cs="Arial" w:eastAsia="Arial" w:hAnsi="Arial"/>
                <w:sz w:val="8"/>
                <w:szCs w:val="8"/>
                <w:color w:val="auto"/>
              </w:rPr>
              <w:t>8,402</w:t>
            </w:r>
          </w:p>
        </w:tc>
        <w:tc>
          <w:tcPr>
            <w:tcW w:w="220" w:type="dxa"/>
            <w:vAlign w:val="bottom"/>
          </w:tcPr>
          <w:p>
            <w:pPr>
              <w:spacing w:after="0"/>
              <w:rPr>
                <w:sz w:val="10"/>
                <w:szCs w:val="10"/>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8"/>
                <w:szCs w:val="8"/>
                <w:color w:val="auto"/>
              </w:rPr>
              <w:t>9,845</w:t>
            </w:r>
          </w:p>
        </w:tc>
        <w:tc>
          <w:tcPr>
            <w:tcW w:w="580" w:type="dxa"/>
            <w:vAlign w:val="bottom"/>
            <w:vMerge w:val="restart"/>
          </w:tcPr>
          <w:p>
            <w:pPr>
              <w:jc w:val="right"/>
              <w:ind w:right="99"/>
              <w:spacing w:after="0"/>
              <w:rPr>
                <w:sz w:val="20"/>
                <w:szCs w:val="20"/>
                <w:color w:val="auto"/>
              </w:rPr>
            </w:pPr>
            <w:r>
              <w:rPr>
                <w:rFonts w:ascii="Arial" w:cs="Arial" w:eastAsia="Arial" w:hAnsi="Arial"/>
                <w:sz w:val="8"/>
                <w:szCs w:val="8"/>
                <w:color w:val="auto"/>
              </w:rPr>
              <w:t>10,119</w:t>
            </w:r>
          </w:p>
        </w:tc>
        <w:tc>
          <w:tcPr>
            <w:tcW w:w="440" w:type="dxa"/>
            <w:vAlign w:val="bottom"/>
            <w:vMerge w:val="restart"/>
          </w:tcPr>
          <w:p>
            <w:pPr>
              <w:jc w:val="right"/>
              <w:ind w:right="79"/>
              <w:spacing w:after="0"/>
              <w:rPr>
                <w:sz w:val="20"/>
                <w:szCs w:val="20"/>
                <w:color w:val="auto"/>
              </w:rPr>
            </w:pPr>
            <w:r>
              <w:rPr>
                <w:rFonts w:ascii="Arial" w:cs="Arial" w:eastAsia="Arial" w:hAnsi="Arial"/>
                <w:sz w:val="8"/>
                <w:szCs w:val="8"/>
                <w:color w:val="auto"/>
              </w:rPr>
              <w:t>6,842</w:t>
            </w:r>
          </w:p>
        </w:tc>
        <w:tc>
          <w:tcPr>
            <w:tcW w:w="540" w:type="dxa"/>
            <w:vAlign w:val="bottom"/>
          </w:tcPr>
          <w:p>
            <w:pPr>
              <w:spacing w:after="0"/>
              <w:rPr>
                <w:sz w:val="10"/>
                <w:szCs w:val="10"/>
                <w:color w:val="auto"/>
              </w:rPr>
            </w:pPr>
          </w:p>
        </w:tc>
        <w:tc>
          <w:tcPr>
            <w:tcW w:w="600" w:type="dxa"/>
            <w:vAlign w:val="bottom"/>
            <w:vMerge w:val="restart"/>
          </w:tcPr>
          <w:p>
            <w:pPr>
              <w:jc w:val="right"/>
              <w:ind w:right="59"/>
              <w:spacing w:after="0"/>
              <w:rPr>
                <w:sz w:val="20"/>
                <w:szCs w:val="20"/>
                <w:color w:val="auto"/>
              </w:rPr>
            </w:pPr>
            <w:r>
              <w:rPr>
                <w:rFonts w:ascii="Arial" w:cs="Arial" w:eastAsia="Arial" w:hAnsi="Arial"/>
                <w:sz w:val="8"/>
                <w:szCs w:val="8"/>
                <w:color w:val="auto"/>
              </w:rPr>
              <w:t>13,759</w:t>
            </w: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8"/>
                <w:szCs w:val="8"/>
                <w:color w:val="auto"/>
              </w:rPr>
              <w:t>26,538</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8"/>
                <w:szCs w:val="8"/>
                <w:color w:val="auto"/>
              </w:rPr>
              <w:t>28,607</w:t>
            </w:r>
          </w:p>
        </w:tc>
        <w:tc>
          <w:tcPr>
            <w:tcW w:w="220" w:type="dxa"/>
            <w:vAlign w:val="bottom"/>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8"/>
                <w:szCs w:val="8"/>
                <w:color w:val="auto"/>
              </w:rPr>
              <w:t>12,386</w:t>
            </w:r>
          </w:p>
        </w:tc>
        <w:tc>
          <w:tcPr>
            <w:tcW w:w="280" w:type="dxa"/>
            <w:vAlign w:val="bottom"/>
          </w:tcPr>
          <w:p>
            <w:pPr>
              <w:spacing w:after="0"/>
              <w:rPr>
                <w:sz w:val="10"/>
                <w:szCs w:val="10"/>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166,478</w:t>
            </w:r>
          </w:p>
        </w:tc>
        <w:tc>
          <w:tcPr>
            <w:tcW w:w="120" w:type="dxa"/>
            <w:vAlign w:val="bottom"/>
          </w:tcPr>
          <w:p>
            <w:pPr>
              <w:spacing w:after="0"/>
              <w:rPr>
                <w:sz w:val="10"/>
                <w:szCs w:val="1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8"/>
                <w:szCs w:val="8"/>
                <w:color w:val="auto"/>
              </w:rPr>
              <w:t>139,903</w:t>
            </w:r>
          </w:p>
        </w:tc>
        <w:tc>
          <w:tcPr>
            <w:tcW w:w="180" w:type="dxa"/>
            <w:vAlign w:val="bottom"/>
          </w:tcPr>
          <w:p>
            <w:pPr>
              <w:spacing w:after="0"/>
              <w:rPr>
                <w:sz w:val="10"/>
                <w:szCs w:val="10"/>
                <w:color w:val="auto"/>
              </w:rPr>
            </w:pPr>
          </w:p>
        </w:tc>
        <w:tc>
          <w:tcPr>
            <w:tcW w:w="440" w:type="dxa"/>
            <w:vAlign w:val="bottom"/>
            <w:vMerge w:val="restart"/>
          </w:tcPr>
          <w:p>
            <w:pPr>
              <w:jc w:val="right"/>
              <w:ind w:right="39"/>
              <w:spacing w:after="0"/>
              <w:rPr>
                <w:sz w:val="20"/>
                <w:szCs w:val="20"/>
                <w:color w:val="auto"/>
              </w:rPr>
            </w:pPr>
            <w:r>
              <w:rPr>
                <w:rFonts w:ascii="Arial" w:cs="Arial" w:eastAsia="Arial" w:hAnsi="Arial"/>
                <w:sz w:val="8"/>
                <w:szCs w:val="8"/>
                <w:color w:val="auto"/>
              </w:rPr>
              <w:t>126,615</w:t>
            </w: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940" w:type="dxa"/>
            <w:vAlign w:val="bottom"/>
            <w:gridSpan w:val="2"/>
          </w:tcPr>
          <w:p>
            <w:pPr>
              <w:spacing w:after="0"/>
              <w:rPr>
                <w:sz w:val="20"/>
                <w:szCs w:val="20"/>
                <w:color w:val="auto"/>
              </w:rPr>
            </w:pPr>
            <w:r>
              <w:rPr>
                <w:rFonts w:ascii="Arial" w:cs="Arial" w:eastAsia="Arial" w:hAnsi="Arial"/>
                <w:sz w:val="8"/>
                <w:szCs w:val="8"/>
                <w:color w:val="auto"/>
              </w:rPr>
              <w:t>Economic Profit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500" w:type="dxa"/>
            <w:vAlign w:val="bottom"/>
            <w:vMerge w:val="restart"/>
          </w:tcPr>
          <w:p>
            <w:pPr>
              <w:jc w:val="right"/>
              <w:ind w:right="59"/>
              <w:spacing w:after="0"/>
              <w:rPr>
                <w:sz w:val="20"/>
                <w:szCs w:val="20"/>
                <w:color w:val="auto"/>
              </w:rPr>
            </w:pPr>
            <w:r>
              <w:rPr>
                <w:rFonts w:ascii="Arial" w:cs="Arial" w:eastAsia="Arial" w:hAnsi="Arial"/>
                <w:sz w:val="8"/>
                <w:szCs w:val="8"/>
                <w:color w:val="auto"/>
              </w:rPr>
              <w:t>415,098</w:t>
            </w: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520" w:type="dxa"/>
            <w:vAlign w:val="bottom"/>
            <w:vMerge w:val="restart"/>
          </w:tcPr>
          <w:p>
            <w:pPr>
              <w:jc w:val="right"/>
              <w:ind w:right="59"/>
              <w:spacing w:after="0"/>
              <w:rPr>
                <w:sz w:val="20"/>
                <w:szCs w:val="20"/>
                <w:color w:val="auto"/>
              </w:rPr>
            </w:pPr>
            <w:r>
              <w:rPr>
                <w:rFonts w:ascii="Arial" w:cs="Arial" w:eastAsia="Arial" w:hAnsi="Arial"/>
                <w:sz w:val="8"/>
                <w:szCs w:val="8"/>
                <w:color w:val="auto"/>
              </w:rPr>
              <w:t>415,098</w:t>
            </w:r>
          </w:p>
        </w:tc>
        <w:tc>
          <w:tcPr>
            <w:tcW w:w="1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440" w:type="dxa"/>
            <w:vAlign w:val="bottom"/>
            <w:vMerge w:val="restart"/>
          </w:tcPr>
          <w:p>
            <w:pPr>
              <w:jc w:val="right"/>
              <w:ind w:right="59"/>
              <w:spacing w:after="0"/>
              <w:rPr>
                <w:sz w:val="20"/>
                <w:szCs w:val="20"/>
                <w:color w:val="auto"/>
              </w:rPr>
            </w:pPr>
            <w:r>
              <w:rPr>
                <w:rFonts w:ascii="Arial" w:cs="Arial" w:eastAsia="Arial" w:hAnsi="Arial"/>
                <w:sz w:val="8"/>
                <w:szCs w:val="8"/>
                <w:color w:val="auto"/>
              </w:rPr>
              <w:t>415,098</w:t>
            </w: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20"/>
                <w:szCs w:val="20"/>
                <w:color w:val="auto"/>
              </w:rPr>
            </w:pPr>
            <w:r>
              <w:rPr>
                <w:rFonts w:ascii="Arial" w:cs="Arial" w:eastAsia="Arial" w:hAnsi="Arial"/>
                <w:sz w:val="8"/>
                <w:szCs w:val="8"/>
                <w:color w:val="auto"/>
                <w:w w:val="92"/>
              </w:rPr>
              <w:t>Ratio of Total</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80"/>
              <w:spacing w:after="0"/>
              <w:rPr>
                <w:sz w:val="20"/>
                <w:szCs w:val="20"/>
                <w:color w:val="auto"/>
              </w:rPr>
            </w:pPr>
            <w:r>
              <w:rPr>
                <w:rFonts w:ascii="Arial" w:cs="Arial" w:eastAsia="Arial" w:hAnsi="Arial"/>
                <w:sz w:val="8"/>
                <w:szCs w:val="8"/>
                <w:color w:val="auto"/>
              </w:rPr>
              <w:t>Shareholder Fees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80"/>
              <w:spacing w:after="0"/>
              <w:rPr>
                <w:sz w:val="20"/>
                <w:szCs w:val="20"/>
                <w:color w:val="auto"/>
              </w:rPr>
            </w:pPr>
            <w:r>
              <w:rPr>
                <w:rFonts w:ascii="Arial" w:cs="Arial" w:eastAsia="Arial" w:hAnsi="Arial"/>
                <w:sz w:val="8"/>
                <w:szCs w:val="8"/>
                <w:color w:val="auto"/>
              </w:rPr>
              <w:t>&amp; Expenses to</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ind w:left="80"/>
              <w:spacing w:after="0"/>
              <w:rPr>
                <w:sz w:val="20"/>
                <w:szCs w:val="20"/>
                <w:color w:val="auto"/>
              </w:rPr>
            </w:pPr>
            <w:r>
              <w:rPr>
                <w:rFonts w:ascii="Arial" w:cs="Arial" w:eastAsia="Arial" w:hAnsi="Arial"/>
                <w:sz w:val="8"/>
                <w:szCs w:val="8"/>
                <w:color w:val="auto"/>
              </w:rPr>
              <w:t>Economic Profit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8"/>
                <w:szCs w:val="8"/>
                <w:color w:val="auto"/>
              </w:rPr>
              <w:t>40%</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34%</w:t>
            </w:r>
          </w:p>
        </w:tc>
        <w:tc>
          <w:tcPr>
            <w:tcW w:w="180" w:type="dxa"/>
            <w:vAlign w:val="bottom"/>
          </w:tcPr>
          <w:p>
            <w:pPr>
              <w:spacing w:after="0"/>
              <w:rPr>
                <w:sz w:val="10"/>
                <w:szCs w:val="10"/>
                <w:color w:val="auto"/>
              </w:rPr>
            </w:pPr>
          </w:p>
        </w:tc>
        <w:tc>
          <w:tcPr>
            <w:tcW w:w="440" w:type="dxa"/>
            <w:vAlign w:val="bottom"/>
            <w:vMerge w:val="restart"/>
          </w:tcPr>
          <w:p>
            <w:pPr>
              <w:jc w:val="right"/>
              <w:ind w:right="199"/>
              <w:spacing w:after="0"/>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right="1460" w:hanging="281"/>
        <w:spacing w:after="0" w:line="286" w:lineRule="auto"/>
        <w:tabs>
          <w:tab w:leader="none" w:pos="13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TICC has recategorized and renamed certain line items in its statement of operations since it began reporting in 2003. From 2003 to 2008, incentive fees were included in “Investment advisory fees.” For years after 2008, incentive fees have been reported separately. For the six months ended June 30, 2015, directors’ fees, which previously had been separately reported, were included in “General and administrative.” Prior to 2006, TICC reported the line “Compensation expense” as “Salaries and benefits.”</w:t>
      </w:r>
    </w:p>
    <w:p>
      <w:pPr>
        <w:ind w:left="1360" w:right="1480" w:hanging="281"/>
        <w:spacing w:after="0" w:line="256" w:lineRule="auto"/>
        <w:tabs>
          <w:tab w:leader="none" w:pos="1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Does not include “Insurance” or “ Transfer agent and custodian fees” for periods prior to 2015. Prior to 2015, these expenses were included as separate line items on TICC’s statement of operations. For the six months ended June 30, 2015, these expenses were included in “General and administrative.”</w:t>
      </w:r>
    </w:p>
    <w:p>
      <w:pPr>
        <w:ind w:left="1360" w:hanging="281"/>
        <w:spacing w:after="0"/>
        <w:tabs>
          <w:tab w:leader="none" w:pos="1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Assumes 25% reduction of Cumulative Investment Advisory Fees Paid (illustrating management fee reduction from 2.0% to 1.5% of AUM), holding economic profit constant</w:t>
      </w:r>
    </w:p>
    <w:p>
      <w:pPr>
        <w:spacing w:after="0" w:line="5" w:lineRule="exact"/>
        <w:rPr>
          <w:rFonts w:ascii="Arial" w:cs="Arial" w:eastAsia="Arial" w:hAnsi="Arial"/>
          <w:sz w:val="11"/>
          <w:szCs w:val="11"/>
          <w:color w:val="auto"/>
        </w:rPr>
      </w:pPr>
    </w:p>
    <w:p>
      <w:pPr>
        <w:ind w:left="1360" w:hanging="281"/>
        <w:spacing w:after="0"/>
        <w:tabs>
          <w:tab w:leader="none" w:pos="1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Assumes 38% reduction of Cumulative Investment Advisory Fees Paid (illustrating management fee reduction from 2.0% to 1.25% of AUM), holding economic profit constant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0700"/>
          </w:cols>
          <w:pgMar w:left="460" w:top="264" w:right="7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3"/>
          <w:szCs w:val="23"/>
          <w:color w:val="FFFFFF"/>
          <w:vertAlign w:val="superscript"/>
        </w:rPr>
        <w:t>The</w:t>
      </w:r>
      <w:r>
        <w:rPr>
          <w:rFonts w:ascii="Arial" w:cs="Arial" w:eastAsia="Arial" w:hAnsi="Arial"/>
          <w:sz w:val="12"/>
          <w:szCs w:val="12"/>
          <w:color w:val="FFFFFF"/>
        </w:rPr>
        <w:t>PG Specialty Lending Proposal</w:t>
      </w:r>
    </w:p>
    <w:p>
      <w:pPr>
        <w:spacing w:after="0" w:line="184" w:lineRule="auto"/>
        <w:rPr>
          <w:sz w:val="20"/>
          <w:szCs w:val="20"/>
          <w:color w:val="auto"/>
        </w:rPr>
      </w:pPr>
      <w:r>
        <w:rPr>
          <w:rFonts w:ascii="Arial" w:cs="Arial" w:eastAsia="Arial" w:hAnsi="Arial"/>
          <w:sz w:val="4"/>
          <w:szCs w:val="4"/>
          <w:color w:val="FFFFFF"/>
        </w:rPr>
        <w:t>OctoberRight2015and Value Maximizing Choice for TICC Stockholders</w:t>
      </w:r>
    </w:p>
    <w:p>
      <w:pPr>
        <w:spacing w:after="0"/>
        <w:rPr>
          <w:sz w:val="20"/>
          <w:szCs w:val="20"/>
          <w:color w:val="auto"/>
        </w:rPr>
      </w:pPr>
      <w:r>
        <w:rPr>
          <w:rFonts w:ascii="Arial" w:cs="Arial" w:eastAsia="Arial" w:hAnsi="Arial"/>
          <w:sz w:val="12"/>
          <w:szCs w:val="12"/>
          <w:color w:val="FFFFFF"/>
        </w:rPr>
        <w:t>http://www.tpgspecialtylending.com/</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80" w:type="dxa"/>
            <w:vAlign w:val="bottom"/>
          </w:tcPr>
          <w:p>
            <w:pPr>
              <w:spacing w:after="0"/>
              <w:rPr>
                <w:sz w:val="20"/>
                <w:szCs w:val="20"/>
                <w:color w:val="auto"/>
              </w:rPr>
            </w:pPr>
            <w:r>
              <w:rPr>
                <w:rFonts w:ascii="Arial" w:cs="Arial" w:eastAsia="Arial" w:hAnsi="Arial"/>
                <w:sz w:val="12"/>
                <w:szCs w:val="12"/>
                <w:color w:val="FFFFFF"/>
                <w:w w:val="96"/>
              </w:rPr>
              <w:t>Forward-Looking Stateme ts</w:t>
            </w:r>
          </w:p>
        </w:tc>
        <w:tc>
          <w:tcPr>
            <w:tcW w:w="7720" w:type="dxa"/>
            <w:vAlign w:val="bottom"/>
            <w:gridSpan w:val="5"/>
            <w:vMerge w:val="restart"/>
          </w:tcPr>
          <w:p>
            <w:pPr>
              <w:ind w:left="260"/>
              <w:spacing w:after="0"/>
              <w:rPr>
                <w:sz w:val="20"/>
                <w:szCs w:val="20"/>
                <w:color w:val="auto"/>
              </w:rPr>
            </w:pPr>
            <w:r>
              <w:rPr>
                <w:rFonts w:ascii="Arial" w:cs="Arial" w:eastAsia="Arial" w:hAnsi="Arial"/>
                <w:sz w:val="12"/>
                <w:szCs w:val="12"/>
                <w:color w:val="FFFFFF"/>
                <w:w w:val="91"/>
              </w:rPr>
              <w:t>forward-looking statements. These forward-looking statements include, but are not limited to, statements regarding TSLX proposed business combination</w:t>
            </w:r>
          </w:p>
        </w:tc>
        <w:tc>
          <w:tcPr>
            <w:tcW w:w="2240" w:type="dxa"/>
            <w:vAlign w:val="bottom"/>
            <w:vMerge w:val="restart"/>
          </w:tcPr>
          <w:p>
            <w:pPr>
              <w:ind w:left="360"/>
              <w:spacing w:after="0"/>
              <w:rPr>
                <w:sz w:val="20"/>
                <w:szCs w:val="20"/>
                <w:color w:val="auto"/>
              </w:rPr>
            </w:pPr>
            <w:r>
              <w:rPr>
                <w:rFonts w:ascii="Arial" w:cs="Arial" w:eastAsia="Arial" w:hAnsi="Arial"/>
                <w:sz w:val="12"/>
                <w:szCs w:val="12"/>
                <w:color w:val="FFFFFF"/>
              </w:rPr>
              <w:t>with TICC Capital Corp. (“TICC”)</w:t>
            </w:r>
          </w:p>
        </w:tc>
        <w:tc>
          <w:tcPr>
            <w:tcW w:w="0" w:type="dxa"/>
            <w:vAlign w:val="bottom"/>
          </w:tcPr>
          <w:p>
            <w:pPr>
              <w:spacing w:after="0"/>
              <w:rPr>
                <w:sz w:val="1"/>
                <w:szCs w:val="1"/>
                <w:color w:val="auto"/>
              </w:rPr>
            </w:pPr>
          </w:p>
        </w:tc>
      </w:tr>
      <w:tr>
        <w:trPr>
          <w:trHeight w:val="35"/>
        </w:trPr>
        <w:tc>
          <w:tcPr>
            <w:tcW w:w="1480" w:type="dxa"/>
            <w:vAlign w:val="bottom"/>
          </w:tcPr>
          <w:p>
            <w:pPr>
              <w:spacing w:after="0" w:line="36" w:lineRule="exact"/>
              <w:rPr>
                <w:sz w:val="20"/>
                <w:szCs w:val="20"/>
                <w:color w:val="auto"/>
              </w:rPr>
            </w:pPr>
            <w:r>
              <w:rPr>
                <w:rFonts w:ascii="Arial" w:cs="Arial" w:eastAsia="Arial" w:hAnsi="Arial"/>
                <w:sz w:val="4"/>
                <w:szCs w:val="4"/>
                <w:color w:val="FFFFFF"/>
              </w:rPr>
              <w:t>Information set forth herein</w:t>
            </w:r>
          </w:p>
        </w:tc>
        <w:tc>
          <w:tcPr>
            <w:tcW w:w="7720" w:type="dxa"/>
            <w:vAlign w:val="bottom"/>
            <w:gridSpan w:val="5"/>
            <w:vMerge w:val="continue"/>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180" w:type="dxa"/>
            <w:vAlign w:val="bottom"/>
            <w:gridSpan w:val="2"/>
          </w:tcPr>
          <w:p>
            <w:pPr>
              <w:spacing w:after="0" w:line="36" w:lineRule="exact"/>
              <w:rPr>
                <w:sz w:val="20"/>
                <w:szCs w:val="20"/>
                <w:color w:val="auto"/>
              </w:rPr>
            </w:pPr>
            <w:r>
              <w:rPr>
                <w:rFonts w:ascii="Arial" w:cs="Arial" w:eastAsia="Arial" w:hAnsi="Arial"/>
                <w:sz w:val="4"/>
                <w:szCs w:val="4"/>
                <w:color w:val="FFFFFF"/>
              </w:rPr>
              <w:t>(including any financing requiredincludes connection with the proposed</w:t>
            </w:r>
          </w:p>
        </w:tc>
        <w:tc>
          <w:tcPr>
            <w:tcW w:w="3080" w:type="dxa"/>
            <w:vAlign w:val="bottom"/>
            <w:gridSpan w:val="3"/>
          </w:tcPr>
          <w:p>
            <w:pPr>
              <w:ind w:left="80"/>
              <w:spacing w:after="0" w:line="36" w:lineRule="exact"/>
              <w:rPr>
                <w:sz w:val="20"/>
                <w:szCs w:val="20"/>
                <w:color w:val="auto"/>
              </w:rPr>
            </w:pPr>
            <w:r>
              <w:rPr>
                <w:rFonts w:ascii="Arial" w:cs="Arial" w:eastAsia="Arial" w:hAnsi="Arial"/>
                <w:sz w:val="4"/>
                <w:szCs w:val="4"/>
                <w:color w:val="FFFFFF"/>
              </w:rPr>
              <w:t>nsaction and the benefits, results, effects and timing of</w:t>
            </w:r>
          </w:p>
        </w:tc>
        <w:tc>
          <w:tcPr>
            <w:tcW w:w="5180" w:type="dxa"/>
            <w:vAlign w:val="bottom"/>
            <w:gridSpan w:val="2"/>
          </w:tcPr>
          <w:p>
            <w:pPr>
              <w:ind w:left="300"/>
              <w:spacing w:after="0" w:line="36" w:lineRule="exact"/>
              <w:rPr>
                <w:sz w:val="20"/>
                <w:szCs w:val="20"/>
                <w:color w:val="auto"/>
              </w:rPr>
            </w:pPr>
            <w:r>
              <w:rPr>
                <w:rFonts w:ascii="Arial" w:cs="Arial" w:eastAsia="Arial" w:hAnsi="Arial"/>
                <w:sz w:val="4"/>
                <w:szCs w:val="4"/>
                <w:color w:val="FFFFFF"/>
              </w:rPr>
              <w:t>all statements regarding TPG Specialty Lending, Inc.’transaction(“TSLX”,   the “Company”) (and TSLX and</w:t>
            </w: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TICC’s combined) expected future financial position, results of operations, cash flows, dividends, financing plans, business strategytransaction),budgets, capital expenditures, competitive positions, growth opportunities, plans and objectives of</w:t>
            </w:r>
          </w:p>
        </w:tc>
        <w:tc>
          <w:tcPr>
            <w:tcW w:w="0" w:type="dxa"/>
            <w:vAlign w:val="bottom"/>
          </w:tcPr>
          <w:p>
            <w:pPr>
              <w:spacing w:after="0" w:line="20" w:lineRule="exact"/>
              <w:rPr>
                <w:sz w:val="1"/>
                <w:szCs w:val="1"/>
                <w:color w:val="auto"/>
              </w:rPr>
            </w:pPr>
          </w:p>
        </w:tc>
      </w:tr>
      <w:tr>
        <w:trPr>
          <w:trHeight w:val="35"/>
        </w:trPr>
        <w:tc>
          <w:tcPr>
            <w:tcW w:w="6260" w:type="dxa"/>
            <w:vAlign w:val="bottom"/>
            <w:gridSpan w:val="5"/>
          </w:tcPr>
          <w:p>
            <w:pPr>
              <w:spacing w:after="0" w:line="36" w:lineRule="exact"/>
              <w:rPr>
                <w:sz w:val="20"/>
                <w:szCs w:val="20"/>
                <w:color w:val="auto"/>
              </w:rPr>
            </w:pPr>
            <w:r>
              <w:rPr>
                <w:rFonts w:ascii="Arial" w:cs="Arial" w:eastAsia="Arial" w:hAnsi="Arial"/>
                <w:sz w:val="4"/>
                <w:szCs w:val="4"/>
                <w:color w:val="FFFFFF"/>
              </w:rPr>
              <w:t>management, and statements containing the words such as “anticipate,” “approximate,” “believe,” “plan,” “estimate,” “expect,”</w:t>
            </w:r>
          </w:p>
        </w:tc>
        <w:tc>
          <w:tcPr>
            <w:tcW w:w="5180" w:type="dxa"/>
            <w:vAlign w:val="bottom"/>
            <w:gridSpan w:val="2"/>
          </w:tcPr>
          <w:p>
            <w:pPr>
              <w:ind w:left="260"/>
              <w:spacing w:after="0" w:line="36" w:lineRule="exact"/>
              <w:rPr>
                <w:sz w:val="20"/>
                <w:szCs w:val="20"/>
                <w:color w:val="auto"/>
              </w:rPr>
            </w:pPr>
            <w:r>
              <w:rPr>
                <w:rFonts w:ascii="Arial" w:cs="Arial" w:eastAsia="Arial" w:hAnsi="Arial"/>
                <w:sz w:val="4"/>
                <w:szCs w:val="4"/>
                <w:color w:val="FFFFFF"/>
              </w:rPr>
              <w:t>“could,” “would,” “should,” “will,” “intend,” “may,” “potential,” “upside,” and other similar</w:t>
            </w: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expressions. Statements set forth herein concerning the business outlook or future economic performance, anticipated profitability“project,”revenues, expenses, dividends or other financial items, and product or services line growth of TSLX (and the</w:t>
            </w:r>
          </w:p>
        </w:tc>
        <w:tc>
          <w:tcPr>
            <w:tcW w:w="0" w:type="dxa"/>
            <w:vAlign w:val="bottom"/>
          </w:tcPr>
          <w:p>
            <w:pPr>
              <w:spacing w:after="0" w:line="20" w:lineRule="exact"/>
              <w:rPr>
                <w:sz w:val="1"/>
                <w:szCs w:val="1"/>
                <w:color w:val="auto"/>
              </w:rPr>
            </w:pPr>
          </w:p>
        </w:tc>
      </w:tr>
      <w:tr>
        <w:trPr>
          <w:trHeight w:val="35"/>
        </w:trPr>
        <w:tc>
          <w:tcPr>
            <w:tcW w:w="9200" w:type="dxa"/>
            <w:vAlign w:val="bottom"/>
            <w:gridSpan w:val="6"/>
          </w:tcPr>
          <w:p>
            <w:pPr>
              <w:spacing w:after="0" w:line="36" w:lineRule="exact"/>
              <w:rPr>
                <w:sz w:val="20"/>
                <w:szCs w:val="20"/>
                <w:color w:val="auto"/>
              </w:rPr>
            </w:pPr>
            <w:r>
              <w:rPr>
                <w:rFonts w:ascii="Arial" w:cs="Arial" w:eastAsia="Arial" w:hAnsi="Arial"/>
                <w:sz w:val="4"/>
                <w:szCs w:val="4"/>
                <w:color w:val="FFFFFF"/>
              </w:rPr>
              <w:t>combined businesses of TSLX and TICC), together with other statements that are not historical facts, are forward-looking statements that are estimates reflecting the best judgment of TSLX</w:t>
            </w:r>
          </w:p>
        </w:tc>
        <w:tc>
          <w:tcPr>
            <w:tcW w:w="2240" w:type="dxa"/>
            <w:vAlign w:val="bottom"/>
          </w:tcPr>
          <w:p>
            <w:pPr>
              <w:ind w:left="20"/>
              <w:spacing w:after="0" w:line="36" w:lineRule="exact"/>
              <w:rPr>
                <w:sz w:val="20"/>
                <w:szCs w:val="20"/>
                <w:color w:val="auto"/>
              </w:rPr>
            </w:pPr>
            <w:r>
              <w:rPr>
                <w:rFonts w:ascii="Arial" w:cs="Arial" w:eastAsia="Arial" w:hAnsi="Arial"/>
                <w:sz w:val="4"/>
                <w:szCs w:val="4"/>
                <w:color w:val="FFFFFF"/>
              </w:rPr>
              <w:t>upon currently available information.</w:t>
            </w:r>
          </w:p>
        </w:tc>
        <w:tc>
          <w:tcPr>
            <w:tcW w:w="0" w:type="dxa"/>
            <w:vAlign w:val="bottom"/>
          </w:tcPr>
          <w:p>
            <w:pPr>
              <w:spacing w:after="0" w:line="20" w:lineRule="exact"/>
              <w:rPr>
                <w:sz w:val="1"/>
                <w:szCs w:val="1"/>
                <w:color w:val="auto"/>
              </w:rPr>
            </w:pPr>
          </w:p>
        </w:tc>
      </w:tr>
      <w:tr>
        <w:trPr>
          <w:trHeight w:val="35"/>
        </w:trPr>
        <w:tc>
          <w:tcPr>
            <w:tcW w:w="4480" w:type="dxa"/>
            <w:vAlign w:val="bottom"/>
            <w:gridSpan w:val="4"/>
          </w:tcPr>
          <w:p>
            <w:pPr>
              <w:spacing w:after="0" w:line="36" w:lineRule="exact"/>
              <w:rPr>
                <w:sz w:val="20"/>
                <w:szCs w:val="20"/>
                <w:color w:val="auto"/>
              </w:rPr>
            </w:pPr>
            <w:r>
              <w:rPr>
                <w:rFonts w:ascii="Arial" w:cs="Arial" w:eastAsia="Arial" w:hAnsi="Arial"/>
                <w:sz w:val="4"/>
                <w:szCs w:val="4"/>
                <w:color w:val="FFFFFF"/>
              </w:rPr>
              <w:t>Such forward-looking statements are inherently uncertain, and stockholders and other potential</w:t>
            </w:r>
          </w:p>
        </w:tc>
        <w:tc>
          <w:tcPr>
            <w:tcW w:w="6960" w:type="dxa"/>
            <w:vAlign w:val="bottom"/>
            <w:gridSpan w:val="3"/>
          </w:tcPr>
          <w:p>
            <w:pPr>
              <w:ind w:left="460"/>
              <w:spacing w:after="0" w:line="36" w:lineRule="exact"/>
              <w:rPr>
                <w:sz w:val="20"/>
                <w:szCs w:val="20"/>
                <w:color w:val="auto"/>
              </w:rPr>
            </w:pPr>
            <w:r>
              <w:rPr>
                <w:rFonts w:ascii="Arial" w:cs="Arial" w:eastAsia="Arial" w:hAnsi="Arial"/>
                <w:sz w:val="4"/>
                <w:szCs w:val="4"/>
                <w:color w:val="FFFFFF"/>
              </w:rPr>
              <w:t>must recognize that actual results may differ materially from TSLX’s expectations asbasedresult of a variety of factors, including, without</w:t>
            </w:r>
          </w:p>
        </w:tc>
        <w:tc>
          <w:tcPr>
            <w:tcW w:w="0" w:type="dxa"/>
            <w:vAlign w:val="bottom"/>
          </w:tcPr>
          <w:p>
            <w:pPr>
              <w:spacing w:after="0" w:line="20" w:lineRule="exact"/>
              <w:rPr>
                <w:sz w:val="1"/>
                <w:szCs w:val="1"/>
                <w:color w:val="auto"/>
              </w:rPr>
            </w:pPr>
          </w:p>
        </w:tc>
      </w:tr>
      <w:tr>
        <w:trPr>
          <w:trHeight w:val="35"/>
        </w:trPr>
        <w:tc>
          <w:tcPr>
            <w:tcW w:w="3500" w:type="dxa"/>
            <w:vAlign w:val="bottom"/>
            <w:gridSpan w:val="3"/>
          </w:tcPr>
          <w:p>
            <w:pPr>
              <w:spacing w:after="0" w:line="36" w:lineRule="exact"/>
              <w:rPr>
                <w:sz w:val="20"/>
                <w:szCs w:val="20"/>
                <w:color w:val="auto"/>
              </w:rPr>
            </w:pPr>
            <w:r>
              <w:rPr>
                <w:rFonts w:ascii="Arial" w:cs="Arial" w:eastAsia="Arial" w:hAnsi="Arial"/>
                <w:sz w:val="4"/>
                <w:szCs w:val="4"/>
                <w:color w:val="FFFFFF"/>
              </w:rPr>
              <w:t>limitation, those discussed below. Such forward-looking statements are</w:t>
            </w:r>
          </w:p>
        </w:tc>
        <w:tc>
          <w:tcPr>
            <w:tcW w:w="7940" w:type="dxa"/>
            <w:vAlign w:val="bottom"/>
            <w:gridSpan w:val="4"/>
          </w:tcPr>
          <w:p>
            <w:pPr>
              <w:ind w:left="160"/>
              <w:spacing w:after="0" w:line="36" w:lineRule="exact"/>
              <w:rPr>
                <w:sz w:val="20"/>
                <w:szCs w:val="20"/>
                <w:color w:val="auto"/>
              </w:rPr>
            </w:pPr>
            <w:r>
              <w:rPr>
                <w:rFonts w:ascii="Arial" w:cs="Arial" w:eastAsia="Arial" w:hAnsi="Arial"/>
                <w:sz w:val="4"/>
                <w:szCs w:val="4"/>
                <w:color w:val="FFFFFF"/>
              </w:rPr>
              <w:t>upon management’investorscurrent expectations and include known and unknown risks, uncertainties and other factors, many of which TSLX is unable to predict or</w:t>
            </w:r>
          </w:p>
        </w:tc>
        <w:tc>
          <w:tcPr>
            <w:tcW w:w="0" w:type="dxa"/>
            <w:vAlign w:val="bottom"/>
          </w:tcPr>
          <w:p>
            <w:pPr>
              <w:spacing w:after="0" w:line="20" w:lineRule="exact"/>
              <w:rPr>
                <w:sz w:val="1"/>
                <w:szCs w:val="1"/>
                <w:color w:val="auto"/>
              </w:rPr>
            </w:pPr>
          </w:p>
        </w:tc>
      </w:tr>
      <w:tr>
        <w:trPr>
          <w:trHeight w:val="35"/>
        </w:trPr>
        <w:tc>
          <w:tcPr>
            <w:tcW w:w="1480" w:type="dxa"/>
            <w:vAlign w:val="bottom"/>
          </w:tcPr>
          <w:p>
            <w:pPr>
              <w:spacing w:after="0" w:line="36" w:lineRule="exact"/>
              <w:rPr>
                <w:sz w:val="20"/>
                <w:szCs w:val="20"/>
                <w:color w:val="auto"/>
              </w:rPr>
            </w:pPr>
            <w:r>
              <w:rPr>
                <w:rFonts w:ascii="Arial" w:cs="Arial" w:eastAsia="Arial" w:hAnsi="Arial"/>
                <w:sz w:val="4"/>
                <w:szCs w:val="4"/>
                <w:color w:val="FFFFFF"/>
              </w:rPr>
              <w:t>control, that may cause TSLX’</w:t>
            </w:r>
          </w:p>
        </w:tc>
        <w:tc>
          <w:tcPr>
            <w:tcW w:w="9960" w:type="dxa"/>
            <w:vAlign w:val="bottom"/>
            <w:gridSpan w:val="6"/>
          </w:tcPr>
          <w:p>
            <w:pPr>
              <w:ind w:left="40"/>
              <w:spacing w:after="0" w:line="36" w:lineRule="exact"/>
              <w:rPr>
                <w:sz w:val="20"/>
                <w:szCs w:val="20"/>
                <w:color w:val="auto"/>
              </w:rPr>
            </w:pPr>
            <w:r>
              <w:rPr>
                <w:rFonts w:ascii="Arial" w:cs="Arial" w:eastAsia="Arial" w:hAnsi="Arial"/>
                <w:sz w:val="4"/>
                <w:szCs w:val="4"/>
                <w:color w:val="FFFFFF"/>
              </w:rPr>
              <w:t>plans with respect to TICC, actual resulbasedorperformance to differ materially from any plans, future results or performance expressed or implied by such forward-looking statements. These statements involve</w:t>
            </w:r>
          </w:p>
        </w:tc>
        <w:tc>
          <w:tcPr>
            <w:tcW w:w="0" w:type="dxa"/>
            <w:vAlign w:val="bottom"/>
          </w:tcPr>
          <w:p>
            <w:pPr>
              <w:spacing w:after="0" w:line="20" w:lineRule="exact"/>
              <w:rPr>
                <w:sz w:val="1"/>
                <w:szCs w:val="1"/>
                <w:color w:val="auto"/>
              </w:rPr>
            </w:pPr>
          </w:p>
        </w:tc>
      </w:tr>
      <w:tr>
        <w:trPr>
          <w:trHeight w:val="35"/>
        </w:trPr>
        <w:tc>
          <w:tcPr>
            <w:tcW w:w="1480" w:type="dxa"/>
            <w:vAlign w:val="bottom"/>
          </w:tcPr>
          <w:p>
            <w:pPr>
              <w:spacing w:after="0" w:line="36" w:lineRule="exact"/>
              <w:rPr>
                <w:sz w:val="20"/>
                <w:szCs w:val="20"/>
                <w:color w:val="auto"/>
              </w:rPr>
            </w:pPr>
            <w:r>
              <w:rPr>
                <w:rFonts w:ascii="Arial" w:cs="Arial" w:eastAsia="Arial" w:hAnsi="Arial"/>
                <w:sz w:val="4"/>
                <w:szCs w:val="4"/>
                <w:color w:val="FFFFFF"/>
              </w:rPr>
              <w:t>risks, uncertainties and other</w:t>
            </w:r>
          </w:p>
        </w:tc>
        <w:tc>
          <w:tcPr>
            <w:tcW w:w="3000" w:type="dxa"/>
            <w:vAlign w:val="bottom"/>
            <w:gridSpan w:val="3"/>
          </w:tcPr>
          <w:p>
            <w:pPr>
              <w:ind w:left="240"/>
              <w:spacing w:after="0" w:line="36" w:lineRule="exact"/>
              <w:rPr>
                <w:sz w:val="20"/>
                <w:szCs w:val="20"/>
                <w:color w:val="auto"/>
              </w:rPr>
            </w:pPr>
            <w:r>
              <w:rPr>
                <w:rFonts w:ascii="Arial" w:cs="Arial" w:eastAsia="Arial" w:hAnsi="Arial"/>
                <w:sz w:val="4"/>
                <w:szCs w:val="4"/>
                <w:color w:val="FFFFFF"/>
              </w:rPr>
              <w:t>discussed below and detailed from time to time   TSLX’</w:t>
            </w:r>
          </w:p>
        </w:tc>
        <w:tc>
          <w:tcPr>
            <w:tcW w:w="4720" w:type="dxa"/>
            <w:vAlign w:val="bottom"/>
            <w:gridSpan w:val="2"/>
          </w:tcPr>
          <w:p>
            <w:pPr>
              <w:ind w:left="20"/>
              <w:spacing w:after="0" w:line="36" w:lineRule="exact"/>
              <w:rPr>
                <w:sz w:val="20"/>
                <w:szCs w:val="20"/>
                <w:color w:val="auto"/>
              </w:rPr>
            </w:pPr>
            <w:r>
              <w:rPr>
                <w:rFonts w:ascii="Arial" w:cs="Arial" w:eastAsia="Arial" w:hAnsi="Arial"/>
                <w:sz w:val="4"/>
                <w:szCs w:val="4"/>
                <w:color w:val="FFFFFF"/>
              </w:rPr>
              <w:t>filings with the Securities and Exchange Commission (“SEC”).</w:t>
            </w:r>
          </w:p>
        </w:tc>
        <w:tc>
          <w:tcPr>
            <w:tcW w:w="2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Risks and uncertainties relatedfactorsthe proposed transaction include, among others, uncertainty as to whether TSLX will further pursue, enter into or consummate the transaction on the terms set forth in the proposal or on other terms, potential</w:t>
            </w:r>
          </w:p>
        </w:tc>
        <w:tc>
          <w:tcPr>
            <w:tcW w:w="0" w:type="dxa"/>
            <w:vAlign w:val="bottom"/>
          </w:tcPr>
          <w:p>
            <w:pPr>
              <w:spacing w:after="0" w:line="20" w:lineRule="exact"/>
              <w:rPr>
                <w:sz w:val="1"/>
                <w:szCs w:val="1"/>
                <w:color w:val="auto"/>
              </w:rPr>
            </w:pPr>
          </w:p>
        </w:tc>
      </w:tr>
      <w:tr>
        <w:trPr>
          <w:trHeight w:val="35"/>
        </w:trPr>
        <w:tc>
          <w:tcPr>
            <w:tcW w:w="9200" w:type="dxa"/>
            <w:vAlign w:val="bottom"/>
            <w:gridSpan w:val="6"/>
          </w:tcPr>
          <w:p>
            <w:pPr>
              <w:spacing w:after="0" w:line="36" w:lineRule="exact"/>
              <w:rPr>
                <w:sz w:val="20"/>
                <w:szCs w:val="20"/>
                <w:color w:val="auto"/>
              </w:rPr>
            </w:pPr>
            <w:r>
              <w:rPr>
                <w:rFonts w:ascii="Arial" w:cs="Arial" w:eastAsia="Arial" w:hAnsi="Arial"/>
                <w:sz w:val="4"/>
                <w:szCs w:val="4"/>
                <w:color w:val="FFFFFF"/>
              </w:rPr>
              <w:t>adverse reactions or changes to business relationships resulting from the announcement or completion of the transaction, uncertainties as to the timing of the transaction, adverse effects on TSLX’</w:t>
            </w:r>
          </w:p>
        </w:tc>
        <w:tc>
          <w:tcPr>
            <w:tcW w:w="2240" w:type="dxa"/>
            <w:vAlign w:val="bottom"/>
          </w:tcPr>
          <w:p>
            <w:pPr>
              <w:ind w:left="40"/>
              <w:spacing w:after="0" w:line="36" w:lineRule="exact"/>
              <w:rPr>
                <w:sz w:val="20"/>
                <w:szCs w:val="20"/>
                <w:color w:val="auto"/>
              </w:rPr>
            </w:pPr>
            <w:r>
              <w:rPr>
                <w:rFonts w:ascii="Arial" w:cs="Arial" w:eastAsia="Arial" w:hAnsi="Arial"/>
                <w:sz w:val="4"/>
                <w:szCs w:val="4"/>
                <w:color w:val="FFFFFF"/>
              </w:rPr>
              <w:t>stock price resulting from the announcement</w:t>
            </w: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or consummation of the transaction or any failure to complete the transaction, competitive responses to the announcement or consummation of the transaction, the risk that regulatory or other approvals and any financing required   connection</w:t>
            </w: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with the consummation of the transaction are not obtained or are obtained subject to terms and conditions that are not anticipated, costs and difficulties related to the integration of TICC’s businesses and operations with TSLX’s businesses and</w:t>
            </w:r>
          </w:p>
        </w:tc>
        <w:tc>
          <w:tcPr>
            <w:tcW w:w="0" w:type="dxa"/>
            <w:vAlign w:val="bottom"/>
          </w:tcPr>
          <w:p>
            <w:pPr>
              <w:spacing w:after="0" w:line="20" w:lineRule="exact"/>
              <w:rPr>
                <w:sz w:val="1"/>
                <w:szCs w:val="1"/>
                <w:color w:val="auto"/>
              </w:rPr>
            </w:pPr>
          </w:p>
        </w:tc>
      </w:tr>
      <w:tr>
        <w:trPr>
          <w:trHeight w:val="35"/>
        </w:trPr>
        <w:tc>
          <w:tcPr>
            <w:tcW w:w="11440" w:type="dxa"/>
            <w:vAlign w:val="bottom"/>
            <w:gridSpan w:val="7"/>
          </w:tcPr>
          <w:p>
            <w:pPr>
              <w:spacing w:after="0" w:line="36" w:lineRule="exact"/>
              <w:rPr>
                <w:sz w:val="20"/>
                <w:szCs w:val="20"/>
                <w:color w:val="auto"/>
              </w:rPr>
            </w:pPr>
            <w:r>
              <w:rPr>
                <w:rFonts w:ascii="Arial" w:cs="Arial" w:eastAsia="Arial" w:hAnsi="Arial"/>
                <w:sz w:val="4"/>
                <w:szCs w:val="4"/>
                <w:color w:val="FFFFFF"/>
              </w:rPr>
              <w:t>operations, the inability to obtain, or delays in obtaining, cost savings and synergies from the transaction, unexpected costs, liabilities, charges or expenses resulting from the transaction, litigation relating to the transaction, the inability to retain</w:t>
            </w:r>
          </w:p>
        </w:tc>
        <w:tc>
          <w:tcPr>
            <w:tcW w:w="0" w:type="dxa"/>
            <w:vAlign w:val="bottom"/>
          </w:tcPr>
          <w:p>
            <w:pPr>
              <w:spacing w:after="0" w:line="20" w:lineRule="exact"/>
              <w:rPr>
                <w:sz w:val="1"/>
                <w:szCs w:val="1"/>
                <w:color w:val="auto"/>
              </w:rPr>
            </w:pPr>
          </w:p>
        </w:tc>
      </w:tr>
      <w:tr>
        <w:trPr>
          <w:trHeight w:val="35"/>
        </w:trPr>
        <w:tc>
          <w:tcPr>
            <w:tcW w:w="3180" w:type="dxa"/>
            <w:vAlign w:val="bottom"/>
            <w:gridSpan w:val="2"/>
          </w:tcPr>
          <w:p>
            <w:pPr>
              <w:spacing w:after="0" w:line="36" w:lineRule="exact"/>
              <w:rPr>
                <w:sz w:val="20"/>
                <w:szCs w:val="20"/>
                <w:color w:val="auto"/>
              </w:rPr>
            </w:pPr>
            <w:r>
              <w:rPr>
                <w:rFonts w:ascii="Arial" w:cs="Arial" w:eastAsia="Arial" w:hAnsi="Arial"/>
                <w:sz w:val="4"/>
                <w:szCs w:val="4"/>
                <w:color w:val="FFFFFF"/>
              </w:rPr>
              <w:t>key pers  nel, and any changes in general economic and/or</w:t>
            </w:r>
          </w:p>
        </w:tc>
        <w:tc>
          <w:tcPr>
            <w:tcW w:w="1300" w:type="dxa"/>
            <w:vAlign w:val="bottom"/>
            <w:gridSpan w:val="2"/>
          </w:tcPr>
          <w:p>
            <w:pPr>
              <w:ind w:left="60"/>
              <w:spacing w:after="0" w:line="36" w:lineRule="exact"/>
              <w:rPr>
                <w:sz w:val="20"/>
                <w:szCs w:val="20"/>
                <w:color w:val="auto"/>
              </w:rPr>
            </w:pPr>
            <w:r>
              <w:rPr>
                <w:rFonts w:ascii="Arial" w:cs="Arial" w:eastAsia="Arial" w:hAnsi="Arial"/>
                <w:sz w:val="4"/>
                <w:szCs w:val="4"/>
                <w:color w:val="FFFFFF"/>
              </w:rPr>
              <w:t>specific conditions.</w:t>
            </w: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9200" w:type="dxa"/>
            <w:vAlign w:val="bottom"/>
            <w:gridSpan w:val="6"/>
          </w:tcPr>
          <w:p>
            <w:pPr>
              <w:spacing w:after="0"/>
              <w:rPr>
                <w:sz w:val="20"/>
                <w:szCs w:val="20"/>
                <w:color w:val="auto"/>
              </w:rPr>
            </w:pPr>
            <w:r>
              <w:rPr>
                <w:rFonts w:ascii="Arial" w:cs="Arial" w:eastAsia="Arial" w:hAnsi="Arial"/>
                <w:sz w:val="2"/>
                <w:szCs w:val="2"/>
                <w:color w:val="FFFFFF"/>
              </w:rPr>
              <w:t>In addition to these factors, other factors that may affect TSLX’industryplans, results or stock price are set forth in TSLX’s Annual Report on Form 10-K and in its reports on Forms 10-Q and 8-K.</w:t>
            </w: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auto"/>
        <w:rPr>
          <w:sz w:val="20"/>
          <w:szCs w:val="20"/>
          <w:color w:val="auto"/>
        </w:rPr>
      </w:pPr>
      <w:r>
        <w:rPr>
          <w:rFonts w:ascii="Arial" w:cs="Arial" w:eastAsia="Arial" w:hAnsi="Arial"/>
          <w:sz w:val="2"/>
          <w:szCs w:val="2"/>
          <w:color w:val="FFFFFF"/>
        </w:rPr>
        <w:t>Many of these factors are beyond TSLX’</w:t>
      </w:r>
      <w:r>
        <w:rPr>
          <w:rFonts w:ascii="Arial" w:cs="Arial" w:eastAsia="Arial" w:hAnsi="Arial"/>
          <w:sz w:val="4"/>
          <w:szCs w:val="4"/>
          <w:color w:val="FFFFFF"/>
          <w:vertAlign w:val="subscript"/>
        </w:rPr>
        <w:t>revisions</w:t>
      </w:r>
      <w:r>
        <w:rPr>
          <w:rFonts w:ascii="Arial" w:cs="Arial" w:eastAsia="Arial" w:hAnsi="Arial"/>
          <w:sz w:val="2"/>
          <w:szCs w:val="2"/>
          <w:color w:val="FFFFFF"/>
        </w:rPr>
        <w:t>control. TSLX cautions investors th</w:t>
      </w:r>
      <w:r>
        <w:rPr>
          <w:rFonts w:ascii="Arial" w:cs="Arial" w:eastAsia="Arial" w:hAnsi="Arial"/>
          <w:sz w:val="4"/>
          <w:szCs w:val="4"/>
          <w:color w:val="FFFFFF"/>
          <w:vertAlign w:val="subscript"/>
        </w:rPr>
        <w:t>statements</w:t>
      </w:r>
      <w:r>
        <w:rPr>
          <w:rFonts w:ascii="Arial" w:cs="Arial" w:eastAsia="Arial" w:hAnsi="Arial"/>
          <w:sz w:val="2"/>
          <w:szCs w:val="2"/>
          <w:color w:val="FFFFFF"/>
        </w:rPr>
        <w:t>anyforward-looking statements made by TSLX are not guarantees of future performance. TSLX disclaims any obligation to update any such factors or to</w:t>
      </w:r>
    </w:p>
    <w:p>
      <w:pPr>
        <w:spacing w:after="0"/>
        <w:tabs>
          <w:tab w:leader="none" w:pos="2160" w:val="left"/>
          <w:tab w:leader="none" w:pos="4100" w:val="left"/>
        </w:tabs>
        <w:rPr>
          <w:sz w:val="20"/>
          <w:szCs w:val="20"/>
          <w:color w:val="auto"/>
        </w:rPr>
      </w:pPr>
      <w:r>
        <w:rPr>
          <w:rFonts w:ascii="Arial" w:cs="Arial" w:eastAsia="Arial" w:hAnsi="Arial"/>
          <w:sz w:val="12"/>
          <w:szCs w:val="12"/>
          <w:color w:val="FFFFFF"/>
        </w:rPr>
        <w:t>TSLXannounce(NYSE)publicly1 the results of any</w:t>
      </w:r>
      <w:r>
        <w:rPr>
          <w:sz w:val="20"/>
          <w:szCs w:val="20"/>
          <w:color w:val="auto"/>
        </w:rPr>
        <w:tab/>
      </w:r>
      <w:r>
        <w:rPr>
          <w:rFonts w:ascii="Arial" w:cs="Arial" w:eastAsia="Arial" w:hAnsi="Arial"/>
          <w:sz w:val="12"/>
          <w:szCs w:val="12"/>
          <w:color w:val="FFFFFF"/>
        </w:rPr>
        <w:t>to any of the forward-looking</w:t>
      </w:r>
      <w:r>
        <w:rPr>
          <w:sz w:val="20"/>
          <w:szCs w:val="20"/>
          <w:color w:val="auto"/>
        </w:rPr>
        <w:tab/>
      </w:r>
      <w:r>
        <w:rPr>
          <w:rFonts w:ascii="Arial" w:cs="Arial" w:eastAsia="Arial" w:hAnsi="Arial"/>
          <w:sz w:val="9"/>
          <w:szCs w:val="9"/>
          <w:color w:val="FFFFFF"/>
        </w:rPr>
        <w:t>to reflect future events or developments.</w:t>
      </w:r>
    </w:p>
    <w:p>
      <w:pPr>
        <w:sectPr>
          <w:pgSz w:w="11900" w:h="16838" w:orient="portrait"/>
          <w:cols w:equalWidth="0" w:num="1">
            <w:col w:w="11440"/>
          </w:cols>
          <w:pgMar w:left="240" w:top="1440" w:right="2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20" w:type="dxa"/>
            <w:vAlign w:val="bottom"/>
            <w:gridSpan w:val="3"/>
          </w:tcPr>
          <w:p>
            <w:pPr>
              <w:spacing w:after="0"/>
              <w:rPr>
                <w:sz w:val="20"/>
                <w:szCs w:val="20"/>
                <w:color w:val="auto"/>
              </w:rPr>
            </w:pPr>
            <w:r>
              <w:rPr>
                <w:rFonts w:ascii="Arial" w:cs="Arial" w:eastAsia="Arial" w:hAnsi="Arial"/>
                <w:sz w:val="12"/>
                <w:szCs w:val="12"/>
                <w:color w:val="FFFFFF"/>
              </w:rPr>
              <w:t xml:space="preserve">Third Party-Sourced Statements and Information </w:t>
            </w:r>
            <w:r>
              <w:rPr>
                <w:rFonts w:ascii="Arial" w:cs="Arial" w:eastAsia="Arial" w:hAnsi="Arial"/>
                <w:sz w:val="23"/>
                <w:szCs w:val="23"/>
                <w:color w:val="FFFFFF"/>
                <w:vertAlign w:val="superscript"/>
              </w:rPr>
              <w:t>| Proxy Solicitation Information</w:t>
            </w:r>
          </w:p>
        </w:tc>
        <w:tc>
          <w:tcPr>
            <w:tcW w:w="6400" w:type="dxa"/>
            <w:vAlign w:val="bottom"/>
          </w:tcPr>
          <w:p>
            <w:pPr>
              <w:spacing w:after="0"/>
              <w:rPr>
                <w:sz w:val="23"/>
                <w:szCs w:val="23"/>
                <w:color w:val="auto"/>
              </w:rPr>
            </w:pP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Certain statements and information herein have been sourced from third parties. TSLX does not make any representations regarding the accuracy, completeness or timeliness of such third party statements   information. Except as expressly set</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forth herein, permission to c te such statements or information has neither been sought nor obtained from such third parties. Any such statements or information should not be viewed as an indication of support from such third parties for the</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views expressed herein. All information in this communication regarding TICC, including its businesses, operations and financial results, was obtained from public sources. While TSLX has no knowledge that any such information is</w:t>
            </w:r>
          </w:p>
        </w:tc>
      </w:tr>
      <w:tr>
        <w:trPr>
          <w:trHeight w:val="35"/>
        </w:trPr>
        <w:tc>
          <w:tcPr>
            <w:tcW w:w="11420" w:type="dxa"/>
            <w:vAlign w:val="bottom"/>
            <w:gridSpan w:val="4"/>
          </w:tcPr>
          <w:p>
            <w:pPr>
              <w:ind w:left="80"/>
              <w:spacing w:after="0" w:line="36" w:lineRule="exact"/>
              <w:rPr>
                <w:sz w:val="20"/>
                <w:szCs w:val="20"/>
                <w:color w:val="auto"/>
              </w:rPr>
            </w:pPr>
            <w:r>
              <w:rPr>
                <w:rFonts w:ascii="Arial" w:cs="Arial" w:eastAsia="Arial" w:hAnsi="Arial"/>
                <w:sz w:val="4"/>
                <w:szCs w:val="4"/>
                <w:color w:val="FFFFFF"/>
              </w:rPr>
              <w:t>accurate or incomplete, TSLX has not verified any of that information. TSLX reserves the right to change any of its opinions expressed herein at any time as it deems appropriate. TSLX disclaims any obligation to update the data,</w:t>
            </w:r>
          </w:p>
        </w:tc>
      </w:tr>
      <w:tr>
        <w:trPr>
          <w:trHeight w:val="35"/>
        </w:trPr>
        <w:tc>
          <w:tcPr>
            <w:tcW w:w="2200" w:type="dxa"/>
            <w:vAlign w:val="bottom"/>
            <w:gridSpan w:val="2"/>
          </w:tcPr>
          <w:p>
            <w:pPr>
              <w:spacing w:after="0" w:line="36" w:lineRule="exact"/>
              <w:rPr>
                <w:sz w:val="20"/>
                <w:szCs w:val="20"/>
                <w:color w:val="auto"/>
              </w:rPr>
            </w:pPr>
            <w:r>
              <w:rPr>
                <w:rFonts w:ascii="Arial" w:cs="Arial" w:eastAsia="Arial" w:hAnsi="Arial"/>
                <w:sz w:val="4"/>
                <w:szCs w:val="4"/>
                <w:color w:val="FFFFFF"/>
              </w:rPr>
              <w:t>information or opinions contained herein.</w:t>
            </w:r>
          </w:p>
        </w:tc>
        <w:tc>
          <w:tcPr>
            <w:tcW w:w="28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35"/>
        </w:trPr>
        <w:tc>
          <w:tcPr>
            <w:tcW w:w="1440" w:type="dxa"/>
            <w:vAlign w:val="bottom"/>
          </w:tcPr>
          <w:p>
            <w:pPr>
              <w:spacing w:after="0" w:line="36" w:lineRule="exact"/>
              <w:rPr>
                <w:sz w:val="20"/>
                <w:szCs w:val="20"/>
                <w:color w:val="auto"/>
              </w:rPr>
            </w:pPr>
            <w:r>
              <w:rPr>
                <w:rFonts w:ascii="Arial" w:cs="Arial" w:eastAsia="Arial" w:hAnsi="Arial"/>
                <w:sz w:val="4"/>
                <w:szCs w:val="4"/>
                <w:color w:val="FFFFFF"/>
              </w:rPr>
              <w:t>Proxy Solicitation Information</w:t>
            </w:r>
          </w:p>
        </w:tc>
        <w:tc>
          <w:tcPr>
            <w:tcW w:w="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The information set forth herein is provided for informational purpos s only and does not constitute an offer to purchase or the solicitation of an offer to sell any securities. TSLX has filed with the SEC and mailed to TICC stockholders a</w:t>
            </w:r>
          </w:p>
        </w:tc>
      </w:tr>
      <w:tr>
        <w:trPr>
          <w:trHeight w:val="35"/>
        </w:trPr>
        <w:tc>
          <w:tcPr>
            <w:tcW w:w="5020" w:type="dxa"/>
            <w:vAlign w:val="bottom"/>
            <w:gridSpan w:val="3"/>
          </w:tcPr>
          <w:p>
            <w:pPr>
              <w:spacing w:after="0" w:line="36" w:lineRule="exact"/>
              <w:rPr>
                <w:sz w:val="20"/>
                <w:szCs w:val="20"/>
                <w:color w:val="auto"/>
              </w:rPr>
            </w:pPr>
            <w:r>
              <w:rPr>
                <w:rFonts w:ascii="Arial" w:cs="Arial" w:eastAsia="Arial" w:hAnsi="Arial"/>
                <w:sz w:val="4"/>
                <w:szCs w:val="4"/>
                <w:color w:val="FFFFFF"/>
              </w:rPr>
              <w:t>definitive proxy statement   d accompanying GOLD proxy card to be used to solicit votes at a special</w:t>
            </w:r>
          </w:p>
        </w:tc>
        <w:tc>
          <w:tcPr>
            <w:tcW w:w="6400" w:type="dxa"/>
            <w:vAlign w:val="bottom"/>
          </w:tcPr>
          <w:p>
            <w:pPr>
              <w:jc w:val="right"/>
              <w:ind w:right="162"/>
              <w:spacing w:after="0" w:line="36" w:lineRule="exact"/>
              <w:rPr>
                <w:sz w:val="20"/>
                <w:szCs w:val="20"/>
                <w:color w:val="auto"/>
              </w:rPr>
            </w:pPr>
            <w:r>
              <w:rPr>
                <w:rFonts w:ascii="Arial" w:cs="Arial" w:eastAsia="Arial" w:hAnsi="Arial"/>
                <w:sz w:val="4"/>
                <w:szCs w:val="4"/>
                <w:color w:val="FFFFFF"/>
              </w:rPr>
              <w:t>of stockholders of TICC scheduled to be held on October 27, 2015 against (a) approval of the new advisory agreement between</w:t>
            </w:r>
          </w:p>
        </w:tc>
      </w:tr>
      <w:tr>
        <w:trPr>
          <w:trHeight w:val="35"/>
        </w:trPr>
        <w:tc>
          <w:tcPr>
            <w:tcW w:w="1440" w:type="dxa"/>
            <w:vAlign w:val="bottom"/>
          </w:tcPr>
          <w:p>
            <w:pPr>
              <w:spacing w:after="0" w:line="36" w:lineRule="exact"/>
              <w:rPr>
                <w:sz w:val="20"/>
                <w:szCs w:val="20"/>
                <w:color w:val="auto"/>
              </w:rPr>
            </w:pPr>
            <w:r>
              <w:rPr>
                <w:rFonts w:ascii="Arial" w:cs="Arial" w:eastAsia="Arial" w:hAnsi="Arial"/>
                <w:sz w:val="4"/>
                <w:szCs w:val="4"/>
                <w:color w:val="FFFFFF"/>
              </w:rPr>
              <w:t>TICC and TICC Management,</w:t>
            </w:r>
          </w:p>
        </w:tc>
        <w:tc>
          <w:tcPr>
            <w:tcW w:w="9980" w:type="dxa"/>
            <w:vAlign w:val="bottom"/>
            <w:gridSpan w:val="3"/>
          </w:tcPr>
          <w:p>
            <w:pPr>
              <w:jc w:val="right"/>
              <w:ind w:right="142"/>
              <w:spacing w:after="0" w:line="36" w:lineRule="exact"/>
              <w:rPr>
                <w:sz w:val="20"/>
                <w:szCs w:val="20"/>
                <w:color w:val="auto"/>
              </w:rPr>
            </w:pPr>
            <w:r>
              <w:rPr>
                <w:rFonts w:ascii="Arial" w:cs="Arial" w:eastAsia="Arial" w:hAnsi="Arial"/>
                <w:sz w:val="4"/>
                <w:szCs w:val="4"/>
                <w:color w:val="FFFFFF"/>
              </w:rPr>
              <w:t>LLC (the “Adviser”), to take effect upon a change of control of the Advisermeetingconnection with the entrance of the Adviser into  purchase agreement with an affiliate of Benefit Street Partners L.L.C. (“BSP”),</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pursuant to which BSP will acquire control of the Adviser, (b) the election of six directors nominated by TICC’s board of directors, and (c) the proposal to adjourn the meeting if necessary or appropriate to solicit additional votes.</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TSLX STRONGLY ADVISES ALL STOCKHOLDERS OF TICC TO READ THE TSLX PROXY STATEMENT AND ITS OTHER PROXY MATERIALS AS THEY BECOME AVAILABLE BECAUSE THEY CONTAIN IMPORTANT</w:t>
            </w:r>
          </w:p>
        </w:tc>
      </w:tr>
      <w:tr>
        <w:trPr>
          <w:trHeight w:val="35"/>
        </w:trPr>
        <w:tc>
          <w:tcPr>
            <w:tcW w:w="1440" w:type="dxa"/>
            <w:vAlign w:val="bottom"/>
          </w:tcPr>
          <w:p>
            <w:pPr>
              <w:spacing w:after="0" w:line="36" w:lineRule="exact"/>
              <w:rPr>
                <w:sz w:val="20"/>
                <w:szCs w:val="20"/>
                <w:color w:val="auto"/>
              </w:rPr>
            </w:pPr>
            <w:r>
              <w:rPr>
                <w:rFonts w:ascii="Arial" w:cs="Arial" w:eastAsia="Arial" w:hAnsi="Arial"/>
                <w:sz w:val="4"/>
                <w:szCs w:val="4"/>
                <w:color w:val="FFFFFF"/>
              </w:rPr>
              <w:t>INFORMATION. SUCH</w:t>
            </w:r>
          </w:p>
        </w:tc>
        <w:tc>
          <w:tcPr>
            <w:tcW w:w="3580" w:type="dxa"/>
            <w:vAlign w:val="bottom"/>
            <w:gridSpan w:val="2"/>
          </w:tcPr>
          <w:p>
            <w:pPr>
              <w:ind w:left="80"/>
              <w:spacing w:after="0" w:line="36" w:lineRule="exact"/>
              <w:rPr>
                <w:sz w:val="20"/>
                <w:szCs w:val="20"/>
                <w:color w:val="auto"/>
              </w:rPr>
            </w:pPr>
            <w:r>
              <w:rPr>
                <w:rFonts w:ascii="Arial" w:cs="Arial" w:eastAsia="Arial" w:hAnsi="Arial"/>
                <w:sz w:val="4"/>
                <w:szCs w:val="4"/>
                <w:color w:val="FFFFFF"/>
              </w:rPr>
              <w:t>PROXY MATERIALS ARE AND WILL</w:t>
            </w:r>
          </w:p>
        </w:tc>
        <w:tc>
          <w:tcPr>
            <w:tcW w:w="6400" w:type="dxa"/>
            <w:vAlign w:val="bottom"/>
          </w:tcPr>
          <w:p>
            <w:pPr>
              <w:spacing w:after="0"/>
              <w:rPr>
                <w:sz w:val="3"/>
                <w:szCs w:val="3"/>
                <w:color w:val="auto"/>
              </w:rPr>
            </w:pP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BECOME AVAILABLE TSLXNO CHARGE ON THE SEC’S WEB SITE AT HTTP://WWW.SEC.GOV AND AT TSLX’S WEBSITE AT</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HTTP://WWW.TPGSPECIALTYLENDING.COM. IN ADDITION, TSLX WILL PROVIDE COPIES OF THE PROXY ST TEMENT WITHOUT CHARGE</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UPON REQUEST. REQUESTS FOR COPIES SHOULD BE DIRECTED TO TSLX’S PROXY SOLICITOR AT TPG@MACKENZIEPARTNERS.COM.</w:t>
            </w: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The participant in the solicitation is TSLX and certain of its directors and executive officers may also be deemed to be participants in the solicitation. As of the date hereof, TSLX directly beneficially owned 1,633,660 shares of common stock</w:t>
            </w:r>
          </w:p>
        </w:tc>
      </w:tr>
      <w:tr>
        <w:trPr>
          <w:trHeight w:val="35"/>
        </w:trPr>
        <w:tc>
          <w:tcPr>
            <w:tcW w:w="1440" w:type="dxa"/>
            <w:vAlign w:val="bottom"/>
          </w:tcPr>
          <w:p>
            <w:pPr>
              <w:spacing w:after="0" w:line="36" w:lineRule="exact"/>
              <w:rPr>
                <w:sz w:val="20"/>
                <w:szCs w:val="20"/>
                <w:color w:val="auto"/>
              </w:rPr>
            </w:pPr>
            <w:r>
              <w:rPr>
                <w:rFonts w:ascii="Arial" w:cs="Arial" w:eastAsia="Arial" w:hAnsi="Arial"/>
                <w:sz w:val="4"/>
                <w:szCs w:val="4"/>
                <w:color w:val="FFFFFF"/>
              </w:rPr>
              <w:t>of TICC.</w:t>
            </w:r>
          </w:p>
        </w:tc>
        <w:tc>
          <w:tcPr>
            <w:tcW w:w="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35"/>
        </w:trPr>
        <w:tc>
          <w:tcPr>
            <w:tcW w:w="11420" w:type="dxa"/>
            <w:vAlign w:val="bottom"/>
            <w:gridSpan w:val="4"/>
          </w:tcPr>
          <w:p>
            <w:pPr>
              <w:spacing w:after="0" w:line="36" w:lineRule="exact"/>
              <w:rPr>
                <w:sz w:val="20"/>
                <w:szCs w:val="20"/>
                <w:color w:val="auto"/>
              </w:rPr>
            </w:pPr>
            <w:r>
              <w:rPr>
                <w:rFonts w:ascii="Arial" w:cs="Arial" w:eastAsia="Arial" w:hAnsi="Arial"/>
                <w:sz w:val="4"/>
                <w:szCs w:val="4"/>
                <w:color w:val="FFFFFF"/>
              </w:rPr>
              <w:t>Security holders may obtain information regarding the names, affiliations and interests of TSLX’s directors and executive officers in TSLX’s Annual</w:t>
            </w:r>
          </w:p>
        </w:tc>
      </w:tr>
      <w:tr>
        <w:trPr>
          <w:trHeight w:val="0"/>
        </w:trPr>
        <w:tc>
          <w:tcPr>
            <w:tcW w:w="2200" w:type="dxa"/>
            <w:vAlign w:val="bottom"/>
            <w:gridSpan w:val="2"/>
          </w:tcPr>
          <w:p>
            <w:pPr>
              <w:ind w:left="340"/>
              <w:spacing w:after="0" w:line="70" w:lineRule="exact"/>
              <w:rPr>
                <w:sz w:val="20"/>
                <w:szCs w:val="20"/>
                <w:color w:val="auto"/>
              </w:rPr>
            </w:pPr>
            <w:r>
              <w:rPr>
                <w:rFonts w:ascii="Arial" w:cs="Arial" w:eastAsia="Arial" w:hAnsi="Arial"/>
                <w:sz w:val="8"/>
                <w:szCs w:val="8"/>
                <w:color w:val="FFFFFF"/>
              </w:rPr>
              <w:t>on Form 10-K for the year ended</w:t>
            </w:r>
          </w:p>
        </w:tc>
        <w:tc>
          <w:tcPr>
            <w:tcW w:w="9220" w:type="dxa"/>
            <w:vAlign w:val="bottom"/>
            <w:gridSpan w:val="2"/>
          </w:tcPr>
          <w:p>
            <w:pPr>
              <w:jc w:val="right"/>
              <w:ind w:right="142"/>
              <w:spacing w:after="0" w:line="70" w:lineRule="exact"/>
              <w:rPr>
                <w:sz w:val="20"/>
                <w:szCs w:val="20"/>
                <w:color w:val="auto"/>
              </w:rPr>
            </w:pPr>
            <w:r>
              <w:rPr>
                <w:rFonts w:ascii="Arial" w:cs="Arial" w:eastAsia="Arial" w:hAnsi="Arial"/>
                <w:sz w:val="8"/>
                <w:szCs w:val="8"/>
                <w:color w:val="FFFFFF"/>
              </w:rPr>
              <w:t>31, 2014, which was filed with the SEC on February 24, 2015, its proxy statement for the 2015 Annual Meeting, which was filed with the SEC on April 10, 2015, and certain of its Current</w:t>
            </w:r>
          </w:p>
        </w:tc>
      </w:tr>
    </w:tbl>
    <w:p>
      <w:pPr>
        <w:ind w:right="80"/>
        <w:spacing w:after="0" w:line="189" w:lineRule="auto"/>
        <w:rPr>
          <w:sz w:val="20"/>
          <w:szCs w:val="20"/>
          <w:color w:val="auto"/>
        </w:rPr>
      </w:pPr>
      <w:r>
        <w:rPr>
          <w:rFonts w:ascii="Arial" w:cs="Arial" w:eastAsia="Arial" w:hAnsi="Arial"/>
          <w:sz w:val="4"/>
          <w:szCs w:val="4"/>
          <w:color w:val="FFFFFF"/>
        </w:rPr>
        <w:t>Reports on Form 8-K. These documents canDecemberobtained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rPr>
          <w:sz w:val="20"/>
          <w:szCs w:val="20"/>
          <w:color w:val="auto"/>
        </w:rPr>
      </w:pPr>
      <w:r>
        <w:rPr>
          <w:rFonts w:ascii="Arial" w:cs="Arial" w:eastAsia="Arial" w:hAnsi="Arial"/>
          <w:sz w:val="12"/>
          <w:szCs w:val="12"/>
          <w:color w:val="FFFFFF"/>
        </w:rPr>
        <w:t>TSLX (NYSE) 2</w:t>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Table of Contents</w:t>
      </w:r>
    </w:p>
    <w:p>
      <w:pPr>
        <w:ind w:left="40"/>
        <w:spacing w:after="0" w:line="184" w:lineRule="auto"/>
        <w:rPr>
          <w:sz w:val="20"/>
          <w:szCs w:val="20"/>
          <w:color w:val="auto"/>
        </w:rPr>
      </w:pPr>
      <w:r>
        <w:rPr>
          <w:rFonts w:ascii="Arial" w:cs="Arial" w:eastAsia="Arial" w:hAnsi="Arial"/>
          <w:sz w:val="4"/>
          <w:szCs w:val="4"/>
          <w:color w:val="FFFFFF"/>
        </w:rPr>
        <w:t>. Executive Summary</w:t>
      </w:r>
    </w:p>
    <w:p>
      <w:pPr>
        <w:ind w:left="40"/>
        <w:spacing w:after="0" w:line="184" w:lineRule="auto"/>
        <w:rPr>
          <w:sz w:val="20"/>
          <w:szCs w:val="20"/>
          <w:color w:val="auto"/>
        </w:rPr>
      </w:pPr>
      <w:r>
        <w:rPr>
          <w:rFonts w:ascii="Arial" w:cs="Arial" w:eastAsia="Arial" w:hAnsi="Arial"/>
          <w:sz w:val="4"/>
          <w:szCs w:val="4"/>
          <w:color w:val="FFFFFF"/>
          <w:vertAlign w:val="superscript"/>
        </w:rPr>
        <w:t>II</w:t>
      </w:r>
      <w:r>
        <w:rPr>
          <w:rFonts w:ascii="Arial" w:cs="Arial" w:eastAsia="Arial" w:hAnsi="Arial"/>
          <w:sz w:val="2"/>
          <w:szCs w:val="2"/>
          <w:color w:val="FFFFFF"/>
        </w:rPr>
        <w:t xml:space="preserve">. TICC </w:t>
      </w:r>
      <w:r>
        <w:rPr>
          <w:rFonts w:ascii="Arial" w:cs="Arial" w:eastAsia="Arial" w:hAnsi="Arial"/>
          <w:sz w:val="4"/>
          <w:szCs w:val="4"/>
          <w:color w:val="FFFFFF"/>
          <w:vertAlign w:val="superscript"/>
        </w:rPr>
        <w:t>Has</w:t>
      </w:r>
      <w:r>
        <w:rPr>
          <w:rFonts w:ascii="Arial" w:cs="Arial" w:eastAsia="Arial" w:hAnsi="Arial"/>
          <w:sz w:val="2"/>
          <w:szCs w:val="2"/>
          <w:color w:val="FFFFFF"/>
        </w:rPr>
        <w:t xml:space="preserve"> Failed Stockholders</w:t>
      </w:r>
    </w:p>
    <w:p>
      <w:pPr>
        <w:spacing w:after="0" w:line="184" w:lineRule="auto"/>
        <w:rPr>
          <w:sz w:val="20"/>
          <w:szCs w:val="20"/>
          <w:color w:val="auto"/>
        </w:rPr>
      </w:pPr>
      <w:r>
        <w:rPr>
          <w:rFonts w:ascii="Arial" w:cs="Arial" w:eastAsia="Arial" w:hAnsi="Arial"/>
          <w:sz w:val="4"/>
          <w:szCs w:val="4"/>
          <w:color w:val="FFFFFF"/>
          <w:vertAlign w:val="superscript"/>
        </w:rPr>
        <w:t>IV</w:t>
      </w:r>
    </w:p>
    <w:p>
      <w:pPr>
        <w:spacing w:after="0"/>
        <w:rPr>
          <w:sz w:val="20"/>
          <w:szCs w:val="20"/>
          <w:color w:val="auto"/>
        </w:rPr>
      </w:pPr>
      <w:r>
        <w:rPr>
          <w:rFonts w:ascii="Arial" w:cs="Arial" w:eastAsia="Arial" w:hAnsi="Arial"/>
          <w:sz w:val="8"/>
          <w:szCs w:val="8"/>
          <w:color w:val="FFFFFF"/>
          <w:vertAlign w:val="subscript"/>
        </w:rPr>
        <w:t>3</w:t>
      </w:r>
      <w:r>
        <w:rPr>
          <w:rFonts w:ascii="Arial" w:cs="Arial" w:eastAsia="Arial" w:hAnsi="Arial"/>
          <w:sz w:val="6"/>
          <w:szCs w:val="6"/>
          <w:color w:val="FFFFFF"/>
        </w:rPr>
        <w:t xml:space="preserve"> .. TSLXTSLX’DeliversProposalBestMaximizes-In-Class TICCStockholderStockholderValue Value</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9"/>
          <w:szCs w:val="9"/>
          <w:color w:val="FFFFFF"/>
        </w:rPr>
        <w:t>I. Executive Summary</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40" w:hanging="839"/>
        <w:spacing w:after="0"/>
        <w:rPr>
          <w:sz w:val="20"/>
          <w:szCs w:val="20"/>
          <w:color w:val="auto"/>
        </w:rPr>
      </w:pPr>
      <w:r>
        <w:rPr>
          <w:rFonts w:ascii="Arial" w:cs="Arial" w:eastAsia="Arial" w:hAnsi="Arial"/>
          <w:sz w:val="9"/>
          <w:szCs w:val="9"/>
          <w:color w:val="FFFFFF"/>
        </w:rPr>
        <w:t>MANAGEMENTTheChoiceforStockholdersPROPOSAL 1: TO APPROVE A NEW ADVISORY AGREEMENT BETWEEN THE COMPANY AND TICC MANAGEMENT, LLC, TO TAKE EFFECT UPON A CHANGE OF CONTROL OF TICC , LLC</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
          <w:szCs w:val="1"/>
          <w:color w:val="FFFFFF"/>
        </w:rPr>
        <w:t>StopsVoting TICC/BSPdestructive(White):DoesVotingnot TSLXdeliver(Gold):immediateVoting NexPoint (Blue):</w:t>
      </w:r>
    </w:p>
    <w:p>
      <w:pPr>
        <w:spacing w:after="0" w:line="184" w:lineRule="auto"/>
        <w:rPr>
          <w:sz w:val="20"/>
          <w:szCs w:val="20"/>
          <w:color w:val="auto"/>
        </w:rPr>
      </w:pPr>
      <w:r>
        <w:rPr>
          <w:rFonts w:ascii="Arial" w:cs="Arial" w:eastAsia="Arial" w:hAnsi="Arial"/>
          <w:sz w:val="8"/>
          <w:szCs w:val="8"/>
          <w:color w:val="FFFFFF"/>
        </w:rPr>
        <w:t>Rewardsvalue</w:t>
      </w:r>
    </w:p>
    <w:p>
      <w:pPr>
        <w:spacing w:after="0"/>
        <w:rPr>
          <w:sz w:val="20"/>
          <w:szCs w:val="20"/>
          <w:color w:val="auto"/>
        </w:rPr>
      </w:pPr>
      <w:r>
        <w:rPr>
          <w:rFonts w:ascii="Arial" w:cs="Arial" w:eastAsia="Arial" w:hAnsi="Arial"/>
          <w:sz w:val="12"/>
          <w:szCs w:val="12"/>
          <w:color w:val="FFFFFF"/>
        </w:rPr>
        <w:t>Putslaces the futurefailed ofoutgoingTICCinexternaltheOfferstransactionimmediatefrompremiumgoingforwardvalue upfront premium to stockholders¹ manager</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2"/>
          <w:szCs w:val="12"/>
          <w:color w:val="FFFFFF"/>
        </w:rPr>
        <w:t>TICC stockholder future in the hands of an unproven</w:t>
      </w:r>
    </w:p>
    <w:p>
      <w:pPr>
        <w:spacing w:after="0" w:line="184" w:lineRule="auto"/>
        <w:rPr>
          <w:sz w:val="20"/>
          <w:szCs w:val="20"/>
          <w:color w:val="auto"/>
        </w:rPr>
      </w:pPr>
      <w:r>
        <w:rPr>
          <w:rFonts w:ascii="Arial" w:cs="Arial" w:eastAsia="Arial" w:hAnsi="Arial"/>
          <w:sz w:val="8"/>
          <w:szCs w:val="8"/>
          <w:color w:val="FFFFFF"/>
        </w:rPr>
        <w:t>THERE IS ONLY ONE CLEAR CHOICE THAT MAXIMIZES VALUE FOR STOCKHOLDERS</w:t>
      </w:r>
    </w:p>
    <w:p>
      <w:pPr>
        <w:spacing w:after="0"/>
        <w:rPr>
          <w:sz w:val="20"/>
          <w:szCs w:val="20"/>
          <w:color w:val="auto"/>
        </w:rPr>
      </w:pPr>
      <w:r>
        <w:rPr>
          <w:rFonts w:ascii="Arial" w:cs="Arial" w:eastAsia="Arial" w:hAnsi="Arial"/>
          <w:sz w:val="12"/>
          <w:szCs w:val="12"/>
          <w:color w:val="FFFFFF"/>
        </w:rPr>
        <w:t>5¹ i.e. no delivery of upfront consideration other than the prospect of lower fees going forward and the possibility of potential share buy-backs.</w:t>
      </w:r>
    </w:p>
    <w:p>
      <w:pPr>
        <w:sectPr>
          <w:pgSz w:w="11900" w:h="16838" w:orient="portrait"/>
          <w:cols w:equalWidth="0" w:num="1">
            <w:col w:w="10540"/>
          </w:cols>
          <w:pgMar w:left="240" w:top="1440" w:right="11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Why Stockholders Should Support TSLX’s Proposal</w:t>
      </w:r>
    </w:p>
    <w:p>
      <w:pPr>
        <w:spacing w:after="0" w:line="184" w:lineRule="auto"/>
        <w:rPr>
          <w:sz w:val="20"/>
          <w:szCs w:val="20"/>
          <w:color w:val="auto"/>
        </w:rPr>
      </w:pPr>
      <w:r>
        <w:rPr>
          <w:rFonts w:ascii="Arial" w:cs="Arial" w:eastAsia="Arial" w:hAnsi="Arial"/>
          <w:sz w:val="8"/>
          <w:szCs w:val="8"/>
          <w:color w:val="FFFFFF"/>
        </w:rPr>
        <w:t>—UnlikeThe TSLX,proposalTICCrecommendedhasconsistentlybytheprioritizedTICCSpecialthe externalCommitteemanagerincludes an estimated $60 million payout to the outgoing TICC management team (through the purchase of</w:t>
      </w:r>
    </w:p>
    <w:p>
      <w:pPr>
        <w:spacing w:after="0" w:line="184" w:lineRule="auto"/>
        <w:rPr>
          <w:sz w:val="20"/>
          <w:szCs w:val="20"/>
          <w:color w:val="auto"/>
        </w:rPr>
      </w:pPr>
      <w:r>
        <w:rPr>
          <w:rFonts w:ascii="Arial" w:cs="Arial" w:eastAsia="Arial" w:hAnsi="Arial"/>
          <w:sz w:val="4"/>
          <w:szCs w:val="4"/>
          <w:color w:val="FFFFFF"/>
        </w:rPr>
        <w:t>TICC’s existing adviser, as distinguished from normal advisory fees that would be payable to any external manager, such as TICC’s adviser or TSLX’s adviser, in the form of base management fees and incentive fees) that has overseen the</w:t>
      </w:r>
    </w:p>
    <w:p>
      <w:pPr>
        <w:spacing w:after="0" w:line="184" w:lineRule="auto"/>
        <w:rPr>
          <w:sz w:val="20"/>
          <w:szCs w:val="20"/>
          <w:color w:val="auto"/>
        </w:rPr>
      </w:pPr>
      <w:r>
        <w:rPr>
          <w:rFonts w:ascii="Arial" w:cs="Arial" w:eastAsia="Arial" w:hAnsi="Arial"/>
          <w:sz w:val="8"/>
          <w:szCs w:val="8"/>
          <w:color w:val="FFFFFF"/>
        </w:rPr>
        <w:t>—dramaticTICC underperformancehasunilaterallydeniedsincestockholdersIPO,which thethe opportunitySpecialCommitteetovoicehastheirnotopinionrefutedon the merits of the TSLX proposal and rejected TSLX’s non-binding offer without engaging in substantive dialogue or negotiations or conducting proper due</w:t>
      </w:r>
    </w:p>
    <w:p>
      <w:pPr>
        <w:spacing w:after="0" w:line="184" w:lineRule="auto"/>
        <w:rPr>
          <w:sz w:val="20"/>
          <w:szCs w:val="20"/>
          <w:color w:val="auto"/>
        </w:rPr>
      </w:pPr>
      <w:r>
        <w:rPr>
          <w:rFonts w:ascii="Arial" w:cs="Arial" w:eastAsia="Arial" w:hAnsi="Arial"/>
          <w:sz w:val="4"/>
          <w:szCs w:val="4"/>
          <w:color w:val="FFFFFF"/>
        </w:rPr>
        <w:t>diligence</w:t>
      </w:r>
    </w:p>
    <w:p>
      <w:pPr>
        <w:spacing w:after="0" w:line="184" w:lineRule="auto"/>
        <w:rPr>
          <w:sz w:val="20"/>
          <w:szCs w:val="20"/>
          <w:color w:val="auto"/>
        </w:rPr>
      </w:pPr>
      <w:r>
        <w:rPr>
          <w:rFonts w:ascii="Arial" w:cs="Arial" w:eastAsia="Arial" w:hAnsi="Arial"/>
          <w:sz w:val="8"/>
          <w:szCs w:val="8"/>
          <w:color w:val="FFFFFF"/>
        </w:rPr>
        <w:t>The—TSLXTSLXhasproposalbestin wouldclassfeedemonstratedstopstructurepaymentandtoa commitmenttheunderperformingtorepurchaseTICC stockexternal manager that has destroyed the value of the TICC stockholders’ investment</w:t>
      </w:r>
    </w:p>
    <w:p>
      <w:pPr>
        <w:ind w:left="1480"/>
        <w:spacing w:after="0" w:line="1" w:lineRule="auto"/>
        <w:tabs>
          <w:tab w:leader="none" w:pos="1460" w:val="left"/>
          <w:tab w:leader="none" w:pos="4380" w:val="left"/>
        </w:tabs>
        <w:rPr>
          <w:sz w:val="20"/>
          <w:szCs w:val="20"/>
          <w:color w:val="auto"/>
        </w:rPr>
      </w:pPr>
      <w:r>
        <w:rPr>
          <w:rFonts w:ascii="Arial" w:cs="Arial" w:eastAsia="Arial" w:hAnsi="Arial"/>
          <w:sz w:val="1"/>
          <w:szCs w:val="1"/>
          <w:color w:val="FFFFFF"/>
        </w:rPr>
        <w:t>TheUnlikeTSLXTICC,offer,TSLXifacceptedhas</w:t>
      </w:r>
      <w:r>
        <w:rPr>
          <w:sz w:val="20"/>
          <w:szCs w:val="20"/>
          <w:color w:val="auto"/>
        </w:rPr>
        <w:tab/>
      </w:r>
      <w:r>
        <w:rPr>
          <w:rFonts w:ascii="Arial" w:cs="Arial" w:eastAsia="Arial" w:hAnsi="Arial"/>
          <w:sz w:val="1"/>
          <w:szCs w:val="1"/>
          <w:color w:val="FFFFFF"/>
        </w:rPr>
        <w:t>proposed,capacitywouldenablepayingTICCa stockholderssustainabledividendtoparticipate in</w:t>
      </w:r>
      <w:r>
        <w:rPr>
          <w:sz w:val="20"/>
          <w:szCs w:val="20"/>
          <w:color w:val="auto"/>
        </w:rPr>
        <w:tab/>
      </w:r>
      <w:r>
        <w:rPr>
          <w:rFonts w:ascii="Arial" w:cs="Arial" w:eastAsia="Arial" w:hAnsi="Arial"/>
          <w:sz w:val="1"/>
          <w:szCs w:val="1"/>
          <w:color w:val="FFFFFF"/>
        </w:rPr>
        <w:t>leading platform that has consistently outperformed the sector</w:t>
      </w:r>
    </w:p>
    <w:p>
      <w:pPr>
        <w:ind w:right="5300"/>
        <w:spacing w:after="0" w:line="184" w:lineRule="auto"/>
        <w:rPr>
          <w:sz w:val="20"/>
          <w:szCs w:val="20"/>
          <w:color w:val="auto"/>
        </w:rPr>
      </w:pPr>
      <w:r>
        <w:rPr>
          <w:rFonts w:ascii="Arial" w:cs="Arial" w:eastAsia="Arial" w:hAnsi="Arial"/>
          <w:sz w:val="7"/>
          <w:szCs w:val="7"/>
          <w:color w:val="FFFFFF"/>
        </w:rPr>
        <w:t xml:space="preserve">— TSLX would rotate TICC’as portfolio into higher performing assets and thus provide greater opportunity for stockholder return Leading </w:t>
      </w:r>
      <w:r>
        <w:rPr>
          <w:rFonts w:ascii="Arial" w:cs="Arial" w:eastAsia="Arial" w:hAnsi="Arial"/>
          <w:sz w:val="9"/>
          <w:szCs w:val="9"/>
          <w:color w:val="FFFFFF"/>
          <w:vertAlign w:val="subscript"/>
        </w:rPr>
        <w:t>Research</w:t>
      </w:r>
      <w:r>
        <w:rPr>
          <w:rFonts w:ascii="Arial" w:cs="Arial" w:eastAsia="Arial" w:hAnsi="Arial"/>
          <w:sz w:val="7"/>
          <w:szCs w:val="7"/>
          <w:color w:val="FFFFFF"/>
        </w:rPr>
        <w:t>indpendent investment professionals agree that TSLX offers TICC stockholders superior value</w:t>
      </w:r>
    </w:p>
    <w:p>
      <w:pPr>
        <w:spacing w:after="0"/>
        <w:tabs>
          <w:tab w:leader="none" w:pos="820" w:val="left"/>
        </w:tabs>
        <w:rPr>
          <w:sz w:val="20"/>
          <w:szCs w:val="20"/>
          <w:color w:val="auto"/>
        </w:rPr>
      </w:pPr>
      <w:r>
        <w:rPr>
          <w:rFonts w:ascii="Arial" w:cs="Arial" w:eastAsia="Arial" w:hAnsi="Arial"/>
          <w:sz w:val="12"/>
          <w:szCs w:val="12"/>
          <w:color w:val="FFFFFF"/>
        </w:rPr>
        <w:t>6Source:</w:t>
      </w:r>
      <w:r>
        <w:rPr>
          <w:sz w:val="20"/>
          <w:szCs w:val="20"/>
          <w:color w:val="auto"/>
        </w:rPr>
        <w:tab/>
      </w:r>
      <w:r>
        <w:rPr>
          <w:rFonts w:ascii="Arial" w:cs="Arial" w:eastAsia="Arial" w:hAnsi="Arial"/>
          <w:sz w:val="9"/>
          <w:szCs w:val="9"/>
          <w:color w:val="FFFFFF"/>
        </w:rPr>
        <w:t>analysts reports.</w:t>
      </w:r>
    </w:p>
    <w:p>
      <w:pPr>
        <w:sectPr>
          <w:pgSz w:w="11900" w:h="16838" w:orient="portrait"/>
          <w:cols w:equalWidth="0" w:num="1">
            <w:col w:w="11380"/>
          </w:cols>
          <w:pgMar w:left="240" w:top="1440" w:right="2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gridSpan w:val="4"/>
          </w:tcPr>
          <w:p>
            <w:pPr>
              <w:spacing w:after="0"/>
              <w:rPr>
                <w:sz w:val="20"/>
                <w:szCs w:val="20"/>
                <w:color w:val="auto"/>
              </w:rPr>
            </w:pPr>
            <w:r>
              <w:rPr>
                <w:rFonts w:ascii="Arial" w:cs="Arial" w:eastAsia="Arial" w:hAnsi="Arial"/>
                <w:sz w:val="12"/>
                <w:szCs w:val="12"/>
                <w:color w:val="FFFFFF"/>
              </w:rPr>
              <w:t>Issues for TICC Stockholders</w:t>
            </w:r>
          </w:p>
        </w:tc>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900" w:type="dxa"/>
            <w:vAlign w:val="bottom"/>
            <w:vMerge w:val="restart"/>
          </w:tcPr>
          <w:p>
            <w:pPr>
              <w:ind w:left="160"/>
              <w:spacing w:after="0"/>
              <w:rPr>
                <w:sz w:val="20"/>
                <w:szCs w:val="20"/>
                <w:color w:val="auto"/>
              </w:rPr>
            </w:pPr>
            <w:r>
              <w:rPr>
                <w:rFonts w:ascii="Arial" w:cs="Arial" w:eastAsia="Arial" w:hAnsi="Arial"/>
                <w:sz w:val="12"/>
                <w:szCs w:val="12"/>
                <w:color w:val="FFFFFF"/>
              </w:rPr>
              <w:t>that are not in the stockholders’ best interests and are indicative of entrenchment</w:t>
            </w:r>
          </w:p>
        </w:tc>
        <w:tc>
          <w:tcPr>
            <w:tcW w:w="0" w:type="dxa"/>
            <w:vAlign w:val="bottom"/>
          </w:tcPr>
          <w:p>
            <w:pPr>
              <w:spacing w:after="0"/>
              <w:rPr>
                <w:sz w:val="1"/>
                <w:szCs w:val="1"/>
                <w:color w:val="auto"/>
              </w:rPr>
            </w:pPr>
          </w:p>
        </w:tc>
      </w:tr>
      <w:tr>
        <w:trPr>
          <w:trHeight w:val="35"/>
        </w:trPr>
        <w:tc>
          <w:tcPr>
            <w:tcW w:w="1100" w:type="dxa"/>
            <w:vAlign w:val="bottom"/>
          </w:tcPr>
          <w:p>
            <w:pPr>
              <w:spacing w:after="0" w:line="36" w:lineRule="exact"/>
              <w:rPr>
                <w:sz w:val="20"/>
                <w:szCs w:val="20"/>
                <w:color w:val="auto"/>
              </w:rPr>
            </w:pPr>
            <w:r>
              <w:rPr>
                <w:rFonts w:ascii="Arial" w:cs="Arial" w:eastAsia="Arial" w:hAnsi="Arial"/>
                <w:sz w:val="4"/>
                <w:szCs w:val="4"/>
                <w:color w:val="FFFFFF"/>
              </w:rPr>
              <w:t>TICC has</w:t>
            </w:r>
          </w:p>
        </w:tc>
        <w:tc>
          <w:tcPr>
            <w:tcW w:w="4300" w:type="dxa"/>
            <w:vAlign w:val="bottom"/>
            <w:gridSpan w:val="5"/>
          </w:tcPr>
          <w:p>
            <w:pPr>
              <w:ind w:left="120"/>
              <w:spacing w:after="0" w:line="36" w:lineRule="exact"/>
              <w:rPr>
                <w:sz w:val="20"/>
                <w:szCs w:val="20"/>
                <w:color w:val="auto"/>
              </w:rPr>
            </w:pPr>
            <w:r>
              <w:rPr>
                <w:rFonts w:ascii="Arial" w:cs="Arial" w:eastAsia="Arial" w:hAnsi="Arial"/>
                <w:sz w:val="4"/>
                <w:szCs w:val="4"/>
                <w:color w:val="FFFFFF"/>
              </w:rPr>
              <w:t>poor investment performance track record, coupled with decisions by its Board of</w:t>
            </w:r>
          </w:p>
        </w:tc>
        <w:tc>
          <w:tcPr>
            <w:tcW w:w="5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340" w:type="dxa"/>
            <w:vAlign w:val="bottom"/>
            <w:gridSpan w:val="3"/>
          </w:tcPr>
          <w:p>
            <w:pPr>
              <w:spacing w:after="0" w:line="36" w:lineRule="exact"/>
              <w:rPr>
                <w:sz w:val="20"/>
                <w:szCs w:val="20"/>
                <w:color w:val="auto"/>
              </w:rPr>
            </w:pPr>
            <w:r>
              <w:rPr>
                <w:rFonts w:ascii="Arial" w:cs="Arial" w:eastAsia="Arial" w:hAnsi="Arial"/>
                <w:sz w:val="4"/>
                <w:szCs w:val="4"/>
                <w:color w:val="FFFFFF"/>
              </w:rPr>
              <w:t>? TICC hasdemonstratedtotaldelivered</w:t>
            </w:r>
          </w:p>
        </w:tc>
        <w:tc>
          <w:tcPr>
            <w:tcW w:w="9960" w:type="dxa"/>
            <w:vAlign w:val="bottom"/>
            <w:gridSpan w:val="4"/>
          </w:tcPr>
          <w:p>
            <w:pPr>
              <w:spacing w:after="0" w:line="36" w:lineRule="exact"/>
              <w:rPr>
                <w:sz w:val="20"/>
                <w:szCs w:val="20"/>
                <w:color w:val="auto"/>
              </w:rPr>
            </w:pPr>
            <w:r>
              <w:rPr>
                <w:rFonts w:ascii="Arial" w:cs="Arial" w:eastAsia="Arial" w:hAnsi="Arial"/>
                <w:sz w:val="4"/>
                <w:szCs w:val="4"/>
                <w:color w:val="FFFFFF"/>
              </w:rPr>
              <w:t>return of only 51.6% since its IPO, representing a 154.4% underperformance relativeDirectorsthe sector¹ ? TICC shares traded at 0.73x NAV on undisturbed basis as of Sept. 15th, the day immediately preceding the</w:t>
            </w:r>
          </w:p>
        </w:tc>
        <w:tc>
          <w:tcPr>
            <w:tcW w:w="0" w:type="dxa"/>
            <w:vAlign w:val="bottom"/>
          </w:tcPr>
          <w:p>
            <w:pPr>
              <w:spacing w:after="0" w:line="20" w:lineRule="exact"/>
              <w:rPr>
                <w:sz w:val="1"/>
                <w:szCs w:val="1"/>
                <w:color w:val="auto"/>
              </w:rPr>
            </w:pPr>
          </w:p>
        </w:tc>
      </w:tr>
      <w:tr>
        <w:trPr>
          <w:trHeight w:val="35"/>
        </w:trPr>
        <w:tc>
          <w:tcPr>
            <w:tcW w:w="2820" w:type="dxa"/>
            <w:vAlign w:val="bottom"/>
            <w:gridSpan w:val="5"/>
          </w:tcPr>
          <w:p>
            <w:pPr>
              <w:spacing w:after="0" w:line="36" w:lineRule="exact"/>
              <w:rPr>
                <w:sz w:val="20"/>
                <w:szCs w:val="20"/>
                <w:color w:val="auto"/>
              </w:rPr>
            </w:pPr>
            <w:r>
              <w:rPr>
                <w:rFonts w:ascii="Arial" w:cs="Arial" w:eastAsia="Arial" w:hAnsi="Arial"/>
                <w:sz w:val="4"/>
                <w:szCs w:val="4"/>
                <w:color w:val="FFFFFF"/>
              </w:rPr>
              <w:t>public Discount to announcement of the TSLX proposal</w:t>
            </w:r>
          </w:p>
        </w:tc>
        <w:tc>
          <w:tcPr>
            <w:tcW w:w="258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280" w:type="dxa"/>
            <w:vAlign w:val="bottom"/>
            <w:gridSpan w:val="2"/>
          </w:tcPr>
          <w:p>
            <w:pPr>
              <w:spacing w:after="0" w:line="36" w:lineRule="exact"/>
              <w:rPr>
                <w:sz w:val="20"/>
                <w:szCs w:val="20"/>
                <w:color w:val="auto"/>
              </w:rPr>
            </w:pPr>
            <w:r>
              <w:rPr>
                <w:rFonts w:ascii="Arial" w:cs="Arial" w:eastAsia="Arial" w:hAnsi="Arial"/>
                <w:sz w:val="4"/>
                <w:szCs w:val="4"/>
                <w:color w:val="FFFFFF"/>
              </w:rPr>
              <w:t>NAV • Discount to NAV is</w:t>
            </w:r>
          </w:p>
        </w:tc>
        <w:tc>
          <w:tcPr>
            <w:tcW w:w="60" w:type="dxa"/>
            <w:vAlign w:val="bottom"/>
          </w:tcPr>
          <w:p>
            <w:pPr>
              <w:spacing w:after="0"/>
              <w:rPr>
                <w:sz w:val="3"/>
                <w:szCs w:val="3"/>
                <w:color w:val="auto"/>
              </w:rPr>
            </w:pPr>
          </w:p>
        </w:tc>
        <w:tc>
          <w:tcPr>
            <w:tcW w:w="9960" w:type="dxa"/>
            <w:vAlign w:val="bottom"/>
            <w:gridSpan w:val="4"/>
          </w:tcPr>
          <w:p>
            <w:pPr>
              <w:ind w:left="440"/>
              <w:spacing w:after="0" w:line="36" w:lineRule="exact"/>
              <w:rPr>
                <w:sz w:val="20"/>
                <w:szCs w:val="20"/>
                <w:color w:val="auto"/>
              </w:rPr>
            </w:pPr>
            <w:r>
              <w:rPr>
                <w:rFonts w:ascii="Arial" w:cs="Arial" w:eastAsia="Arial" w:hAnsi="Arial"/>
                <w:sz w:val="4"/>
                <w:szCs w:val="4"/>
                <w:color w:val="FFFFFF"/>
              </w:rPr>
              <w:t>of market pessimism surrounding management’s ability to grow net asset value in light of poor track record</w:t>
            </w:r>
          </w:p>
        </w:tc>
        <w:tc>
          <w:tcPr>
            <w:tcW w:w="0" w:type="dxa"/>
            <w:vAlign w:val="bottom"/>
          </w:tcPr>
          <w:p>
            <w:pPr>
              <w:spacing w:after="0" w:line="20" w:lineRule="exact"/>
              <w:rPr>
                <w:sz w:val="1"/>
                <w:szCs w:val="1"/>
                <w:color w:val="auto"/>
              </w:rPr>
            </w:pPr>
          </w:p>
        </w:tc>
      </w:tr>
      <w:tr>
        <w:trPr>
          <w:trHeight w:val="35"/>
        </w:trPr>
        <w:tc>
          <w:tcPr>
            <w:tcW w:w="1100" w:type="dxa"/>
            <w:vAlign w:val="bottom"/>
          </w:tcPr>
          <w:p>
            <w:pPr>
              <w:ind w:left="80"/>
              <w:spacing w:after="0" w:line="36" w:lineRule="exact"/>
              <w:rPr>
                <w:sz w:val="20"/>
                <w:szCs w:val="20"/>
                <w:color w:val="auto"/>
              </w:rPr>
            </w:pPr>
            <w:r>
              <w:rPr>
                <w:rFonts w:ascii="Arial" w:cs="Arial" w:eastAsia="Arial" w:hAnsi="Arial"/>
                <w:sz w:val="4"/>
                <w:szCs w:val="4"/>
                <w:color w:val="FFFFFF"/>
              </w:rPr>
              <w:t>NAV per share has</w:t>
            </w:r>
          </w:p>
        </w:tc>
        <w:tc>
          <w:tcPr>
            <w:tcW w:w="180" w:type="dxa"/>
            <w:vAlign w:val="bottom"/>
          </w:tcPr>
          <w:p>
            <w:pPr>
              <w:spacing w:after="0"/>
              <w:rPr>
                <w:sz w:val="3"/>
                <w:szCs w:val="3"/>
                <w:color w:val="auto"/>
              </w:rPr>
            </w:pPr>
          </w:p>
        </w:tc>
        <w:tc>
          <w:tcPr>
            <w:tcW w:w="10020" w:type="dxa"/>
            <w:vAlign w:val="bottom"/>
            <w:gridSpan w:val="5"/>
          </w:tcPr>
          <w:p>
            <w:pPr>
              <w:spacing w:after="0" w:line="36" w:lineRule="exact"/>
              <w:rPr>
                <w:sz w:val="20"/>
                <w:szCs w:val="20"/>
                <w:color w:val="auto"/>
              </w:rPr>
            </w:pPr>
            <w:r>
              <w:rPr>
                <w:rFonts w:ascii="Arial" w:cs="Arial" w:eastAsia="Arial" w:hAnsi="Arial"/>
                <w:sz w:val="4"/>
                <w:szCs w:val="4"/>
                <w:color w:val="FFFFFF"/>
              </w:rPr>
              <w:t>indicativeseven out of nine most recent quarters ? (14.2)% cumulative decline in NAV per share since Q1 2013</w:t>
            </w:r>
          </w:p>
        </w:tc>
        <w:tc>
          <w:tcPr>
            <w:tcW w:w="0" w:type="dxa"/>
            <w:vAlign w:val="bottom"/>
          </w:tcPr>
          <w:p>
            <w:pPr>
              <w:spacing w:after="0" w:line="20" w:lineRule="exact"/>
              <w:rPr>
                <w:sz w:val="1"/>
                <w:szCs w:val="1"/>
                <w:color w:val="auto"/>
              </w:rPr>
            </w:pPr>
          </w:p>
        </w:tc>
      </w:tr>
      <w:tr>
        <w:trPr>
          <w:trHeight w:val="35"/>
        </w:trPr>
        <w:tc>
          <w:tcPr>
            <w:tcW w:w="11300" w:type="dxa"/>
            <w:vAlign w:val="bottom"/>
            <w:gridSpan w:val="7"/>
          </w:tcPr>
          <w:p>
            <w:pPr>
              <w:spacing w:after="0" w:line="36" w:lineRule="exact"/>
              <w:rPr>
                <w:sz w:val="20"/>
                <w:szCs w:val="20"/>
                <w:color w:val="auto"/>
              </w:rPr>
            </w:pPr>
            <w:r>
              <w:rPr>
                <w:rFonts w:ascii="Arial" w:cs="Arial" w:eastAsia="Arial" w:hAnsi="Arial"/>
                <w:sz w:val="4"/>
                <w:szCs w:val="4"/>
                <w:color w:val="FFFFFF"/>
              </w:rPr>
              <w:t>? Under-earned dividenddeclinedthree most recent quarters and likely would have under-earned dividend in previous quarters if not for an accounting error by TICC disclosed in Q1’2015</w:t>
            </w:r>
          </w:p>
        </w:tc>
        <w:tc>
          <w:tcPr>
            <w:tcW w:w="0" w:type="dxa"/>
            <w:vAlign w:val="bottom"/>
          </w:tcPr>
          <w:p>
            <w:pPr>
              <w:spacing w:after="0" w:line="20" w:lineRule="exact"/>
              <w:rPr>
                <w:sz w:val="1"/>
                <w:szCs w:val="1"/>
                <w:color w:val="auto"/>
              </w:rPr>
            </w:pPr>
          </w:p>
        </w:tc>
      </w:tr>
      <w:tr>
        <w:trPr>
          <w:trHeight w:val="35"/>
        </w:trPr>
        <w:tc>
          <w:tcPr>
            <w:tcW w:w="5400" w:type="dxa"/>
            <w:vAlign w:val="bottom"/>
            <w:gridSpan w:val="6"/>
          </w:tcPr>
          <w:p>
            <w:pPr>
              <w:spacing w:after="0" w:line="36" w:lineRule="exact"/>
              <w:rPr>
                <w:sz w:val="20"/>
                <w:szCs w:val="20"/>
                <w:color w:val="auto"/>
              </w:rPr>
            </w:pPr>
            <w:r>
              <w:rPr>
                <w:rFonts w:ascii="Arial" w:cs="Arial" w:eastAsia="Arial" w:hAnsi="Arial"/>
                <w:sz w:val="4"/>
                <w:szCs w:val="4"/>
                <w:color w:val="FFFFFF"/>
              </w:rPr>
              <w:t>Net Investment Income missed dividend by $(0.11) per share in Q2 2015</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00" w:type="dxa"/>
            <w:vAlign w:val="bottom"/>
          </w:tcPr>
          <w:p>
            <w:pPr>
              <w:spacing w:after="0" w:line="36" w:lineRule="exact"/>
              <w:rPr>
                <w:sz w:val="20"/>
                <w:szCs w:val="20"/>
                <w:color w:val="auto"/>
              </w:rPr>
            </w:pPr>
            <w:r>
              <w:rPr>
                <w:rFonts w:ascii="Arial" w:cs="Arial" w:eastAsia="Arial" w:hAnsi="Arial"/>
                <w:sz w:val="4"/>
                <w:szCs w:val="4"/>
                <w:color w:val="FFFFFF"/>
              </w:rPr>
              <w:t>Unsustainable</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400" w:type="dxa"/>
            <w:vAlign w:val="bottom"/>
            <w:gridSpan w:val="6"/>
          </w:tcPr>
          <w:p>
            <w:pPr>
              <w:spacing w:after="0" w:line="36" w:lineRule="exact"/>
              <w:rPr>
                <w:sz w:val="20"/>
                <w:szCs w:val="20"/>
                <w:color w:val="auto"/>
              </w:rPr>
            </w:pPr>
            <w:r>
              <w:rPr>
                <w:rFonts w:ascii="Arial" w:cs="Arial" w:eastAsia="Arial" w:hAnsi="Arial"/>
                <w:sz w:val="4"/>
                <w:szCs w:val="4"/>
                <w:color w:val="FFFFFF"/>
              </w:rPr>
              <w:t>Dividend • Dividend coverage ratio has been 0.72x, 0.78x, and 0.62x in Q4’14, Q1’15 and Q2’15 respectively</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040" w:type="dxa"/>
            <w:vAlign w:val="bottom"/>
            <w:gridSpan w:val="4"/>
          </w:tcPr>
          <w:p>
            <w:pPr>
              <w:ind w:left="80"/>
              <w:spacing w:after="0" w:line="36" w:lineRule="exact"/>
              <w:rPr>
                <w:sz w:val="20"/>
                <w:szCs w:val="20"/>
                <w:color w:val="auto"/>
              </w:rPr>
            </w:pPr>
            <w:r>
              <w:rPr>
                <w:rFonts w:ascii="Arial" w:cs="Arial" w:eastAsia="Arial" w:hAnsi="Arial"/>
                <w:sz w:val="4"/>
                <w:szCs w:val="4"/>
                <w:color w:val="FFFFFF"/>
              </w:rPr>
              <w:t>U der-earning of dividends has resulted</w:t>
            </w:r>
          </w:p>
        </w:tc>
        <w:tc>
          <w:tcPr>
            <w:tcW w:w="780" w:type="dxa"/>
            <w:vAlign w:val="bottom"/>
          </w:tcPr>
          <w:p>
            <w:pPr>
              <w:ind w:left="80"/>
              <w:spacing w:after="0" w:line="36" w:lineRule="exact"/>
              <w:rPr>
                <w:sz w:val="20"/>
                <w:szCs w:val="20"/>
                <w:color w:val="auto"/>
              </w:rPr>
            </w:pPr>
            <w:r>
              <w:rPr>
                <w:rFonts w:ascii="Arial" w:cs="Arial" w:eastAsia="Arial" w:hAnsi="Arial"/>
                <w:sz w:val="4"/>
                <w:szCs w:val="4"/>
                <w:color w:val="FFFFFF"/>
              </w:rPr>
              <w:t>NAV erosion</w:t>
            </w:r>
          </w:p>
        </w:tc>
        <w:tc>
          <w:tcPr>
            <w:tcW w:w="258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00" w:type="dxa"/>
            <w:vAlign w:val="bottom"/>
            <w:gridSpan w:val="7"/>
          </w:tcPr>
          <w:p>
            <w:pPr>
              <w:ind w:left="640"/>
              <w:spacing w:after="0" w:line="36" w:lineRule="exact"/>
              <w:rPr>
                <w:sz w:val="20"/>
                <w:szCs w:val="20"/>
                <w:color w:val="auto"/>
              </w:rPr>
            </w:pPr>
            <w:r>
              <w:rPr>
                <w:rFonts w:ascii="Arial" w:cs="Arial" w:eastAsia="Arial" w:hAnsi="Arial"/>
                <w:sz w:val="4"/>
                <w:szCs w:val="4"/>
                <w:color w:val="FFFFFF"/>
              </w:rPr>
              <w:t>dividend yield of ~18.5% indicates market skepticism with respect to dividend sustainability ? Analysts covering TICC forecast material dividend cuts, citing current levels as unsustainable</w:t>
            </w:r>
          </w:p>
        </w:tc>
        <w:tc>
          <w:tcPr>
            <w:tcW w:w="0" w:type="dxa"/>
            <w:vAlign w:val="bottom"/>
          </w:tcPr>
          <w:p>
            <w:pPr>
              <w:spacing w:after="0" w:line="20" w:lineRule="exact"/>
              <w:rPr>
                <w:sz w:val="1"/>
                <w:szCs w:val="1"/>
                <w:color w:val="auto"/>
              </w:rPr>
            </w:pPr>
          </w:p>
        </w:tc>
      </w:tr>
      <w:tr>
        <w:trPr>
          <w:trHeight w:val="35"/>
        </w:trPr>
        <w:tc>
          <w:tcPr>
            <w:tcW w:w="11300" w:type="dxa"/>
            <w:vAlign w:val="bottom"/>
            <w:gridSpan w:val="7"/>
          </w:tcPr>
          <w:p>
            <w:pPr>
              <w:spacing w:after="0" w:line="36" w:lineRule="exact"/>
              <w:rPr>
                <w:sz w:val="20"/>
                <w:szCs w:val="20"/>
                <w:color w:val="auto"/>
              </w:rPr>
            </w:pPr>
            <w:r>
              <w:rPr>
                <w:rFonts w:ascii="Arial" w:cs="Arial" w:eastAsia="Arial" w:hAnsi="Arial"/>
                <w:sz w:val="4"/>
                <w:szCs w:val="4"/>
                <w:color w:val="FFFFFF"/>
              </w:rPr>
              <w:t>? AnnualizedWithdebt to equity ratio of 0.97x that is nearing the regulatory maximum, TICC has limited to no ability to raise Leverage additional capital Maxed Out ? Lack of access to capital minimizes ability to grow earning assets and dividends ?</w:t>
            </w:r>
          </w:p>
        </w:tc>
        <w:tc>
          <w:tcPr>
            <w:tcW w:w="0" w:type="dxa"/>
            <w:vAlign w:val="bottom"/>
          </w:tcPr>
          <w:p>
            <w:pPr>
              <w:spacing w:after="0" w:line="20" w:lineRule="exact"/>
              <w:rPr>
                <w:sz w:val="1"/>
                <w:szCs w:val="1"/>
                <w:color w:val="auto"/>
              </w:rPr>
            </w:pPr>
          </w:p>
        </w:tc>
      </w:tr>
      <w:tr>
        <w:trPr>
          <w:trHeight w:val="35"/>
        </w:trPr>
        <w:tc>
          <w:tcPr>
            <w:tcW w:w="5400" w:type="dxa"/>
            <w:vAlign w:val="bottom"/>
            <w:gridSpan w:val="6"/>
          </w:tcPr>
          <w:p>
            <w:pPr>
              <w:spacing w:after="0" w:line="36" w:lineRule="exact"/>
              <w:rPr>
                <w:sz w:val="20"/>
                <w:szCs w:val="20"/>
                <w:color w:val="auto"/>
              </w:rPr>
            </w:pPr>
            <w:r>
              <w:rPr>
                <w:rFonts w:ascii="Arial" w:cs="Arial" w:eastAsia="Arial" w:hAnsi="Arial"/>
                <w:sz w:val="4"/>
                <w:szCs w:val="4"/>
                <w:color w:val="FFFFFF"/>
              </w:rPr>
              <w:t>TICC has been unable to d liver material investment returns despite significant leverage levels</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20" w:type="dxa"/>
            <w:vAlign w:val="bottom"/>
            <w:gridSpan w:val="5"/>
          </w:tcPr>
          <w:p>
            <w:pPr>
              <w:ind w:left="80"/>
              <w:spacing w:after="0" w:line="36" w:lineRule="exact"/>
              <w:rPr>
                <w:sz w:val="20"/>
                <w:szCs w:val="20"/>
                <w:color w:val="auto"/>
              </w:rPr>
            </w:pPr>
            <w:r>
              <w:rPr>
                <w:rFonts w:ascii="Arial" w:cs="Arial" w:eastAsia="Arial" w:hAnsi="Arial"/>
                <w:sz w:val="4"/>
                <w:szCs w:val="4"/>
                <w:color w:val="FFFFFF"/>
              </w:rPr>
              <w:t>Recommendation of Benefit Street Partners L.L.C. (“BS</w:t>
            </w:r>
          </w:p>
        </w:tc>
        <w:tc>
          <w:tcPr>
            <w:tcW w:w="8480" w:type="dxa"/>
            <w:vAlign w:val="bottom"/>
            <w:gridSpan w:val="2"/>
          </w:tcPr>
          <w:p>
            <w:pPr>
              <w:ind w:left="100"/>
              <w:spacing w:after="0" w:line="36" w:lineRule="exact"/>
              <w:rPr>
                <w:sz w:val="20"/>
                <w:szCs w:val="20"/>
                <w:color w:val="auto"/>
              </w:rPr>
            </w:pPr>
            <w:r>
              <w:rPr>
                <w:rFonts w:ascii="Arial" w:cs="Arial" w:eastAsia="Arial" w:hAnsi="Arial"/>
                <w:sz w:val="4"/>
                <w:szCs w:val="4"/>
                <w:color w:val="FFFFFF"/>
              </w:rPr>
              <w:t>acquisition of the TICC manager results in  $60 million transfer of value to the outgoing managers, as reported by Wells Fargo Research</w:t>
            </w:r>
          </w:p>
        </w:tc>
        <w:tc>
          <w:tcPr>
            <w:tcW w:w="0" w:type="dxa"/>
            <w:vAlign w:val="bottom"/>
          </w:tcPr>
          <w:p>
            <w:pPr>
              <w:spacing w:after="0" w:line="20" w:lineRule="exact"/>
              <w:rPr>
                <w:sz w:val="1"/>
                <w:szCs w:val="1"/>
                <w:color w:val="auto"/>
              </w:rPr>
            </w:pPr>
          </w:p>
        </w:tc>
      </w:tr>
      <w:tr>
        <w:trPr>
          <w:trHeight w:val="0"/>
        </w:trPr>
        <w:tc>
          <w:tcPr>
            <w:tcW w:w="2040" w:type="dxa"/>
            <w:vAlign w:val="bottom"/>
            <w:gridSpan w:val="4"/>
          </w:tcPr>
          <w:p>
            <w:pPr>
              <w:spacing w:after="0" w:line="70" w:lineRule="exact"/>
              <w:rPr>
                <w:sz w:val="20"/>
                <w:szCs w:val="20"/>
                <w:color w:val="auto"/>
              </w:rPr>
            </w:pPr>
            <w:r>
              <w:rPr>
                <w:rFonts w:ascii="Arial" w:cs="Arial" w:eastAsia="Arial" w:hAnsi="Arial"/>
                <w:sz w:val="8"/>
                <w:szCs w:val="8"/>
                <w:color w:val="FFFFFF"/>
              </w:rPr>
              <w:t>? Lack of engagement with NexPoint</w:t>
            </w:r>
          </w:p>
        </w:tc>
        <w:tc>
          <w:tcPr>
            <w:tcW w:w="3360" w:type="dxa"/>
            <w:vAlign w:val="bottom"/>
            <w:gridSpan w:val="2"/>
          </w:tcPr>
          <w:p>
            <w:pPr>
              <w:ind w:left="200"/>
              <w:spacing w:after="0" w:line="70" w:lineRule="exact"/>
              <w:rPr>
                <w:sz w:val="20"/>
                <w:szCs w:val="20"/>
                <w:color w:val="auto"/>
              </w:rPr>
            </w:pPr>
            <w:r>
              <w:rPr>
                <w:rFonts w:ascii="Arial" w:cs="Arial" w:eastAsia="Arial" w:hAnsi="Arial"/>
                <w:sz w:val="8"/>
                <w:szCs w:val="8"/>
                <w:color w:val="FFFFFF"/>
              </w:rPr>
              <w:t>L.P. (“NexPoint”) or with TSLX regarding their offer to acquire</w:t>
            </w: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auto"/>
        <w:rPr>
          <w:sz w:val="20"/>
          <w:szCs w:val="20"/>
          <w:color w:val="auto"/>
        </w:rPr>
      </w:pPr>
      <w:r>
        <w:rPr>
          <w:rFonts w:ascii="Arial" w:cs="Arial" w:eastAsia="Arial" w:hAnsi="Arial"/>
          <w:sz w:val="1"/>
          <w:szCs w:val="1"/>
          <w:color w:val="FFFFFF"/>
        </w:rPr>
        <w:t>Board Actions TICC at a 20% premiumAdvisorsindicative of Board member entrenchment²</w:t>
      </w:r>
    </w:p>
    <w:p>
      <w:pPr>
        <w:ind w:right="80"/>
        <w:spacing w:after="0" w:line="184" w:lineRule="auto"/>
        <w:rPr>
          <w:sz w:val="20"/>
          <w:szCs w:val="20"/>
          <w:color w:val="auto"/>
        </w:rPr>
      </w:pPr>
      <w:r>
        <w:rPr>
          <w:rFonts w:ascii="Arial" w:cs="Arial" w:eastAsia="Arial" w:hAnsi="Arial"/>
          <w:sz w:val="8"/>
          <w:szCs w:val="8"/>
          <w:color w:val="FFFFFF"/>
        </w:rPr>
        <w:t>? The Special Committee of the Board of TICC sought a lower management fee from BSP only after they were compelled to do so following NexPoint’s public disclosure of its offer ? TICC’s independent directors have conflicts of interest with the TICC management team</w:t>
      </w:r>
    </w:p>
    <w:p>
      <w:pPr>
        <w:spacing w:after="0" w:line="184" w:lineRule="auto"/>
        <w:rPr>
          <w:sz w:val="20"/>
          <w:szCs w:val="20"/>
          <w:color w:val="auto"/>
        </w:rPr>
      </w:pPr>
      <w:r>
        <w:rPr>
          <w:rFonts w:ascii="Arial" w:cs="Arial" w:eastAsia="Arial" w:hAnsi="Arial"/>
          <w:sz w:val="4"/>
          <w:szCs w:val="4"/>
          <w:color w:val="FFFFFF"/>
        </w:rPr>
        <w:t>Source: Research reports, Public filings, SNL</w:t>
      </w:r>
    </w:p>
    <w:p>
      <w:pPr>
        <w:spacing w:after="0" w:line="184" w:lineRule="auto"/>
        <w:rPr>
          <w:sz w:val="20"/>
          <w:szCs w:val="20"/>
          <w:color w:val="auto"/>
        </w:rPr>
      </w:pPr>
      <w:r>
        <w:rPr>
          <w:rFonts w:ascii="Arial" w:cs="Arial" w:eastAsia="Arial" w:hAnsi="Arial"/>
          <w:sz w:val="4"/>
          <w:szCs w:val="4"/>
          <w:color w:val="FFFFFF"/>
        </w:rPr>
        <w:t>Note: Market data as of 15-Sep-2015, the day immediately preceding the public announcement of the TSLX proposal</w:t>
      </w:r>
    </w:p>
    <w:p>
      <w:pPr>
        <w:ind w:right="180"/>
        <w:spacing w:after="0"/>
        <w:rPr>
          <w:sz w:val="20"/>
          <w:szCs w:val="20"/>
          <w:color w:val="auto"/>
        </w:rPr>
      </w:pPr>
      <w:r>
        <w:rPr>
          <w:rFonts w:ascii="Arial" w:cs="Arial" w:eastAsia="Arial" w:hAnsi="Arial"/>
          <w:sz w:val="9"/>
          <w:szCs w:val="9"/>
          <w:color w:val="FFFFFF"/>
        </w:rPr>
        <w:t>¹ BDC sector peers comprise ACAS, AINV, ARCC, BKCC, FSC, GBDC, HTGC, MAIN, MCC, NMFC, PNNT, PSEC, SLRC, TCAP, and TCRD. Total return is defined as change in stock price plus any paid dividends over a given time period.</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?² ForTSLXreference,(NYSE)the7 TSLX proposal represents a 12.8% discount to TICC’s NAV as of June 30, 2015, a narrower discount than the price at which the shares have traded since June 30th.</w:t>
      </w:r>
    </w:p>
    <w:p>
      <w:pPr>
        <w:sectPr>
          <w:pgSz w:w="11900" w:h="16838" w:orient="portrait"/>
          <w:cols w:equalWidth="0" w:num="1">
            <w:col w:w="11300"/>
          </w:cols>
          <w:pgMar w:left="240" w:top="1440" w:right="3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gridSpan w:val="2"/>
          </w:tcPr>
          <w:p>
            <w:pPr>
              <w:ind w:left="80"/>
              <w:spacing w:after="0"/>
              <w:rPr>
                <w:sz w:val="20"/>
                <w:szCs w:val="20"/>
                <w:color w:val="auto"/>
              </w:rPr>
            </w:pPr>
            <w:r>
              <w:rPr>
                <w:rFonts w:ascii="Arial" w:cs="Arial" w:eastAsia="Arial" w:hAnsi="Arial"/>
                <w:sz w:val="12"/>
                <w:szCs w:val="12"/>
                <w:color w:val="FFFFFF"/>
              </w:rPr>
              <w:t>enefits of TSLX’s Proposal</w:t>
            </w:r>
          </w:p>
        </w:tc>
        <w:tc>
          <w:tcPr>
            <w:tcW w:w="6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BSP / NexPoint Impact to TICC Stockholders Description TSLX Offer Offers</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 TSLX proposes to acquire TICC for $7.50 per</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1 Premium to TICC’s share price ?? representingshare,20% premium to stockholders¹</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No value leakage to TICC</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 An acquisition of the TICC manager  sults in significant</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2 manager at expense of TICC ?? transfer of value to the external manager / ? stockholders</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 Both the TSLX offer and the BSP proposal reduce the base management fee from 2.0% to 1.5%, NexPoint’</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400" w:type="dxa"/>
            <w:vAlign w:val="bottom"/>
            <w:gridSpan w:val="3"/>
          </w:tcPr>
          <w:p>
            <w:pPr>
              <w:spacing w:after="0" w:line="36" w:lineRule="exact"/>
              <w:rPr>
                <w:sz w:val="20"/>
                <w:szCs w:val="20"/>
                <w:color w:val="auto"/>
              </w:rPr>
            </w:pPr>
            <w:r>
              <w:rPr>
                <w:rFonts w:ascii="Arial" w:cs="Arial" w:eastAsia="Arial" w:hAnsi="Arial"/>
                <w:sz w:val="4"/>
                <w:szCs w:val="4"/>
                <w:color w:val="FFFFFF"/>
              </w:rPr>
              <w:t>3 Competitive fees to manager proposal reduces the management fee to 1.25% ?+ ? ? Only the TSLX offer also incorporates a reduced incentive fee from 20% to 17.5% ? TICC stockholders benefit from potential increased liquidity by owning</w:t>
            </w: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shares in a combined company</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Increased liquidity for TICC</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60" w:type="dxa"/>
            <w:vAlign w:val="bottom"/>
          </w:tcPr>
          <w:p>
            <w:pPr>
              <w:spacing w:after="0" w:line="36" w:lineRule="exact"/>
              <w:rPr>
                <w:sz w:val="20"/>
                <w:szCs w:val="20"/>
                <w:color w:val="auto"/>
              </w:rPr>
            </w:pPr>
            <w:r>
              <w:rPr>
                <w:rFonts w:ascii="Arial" w:cs="Arial" w:eastAsia="Arial" w:hAnsi="Arial"/>
                <w:sz w:val="4"/>
                <w:szCs w:val="4"/>
                <w:color w:val="FFFFFF"/>
              </w:rPr>
              <w:t>4 having</w:t>
            </w:r>
          </w:p>
        </w:tc>
        <w:tc>
          <w:tcPr>
            <w:tcW w:w="10940" w:type="dxa"/>
            <w:vAlign w:val="bottom"/>
            <w:gridSpan w:val="2"/>
          </w:tcPr>
          <w:p>
            <w:pPr>
              <w:ind w:left="60"/>
              <w:spacing w:after="0" w:line="36" w:lineRule="exact"/>
              <w:rPr>
                <w:sz w:val="20"/>
                <w:szCs w:val="20"/>
                <w:color w:val="auto"/>
              </w:rPr>
            </w:pPr>
            <w:r>
              <w:rPr>
                <w:rFonts w:ascii="Arial" w:cs="Arial" w:eastAsia="Arial" w:hAnsi="Arial"/>
                <w:sz w:val="4"/>
                <w:szCs w:val="4"/>
                <w:color w:val="FFFFFF"/>
              </w:rPr>
              <w:t>pro forma market capitalization   excess of $1.3 ?? stockholders billion, as compared to TICC’s current market capitalization of approximately $380 million</w:t>
            </w: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 TSLX has over-earned its dividend including realized gains in 2012 every quarter since July 2011</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400" w:type="dxa"/>
            <w:vAlign w:val="bottom"/>
            <w:gridSpan w:val="3"/>
          </w:tcPr>
          <w:p>
            <w:pPr>
              <w:spacing w:after="0" w:line="36" w:lineRule="exact"/>
              <w:rPr>
                <w:sz w:val="20"/>
                <w:szCs w:val="20"/>
                <w:color w:val="auto"/>
              </w:rPr>
            </w:pPr>
            <w:r>
              <w:rPr>
                <w:rFonts w:ascii="Arial" w:cs="Arial" w:eastAsia="Arial" w:hAnsi="Arial"/>
                <w:sz w:val="4"/>
                <w:szCs w:val="4"/>
                <w:color w:val="FFFFFF"/>
              </w:rPr>
              <w:t>5 TICC stockholders benefit from ? TSLX is the ideal partner for TICC and is differentiated ?? TSLX platform by its ability to leverage the deep investment, sector, and operating resources of TPG Specialty Situations Partners and the broader</w:t>
            </w: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TPG business</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Rotate TICC portfolio into</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400" w:type="dxa"/>
            <w:vAlign w:val="bottom"/>
            <w:gridSpan w:val="3"/>
          </w:tcPr>
          <w:p>
            <w:pPr>
              <w:spacing w:after="0" w:line="36" w:lineRule="exact"/>
              <w:rPr>
                <w:sz w:val="20"/>
                <w:szCs w:val="20"/>
                <w:color w:val="auto"/>
              </w:rPr>
            </w:pPr>
            <w:r>
              <w:rPr>
                <w:rFonts w:ascii="Arial" w:cs="Arial" w:eastAsia="Arial" w:hAnsi="Arial"/>
                <w:sz w:val="4"/>
                <w:szCs w:val="4"/>
                <w:color w:val="FFFFFF"/>
              </w:rPr>
              <w:t>6 ? Over time, TSLX expects to rotate the TICC portfolio into higher quality, better ?? higher quality and better performing assets / ? performing assets</w:t>
            </w:r>
          </w:p>
        </w:tc>
        <w:tc>
          <w:tcPr>
            <w:tcW w:w="0" w:type="dxa"/>
            <w:vAlign w:val="bottom"/>
          </w:tcPr>
          <w:p>
            <w:pPr>
              <w:spacing w:after="0" w:line="20" w:lineRule="exact"/>
              <w:rPr>
                <w:sz w:val="1"/>
                <w:szCs w:val="1"/>
                <w:color w:val="auto"/>
              </w:rPr>
            </w:pPr>
          </w:p>
        </w:tc>
      </w:tr>
      <w:tr>
        <w:trPr>
          <w:trHeight w:val="35"/>
        </w:trPr>
        <w:tc>
          <w:tcPr>
            <w:tcW w:w="5180" w:type="dxa"/>
            <w:vAlign w:val="bottom"/>
            <w:gridSpan w:val="2"/>
          </w:tcPr>
          <w:p>
            <w:pPr>
              <w:spacing w:after="0" w:line="36" w:lineRule="exact"/>
              <w:rPr>
                <w:sz w:val="20"/>
                <w:szCs w:val="20"/>
                <w:color w:val="auto"/>
              </w:rPr>
            </w:pPr>
            <w:r>
              <w:rPr>
                <w:rFonts w:ascii="Arial" w:cs="Arial" w:eastAsia="Arial" w:hAnsi="Arial"/>
                <w:sz w:val="4"/>
                <w:szCs w:val="4"/>
                <w:color w:val="FFFFFF"/>
              </w:rPr>
              <w:t>? Any capital that is not efficiently deployed into assets with superior risk-adjusted returns will be returned to</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60" w:type="dxa"/>
            <w:vAlign w:val="bottom"/>
          </w:tcPr>
          <w:p>
            <w:pPr>
              <w:spacing w:after="0" w:line="36" w:lineRule="exact"/>
              <w:rPr>
                <w:sz w:val="20"/>
                <w:szCs w:val="20"/>
                <w:color w:val="auto"/>
              </w:rPr>
            </w:pPr>
            <w:r>
              <w:rPr>
                <w:rFonts w:ascii="Arial" w:cs="Arial" w:eastAsia="Arial" w:hAnsi="Arial"/>
                <w:sz w:val="4"/>
                <w:szCs w:val="4"/>
                <w:color w:val="FFFFFF"/>
              </w:rPr>
              <w:t>7 TSLX</w:t>
            </w:r>
          </w:p>
        </w:tc>
        <w:tc>
          <w:tcPr>
            <w:tcW w:w="4720" w:type="dxa"/>
            <w:vAlign w:val="bottom"/>
          </w:tcPr>
          <w:p>
            <w:pPr>
              <w:ind w:left="560"/>
              <w:spacing w:after="0" w:line="36" w:lineRule="exact"/>
              <w:rPr>
                <w:sz w:val="20"/>
                <w:szCs w:val="20"/>
                <w:color w:val="auto"/>
              </w:rPr>
            </w:pPr>
            <w:r>
              <w:rPr>
                <w:rFonts w:ascii="Arial" w:cs="Arial" w:eastAsia="Arial" w:hAnsi="Arial"/>
                <w:sz w:val="4"/>
                <w:szCs w:val="4"/>
                <w:color w:val="FFFFFF"/>
              </w:rPr>
              <w:t>(which would include legacy TICC</w:t>
            </w:r>
          </w:p>
        </w:tc>
        <w:tc>
          <w:tcPr>
            <w:tcW w:w="6220" w:type="dxa"/>
            <w:vAlign w:val="bottom"/>
            <w:vMerge w:val="restart"/>
          </w:tcPr>
          <w:p>
            <w:pPr>
              <w:ind w:left="40"/>
              <w:spacing w:after="0"/>
              <w:rPr>
                <w:sz w:val="20"/>
                <w:szCs w:val="20"/>
                <w:color w:val="auto"/>
              </w:rPr>
            </w:pPr>
            <w:r>
              <w:rPr>
                <w:rFonts w:ascii="Arial" w:cs="Arial" w:eastAsia="Arial" w:hAnsi="Arial"/>
                <w:sz w:val="2"/>
                <w:szCs w:val="2"/>
                <w:color w:val="FFFFFF"/>
              </w:rPr>
              <w:t>of the TSLX proposal) through share buybacks</w:t>
            </w:r>
          </w:p>
        </w:tc>
        <w:tc>
          <w:tcPr>
            <w:tcW w:w="0" w:type="dxa"/>
            <w:vAlign w:val="bottom"/>
          </w:tcPr>
          <w:p>
            <w:pPr>
              <w:spacing w:after="0" w:line="20" w:lineRule="exact"/>
              <w:rPr>
                <w:sz w:val="1"/>
                <w:szCs w:val="1"/>
                <w:color w:val="auto"/>
              </w:rPr>
            </w:pPr>
          </w:p>
        </w:tc>
      </w:tr>
      <w:tr>
        <w:trPr>
          <w:trHeight w:val="0"/>
        </w:trPr>
        <w:tc>
          <w:tcPr>
            <w:tcW w:w="5180" w:type="dxa"/>
            <w:vAlign w:val="bottom"/>
            <w:gridSpan w:val="2"/>
          </w:tcPr>
          <w:p>
            <w:pPr>
              <w:spacing w:after="0" w:line="70" w:lineRule="exact"/>
              <w:rPr>
                <w:sz w:val="20"/>
                <w:szCs w:val="20"/>
                <w:color w:val="auto"/>
              </w:rPr>
            </w:pPr>
            <w:r>
              <w:rPr>
                <w:rFonts w:ascii="Arial" w:cs="Arial" w:eastAsia="Arial" w:hAnsi="Arial"/>
                <w:sz w:val="8"/>
                <w:szCs w:val="8"/>
                <w:color w:val="FFFFFF"/>
              </w:rPr>
              <w:t>Repurchasestockholders??stockholders to the extent they were to retain their TSLX shares following</w:t>
            </w:r>
          </w:p>
        </w:tc>
        <w:tc>
          <w:tcPr>
            <w:tcW w:w="6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500"/>
        <w:spacing w:after="0" w:line="22" w:lineRule="auto"/>
        <w:rPr>
          <w:sz w:val="20"/>
          <w:szCs w:val="20"/>
          <w:color w:val="auto"/>
        </w:rPr>
      </w:pPr>
      <w:r>
        <w:rPr>
          <w:rFonts w:ascii="Arial" w:cs="Arial" w:eastAsia="Arial" w:hAnsi="Arial"/>
          <w:sz w:val="1"/>
          <w:szCs w:val="1"/>
          <w:color w:val="FFFFFF"/>
        </w:rPr>
        <w:t>consummation</w:t>
      </w:r>
    </w:p>
    <w:p>
      <w:pPr>
        <w:spacing w:after="0"/>
        <w:tabs>
          <w:tab w:leader="none" w:pos="4820" w:val="left"/>
        </w:tabs>
        <w:rPr>
          <w:sz w:val="20"/>
          <w:szCs w:val="20"/>
          <w:color w:val="auto"/>
        </w:rPr>
      </w:pPr>
      <w:r>
        <w:rPr>
          <w:rFonts w:ascii="Arial" w:cs="Arial" w:eastAsia="Arial" w:hAnsi="Arial"/>
          <w:sz w:val="12"/>
          <w:szCs w:val="12"/>
          <w:color w:val="FFFFFF"/>
        </w:rPr>
        <w:t>?¹ ForTSLXreference,(NYSE)the8 TSLX proposal represents a 12.8% discount to TICC’s NAV as of June 30, 2015,</w:t>
      </w:r>
      <w:r>
        <w:rPr>
          <w:sz w:val="20"/>
          <w:szCs w:val="20"/>
          <w:color w:val="auto"/>
        </w:rPr>
        <w:tab/>
      </w:r>
      <w:r>
        <w:rPr>
          <w:rFonts w:ascii="Arial" w:cs="Arial" w:eastAsia="Arial" w:hAnsi="Arial"/>
          <w:sz w:val="9"/>
          <w:szCs w:val="9"/>
          <w:color w:val="FFFFFF"/>
        </w:rPr>
        <w:t>narrower discount than the price at which the shares have traded since June 30th.</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FFFFFF"/>
        </w:rPr>
        <w:t>WhyTheBSPStockholdersofferdoesShouldnotofferNotupfrontSupportpremiumOtherAlternativestoTICCstockholders</w:t>
      </w:r>
    </w:p>
    <w:p>
      <w:pPr>
        <w:ind w:right="359"/>
        <w:spacing w:after="0" w:line="184" w:lineRule="auto"/>
        <w:rPr>
          <w:sz w:val="20"/>
          <w:szCs w:val="20"/>
          <w:color w:val="auto"/>
        </w:rPr>
      </w:pPr>
      <w:r>
        <w:rPr>
          <w:rFonts w:ascii="Arial" w:cs="Arial" w:eastAsia="Arial" w:hAnsi="Arial"/>
          <w:sz w:val="6"/>
          <w:szCs w:val="6"/>
          <w:color w:val="FFFFFF"/>
        </w:rPr>
        <w:t>—InsteadThe estimatedtheBSPoffer$60mmcompensatespayment tothetheoutgoingoutgoingexternalexternalmanagermanagerdespiterepresentsyears aoftransfersignificantofvalueunderperformancetotheexternal manager representing 16% of TICC market cap based on the $6.28 September 15th share price.¹ Investors should question whether TICC’s special committee to the Board is truly independent, given their deep connections with Chuck Royce</w:t>
      </w:r>
    </w:p>
    <w:p>
      <w:pPr>
        <w:spacing w:after="0" w:line="184" w:lineRule="auto"/>
        <w:tabs>
          <w:tab w:leader="none" w:pos="2020" w:val="left"/>
        </w:tabs>
        <w:rPr>
          <w:sz w:val="20"/>
          <w:szCs w:val="20"/>
          <w:color w:val="auto"/>
        </w:rPr>
      </w:pPr>
      <w:r>
        <w:rPr>
          <w:rFonts w:ascii="Arial" w:cs="Arial" w:eastAsia="Arial" w:hAnsi="Arial"/>
          <w:sz w:val="4"/>
          <w:szCs w:val="4"/>
          <w:color w:val="FFFFFF"/>
        </w:rPr>
        <w:t>BSP has very limited experience running</w:t>
      </w:r>
      <w:r>
        <w:rPr>
          <w:sz w:val="20"/>
          <w:szCs w:val="20"/>
          <w:color w:val="auto"/>
        </w:rPr>
        <w:tab/>
      </w:r>
      <w:r>
        <w:rPr>
          <w:rFonts w:ascii="Arial" w:cs="Arial" w:eastAsia="Arial" w:hAnsi="Arial"/>
          <w:sz w:val="4"/>
          <w:szCs w:val="4"/>
          <w:color w:val="FFFFFF"/>
        </w:rPr>
        <w:t>BDC</w:t>
      </w:r>
    </w:p>
    <w:p>
      <w:pPr>
        <w:spacing w:after="0" w:line="184" w:lineRule="auto"/>
        <w:rPr>
          <w:sz w:val="20"/>
          <w:szCs w:val="20"/>
          <w:color w:val="auto"/>
        </w:rPr>
      </w:pPr>
      <w:r>
        <w:rPr>
          <w:rFonts w:ascii="Arial" w:cs="Arial" w:eastAsia="Arial" w:hAnsi="Arial"/>
          <w:sz w:val="8"/>
          <w:szCs w:val="8"/>
          <w:color w:val="FFFFFF"/>
        </w:rPr>
        <w:t>–Finally,BSPreturnboth BSPthroughand GriffinNexPointPartnershave aistrackonly record1.4%andofsignificanthasonly$2.5mmunderperformanceAUMbefore taking into account selling commissions and dealer manager fees²</w:t>
      </w:r>
    </w:p>
    <w:p>
      <w:pPr>
        <w:spacing w:after="0" w:line="184" w:lineRule="auto"/>
        <w:rPr>
          <w:sz w:val="20"/>
          <w:szCs w:val="20"/>
          <w:color w:val="auto"/>
        </w:rPr>
      </w:pPr>
      <w:r>
        <w:rPr>
          <w:rFonts w:ascii="Arial" w:cs="Arial" w:eastAsia="Arial" w:hAnsi="Arial"/>
          <w:sz w:val="4"/>
          <w:szCs w:val="4"/>
          <w:color w:val="FFFFFF"/>
        </w:rPr>
        <w:t>JulNexPoint-2006,vastlyCredit Strat gies (“NHF”)credithasandtotalequityreturnbenchmarksofonly19.4% since inception in</w:t>
      </w:r>
    </w:p>
    <w:p>
      <w:pPr>
        <w:spacing w:after="0" w:line="184" w:lineRule="auto"/>
        <w:rPr>
          <w:sz w:val="20"/>
          <w:szCs w:val="20"/>
          <w:color w:val="auto"/>
        </w:rPr>
      </w:pPr>
      <w:r>
        <w:rPr>
          <w:rFonts w:ascii="Arial" w:cs="Arial" w:eastAsia="Arial" w:hAnsi="Arial"/>
          <w:sz w:val="8"/>
          <w:szCs w:val="8"/>
          <w:color w:val="FFFFFF"/>
        </w:rPr>
        <w:t>Source: Bloomberunderperforming</w:t>
      </w:r>
    </w:p>
    <w:p>
      <w:pPr>
        <w:spacing w:after="0" w:line="184" w:lineRule="auto"/>
        <w:rPr>
          <w:sz w:val="20"/>
          <w:szCs w:val="20"/>
          <w:color w:val="auto"/>
        </w:rPr>
      </w:pPr>
      <w:r>
        <w:rPr>
          <w:rFonts w:ascii="Arial" w:cs="Arial" w:eastAsia="Arial" w:hAnsi="Arial"/>
          <w:sz w:val="8"/>
          <w:szCs w:val="8"/>
          <w:color w:val="FFFFFF"/>
        </w:rPr>
        <w:t>¹Note:SeptemberTotalreturn15thisisthedefineddayimmediatelyaschangeinprecedingstockpricethepluspublicany announcementpaiddividends ofovertheaTSLXgiven proposaltimeperiod.</w:t>
      </w:r>
    </w:p>
    <w:p>
      <w:pPr>
        <w:spacing w:after="0"/>
        <w:rPr>
          <w:sz w:val="20"/>
          <w:szCs w:val="20"/>
          <w:color w:val="auto"/>
        </w:rPr>
      </w:pPr>
      <w:r>
        <w:rPr>
          <w:rFonts w:ascii="Arial" w:cs="Arial" w:eastAsia="Arial" w:hAnsi="Arial"/>
          <w:sz w:val="12"/>
          <w:szCs w:val="12"/>
          <w:color w:val="FFFFFF"/>
        </w:rPr>
        <w:t>9² BSP has additional AUM held in other vehicles, but to TSLX’s knowledge, no public information on such vehicles’’ performance.</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FFFFFF"/>
          <w:vertAlign w:val="superscript"/>
        </w:rPr>
        <w:t>The</w:t>
      </w:r>
      <w:r>
        <w:rPr>
          <w:rFonts w:ascii="Arial" w:cs="Arial" w:eastAsia="Arial" w:hAnsi="Arial"/>
          <w:sz w:val="12"/>
          <w:szCs w:val="12"/>
          <w:color w:val="FFFFFF"/>
        </w:rPr>
        <w:t>imeline of TSLX’s Engagement with TICC</w:t>
      </w:r>
    </w:p>
    <w:p>
      <w:pPr>
        <w:ind w:left="200"/>
        <w:spacing w:after="0" w:line="184" w:lineRule="auto"/>
        <w:rPr>
          <w:sz w:val="20"/>
          <w:szCs w:val="20"/>
          <w:color w:val="auto"/>
        </w:rPr>
      </w:pPr>
      <w:r>
        <w:rPr>
          <w:rFonts w:ascii="Arial" w:cs="Arial" w:eastAsia="Arial" w:hAnsi="Arial"/>
          <w:sz w:val="2"/>
          <w:szCs w:val="2"/>
          <w:color w:val="FFFFFF"/>
        </w:rPr>
        <w:t xml:space="preserve">Special Committee rejected TSLX’s proposal without engaging in any substantive dialogue (i.e. negotiations) with TSLX even after several attempts by </w:t>
      </w:r>
      <w:r>
        <w:rPr>
          <w:rFonts w:ascii="Arial" w:cs="Arial" w:eastAsia="Arial" w:hAnsi="Arial"/>
          <w:sz w:val="4"/>
          <w:szCs w:val="4"/>
          <w:color w:val="FFFFFF"/>
          <w:vertAlign w:val="subscript"/>
        </w:rPr>
        <w:t>stockholders</w:t>
      </w:r>
      <w:r>
        <w:rPr>
          <w:rFonts w:ascii="Arial" w:cs="Arial" w:eastAsia="Arial" w:hAnsi="Arial"/>
          <w:sz w:val="2"/>
          <w:szCs w:val="2"/>
          <w:color w:val="FFFFFF"/>
        </w:rPr>
        <w:t>TSLXdiscuss the merits of TSLX’s offer</w:t>
      </w:r>
    </w:p>
    <w:p>
      <w:pPr>
        <w:ind w:left="80" w:right="1199" w:firstLine="72"/>
        <w:spacing w:after="0" w:line="184" w:lineRule="auto"/>
        <w:rPr>
          <w:sz w:val="20"/>
          <w:szCs w:val="20"/>
          <w:color w:val="auto"/>
        </w:rPr>
      </w:pPr>
      <w:r>
        <w:rPr>
          <w:rFonts w:ascii="Arial" w:cs="Arial" w:eastAsia="Arial" w:hAnsi="Arial"/>
          <w:sz w:val="6"/>
          <w:szCs w:val="6"/>
          <w:color w:val="FFFFFF"/>
        </w:rPr>
        <w:t xml:space="preserve">he speed with which TICC reached a decision with respect to the TSLX offer suggests that the TICC Board did not meaningfully consider the benefits to of the TSLX proposal </w:t>
      </w:r>
      <w:r>
        <w:rPr>
          <w:rFonts w:ascii="Arial" w:cs="Arial" w:eastAsia="Arial" w:hAnsi="Arial"/>
          <w:sz w:val="8"/>
          <w:szCs w:val="8"/>
          <w:color w:val="FFFFFF"/>
          <w:vertAlign w:val="superscript"/>
        </w:rPr>
        <w:t>TICC</w:t>
      </w:r>
      <w:r>
        <w:rPr>
          <w:rFonts w:ascii="Arial" w:cs="Arial" w:eastAsia="Arial" w:hAnsi="Arial"/>
          <w:sz w:val="6"/>
          <w:szCs w:val="6"/>
          <w:color w:val="FFFFFF"/>
        </w:rPr>
        <w:t xml:space="preserve"> rejected the TSLX offer within 12 hours after having received overview information about TSLX and seemingly without the benefit of a financial advisor</w:t>
      </w:r>
    </w:p>
    <w:p>
      <w:pPr>
        <w:spacing w:after="0" w:line="184" w:lineRule="auto"/>
        <w:tabs>
          <w:tab w:leader="none" w:pos="360" w:val="left"/>
        </w:tabs>
        <w:rPr>
          <w:sz w:val="20"/>
          <w:szCs w:val="20"/>
          <w:color w:val="auto"/>
        </w:rPr>
      </w:pPr>
      <w:r>
        <w:rPr>
          <w:rFonts w:ascii="Arial" w:cs="Arial" w:eastAsia="Arial" w:hAnsi="Arial"/>
          <w:sz w:val="4"/>
          <w:szCs w:val="4"/>
          <w:color w:val="FFFFFF"/>
          <w:vertAlign w:val="superscript"/>
        </w:rPr>
        <w:t>?</w:t>
      </w:r>
      <w:r>
        <w:rPr>
          <w:sz w:val="20"/>
          <w:szCs w:val="20"/>
          <w:color w:val="auto"/>
        </w:rPr>
        <w:tab/>
      </w:r>
      <w:r>
        <w:rPr>
          <w:rFonts w:ascii="Arial" w:cs="Arial" w:eastAsia="Arial" w:hAnsi="Arial"/>
          <w:sz w:val="2"/>
          <w:szCs w:val="2"/>
          <w:color w:val="FFFFFF"/>
        </w:rPr>
        <w:t>declined several offers made by TSLX for meetings to discuss the details and merits of its proposal</w:t>
      </w:r>
    </w:p>
    <w:p>
      <w:pPr>
        <w:ind w:right="2979" w:firstLine="82"/>
        <w:spacing w:after="0"/>
        <w:rPr>
          <w:sz w:val="20"/>
          <w:szCs w:val="20"/>
          <w:color w:val="auto"/>
        </w:rPr>
      </w:pPr>
      <w:r>
        <w:rPr>
          <w:rFonts w:ascii="Arial" w:cs="Arial" w:eastAsia="Arial" w:hAnsi="Arial"/>
          <w:sz w:val="6"/>
          <w:szCs w:val="6"/>
          <w:color w:val="FFFFFF"/>
        </w:rPr>
        <w:t>Diligence information requests were minimal and largely consisted of requests for public financial information and an organizational overview of TSLX Initial Proposal Respond to Respond to Public Bid Info Request Info Request Announcement</w:t>
      </w:r>
    </w:p>
    <w:p>
      <w:pPr>
        <w:spacing w:after="0" w:line="188" w:lineRule="auto"/>
        <w:rPr>
          <w:sz w:val="20"/>
          <w:szCs w:val="20"/>
          <w:color w:val="auto"/>
        </w:rPr>
      </w:pPr>
      <w:r>
        <w:rPr>
          <w:rFonts w:ascii="Arial" w:cs="Arial" w:eastAsia="Arial" w:hAnsi="Arial"/>
          <w:sz w:val="8"/>
          <w:szCs w:val="8"/>
          <w:color w:val="FFFFFF"/>
        </w:rPr>
        <w:t>Sep Sep Sep Sep Sep Sep Sep 10th 11th 12th 13th 14th 15th 16th</w:t>
      </w:r>
    </w:p>
    <w:p>
      <w:pPr>
        <w:spacing w:after="0"/>
        <w:rPr>
          <w:sz w:val="20"/>
          <w:szCs w:val="20"/>
          <w:color w:val="auto"/>
        </w:rPr>
      </w:pPr>
      <w:r>
        <w:rPr>
          <w:rFonts w:ascii="Arial" w:cs="Arial" w:eastAsia="Arial" w:hAnsi="Arial"/>
          <w:sz w:val="12"/>
          <w:szCs w:val="12"/>
          <w:color w:val="FFFFFF"/>
        </w:rPr>
        <w:t>?CursoryTSLX (NYSE)Followup10Offer Rejected Without Response Response Meaningful Dialogue</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8"/>
          <w:szCs w:val="8"/>
          <w:color w:val="FFFFFF"/>
        </w:rPr>
        <w:t>HowTICC’sIndependentBoardrenewedisTICC’stheadvisorySpecial CommitteeagreementwientitledofhtheTICCBoard?management every year even after the management team substantially underperformed against nearly every metric possible and, according to certain industry analysts, charged</w:t>
      </w:r>
    </w:p>
    <w:p>
      <w:pPr>
        <w:spacing w:after="0" w:line="205" w:lineRule="auto"/>
        <w:tabs>
          <w:tab w:leader="none" w:pos="2600" w:val="left"/>
        </w:tabs>
        <w:rPr>
          <w:sz w:val="20"/>
          <w:szCs w:val="20"/>
          <w:color w:val="auto"/>
        </w:rPr>
      </w:pPr>
      <w:r>
        <w:rPr>
          <w:rFonts w:ascii="Arial" w:cs="Arial" w:eastAsia="Arial" w:hAnsi="Arial"/>
          <w:sz w:val="6"/>
          <w:szCs w:val="6"/>
          <w:color w:val="FFFFFF"/>
        </w:rPr>
        <w:t>approximately 6x the fees it should properly be</w:t>
      </w:r>
      <w:r>
        <w:rPr>
          <w:sz w:val="20"/>
          <w:szCs w:val="20"/>
          <w:color w:val="auto"/>
        </w:rPr>
        <w:tab/>
      </w:r>
      <w:r>
        <w:rPr>
          <w:rFonts w:ascii="Arial" w:cs="Arial" w:eastAsia="Arial" w:hAnsi="Arial"/>
          <w:sz w:val="6"/>
          <w:szCs w:val="6"/>
          <w:color w:val="FFFFFF"/>
        </w:rPr>
        <w:t>to given the composition of TICC’s portfolio¹</w:t>
      </w:r>
    </w:p>
    <w:p>
      <w:pPr>
        <w:spacing w:after="0" w:line="210" w:lineRule="auto"/>
        <w:rPr>
          <w:sz w:val="20"/>
          <w:szCs w:val="20"/>
          <w:color w:val="auto"/>
        </w:rPr>
      </w:pPr>
      <w:r>
        <w:rPr>
          <w:rFonts w:ascii="Arial" w:cs="Arial" w:eastAsia="Arial" w:hAnsi="Arial"/>
          <w:sz w:val="7"/>
          <w:szCs w:val="7"/>
          <w:color w:val="FFFFFF"/>
        </w:rPr>
        <w:t>OxfordTheBoardLane,couldanotherhave BDCconsideredwhoseterminatingadviserhas thethe managementsamemanagingcontractmemberandasswitchingTICCmanagement,toBSPoncepaidTICCfeesManagementandcreated informedassetsunderthemmanagementthatitwas exitingforBSP through purchases of their equity in CLOs managed by BSP</w:t>
      </w:r>
    </w:p>
    <w:p>
      <w:pPr>
        <w:ind w:left="9900"/>
        <w:spacing w:after="0"/>
        <w:rPr>
          <w:sz w:val="20"/>
          <w:szCs w:val="20"/>
          <w:color w:val="auto"/>
        </w:rPr>
      </w:pPr>
      <w:r>
        <w:rPr>
          <w:rFonts w:ascii="Arial" w:cs="Arial" w:eastAsia="Arial" w:hAnsi="Arial"/>
          <w:sz w:val="1"/>
          <w:szCs w:val="1"/>
          <w:color w:val="FFFFFF"/>
        </w:rPr>
        <w:t>TICC’s—ByTSLX’sBoard hascalculation,refusedtoTICCutilizeand Oxford Lanesharehavebuybacksorwilltopaycreatemillionsvalueinforfeesstockholders.overthelifeAofkeythesereasonvehiclesmay tobeBSPitwould reduce management fees and incentive fees to management and certain TICC board members</w:t>
      </w:r>
    </w:p>
    <w:p>
      <w:pPr>
        <w:ind w:left="1700"/>
        <w:spacing w:after="0" w:line="184" w:lineRule="auto"/>
        <w:rPr>
          <w:sz w:val="20"/>
          <w:szCs w:val="20"/>
          <w:color w:val="auto"/>
        </w:rPr>
      </w:pPr>
      <w:r>
        <w:rPr>
          <w:rFonts w:ascii="Arial" w:cs="Arial" w:eastAsia="Arial" w:hAnsi="Arial"/>
          <w:sz w:val="8"/>
          <w:szCs w:val="8"/>
          <w:color w:val="FFFFFF"/>
        </w:rPr>
        <w:t>significant</w:t>
      </w:r>
    </w:p>
    <w:p>
      <w:pPr>
        <w:spacing w:after="0"/>
        <w:rPr>
          <w:sz w:val="20"/>
          <w:szCs w:val="20"/>
          <w:color w:val="auto"/>
        </w:rPr>
      </w:pPr>
      <w:r>
        <w:rPr>
          <w:rFonts w:ascii="Arial" w:cs="Arial" w:eastAsia="Arial" w:hAnsi="Arial"/>
          <w:sz w:val="12"/>
          <w:szCs w:val="12"/>
          <w:color w:val="FFFFFF"/>
        </w:rPr>
        <w:t>11¹TICC Reiterates Rejection of TSLX’ offer, Wells Fargo, September 22, 2015</w:t>
      </w:r>
    </w:p>
    <w:p>
      <w:pPr>
        <w:sectPr>
          <w:pgSz w:w="11900" w:h="16838" w:orient="portrait"/>
          <w:cols w:equalWidth="0" w:num="1">
            <w:col w:w="11040"/>
          </w:cols>
          <w:pgMar w:left="240" w:top="1440" w:right="6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80" w:type="dxa"/>
            <w:vAlign w:val="bottom"/>
            <w:gridSpan w:val="3"/>
          </w:tcPr>
          <w:p>
            <w:pPr>
              <w:spacing w:after="0"/>
              <w:rPr>
                <w:sz w:val="20"/>
                <w:szCs w:val="20"/>
                <w:color w:val="auto"/>
              </w:rPr>
            </w:pPr>
            <w:r>
              <w:rPr>
                <w:rFonts w:ascii="Arial" w:cs="Arial" w:eastAsia="Arial" w:hAnsi="Arial"/>
                <w:sz w:val="12"/>
                <w:szCs w:val="12"/>
                <w:color w:val="FFFFFF"/>
              </w:rPr>
              <w:t>TICC’ Research Coverage Universe</w:t>
            </w:r>
          </w:p>
        </w:tc>
        <w:tc>
          <w:tcPr>
            <w:tcW w:w="7060" w:type="dxa"/>
            <w:vAlign w:val="bottom"/>
          </w:tcPr>
          <w:p>
            <w:pPr>
              <w:spacing w:after="0"/>
              <w:rPr>
                <w:sz w:val="12"/>
                <w:szCs w:val="12"/>
                <w:color w:val="auto"/>
              </w:rPr>
            </w:pPr>
          </w:p>
        </w:tc>
      </w:tr>
      <w:tr>
        <w:trPr>
          <w:trHeight w:val="35"/>
        </w:trPr>
        <w:tc>
          <w:tcPr>
            <w:tcW w:w="11440" w:type="dxa"/>
            <w:vAlign w:val="bottom"/>
            <w:gridSpan w:val="4"/>
          </w:tcPr>
          <w:p>
            <w:pPr>
              <w:spacing w:after="0" w:line="36" w:lineRule="exact"/>
              <w:rPr>
                <w:sz w:val="20"/>
                <w:szCs w:val="20"/>
                <w:color w:val="auto"/>
              </w:rPr>
            </w:pPr>
            <w:r>
              <w:rPr>
                <w:rFonts w:ascii="Arial" w:cs="Arial" w:eastAsia="Arial" w:hAnsi="Arial"/>
                <w:sz w:val="4"/>
                <w:szCs w:val="4"/>
                <w:color w:val="FFFFFF"/>
              </w:rPr>
              <w:t>Research analysts who have the most neutral perspective overwhelming agree that the BSP offer is a bad deal for stockholders</w:t>
            </w:r>
          </w:p>
        </w:tc>
      </w:tr>
      <w:tr>
        <w:trPr>
          <w:trHeight w:val="35"/>
        </w:trPr>
        <w:tc>
          <w:tcPr>
            <w:tcW w:w="4380" w:type="dxa"/>
            <w:vAlign w:val="bottom"/>
            <w:gridSpan w:val="3"/>
          </w:tcPr>
          <w:p>
            <w:pPr>
              <w:spacing w:after="0" w:line="36" w:lineRule="exact"/>
              <w:rPr>
                <w:sz w:val="20"/>
                <w:szCs w:val="20"/>
                <w:color w:val="auto"/>
              </w:rPr>
            </w:pPr>
            <w:r>
              <w:rPr>
                <w:rFonts w:ascii="Arial" w:cs="Arial" w:eastAsia="Arial" w:hAnsi="Arial"/>
                <w:sz w:val="4"/>
                <w:szCs w:val="4"/>
                <w:color w:val="FFFFFF"/>
              </w:rPr>
              <w:t>Analyst Commentary Support for BSP Offer ? “BSP offer provides no immediate</w:t>
            </w:r>
          </w:p>
        </w:tc>
        <w:tc>
          <w:tcPr>
            <w:tcW w:w="7060" w:type="dxa"/>
            <w:vAlign w:val="bottom"/>
          </w:tcPr>
          <w:p>
            <w:pPr>
              <w:ind w:left="160"/>
              <w:spacing w:after="0" w:line="36" w:lineRule="exact"/>
              <w:rPr>
                <w:sz w:val="20"/>
                <w:szCs w:val="20"/>
                <w:color w:val="auto"/>
              </w:rPr>
            </w:pPr>
            <w:r>
              <w:rPr>
                <w:rFonts w:ascii="Arial" w:cs="Arial" w:eastAsia="Arial" w:hAnsi="Arial"/>
                <w:sz w:val="4"/>
                <w:szCs w:val="4"/>
                <w:color w:val="FFFFFF"/>
              </w:rPr>
              <w:t>to TICC</w:t>
            </w:r>
          </w:p>
        </w:tc>
      </w:tr>
      <w:tr>
        <w:trPr>
          <w:trHeight w:val="35"/>
        </w:trPr>
        <w:tc>
          <w:tcPr>
            <w:tcW w:w="11440" w:type="dxa"/>
            <w:vAlign w:val="bottom"/>
            <w:gridSpan w:val="4"/>
          </w:tcPr>
          <w:p>
            <w:pPr>
              <w:spacing w:after="0" w:line="36" w:lineRule="exact"/>
              <w:rPr>
                <w:sz w:val="20"/>
                <w:szCs w:val="20"/>
                <w:color w:val="auto"/>
              </w:rPr>
            </w:pPr>
            <w:r>
              <w:rPr>
                <w:rFonts w:ascii="Arial" w:cs="Arial" w:eastAsia="Arial" w:hAnsi="Arial"/>
                <w:sz w:val="4"/>
                <w:szCs w:val="4"/>
                <w:color w:val="FFFFFF"/>
              </w:rPr>
              <w:t>Wells Fargo Securities shareholders AND the value creation rests on a manager whocompensation?has[very limited] track record of managing a BDC”</w:t>
            </w:r>
          </w:p>
        </w:tc>
      </w:tr>
      <w:tr>
        <w:trPr>
          <w:trHeight w:val="35"/>
        </w:trPr>
        <w:tc>
          <w:tcPr>
            <w:tcW w:w="4380" w:type="dxa"/>
            <w:vAlign w:val="bottom"/>
            <w:gridSpan w:val="3"/>
          </w:tcPr>
          <w:p>
            <w:pPr>
              <w:spacing w:after="0" w:line="36" w:lineRule="exact"/>
              <w:rPr>
                <w:sz w:val="20"/>
                <w:szCs w:val="20"/>
                <w:color w:val="auto"/>
              </w:rPr>
            </w:pPr>
            <w:r>
              <w:rPr>
                <w:rFonts w:ascii="Arial" w:cs="Arial" w:eastAsia="Arial" w:hAnsi="Arial"/>
                <w:sz w:val="4"/>
                <w:szCs w:val="4"/>
                <w:color w:val="FFFFFF"/>
              </w:rPr>
              <w:t>? “We do not believe the proposal with BSP that is supported by</w:t>
            </w:r>
          </w:p>
        </w:tc>
        <w:tc>
          <w:tcPr>
            <w:tcW w:w="7060" w:type="dxa"/>
            <w:vAlign w:val="bottom"/>
          </w:tcPr>
          <w:p>
            <w:pPr>
              <w:spacing w:after="0"/>
              <w:rPr>
                <w:sz w:val="3"/>
                <w:szCs w:val="3"/>
                <w:color w:val="auto"/>
              </w:rPr>
            </w:pPr>
          </w:p>
        </w:tc>
      </w:tr>
      <w:tr>
        <w:trPr>
          <w:trHeight w:val="35"/>
        </w:trPr>
        <w:tc>
          <w:tcPr>
            <w:tcW w:w="4380" w:type="dxa"/>
            <w:vAlign w:val="bottom"/>
            <w:gridSpan w:val="3"/>
          </w:tcPr>
          <w:p>
            <w:pPr>
              <w:spacing w:after="0" w:line="36" w:lineRule="exact"/>
              <w:rPr>
                <w:sz w:val="20"/>
                <w:szCs w:val="20"/>
                <w:color w:val="auto"/>
              </w:rPr>
            </w:pPr>
            <w:r>
              <w:rPr>
                <w:rFonts w:ascii="Arial" w:cs="Arial" w:eastAsia="Arial" w:hAnsi="Arial"/>
                <w:sz w:val="4"/>
                <w:szCs w:val="4"/>
                <w:color w:val="FFFFFF"/>
              </w:rPr>
              <w:t>Barclays TICC’s Board represents the best possible offer available to? shareholders”</w:t>
            </w:r>
          </w:p>
        </w:tc>
        <w:tc>
          <w:tcPr>
            <w:tcW w:w="7060" w:type="dxa"/>
            <w:vAlign w:val="bottom"/>
          </w:tcPr>
          <w:p>
            <w:pPr>
              <w:spacing w:after="0"/>
              <w:rPr>
                <w:sz w:val="3"/>
                <w:szCs w:val="3"/>
                <w:color w:val="auto"/>
              </w:rPr>
            </w:pPr>
          </w:p>
        </w:tc>
      </w:tr>
      <w:tr>
        <w:trPr>
          <w:trHeight w:val="35"/>
        </w:trPr>
        <w:tc>
          <w:tcPr>
            <w:tcW w:w="4380" w:type="dxa"/>
            <w:vAlign w:val="bottom"/>
            <w:gridSpan w:val="3"/>
          </w:tcPr>
          <w:p>
            <w:pPr>
              <w:spacing w:after="0" w:line="36" w:lineRule="exact"/>
              <w:rPr>
                <w:sz w:val="20"/>
                <w:szCs w:val="20"/>
                <w:color w:val="auto"/>
              </w:rPr>
            </w:pPr>
            <w:r>
              <w:rPr>
                <w:rFonts w:ascii="Arial" w:cs="Arial" w:eastAsia="Arial" w:hAnsi="Arial"/>
                <w:sz w:val="4"/>
                <w:szCs w:val="4"/>
                <w:color w:val="FFFFFF"/>
              </w:rPr>
              <w:t>? “While TICC’s board of directors likely declined to engage with</w:t>
            </w:r>
          </w:p>
        </w:tc>
        <w:tc>
          <w:tcPr>
            <w:tcW w:w="7060" w:type="dxa"/>
            <w:vAlign w:val="bottom"/>
          </w:tcPr>
          <w:p>
            <w:pPr>
              <w:spacing w:after="0"/>
              <w:rPr>
                <w:sz w:val="3"/>
                <w:szCs w:val="3"/>
                <w:color w:val="auto"/>
              </w:rPr>
            </w:pPr>
          </w:p>
        </w:tc>
      </w:tr>
      <w:tr>
        <w:trPr>
          <w:trHeight w:val="35"/>
        </w:trPr>
        <w:tc>
          <w:tcPr>
            <w:tcW w:w="840" w:type="dxa"/>
            <w:vAlign w:val="bottom"/>
          </w:tcPr>
          <w:p>
            <w:pPr>
              <w:spacing w:after="0" w:line="36" w:lineRule="exact"/>
              <w:rPr>
                <w:sz w:val="20"/>
                <w:szCs w:val="20"/>
                <w:color w:val="auto"/>
              </w:rPr>
            </w:pPr>
            <w:r>
              <w:rPr>
                <w:rFonts w:ascii="Arial" w:cs="Arial" w:eastAsia="Arial" w:hAnsi="Arial"/>
                <w:sz w:val="4"/>
                <w:szCs w:val="4"/>
                <w:color w:val="FFFFFF"/>
              </w:rPr>
              <w:t>JMP Securities</w:t>
            </w:r>
          </w:p>
        </w:tc>
        <w:tc>
          <w:tcPr>
            <w:tcW w:w="10600" w:type="dxa"/>
            <w:vAlign w:val="bottom"/>
            <w:gridSpan w:val="3"/>
          </w:tcPr>
          <w:p>
            <w:pPr>
              <w:ind w:left="240"/>
              <w:spacing w:after="0" w:line="36" w:lineRule="exact"/>
              <w:rPr>
                <w:sz w:val="20"/>
                <w:szCs w:val="20"/>
                <w:color w:val="auto"/>
              </w:rPr>
            </w:pPr>
            <w:r>
              <w:rPr>
                <w:rFonts w:ascii="Arial" w:cs="Arial" w:eastAsia="Arial" w:hAnsi="Arial"/>
                <w:sz w:val="4"/>
                <w:szCs w:val="4"/>
                <w:color w:val="FFFFFF"/>
              </w:rPr>
              <w:t>TSLX expressed its full commitment to realize the value in ? the proposed transaction. We see value [in TSLX’s offer]”</w:t>
            </w:r>
          </w:p>
        </w:tc>
      </w:tr>
      <w:tr>
        <w:trPr>
          <w:trHeight w:val="35"/>
        </w:trPr>
        <w:tc>
          <w:tcPr>
            <w:tcW w:w="11440" w:type="dxa"/>
            <w:vAlign w:val="bottom"/>
            <w:gridSpan w:val="4"/>
          </w:tcPr>
          <w:p>
            <w:pPr>
              <w:spacing w:after="0" w:line="36" w:lineRule="exact"/>
              <w:rPr>
                <w:sz w:val="20"/>
                <w:szCs w:val="20"/>
                <w:color w:val="auto"/>
              </w:rPr>
            </w:pPr>
            <w:r>
              <w:rPr>
                <w:rFonts w:ascii="Arial" w:cs="Arial" w:eastAsia="Arial" w:hAnsi="Arial"/>
                <w:sz w:val="4"/>
                <w:szCs w:val="4"/>
                <w:color w:val="FFFFFF"/>
              </w:rPr>
              <w:t>? “UnfortunatelyTSLX,itisour belief that the Board is placing more value on the compensation that BSP is willing to provide to the management team to buy the contract than maximizing KBW shareholder values. If ultimately the Board pushes the</w:t>
            </w:r>
          </w:p>
        </w:tc>
      </w:tr>
      <w:tr>
        <w:trPr>
          <w:trHeight w:val="0"/>
        </w:trPr>
        <w:tc>
          <w:tcPr>
            <w:tcW w:w="840" w:type="dxa"/>
            <w:vAlign w:val="bottom"/>
          </w:tcPr>
          <w:p>
            <w:pPr>
              <w:spacing w:after="0" w:line="70" w:lineRule="exact"/>
              <w:rPr>
                <w:sz w:val="20"/>
                <w:szCs w:val="20"/>
                <w:color w:val="auto"/>
              </w:rPr>
            </w:pPr>
            <w:r>
              <w:rPr>
                <w:rFonts w:ascii="Arial" w:cs="Arial" w:eastAsia="Arial" w:hAnsi="Arial"/>
                <w:sz w:val="8"/>
                <w:szCs w:val="8"/>
                <w:color w:val="FFFFFF"/>
              </w:rPr>
              <w:t>BSP ? offer</w:t>
            </w:r>
          </w:p>
        </w:tc>
        <w:tc>
          <w:tcPr>
            <w:tcW w:w="640" w:type="dxa"/>
            <w:vAlign w:val="bottom"/>
          </w:tcPr>
          <w:p>
            <w:pPr>
              <w:ind w:left="160"/>
              <w:spacing w:after="0" w:line="70" w:lineRule="exact"/>
              <w:rPr>
                <w:sz w:val="20"/>
                <w:szCs w:val="20"/>
                <w:color w:val="auto"/>
              </w:rPr>
            </w:pPr>
            <w:r>
              <w:rPr>
                <w:rFonts w:ascii="Arial" w:cs="Arial" w:eastAsia="Arial" w:hAnsi="Arial"/>
                <w:sz w:val="8"/>
                <w:szCs w:val="8"/>
                <w:color w:val="FFFFFF"/>
              </w:rPr>
              <w:t>this is</w:t>
            </w:r>
          </w:p>
        </w:tc>
        <w:tc>
          <w:tcPr>
            <w:tcW w:w="2900" w:type="dxa"/>
            <w:vAlign w:val="bottom"/>
          </w:tcPr>
          <w:p>
            <w:pPr>
              <w:ind w:left="200"/>
              <w:spacing w:after="0" w:line="70" w:lineRule="exact"/>
              <w:rPr>
                <w:sz w:val="20"/>
                <w:szCs w:val="20"/>
                <w:color w:val="auto"/>
              </w:rPr>
            </w:pPr>
            <w:r>
              <w:rPr>
                <w:rFonts w:ascii="Arial" w:cs="Arial" w:eastAsia="Arial" w:hAnsi="Arial"/>
                <w:sz w:val="8"/>
                <w:szCs w:val="8"/>
                <w:color w:val="FFFFFF"/>
              </w:rPr>
              <w:t>black eye for the BDC industry regarding shareholder</w:t>
            </w:r>
          </w:p>
        </w:tc>
        <w:tc>
          <w:tcPr>
            <w:tcW w:w="7060" w:type="dxa"/>
            <w:vAlign w:val="bottom"/>
          </w:tcPr>
          <w:p>
            <w:pPr>
              <w:ind w:left="220"/>
              <w:spacing w:after="0" w:line="70" w:lineRule="exact"/>
              <w:rPr>
                <w:sz w:val="20"/>
                <w:szCs w:val="20"/>
                <w:color w:val="auto"/>
              </w:rPr>
            </w:pPr>
            <w:r>
              <w:rPr>
                <w:rFonts w:ascii="Arial" w:cs="Arial" w:eastAsia="Arial" w:hAnsi="Arial"/>
                <w:sz w:val="8"/>
                <w:szCs w:val="8"/>
                <w:color w:val="FFFFFF"/>
              </w:rPr>
              <w:t>vs. management compensation”</w:t>
            </w:r>
          </w:p>
        </w:tc>
      </w:tr>
    </w:tbl>
    <w:p>
      <w:pPr>
        <w:ind w:left="580"/>
        <w:spacing w:after="0" w:line="22" w:lineRule="auto"/>
        <w:tabs>
          <w:tab w:leader="none" w:pos="1280" w:val="left"/>
          <w:tab w:leader="none" w:pos="4220" w:val="left"/>
        </w:tabs>
        <w:rPr>
          <w:sz w:val="20"/>
          <w:szCs w:val="20"/>
          <w:color w:val="auto"/>
        </w:rPr>
      </w:pPr>
      <w:r>
        <w:rPr>
          <w:rFonts w:ascii="Arial" w:cs="Arial" w:eastAsia="Arial" w:hAnsi="Arial"/>
          <w:sz w:val="1"/>
          <w:szCs w:val="1"/>
          <w:color w:val="FFFFFF"/>
        </w:rPr>
        <w:t>through,</w:t>
      </w:r>
      <w:r>
        <w:rPr>
          <w:sz w:val="20"/>
          <w:szCs w:val="20"/>
          <w:color w:val="auto"/>
        </w:rPr>
        <w:tab/>
      </w:r>
      <w:r>
        <w:rPr>
          <w:rFonts w:ascii="Arial" w:cs="Arial" w:eastAsia="Arial" w:hAnsi="Arial"/>
          <w:sz w:val="1"/>
          <w:szCs w:val="1"/>
          <w:color w:val="FFFFFF"/>
        </w:rPr>
        <w:t>another</w:t>
      </w:r>
      <w:r>
        <w:rPr>
          <w:sz w:val="20"/>
          <w:szCs w:val="20"/>
          <w:color w:val="auto"/>
        </w:rPr>
        <w:tab/>
      </w:r>
      <w:r>
        <w:rPr>
          <w:rFonts w:ascii="Arial" w:cs="Arial" w:eastAsia="Arial" w:hAnsi="Arial"/>
          <w:sz w:val="1"/>
          <w:szCs w:val="1"/>
          <w:color w:val="FFFFFF"/>
        </w:rPr>
        <w:t>returns</w:t>
      </w:r>
    </w:p>
    <w:p>
      <w:pPr>
        <w:spacing w:after="0" w:line="184" w:lineRule="auto"/>
        <w:tabs>
          <w:tab w:leader="none" w:pos="1620" w:val="left"/>
        </w:tabs>
        <w:rPr>
          <w:sz w:val="20"/>
          <w:szCs w:val="20"/>
          <w:color w:val="auto"/>
        </w:rPr>
      </w:pPr>
      <w:r>
        <w:rPr>
          <w:rFonts w:ascii="Arial" w:cs="Arial" w:eastAsia="Arial" w:hAnsi="Arial"/>
          <w:sz w:val="4"/>
          <w:szCs w:val="4"/>
          <w:color w:val="FFFFFF"/>
        </w:rPr>
        <w:t>Ladenburg?“InourviewThalmanntherejection of</w:t>
      </w:r>
      <w:r>
        <w:rPr>
          <w:sz w:val="20"/>
          <w:szCs w:val="20"/>
          <w:color w:val="auto"/>
        </w:rPr>
        <w:tab/>
      </w:r>
      <w:r>
        <w:rPr>
          <w:rFonts w:ascii="Arial" w:cs="Arial" w:eastAsia="Arial" w:hAnsi="Arial"/>
          <w:sz w:val="4"/>
          <w:szCs w:val="4"/>
          <w:color w:val="FFFFFF"/>
        </w:rPr>
        <w:t>TSLX offer calls into question of whose interests TICC’ Board is most concerned”</w:t>
      </w:r>
    </w:p>
    <w:p>
      <w:pPr>
        <w:spacing w:after="0" w:line="184" w:lineRule="auto"/>
        <w:rPr>
          <w:sz w:val="20"/>
          <w:szCs w:val="20"/>
          <w:color w:val="auto"/>
        </w:rPr>
      </w:pPr>
      <w:r>
        <w:rPr>
          <w:rFonts w:ascii="Arial" w:cs="Arial" w:eastAsia="Arial" w:hAnsi="Arial"/>
          <w:sz w:val="4"/>
          <w:szCs w:val="4"/>
          <w:color w:val="FFFFFF"/>
          <w:vertAlign w:val="superscript"/>
        </w:rPr>
        <w:t>? “We</w:t>
      </w:r>
    </w:p>
    <w:p>
      <w:pPr>
        <w:ind w:left="320"/>
        <w:spacing w:after="0" w:line="184" w:lineRule="auto"/>
        <w:rPr>
          <w:sz w:val="20"/>
          <w:szCs w:val="20"/>
          <w:color w:val="auto"/>
        </w:rPr>
      </w:pPr>
      <w:r>
        <w:rPr>
          <w:rFonts w:ascii="Arial" w:cs="Arial" w:eastAsia="Arial" w:hAnsi="Arial"/>
          <w:sz w:val="4"/>
          <w:szCs w:val="4"/>
          <w:color w:val="FFFFFF"/>
        </w:rPr>
        <w:t>believelikethe shareholdersTSLXofferbecausestandtoitgainprovidesmore thefromclearestBSPchangingpathyet? to generating value for TICC shareholders”</w:t>
      </w:r>
    </w:p>
    <w:p>
      <w:pPr>
        <w:spacing w:after="0" w:line="184" w:lineRule="auto"/>
        <w:rPr>
          <w:sz w:val="20"/>
          <w:szCs w:val="20"/>
          <w:color w:val="auto"/>
        </w:rPr>
      </w:pPr>
      <w:r>
        <w:rPr>
          <w:rFonts w:ascii="Arial" w:cs="Arial" w:eastAsia="Arial" w:hAnsi="Arial"/>
          <w:sz w:val="4"/>
          <w:szCs w:val="4"/>
          <w:color w:val="FFFFFF"/>
        </w:rPr>
        <w:t>National Securities the company’s strategy than the quick gain of selling now at ? $7.50”</w:t>
      </w:r>
    </w:p>
    <w:p>
      <w:pPr>
        <w:spacing w:after="0" w:line="184" w:lineRule="auto"/>
        <w:rPr>
          <w:sz w:val="20"/>
          <w:szCs w:val="20"/>
          <w:color w:val="auto"/>
        </w:rPr>
      </w:pPr>
      <w:r>
        <w:rPr>
          <w:rFonts w:ascii="Arial" w:cs="Arial" w:eastAsia="Arial" w:hAnsi="Arial"/>
          <w:sz w:val="4"/>
          <w:szCs w:val="4"/>
          <w:color w:val="FFFFFF"/>
        </w:rPr>
        <w:t>Source: Research Reports, Public Filings</w:t>
      </w:r>
    </w:p>
    <w:p>
      <w:pPr>
        <w:spacing w:after="0"/>
        <w:rPr>
          <w:sz w:val="20"/>
          <w:szCs w:val="20"/>
          <w:color w:val="auto"/>
        </w:rPr>
      </w:pPr>
      <w:r>
        <w:rPr>
          <w:rFonts w:ascii="Arial" w:cs="Arial" w:eastAsia="Arial" w:hAnsi="Arial"/>
          <w:sz w:val="12"/>
          <w:szCs w:val="12"/>
          <w:color w:val="FFFFFF"/>
        </w:rPr>
        <w:t>? TSLX (NYSE) 12</w:t>
      </w:r>
    </w:p>
    <w:p>
      <w:pPr>
        <w:sectPr>
          <w:pgSz w:w="11900" w:h="16838" w:orient="portrait"/>
          <w:cols w:equalWidth="0" w:num="1">
            <w:col w:w="11440"/>
          </w:cols>
          <w:pgMar w:left="240" w:top="1440" w:right="2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FFFFFF"/>
        </w:rPr>
        <w:t>AnalystKBW,SeptCommentary16thTICConLargestPoorGovernanceStockholdersustainable,atRagingTICC Capital Management,</w:t>
      </w:r>
    </w:p>
    <w:p>
      <w:pPr>
        <w:ind w:left="11260"/>
        <w:spacing w:after="0"/>
        <w:rPr>
          <w:sz w:val="20"/>
          <w:szCs w:val="20"/>
          <w:color w:val="auto"/>
        </w:rPr>
      </w:pPr>
      <w:r>
        <w:rPr>
          <w:rFonts w:ascii="Arial" w:cs="Arial" w:eastAsia="Arial" w:hAnsi="Arial"/>
          <w:sz w:val="1"/>
          <w:szCs w:val="1"/>
          <w:color w:val="FFFFFF"/>
        </w:rPr>
        <w:t>for“Theover$0.29year(TICC)now…NowdividendTSLXisnotprovides accordanceandwe expectwithitsitfiduciaryLLCletterobligations…WetoTICCBoard,findSeptourselves21thwillatbe ancutinterestingregardless offerofwhatandhappens.the(TICC)We Boardhavebeenrejectstalkingitwithout“Now,criticalwewantjuncturetoensureinTICC’thatthe TICC whereBoard theisactingBoard’sin aboutdecisionsadividend cut</w:t>
      </w:r>
    </w:p>
    <w:p>
      <w:pPr>
        <w:ind w:right="540"/>
        <w:spacing w:after="0"/>
        <w:rPr>
          <w:sz w:val="20"/>
          <w:szCs w:val="20"/>
          <w:color w:val="auto"/>
        </w:rPr>
      </w:pPr>
      <w:r>
        <w:rPr>
          <w:rFonts w:ascii="Arial" w:cs="Arial" w:eastAsia="Arial" w:hAnsi="Arial"/>
          <w:sz w:val="9"/>
          <w:szCs w:val="9"/>
          <w:color w:val="FFFFFF"/>
        </w:rPr>
        <w:t>negotiating with TSLX. As the title of our note implies, we are and actions over the next few weeks will have significant questioning whether the (TICC) Board is really doing all they ramificationshistorystockholders” can to maximize shareholder value”</w:t>
      </w:r>
    </w:p>
    <w:p>
      <w:pPr>
        <w:spacing w:after="0" w:line="190" w:lineRule="auto"/>
        <w:rPr>
          <w:sz w:val="20"/>
          <w:szCs w:val="20"/>
          <w:color w:val="auto"/>
        </w:rPr>
      </w:pPr>
      <w:r>
        <w:rPr>
          <w:rFonts w:ascii="Arial" w:cs="Arial" w:eastAsia="Arial" w:hAnsi="Arial"/>
          <w:sz w:val="6"/>
          <w:szCs w:val="6"/>
          <w:color w:val="FFFFFF"/>
        </w:rPr>
        <w:t>“Unfortunately for TICC shareholders, as we examine</w:t>
      </w:r>
      <w:r>
        <w:rPr>
          <w:rFonts w:ascii="Arial" w:cs="Arial" w:eastAsia="Arial" w:hAnsi="Arial"/>
          <w:sz w:val="8"/>
          <w:szCs w:val="8"/>
          <w:color w:val="FFFFFF"/>
          <w:vertAlign w:val="subscript"/>
        </w:rPr>
        <w:t>responsibility</w:t>
      </w:r>
      <w:r>
        <w:rPr>
          <w:rFonts w:ascii="Arial" w:cs="Arial" w:eastAsia="Arial" w:hAnsi="Arial"/>
          <w:sz w:val="6"/>
          <w:szCs w:val="6"/>
          <w:color w:val="FFFFFF"/>
        </w:rPr>
        <w:t>TICC’ KBW, Aug 31st collateral (which is nearly void of real proprietary transactions), “We fail to see how the Board of directors at TICC can fulfill we find that investors have been</w:t>
      </w:r>
    </w:p>
    <w:p>
      <w:pPr>
        <w:ind w:right="120"/>
        <w:spacing w:after="0" w:line="184" w:lineRule="auto"/>
        <w:rPr>
          <w:sz w:val="20"/>
          <w:szCs w:val="20"/>
          <w:color w:val="auto"/>
        </w:rPr>
      </w:pPr>
      <w:r>
        <w:rPr>
          <w:rFonts w:ascii="Arial" w:cs="Arial" w:eastAsia="Arial" w:hAnsi="Arial"/>
          <w:sz w:val="8"/>
          <w:szCs w:val="8"/>
          <w:color w:val="FFFFFF"/>
        </w:rPr>
        <w:t>paying nearly 6x the normal their legal fiduciary to TICC shareholders and fee that should be charged on these large/liquid/BSL (broadly not explore the potential for a transaction with an existing syndicated loan) type assets.” quality manager in the BDC sector”</w:t>
      </w:r>
    </w:p>
    <w:p>
      <w:pPr>
        <w:spacing w:after="0" w:line="184" w:lineRule="auto"/>
        <w:rPr>
          <w:sz w:val="20"/>
          <w:szCs w:val="20"/>
          <w:color w:val="auto"/>
        </w:rPr>
      </w:pPr>
      <w:r>
        <w:rPr>
          <w:rFonts w:ascii="Arial" w:cs="Arial" w:eastAsia="Arial" w:hAnsi="Arial"/>
          <w:sz w:val="4"/>
          <w:szCs w:val="4"/>
          <w:color w:val="FFFFFF"/>
          <w:vertAlign w:val="subscript"/>
        </w:rPr>
        <w:t>“Wells</w:t>
      </w:r>
      <w:r>
        <w:rPr>
          <w:rFonts w:ascii="Arial" w:cs="Arial" w:eastAsia="Arial" w:hAnsi="Arial"/>
          <w:sz w:val="2"/>
          <w:szCs w:val="2"/>
          <w:color w:val="FFFFFF"/>
        </w:rPr>
        <w:t xml:space="preserve"> Fargo, Sept 4th Barclays, Oct 6th</w:t>
      </w:r>
    </w:p>
    <w:p>
      <w:pPr>
        <w:ind w:right="400" w:firstLine="235"/>
        <w:spacing w:after="0"/>
        <w:rPr>
          <w:sz w:val="20"/>
          <w:szCs w:val="20"/>
          <w:color w:val="auto"/>
        </w:rPr>
      </w:pPr>
      <w:r>
        <w:rPr>
          <w:rFonts w:ascii="Arial" w:cs="Arial" w:eastAsia="Arial" w:hAnsi="Arial"/>
          <w:sz w:val="6"/>
          <w:szCs w:val="6"/>
          <w:color w:val="FFFFFF"/>
        </w:rPr>
        <w:t>have no doubt that current shareholders will be quick to “The board could have simply waited until the current demand immediate compensation as opposed to intangibles advisory agreement came up for renewal. But instead, the promises that provide no benefit” board choose to go this route and support a proposal which pays out the current investment advisor”</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FFFFFF"/>
        </w:rPr>
        <w:t>?Source:TSLX Research(NYSE)13Reports, Public Filings</w:t>
      </w:r>
    </w:p>
    <w:p>
      <w:pPr>
        <w:sectPr>
          <w:pgSz w:w="11900" w:h="16838" w:orient="portrait"/>
          <w:cols w:equalWidth="0" w:num="1">
            <w:col w:w="11400"/>
          </w:cols>
          <w:pgMar w:left="240" w:top="1440" w:right="2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9"/>
          <w:szCs w:val="9"/>
          <w:color w:val="FFFFFF"/>
        </w:rPr>
        <w:t>II. TICC Has Failed Stockholders</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Comparison of Selected BDCs</w:t>
      </w:r>
    </w:p>
    <w:p>
      <w:pPr>
        <w:spacing w:after="0" w:line="184" w:lineRule="auto"/>
        <w:rPr>
          <w:sz w:val="20"/>
          <w:szCs w:val="20"/>
          <w:color w:val="auto"/>
        </w:rPr>
      </w:pPr>
      <w:r>
        <w:rPr>
          <w:rFonts w:ascii="Arial" w:cs="Arial" w:eastAsia="Arial" w:hAnsi="Arial"/>
          <w:sz w:val="8"/>
          <w:szCs w:val="8"/>
          <w:color w:val="FFFFFF"/>
        </w:rPr>
        <w:t>10b($in-18millions)/10b517- Plan at the Ticker Base Fee (% of Assets) NOI Incentive Fee Hurdle Rate BDC</w:t>
      </w:r>
    </w:p>
    <w:p>
      <w:pPr>
        <w:ind w:left="1940"/>
        <w:spacing w:after="0"/>
        <w:rPr>
          <w:sz w:val="20"/>
          <w:szCs w:val="20"/>
          <w:color w:val="auto"/>
        </w:rPr>
      </w:pPr>
      <w:r>
        <w:rPr>
          <w:rFonts w:ascii="Arial" w:cs="Arial" w:eastAsia="Arial" w:hAnsi="Arial"/>
          <w:sz w:val="1"/>
          <w:szCs w:val="1"/>
          <w:color w:val="FFFFFF"/>
        </w:rPr>
        <w:t>SLX—Standalone1.50%.5%2.600%. $20.0%50 6.65% ?</w:t>
      </w:r>
    </w:p>
    <w:p>
      <w:pPr>
        <w:spacing w:after="0" w:line="184" w:lineRule="auto"/>
        <w:rPr>
          <w:sz w:val="20"/>
          <w:szCs w:val="20"/>
          <w:color w:val="auto"/>
        </w:rPr>
      </w:pPr>
      <w:r>
        <w:rPr>
          <w:rFonts w:ascii="Arial" w:cs="Arial" w:eastAsia="Arial" w:hAnsi="Arial"/>
          <w:sz w:val="8"/>
          <w:szCs w:val="8"/>
          <w:color w:val="FFFFFF"/>
        </w:rPr>
        <w:t>TICC – Under BSP 1.50% 20.0% 6.65% ?</w:t>
      </w:r>
    </w:p>
    <w:p>
      <w:pPr>
        <w:spacing w:after="0"/>
        <w:rPr>
          <w:sz w:val="20"/>
          <w:szCs w:val="20"/>
          <w:color w:val="auto"/>
        </w:rPr>
      </w:pPr>
      <w:r>
        <w:rPr>
          <w:rFonts w:ascii="Arial" w:cs="Arial" w:eastAsia="Arial" w:hAnsi="Arial"/>
          <w:sz w:val="9"/>
          <w:szCs w:val="9"/>
          <w:color w:val="FFFFFF"/>
        </w:rPr>
        <w:t>ARCC 1.50% 20.0% 7.0% ? GSBD 1.50% 20.0% 7.0% ? PSEC 2.00% 20.0% 7.0% ? FSIC 1.75% 20.0% 7.5% ? AINV 2.00% 20.0% 7.0% ? FSC 2.00% 20.0% 8.0% ? NMFC 1.75% 20.0% 8.0% ? SLRC 1.75% 20.0% 7.0% ? GBDC 1.38% 20.0% 8.0% ?</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FFFFFF"/>
        </w:rPr>
        <w:t>?Source:TSLX SNL(NYSE)Financial,15 Wells Fargo Equity Research</w:t>
      </w:r>
    </w:p>
    <w:p>
      <w:pPr>
        <w:sectPr>
          <w:pgSz w:w="11900" w:h="16838" w:orient="portrait"/>
          <w:cols w:equalWidth="0" w:num="1">
            <w:col w:w="11360"/>
          </w:cols>
          <w:pgMar w:left="240" w:top="1440" w:right="2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gridSpan w:val="2"/>
          </w:tcPr>
          <w:p>
            <w:pPr>
              <w:spacing w:after="0"/>
              <w:rPr>
                <w:sz w:val="20"/>
                <w:szCs w:val="20"/>
                <w:color w:val="auto"/>
              </w:rPr>
            </w:pPr>
            <w:r>
              <w:rPr>
                <w:rFonts w:ascii="Arial" w:cs="Arial" w:eastAsia="Arial" w:hAnsi="Arial"/>
                <w:sz w:val="12"/>
                <w:szCs w:val="12"/>
                <w:color w:val="FFFFFF"/>
              </w:rPr>
              <w:t>TSLX’ Fees are Lower as a Portion of Total Economics</w:t>
            </w:r>
          </w:p>
        </w:tc>
        <w:tc>
          <w:tcPr>
            <w:tcW w:w="14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line="36" w:lineRule="exact"/>
              <w:rPr>
                <w:sz w:val="20"/>
                <w:szCs w:val="20"/>
                <w:color w:val="auto"/>
              </w:rPr>
            </w:pPr>
            <w:r>
              <w:rPr>
                <w:rFonts w:ascii="Arial" w:cs="Arial" w:eastAsia="Arial" w:hAnsi="Arial"/>
                <w:sz w:val="4"/>
                <w:szCs w:val="4"/>
                <w:color w:val="FFFFFF"/>
              </w:rPr>
              <w:t>($ in millions)</w:t>
            </w:r>
          </w:p>
        </w:tc>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480" w:type="dxa"/>
            <w:vAlign w:val="bottom"/>
            <w:gridSpan w:val="3"/>
          </w:tcPr>
          <w:p>
            <w:pPr>
              <w:spacing w:after="0" w:line="36" w:lineRule="exact"/>
              <w:rPr>
                <w:sz w:val="20"/>
                <w:szCs w:val="20"/>
                <w:color w:val="auto"/>
              </w:rPr>
            </w:pPr>
            <w:r>
              <w:rPr>
                <w:rFonts w:ascii="Arial" w:cs="Arial" w:eastAsia="Arial" w:hAnsi="Arial"/>
                <w:sz w:val="4"/>
                <w:szCs w:val="4"/>
                <w:color w:val="FFFFFF"/>
              </w:rPr>
              <w:t>TICC Stockholders are Overpaying Fees Economic Profit v rsus BDC Manager</w:t>
            </w: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“Overall, the Compensation market does not look at expenses in</w:t>
            </w:r>
          </w:p>
        </w:tc>
        <w:tc>
          <w:tcPr>
            <w:tcW w:w="7960" w:type="dxa"/>
            <w:vAlign w:val="bottom"/>
            <w:gridSpan w:val="3"/>
          </w:tcPr>
          <w:p>
            <w:pPr>
              <w:jc w:val="right"/>
              <w:spacing w:after="0" w:line="36" w:lineRule="exact"/>
              <w:rPr>
                <w:sz w:val="20"/>
                <w:szCs w:val="20"/>
                <w:color w:val="auto"/>
              </w:rPr>
            </w:pPr>
            <w:r>
              <w:rPr>
                <w:rFonts w:ascii="Arial" w:cs="Arial" w:eastAsia="Arial" w:hAnsi="Arial"/>
                <w:sz w:val="4"/>
                <w:szCs w:val="4"/>
                <w:color w:val="FFFFFF"/>
              </w:rPr>
              <w:t>vacuum and ? BDC expenses must be examined relative to the ? For stockholders,  is important to look at fees collateral that each BDC manages relative to the returns</w:t>
            </w: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received by the stockholders neither should the TICC board.”•</w:t>
            </w:r>
          </w:p>
        </w:tc>
        <w:tc>
          <w:tcPr>
            <w:tcW w:w="1400" w:type="dxa"/>
            <w:vAlign w:val="bottom"/>
          </w:tcPr>
          <w:p>
            <w:pPr>
              <w:ind w:left="440"/>
              <w:spacing w:after="0" w:line="36" w:lineRule="exact"/>
              <w:rPr>
                <w:sz w:val="20"/>
                <w:szCs w:val="20"/>
                <w:color w:val="auto"/>
              </w:rPr>
            </w:pPr>
            <w:r>
              <w:rPr>
                <w:rFonts w:ascii="Arial" w:cs="Arial" w:eastAsia="Arial" w:hAnsi="Arial"/>
                <w:sz w:val="4"/>
                <w:szCs w:val="4"/>
                <w:color w:val="FFFFFF"/>
              </w:rPr>
              <w:t>credit work</w:t>
            </w:r>
          </w:p>
        </w:tc>
        <w:tc>
          <w:tcPr>
            <w:tcW w:w="3060" w:type="dxa"/>
            <w:vAlign w:val="bottom"/>
          </w:tcPr>
          <w:p>
            <w:pPr>
              <w:spacing w:after="0" w:line="36" w:lineRule="exact"/>
              <w:rPr>
                <w:sz w:val="20"/>
                <w:szCs w:val="20"/>
                <w:color w:val="auto"/>
              </w:rPr>
            </w:pPr>
            <w:r>
              <w:rPr>
                <w:rFonts w:ascii="Arial" w:cs="Arial" w:eastAsia="Arial" w:hAnsi="Arial"/>
                <w:sz w:val="4"/>
                <w:szCs w:val="4"/>
                <w:color w:val="FFFFFF"/>
              </w:rPr>
              <w:t>higher fees ? Investors are generally less concerned with high</w:t>
            </w: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7540" w:type="dxa"/>
            <w:vAlign w:val="bottom"/>
            <w:gridSpan w:val="4"/>
          </w:tcPr>
          <w:p>
            <w:pPr>
              <w:spacing w:after="0" w:line="36" w:lineRule="exact"/>
              <w:rPr>
                <w:sz w:val="20"/>
                <w:szCs w:val="20"/>
                <w:color w:val="auto"/>
              </w:rPr>
            </w:pPr>
            <w:r>
              <w:rPr>
                <w:rFonts w:ascii="Arial" w:cs="Arial" w:eastAsia="Arial" w:hAnsi="Arial"/>
                <w:sz w:val="4"/>
                <w:szCs w:val="4"/>
                <w:color w:val="FFFFFF"/>
              </w:rPr>
              <w:t>– Wells Fargo whereas investing in CLO equity is much easier Proprietaryfeesaspercentage of assetsjustifies attractive returns</w:t>
            </w: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Sept. 22 for a manager to do are passed to the stockholder</w:t>
            </w: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960" w:type="dxa"/>
            <w:vAlign w:val="bottom"/>
            <w:vMerge w:val="restart"/>
          </w:tcPr>
          <w:p>
            <w:pPr>
              <w:spacing w:after="0" w:line="71" w:lineRule="exact"/>
              <w:rPr>
                <w:sz w:val="20"/>
                <w:szCs w:val="20"/>
                <w:color w:val="auto"/>
              </w:rPr>
            </w:pPr>
            <w:r>
              <w:rPr>
                <w:rFonts w:ascii="Arial" w:cs="Arial" w:eastAsia="Arial" w:hAnsi="Arial"/>
                <w:sz w:val="8"/>
                <w:szCs w:val="8"/>
                <w:color w:val="FFFFFF"/>
              </w:rPr>
              <w:t>? TICC’hascollateral</w:t>
            </w:r>
          </w:p>
        </w:tc>
        <w:tc>
          <w:tcPr>
            <w:tcW w:w="3520" w:type="dxa"/>
            <w:vAlign w:val="bottom"/>
            <w:gridSpan w:val="2"/>
          </w:tcPr>
          <w:p>
            <w:pPr>
              <w:ind w:left="200"/>
              <w:spacing w:after="0" w:line="36" w:lineRule="exact"/>
              <w:rPr>
                <w:sz w:val="20"/>
                <w:szCs w:val="20"/>
                <w:color w:val="auto"/>
              </w:rPr>
            </w:pPr>
            <w:r>
              <w:rPr>
                <w:rFonts w:ascii="Arial" w:cs="Arial" w:eastAsia="Arial" w:hAnsi="Arial"/>
                <w:sz w:val="4"/>
                <w:szCs w:val="4"/>
                <w:color w:val="FFFFFF"/>
              </w:rPr>
              <w:t>delivered lackluster returns, leading to comparatively outsized fees for</w:t>
            </w: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960" w:type="dxa"/>
            <w:vAlign w:val="bottom"/>
            <w:vMerge w:val="continue"/>
          </w:tcPr>
          <w:p>
            <w:pPr>
              <w:spacing w:after="0"/>
              <w:rPr>
                <w:sz w:val="3"/>
                <w:szCs w:val="3"/>
                <w:color w:val="auto"/>
              </w:rPr>
            </w:pPr>
          </w:p>
        </w:tc>
        <w:tc>
          <w:tcPr>
            <w:tcW w:w="6580" w:type="dxa"/>
            <w:vAlign w:val="bottom"/>
            <w:gridSpan w:val="3"/>
          </w:tcPr>
          <w:p>
            <w:pPr>
              <w:ind w:left="60"/>
              <w:spacing w:after="0" w:line="36" w:lineRule="exact"/>
              <w:rPr>
                <w:sz w:val="20"/>
                <w:szCs w:val="20"/>
                <w:color w:val="auto"/>
              </w:rPr>
            </w:pPr>
            <w:r>
              <w:rPr>
                <w:rFonts w:ascii="Arial" w:cs="Arial" w:eastAsia="Arial" w:hAnsi="Arial"/>
                <w:sz w:val="4"/>
                <w:szCs w:val="4"/>
                <w:color w:val="FFFFFF"/>
              </w:rPr>
              <w:t>very similar to the loan books of themselves large mutual funds who charge 50bps</w:t>
            </w: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040" w:type="dxa"/>
            <w:vAlign w:val="bottom"/>
            <w:gridSpan w:val="5"/>
          </w:tcPr>
          <w:p>
            <w:pPr>
              <w:spacing w:after="0" w:line="36" w:lineRule="exact"/>
              <w:rPr>
                <w:sz w:val="20"/>
                <w:szCs w:val="20"/>
                <w:color w:val="auto"/>
              </w:rPr>
            </w:pPr>
            <w:r>
              <w:rPr>
                <w:rFonts w:ascii="Arial" w:cs="Arial" w:eastAsia="Arial" w:hAnsi="Arial"/>
                <w:sz w:val="4"/>
                <w:szCs w:val="4"/>
                <w:color w:val="FFFFFF"/>
              </w:rPr>
              <w:t>96% of TICC’consistentlycollateral was offer by large ? The table below analyzes economic profit versus bank desks – deals not proprietary manager compensation for TSLX and TICC with economic profit defined as Cumulative Net</w:t>
            </w: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TICC average hold size of each tranche is</w:t>
            </w: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480" w:type="dxa"/>
            <w:vAlign w:val="bottom"/>
            <w:gridSpan w:val="3"/>
          </w:tcPr>
          <w:p>
            <w:pPr>
              <w:spacing w:after="0" w:line="36" w:lineRule="exact"/>
              <w:rPr>
                <w:sz w:val="20"/>
                <w:szCs w:val="20"/>
                <w:color w:val="auto"/>
              </w:rPr>
            </w:pPr>
            <w:r>
              <w:rPr>
                <w:rFonts w:ascii="Arial" w:cs="Arial" w:eastAsia="Arial" w:hAnsi="Arial"/>
                <w:sz w:val="4"/>
                <w:szCs w:val="4"/>
                <w:color w:val="FFFFFF"/>
              </w:rPr>
              <w:t>6.6% indicative of inability to dictate terms Income + Compensation &amp; Management Fees</w:t>
            </w: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960" w:type="dxa"/>
            <w:vAlign w:val="bottom"/>
          </w:tcPr>
          <w:p>
            <w:pPr>
              <w:spacing w:after="0" w:line="36" w:lineRule="exact"/>
              <w:rPr>
                <w:sz w:val="20"/>
                <w:szCs w:val="20"/>
                <w:color w:val="auto"/>
              </w:rPr>
            </w:pPr>
            <w:r>
              <w:rPr>
                <w:rFonts w:ascii="Arial" w:cs="Arial" w:eastAsia="Arial" w:hAnsi="Arial"/>
                <w:sz w:val="4"/>
                <w:szCs w:val="4"/>
                <w:color w:val="FFFFFF"/>
              </w:rPr>
              <w:t>Paid(1,2)</w:t>
            </w:r>
          </w:p>
        </w:tc>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 With an average expense ratio of 280bps over the</w:t>
            </w: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480" w:type="dxa"/>
            <w:vAlign w:val="bottom"/>
            <w:gridSpan w:val="3"/>
          </w:tcPr>
          <w:p>
            <w:pPr>
              <w:spacing w:after="0" w:line="36" w:lineRule="exact"/>
              <w:rPr>
                <w:sz w:val="20"/>
                <w:szCs w:val="20"/>
                <w:color w:val="auto"/>
              </w:rPr>
            </w:pPr>
            <w:r>
              <w:rPr>
                <w:rFonts w:ascii="Arial" w:cs="Arial" w:eastAsia="Arial" w:hAnsi="Arial"/>
                <w:sz w:val="4"/>
                <w:szCs w:val="4"/>
                <w:color w:val="FFFFFF"/>
              </w:rPr>
              <w:t>As of 6/30/15 (Since Inceptio ) TSLX TICC last two years, TICC investors have been paying</w:t>
            </w:r>
          </w:p>
        </w:tc>
        <w:tc>
          <w:tcPr>
            <w:tcW w:w="3060" w:type="dxa"/>
            <w:vAlign w:val="bottom"/>
          </w:tcPr>
          <w:p>
            <w:pPr>
              <w:spacing w:after="0"/>
              <w:rPr>
                <w:sz w:val="3"/>
                <w:szCs w:val="3"/>
                <w:color w:val="auto"/>
              </w:rPr>
            </w:pPr>
          </w:p>
        </w:tc>
        <w:tc>
          <w:tcPr>
            <w:tcW w:w="3500" w:type="dxa"/>
            <w:vAlign w:val="bottom"/>
            <w:vMerge w:val="restart"/>
          </w:tcPr>
          <w:p>
            <w:pPr>
              <w:jc w:val="right"/>
              <w:ind w:right="3219"/>
              <w:spacing w:after="0" w:line="71" w:lineRule="exact"/>
              <w:rPr>
                <w:sz w:val="20"/>
                <w:szCs w:val="20"/>
                <w:color w:val="auto"/>
              </w:rPr>
            </w:pPr>
            <w:r>
              <w:rPr>
                <w:rFonts w:ascii="Arial" w:cs="Arial" w:eastAsia="Arial" w:hAnsi="Arial"/>
                <w:sz w:val="8"/>
                <w:szCs w:val="8"/>
                <w:color w:val="FFFFFF"/>
              </w:rPr>
              <w:t>$128</w:t>
            </w:r>
          </w:p>
        </w:tc>
        <w:tc>
          <w:tcPr>
            <w:tcW w:w="0" w:type="dxa"/>
            <w:vAlign w:val="bottom"/>
          </w:tcPr>
          <w:p>
            <w:pPr>
              <w:spacing w:after="0" w:line="20" w:lineRule="exact"/>
              <w:rPr>
                <w:sz w:val="1"/>
                <w:szCs w:val="1"/>
                <w:color w:val="auto"/>
              </w:rPr>
            </w:pPr>
          </w:p>
        </w:tc>
      </w:tr>
      <w:tr>
        <w:trPr>
          <w:trHeight w:val="35"/>
        </w:trPr>
        <w:tc>
          <w:tcPr>
            <w:tcW w:w="7540" w:type="dxa"/>
            <w:vAlign w:val="bottom"/>
            <w:gridSpan w:val="4"/>
          </w:tcPr>
          <w:p>
            <w:pPr>
              <w:spacing w:after="0" w:line="36" w:lineRule="exact"/>
              <w:rPr>
                <w:sz w:val="20"/>
                <w:szCs w:val="20"/>
                <w:color w:val="auto"/>
              </w:rPr>
            </w:pPr>
            <w:r>
              <w:rPr>
                <w:rFonts w:ascii="Arial" w:cs="Arial" w:eastAsia="Arial" w:hAnsi="Arial"/>
                <w:sz w:val="4"/>
                <w:szCs w:val="4"/>
                <w:color w:val="FFFFFF"/>
              </w:rPr>
              <w:t>Economic Profit $ 380 $ 415 nearly 6x the fee charged by Levered Loan mutual funds with similar portfolio characteristics Cum. Comp / Mgmt Fees Paid $102</w:t>
            </w:r>
          </w:p>
        </w:tc>
        <w:tc>
          <w:tcPr>
            <w:tcW w:w="3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Cum. Admin / G&amp;A Expenses 27 38</w:t>
            </w: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480" w:type="dxa"/>
            <w:vAlign w:val="bottom"/>
            <w:gridSpan w:val="3"/>
          </w:tcPr>
          <w:p>
            <w:pPr>
              <w:ind w:left="260"/>
              <w:spacing w:after="0" w:line="36" w:lineRule="exact"/>
              <w:rPr>
                <w:sz w:val="20"/>
                <w:szCs w:val="20"/>
                <w:color w:val="auto"/>
              </w:rPr>
            </w:pPr>
            <w:r>
              <w:rPr>
                <w:rFonts w:ascii="Arial" w:cs="Arial" w:eastAsia="Arial" w:hAnsi="Arial"/>
                <w:sz w:val="4"/>
                <w:szCs w:val="4"/>
                <w:color w:val="FFFFFF"/>
              </w:rPr>
              <w:t>Shareholder Costs $129 $166 Memo – (as % Economic Profit)</w:t>
            </w: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4480" w:type="dxa"/>
            <w:vAlign w:val="bottom"/>
            <w:gridSpan w:val="3"/>
          </w:tcPr>
          <w:p>
            <w:pPr>
              <w:ind w:left="580"/>
              <w:spacing w:after="0" w:line="36" w:lineRule="exact"/>
              <w:rPr>
                <w:sz w:val="20"/>
                <w:szCs w:val="20"/>
                <w:color w:val="auto"/>
              </w:rPr>
            </w:pPr>
            <w:r>
              <w:rPr>
                <w:rFonts w:ascii="Arial" w:cs="Arial" w:eastAsia="Arial" w:hAnsi="Arial"/>
                <w:sz w:val="4"/>
                <w:szCs w:val="4"/>
                <w:color w:val="FFFFFF"/>
              </w:rPr>
              <w:t>&amp; Mgmt Fees 27% 31% Total Admin / G&amp;A Expenses 7 9</w:t>
            </w: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080" w:type="dxa"/>
            <w:vAlign w:val="bottom"/>
            <w:gridSpan w:val="2"/>
          </w:tcPr>
          <w:p>
            <w:pPr>
              <w:spacing w:after="0" w:line="36" w:lineRule="exact"/>
              <w:rPr>
                <w:sz w:val="20"/>
                <w:szCs w:val="20"/>
                <w:color w:val="auto"/>
              </w:rPr>
            </w:pPr>
            <w:r>
              <w:rPr>
                <w:rFonts w:ascii="Arial" w:cs="Arial" w:eastAsia="Arial" w:hAnsi="Arial"/>
                <w:sz w:val="4"/>
                <w:szCs w:val="4"/>
                <w:color w:val="FFFFFF"/>
              </w:rPr>
              <w:t>Total Comp and Expenses 34% 40%</w:t>
            </w:r>
          </w:p>
        </w:tc>
        <w:tc>
          <w:tcPr>
            <w:tcW w:w="14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960" w:type="dxa"/>
            <w:vAlign w:val="bottom"/>
          </w:tcPr>
          <w:p>
            <w:pPr>
              <w:ind w:left="40"/>
              <w:spacing w:after="0" w:line="70" w:lineRule="exact"/>
              <w:rPr>
                <w:sz w:val="20"/>
                <w:szCs w:val="20"/>
                <w:color w:val="auto"/>
              </w:rPr>
            </w:pPr>
            <w:r>
              <w:rPr>
                <w:rFonts w:ascii="Arial" w:cs="Arial" w:eastAsia="Arial" w:hAnsi="Arial"/>
                <w:sz w:val="8"/>
                <w:szCs w:val="8"/>
                <w:color w:val="FFFFFF"/>
              </w:rPr>
              <w:t>1) Cumulative</w:t>
            </w:r>
          </w:p>
        </w:tc>
        <w:tc>
          <w:tcPr>
            <w:tcW w:w="6580" w:type="dxa"/>
            <w:vAlign w:val="bottom"/>
            <w:gridSpan w:val="3"/>
          </w:tcPr>
          <w:p>
            <w:pPr>
              <w:ind w:left="420"/>
              <w:spacing w:after="0" w:line="70" w:lineRule="exact"/>
              <w:rPr>
                <w:sz w:val="20"/>
                <w:szCs w:val="20"/>
                <w:color w:val="auto"/>
              </w:rPr>
            </w:pPr>
            <w:r>
              <w:rPr>
                <w:rFonts w:ascii="Arial" w:cs="Arial" w:eastAsia="Arial" w:hAnsi="Arial"/>
                <w:sz w:val="8"/>
                <w:szCs w:val="8"/>
                <w:color w:val="FFFFFF"/>
              </w:rPr>
              <w:t>fees paid excludes the impact of the capital gains incentive fee until that fee is paid in cash.</w:t>
            </w: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80"/>
        <w:spacing w:after="0"/>
        <w:rPr>
          <w:sz w:val="20"/>
          <w:szCs w:val="20"/>
          <w:color w:val="auto"/>
        </w:rPr>
      </w:pPr>
      <w:r>
        <w:rPr>
          <w:rFonts w:ascii="Arial" w:cs="Arial" w:eastAsia="Arial" w:hAnsi="Arial"/>
          <w:sz w:val="9"/>
          <w:szCs w:val="9"/>
          <w:color w:val="FFFFFF"/>
        </w:rPr>
        <w:t>(2) See AppendixManagementBforreconciliation to the most recent comparable financial measures calculated and presented in accordance with GAAP. Source: Wells Fargo Research Report, Company Filings. Financial data as of Q2 2015 ? TSLX (NYSE) 16</w:t>
      </w:r>
    </w:p>
    <w:p>
      <w:pPr>
        <w:sectPr>
          <w:pgSz w:w="11900" w:h="16838" w:orient="portrait"/>
          <w:cols w:equalWidth="0" w:num="1">
            <w:col w:w="11040"/>
          </w:cols>
          <w:pgMar w:left="240" w:top="1440" w:right="6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TICC has Drastically Underperformed a Variety of Asset Classes</w:t>
      </w:r>
    </w:p>
    <w:p>
      <w:pPr>
        <w:spacing w:after="0" w:line="184" w:lineRule="auto"/>
        <w:rPr>
          <w:sz w:val="20"/>
          <w:szCs w:val="20"/>
          <w:color w:val="auto"/>
        </w:rPr>
      </w:pPr>
      <w:r>
        <w:rPr>
          <w:rFonts w:ascii="Arial" w:cs="Arial" w:eastAsia="Arial" w:hAnsi="Arial"/>
          <w:sz w:val="4"/>
          <w:szCs w:val="4"/>
          <w:color w:val="FFFFFF"/>
          <w:vertAlign w:val="superscript"/>
        </w:rPr>
        <w:t>40</w:t>
      </w:r>
      <w:r>
        <w:rPr>
          <w:rFonts w:ascii="Arial" w:cs="Arial" w:eastAsia="Arial" w:hAnsi="Arial"/>
          <w:sz w:val="2"/>
          <w:szCs w:val="2"/>
          <w:color w:val="FFFFFF"/>
        </w:rPr>
        <w:t>350%</w:t>
      </w:r>
    </w:p>
    <w:p>
      <w:pPr>
        <w:spacing w:after="0" w:line="184" w:lineRule="auto"/>
        <w:rPr>
          <w:sz w:val="20"/>
          <w:szCs w:val="20"/>
          <w:color w:val="auto"/>
        </w:rPr>
      </w:pPr>
      <w:r>
        <w:rPr>
          <w:rFonts w:ascii="Arial" w:cs="Arial" w:eastAsia="Arial" w:hAnsi="Arial"/>
          <w:sz w:val="4"/>
          <w:szCs w:val="4"/>
          <w:color w:val="FFFFFF"/>
          <w:vertAlign w:val="superscript"/>
        </w:rPr>
        <w:t>2 6%</w:t>
      </w:r>
      <w:r>
        <w:rPr>
          <w:rFonts w:ascii="Arial" w:cs="Arial" w:eastAsia="Arial" w:hAnsi="Arial"/>
          <w:sz w:val="2"/>
          <w:szCs w:val="2"/>
          <w:color w:val="FFFFFF"/>
        </w:rPr>
        <w:t xml:space="preserve"> Indexed Total Return (%)</w:t>
      </w:r>
    </w:p>
    <w:p>
      <w:pPr>
        <w:spacing w:after="0" w:line="184" w:lineRule="auto"/>
        <w:rPr>
          <w:sz w:val="20"/>
          <w:szCs w:val="20"/>
          <w:color w:val="auto"/>
        </w:rPr>
      </w:pPr>
      <w:r>
        <w:rPr>
          <w:rFonts w:ascii="Arial" w:cs="Arial" w:eastAsia="Arial" w:hAnsi="Arial"/>
          <w:sz w:val="8"/>
          <w:szCs w:val="8"/>
          <w:color w:val="FFFFFF"/>
        </w:rPr>
        <w:t>30</w:t>
      </w:r>
    </w:p>
    <w:p>
      <w:pPr>
        <w:spacing w:after="0" w:line="184" w:lineRule="auto"/>
        <w:rPr>
          <w:sz w:val="20"/>
          <w:szCs w:val="20"/>
          <w:color w:val="auto"/>
        </w:rPr>
      </w:pPr>
      <w:r>
        <w:rPr>
          <w:rFonts w:ascii="Arial" w:cs="Arial" w:eastAsia="Arial" w:hAnsi="Arial"/>
          <w:sz w:val="4"/>
          <w:szCs w:val="4"/>
          <w:color w:val="FFFFFF"/>
        </w:rPr>
        <w:t>250% 144% 200% 106%</w:t>
      </w:r>
    </w:p>
    <w:p>
      <w:pPr>
        <w:spacing w:after="0" w:line="184" w:lineRule="auto"/>
        <w:rPr>
          <w:sz w:val="20"/>
          <w:szCs w:val="20"/>
          <w:color w:val="auto"/>
        </w:rPr>
      </w:pPr>
      <w:r>
        <w:rPr>
          <w:rFonts w:ascii="Arial" w:cs="Arial" w:eastAsia="Arial" w:hAnsi="Arial"/>
          <w:sz w:val="4"/>
          <w:szCs w:val="4"/>
          <w:color w:val="FFFFFF"/>
        </w:rPr>
        <w:t>84%</w:t>
      </w:r>
    </w:p>
    <w:p>
      <w:pPr>
        <w:spacing w:after="0" w:line="184" w:lineRule="auto"/>
        <w:rPr>
          <w:sz w:val="20"/>
          <w:szCs w:val="20"/>
          <w:color w:val="auto"/>
        </w:rPr>
      </w:pPr>
      <w:r>
        <w:rPr>
          <w:rFonts w:ascii="Arial" w:cs="Arial" w:eastAsia="Arial" w:hAnsi="Arial"/>
          <w:sz w:val="4"/>
          <w:szCs w:val="4"/>
          <w:color w:val="FFFFFF"/>
        </w:rPr>
        <w:t>150% 60%</w:t>
      </w:r>
    </w:p>
    <w:p>
      <w:pPr>
        <w:spacing w:after="0" w:line="184" w:lineRule="auto"/>
        <w:rPr>
          <w:sz w:val="20"/>
          <w:szCs w:val="20"/>
          <w:color w:val="auto"/>
        </w:rPr>
      </w:pPr>
      <w:r>
        <w:rPr>
          <w:rFonts w:ascii="Arial" w:cs="Arial" w:eastAsia="Arial" w:hAnsi="Arial"/>
          <w:sz w:val="4"/>
          <w:szCs w:val="4"/>
          <w:color w:val="FFFFFF"/>
        </w:rPr>
        <w:t>52%</w:t>
      </w:r>
    </w:p>
    <w:p>
      <w:pPr>
        <w:spacing w:after="0" w:line="184" w:lineRule="auto"/>
        <w:rPr>
          <w:sz w:val="20"/>
          <w:szCs w:val="20"/>
          <w:color w:val="auto"/>
        </w:rPr>
      </w:pPr>
      <w:r>
        <w:rPr>
          <w:rFonts w:ascii="Arial" w:cs="Arial" w:eastAsia="Arial" w:hAnsi="Arial"/>
          <w:sz w:val="12"/>
          <w:szCs w:val="12"/>
          <w:color w:val="FFFFFF"/>
          <w:vertAlign w:val="superscript"/>
        </w:rPr>
        <w:t>1</w:t>
      </w:r>
      <w:r>
        <w:rPr>
          <w:rFonts w:ascii="Arial" w:cs="Arial" w:eastAsia="Arial" w:hAnsi="Arial"/>
          <w:sz w:val="8"/>
          <w:szCs w:val="8"/>
          <w:color w:val="FFFFFF"/>
        </w:rPr>
        <w:t>50%</w:t>
      </w:r>
      <w:r>
        <w:rPr>
          <w:rFonts w:ascii="Arial" w:cs="Arial" w:eastAsia="Arial" w:hAnsi="Arial"/>
          <w:sz w:val="12"/>
          <w:szCs w:val="12"/>
          <w:color w:val="FFFFFF"/>
          <w:vertAlign w:val="superscript"/>
        </w:rPr>
        <w:t>0%</w:t>
      </w:r>
    </w:p>
    <w:p>
      <w:pPr>
        <w:ind w:right="2860"/>
        <w:spacing w:after="0" w:line="184" w:lineRule="auto"/>
        <w:rPr>
          <w:sz w:val="20"/>
          <w:szCs w:val="20"/>
          <w:color w:val="auto"/>
        </w:rPr>
      </w:pPr>
      <w:r>
        <w:rPr>
          <w:rFonts w:ascii="Arial" w:cs="Arial" w:eastAsia="Arial" w:hAnsi="Arial"/>
          <w:sz w:val="6"/>
          <w:szCs w:val="6"/>
          <w:color w:val="FFFFFF"/>
        </w:rPr>
        <w:t xml:space="preserve">Nov-2003 Nov-2005 Oct-2007 Oct-2009 Oct-2011 Sep-2013 Sep-2015 TICC BDC Composite S&amp;P 500 US Treasuries Investment Grade Corporate Debt High Yield Corporate Debt </w:t>
      </w:r>
      <w:r>
        <w:rPr>
          <w:rFonts w:ascii="Arial" w:cs="Arial" w:eastAsia="Arial" w:hAnsi="Arial"/>
          <w:sz w:val="8"/>
          <w:szCs w:val="8"/>
          <w:color w:val="FFFFFF"/>
          <w:vertAlign w:val="superscript"/>
        </w:rPr>
        <w:t>TICC</w:t>
      </w:r>
      <w:r>
        <w:rPr>
          <w:rFonts w:ascii="Arial" w:cs="Arial" w:eastAsia="Arial" w:hAnsi="Arial"/>
          <w:sz w:val="6"/>
          <w:szCs w:val="6"/>
          <w:color w:val="FFFFFF"/>
        </w:rPr>
        <w:t xml:space="preserve"> Relative Underperformance Total Return (%) 1Y 3Y Since IPO(1) 1Y 3Y Since IPO(1)</w:t>
      </w:r>
    </w:p>
    <w:p>
      <w:pPr>
        <w:ind w:left="300"/>
        <w:spacing w:after="0" w:line="184" w:lineRule="auto"/>
        <w:rPr>
          <w:sz w:val="20"/>
          <w:szCs w:val="20"/>
          <w:color w:val="auto"/>
        </w:rPr>
      </w:pPr>
      <w:r>
        <w:rPr>
          <w:rFonts w:ascii="Arial" w:cs="Arial" w:eastAsia="Arial" w:hAnsi="Arial"/>
          <w:sz w:val="4"/>
          <w:szCs w:val="4"/>
          <w:color w:val="FFFFFF"/>
        </w:rPr>
        <w:t>(21.8)% (13.9)% 51.6% — — —</w:t>
      </w:r>
    </w:p>
    <w:p>
      <w:pPr>
        <w:spacing w:after="0" w:line="184" w:lineRule="auto"/>
        <w:rPr>
          <w:sz w:val="20"/>
          <w:szCs w:val="20"/>
          <w:color w:val="auto"/>
        </w:rPr>
      </w:pPr>
      <w:r>
        <w:rPr>
          <w:rFonts w:ascii="Arial" w:cs="Arial" w:eastAsia="Arial" w:hAnsi="Arial"/>
          <w:sz w:val="8"/>
          <w:szCs w:val="8"/>
          <w:color w:val="FFFFFF"/>
        </w:rPr>
        <w:t>BDC Composite(2) (9.8) 7.4 206.0 (12.0)% (21.3)% (154.4)% S&amp;P 500 1.8 43.8 143.7 (23.6) (57.7) (92.1) US Treasuries 3.2 3.9 60.4 (25.0) (17.9) (8.8) Investment Grade Corporate Debt 1.1 7.3 84.3 (22.8) (21.2) (32.7) High Yield Corporate Debt (1.5) 10.7 105.7 (20.3) (24.6) (54.1)</w:t>
      </w:r>
    </w:p>
    <w:p>
      <w:pPr>
        <w:spacing w:after="0" w:line="184" w:lineRule="auto"/>
        <w:rPr>
          <w:sz w:val="20"/>
          <w:szCs w:val="20"/>
          <w:color w:val="auto"/>
        </w:rPr>
      </w:pPr>
      <w:r>
        <w:rPr>
          <w:rFonts w:ascii="Arial" w:cs="Arial" w:eastAsia="Arial" w:hAnsi="Arial"/>
          <w:sz w:val="4"/>
          <w:szCs w:val="4"/>
          <w:color w:val="FFFFFF"/>
        </w:rPr>
        <w:t>TSLX(3) 12.0 % 51.6 % N/A (33.8)% (65.5)% N/A</w:t>
      </w:r>
    </w:p>
    <w:p>
      <w:pPr>
        <w:spacing w:after="0" w:line="184" w:lineRule="auto"/>
        <w:rPr>
          <w:sz w:val="20"/>
          <w:szCs w:val="20"/>
          <w:color w:val="auto"/>
        </w:rPr>
      </w:pPr>
      <w:r>
        <w:rPr>
          <w:rFonts w:ascii="Arial" w:cs="Arial" w:eastAsia="Arial" w:hAnsi="Arial"/>
          <w:sz w:val="4"/>
          <w:szCs w:val="4"/>
          <w:color w:val="FFFFFF"/>
          <w:vertAlign w:val="superscript"/>
        </w:rPr>
        <w:t>(2)</w:t>
      </w:r>
      <w:r>
        <w:rPr>
          <w:rFonts w:ascii="Arial" w:cs="Arial" w:eastAsia="Arial" w:hAnsi="Arial"/>
          <w:sz w:val="2"/>
          <w:szCs w:val="2"/>
          <w:color w:val="FFFFFF"/>
        </w:rPr>
        <w:t>1) TICC and benchmark returns indexed to 21-Nov-2003</w:t>
      </w:r>
    </w:p>
    <w:p>
      <w:pPr>
        <w:ind w:right="320" w:firstLine="167"/>
        <w:spacing w:after="0" w:line="184" w:lineRule="auto"/>
        <w:rPr>
          <w:sz w:val="20"/>
          <w:szCs w:val="20"/>
          <w:color w:val="auto"/>
        </w:rPr>
      </w:pPr>
      <w:r>
        <w:rPr>
          <w:rFonts w:ascii="Arial" w:cs="Arial" w:eastAsia="Arial" w:hAnsi="Arial"/>
          <w:sz w:val="6"/>
          <w:szCs w:val="6"/>
          <w:color w:val="FFFFFF"/>
        </w:rPr>
        <w:t>BDC Composite comprised of ACAS, AINV, ARCC, BKCC, FSC, GBDC, HTGC, MAIN, MCC, NMFC, PNNT, PSEC, SLRC, TCAP, and TCRD (3) TSLX 3-year total return based off of 30-Jun-2012 NAV per share, 15-Sep-2015 cl</w:t>
      </w:r>
      <w:r>
        <w:rPr>
          <w:rFonts w:ascii="Arial" w:cs="Arial" w:eastAsia="Arial" w:hAnsi="Arial"/>
          <w:sz w:val="8"/>
          <w:szCs w:val="8"/>
          <w:color w:val="FFFFFF"/>
          <w:vertAlign w:val="superscript"/>
        </w:rPr>
        <w:t>Note:</w:t>
      </w:r>
      <w:r>
        <w:rPr>
          <w:rFonts w:ascii="Arial" w:cs="Arial" w:eastAsia="Arial" w:hAnsi="Arial"/>
          <w:sz w:val="6"/>
          <w:szCs w:val="6"/>
          <w:color w:val="FFFFFF"/>
        </w:rPr>
        <w:t>sing stock price, and cumulative dividends declared during the period</w:t>
      </w:r>
    </w:p>
    <w:p>
      <w:pPr>
        <w:ind w:right="1000" w:firstLine="291"/>
        <w:spacing w:after="0" w:line="184" w:lineRule="auto"/>
        <w:rPr>
          <w:sz w:val="20"/>
          <w:szCs w:val="20"/>
          <w:color w:val="auto"/>
        </w:rPr>
      </w:pPr>
      <w:r>
        <w:rPr>
          <w:rFonts w:ascii="Arial" w:cs="Arial" w:eastAsia="Arial" w:hAnsi="Arial"/>
          <w:sz w:val="8"/>
          <w:szCs w:val="8"/>
          <w:color w:val="FFFFFF"/>
        </w:rPr>
        <w:t>Market data as of 15-Sep-2015. For reference, the TSLX proposal represents a 12.8% discount to TICC’s NAV as of June 30, 2015, a narrower discount than the price at which the shares have traded since June 30th. Source: Bloomberg, fixed income benchmark data from Markit iBoxx</w:t>
      </w:r>
    </w:p>
    <w:p>
      <w:pPr>
        <w:spacing w:after="0"/>
        <w:rPr>
          <w:sz w:val="20"/>
          <w:szCs w:val="20"/>
          <w:color w:val="auto"/>
        </w:rPr>
      </w:pPr>
      <w:r>
        <w:rPr>
          <w:rFonts w:ascii="Arial" w:cs="Arial" w:eastAsia="Arial" w:hAnsi="Arial"/>
          <w:sz w:val="12"/>
          <w:szCs w:val="12"/>
          <w:color w:val="FFFFFF"/>
        </w:rPr>
        <w:t>? TSLX (NYSE) 17</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3"/>
          <w:szCs w:val="23"/>
          <w:color w:val="FFFFFF"/>
          <w:vertAlign w:val="subscript"/>
        </w:rPr>
        <w:t>TICC’SSLX</w:t>
      </w:r>
      <w:r>
        <w:rPr>
          <w:rFonts w:ascii="Arial" w:cs="Arial" w:eastAsia="Arial" w:hAnsi="Arial"/>
          <w:sz w:val="12"/>
          <w:szCs w:val="12"/>
          <w:color w:val="FFFFFF"/>
        </w:rPr>
        <w:t>has Under Earned its Dividend and Eroded NAV</w:t>
      </w:r>
    </w:p>
    <w:p>
      <w:pPr>
        <w:ind w:left="320"/>
        <w:spacing w:after="0" w:line="183" w:lineRule="auto"/>
        <w:rPr>
          <w:sz w:val="20"/>
          <w:szCs w:val="20"/>
          <w:color w:val="auto"/>
        </w:rPr>
      </w:pPr>
      <w:r>
        <w:rPr>
          <w:rFonts w:ascii="Arial" w:cs="Arial" w:eastAsia="Arial" w:hAnsi="Arial"/>
          <w:sz w:val="9"/>
          <w:szCs w:val="9"/>
          <w:color w:val="FFFFFF"/>
        </w:rPr>
        <w:t>has Continually Earned its Dividend and Created Value for Stockholders</w:t>
      </w:r>
    </w:p>
    <w:p>
      <w:pPr>
        <w:ind w:left="400"/>
        <w:spacing w:after="0" w:line="184" w:lineRule="auto"/>
        <w:rPr>
          <w:sz w:val="20"/>
          <w:szCs w:val="20"/>
          <w:color w:val="auto"/>
        </w:rPr>
      </w:pPr>
      <w:r>
        <w:rPr>
          <w:rFonts w:ascii="Arial" w:cs="Arial" w:eastAsia="Arial" w:hAnsi="Arial"/>
          <w:sz w:val="4"/>
          <w:szCs w:val="4"/>
          <w:color w:val="FFFFFF"/>
        </w:rPr>
        <w:t>NET INTEREST INCOME AND TSLX’S NET INTEREST INCOME AND</w:t>
      </w:r>
    </w:p>
    <w:p>
      <w:pPr>
        <w:spacing w:after="0"/>
        <w:rPr>
          <w:sz w:val="20"/>
          <w:szCs w:val="20"/>
          <w:color w:val="auto"/>
        </w:rPr>
      </w:pPr>
      <w:r>
        <w:rPr>
          <w:rFonts w:ascii="Arial" w:cs="Arial" w:eastAsia="Arial" w:hAnsi="Arial"/>
          <w:sz w:val="5"/>
          <w:szCs w:val="5"/>
          <w:color w:val="FFFFFF"/>
        </w:rPr>
        <w:t xml:space="preserve">In Q1’15, TICC DIVIDENDS PER SHARE DIVIDENDS PER SHARE identified an </w:t>
      </w:r>
      <w:r>
        <w:rPr>
          <w:rFonts w:ascii="Arial" w:cs="Arial" w:eastAsia="Arial" w:hAnsi="Arial"/>
          <w:sz w:val="6"/>
          <w:szCs w:val="6"/>
          <w:color w:val="FFFFFF"/>
          <w:vertAlign w:val="subscript"/>
        </w:rPr>
        <w:t>accounting</w:t>
      </w:r>
      <w:r>
        <w:rPr>
          <w:rFonts w:ascii="Arial" w:cs="Arial" w:eastAsia="Arial" w:hAnsi="Arial"/>
          <w:sz w:val="5"/>
          <w:szCs w:val="5"/>
          <w:color w:val="FFFFFF"/>
        </w:rPr>
        <w:t xml:space="preserve"> error NII Per Share Unearned DPS DPS NII Per Share Unearned DPS DPS $.55 $.57 that resulted in $.51 $.49 historical income $.32 $.33 $.18 </w:t>
      </w:r>
      <w:r>
        <w:rPr>
          <w:rFonts w:ascii="Arial" w:cs="Arial" w:eastAsia="Arial" w:hAnsi="Arial"/>
          <w:sz w:val="6"/>
          <w:szCs w:val="6"/>
          <w:color w:val="FFFFFF"/>
          <w:vertAlign w:val="superscript"/>
        </w:rPr>
        <w:t>~</w:t>
      </w:r>
      <w:r>
        <w:rPr>
          <w:rFonts w:ascii="Arial" w:cs="Arial" w:eastAsia="Arial" w:hAnsi="Arial"/>
          <w:sz w:val="5"/>
          <w:szCs w:val="5"/>
          <w:color w:val="FFFFFF"/>
        </w:rPr>
        <w:t>.46</w:t>
      </w:r>
      <w:r>
        <w:rPr>
          <w:rFonts w:ascii="Arial" w:cs="Arial" w:eastAsia="Arial" w:hAnsi="Arial"/>
          <w:sz w:val="6"/>
          <w:szCs w:val="6"/>
          <w:color w:val="FFFFFF"/>
          <w:vertAlign w:val="superscript"/>
        </w:rPr>
        <w:t>$2</w:t>
      </w:r>
      <w:r>
        <w:rPr>
          <w:rFonts w:ascii="Arial" w:cs="Arial" w:eastAsia="Arial" w:hAnsi="Arial"/>
          <w:sz w:val="5"/>
          <w:szCs w:val="5"/>
          <w:color w:val="FFFFFF"/>
        </w:rPr>
        <w:t xml:space="preserve"> $.23 $.30 $.23 $.29 $.29 $.21 $.42 $.43 being over $.21 $.40 $.37 $.39 reported. As result, net investment income incentive fees were overstated by 13 13 13 13 14 14 14 14 15 15 13 13 13 13 14 14 14 14 15 15</w:t>
      </w:r>
    </w:p>
    <w:p>
      <w:pPr>
        <w:ind w:left="180"/>
        <w:spacing w:after="0" w:line="192" w:lineRule="auto"/>
        <w:rPr>
          <w:sz w:val="20"/>
          <w:szCs w:val="20"/>
          <w:color w:val="auto"/>
        </w:rPr>
      </w:pPr>
      <w:r>
        <w:rPr>
          <w:rFonts w:ascii="Arial" w:cs="Arial" w:eastAsia="Arial" w:hAnsi="Arial"/>
          <w:sz w:val="4"/>
          <w:szCs w:val="4"/>
          <w:color w:val="FFFFFF"/>
        </w:rPr>
        <w:t>.4mm on a — Jun Sep — — Jun—Sep ——Jun — Jun—Sep ——Jun—Sep ——Jun cumulative basis Mar Dec Mar Dec Mar Mar Dec Mar Dec Mar through 2014.</w:t>
      </w:r>
    </w:p>
    <w:p>
      <w:pPr>
        <w:ind w:left="60" w:right="100" w:hanging="58"/>
        <w:spacing w:after="0" w:line="184" w:lineRule="auto"/>
        <w:rPr>
          <w:sz w:val="20"/>
          <w:szCs w:val="20"/>
          <w:color w:val="auto"/>
        </w:rPr>
      </w:pPr>
      <w:r>
        <w:rPr>
          <w:rFonts w:ascii="Arial" w:cs="Arial" w:eastAsia="Arial" w:hAnsi="Arial"/>
          <w:sz w:val="8"/>
          <w:szCs w:val="8"/>
          <w:color w:val="FFFFFF"/>
        </w:rPr>
        <w:t xml:space="preserve">Without this error, TICC TICC NET ASSET VALUE PER SHARE(1) TSLX NET ASSET VALUE PER SHARE(1) likely never truly “earned” 16.00 $ 15.84 its dividend $ 10.02 $ 9.90 $ 15.66 $ 9.85 $ 9.78 $ 9.75 $ 15.51 $ 9.71 $ 15.70 $ </w:t>
      </w:r>
      <w:r>
        <w:rPr>
          <w:rFonts w:ascii="Arial" w:cs="Arial" w:eastAsia="Arial" w:hAnsi="Arial"/>
          <w:sz w:val="12"/>
          <w:szCs w:val="12"/>
          <w:color w:val="FFFFFF"/>
          <w:vertAlign w:val="superscript"/>
        </w:rPr>
        <w:t>5.</w:t>
      </w:r>
      <w:r>
        <w:rPr>
          <w:rFonts w:ascii="Arial" w:cs="Arial" w:eastAsia="Arial" w:hAnsi="Arial"/>
          <w:sz w:val="8"/>
          <w:szCs w:val="8"/>
          <w:color w:val="FFFFFF"/>
        </w:rPr>
        <w:t>60</w:t>
      </w:r>
      <w:r>
        <w:rPr>
          <w:rFonts w:ascii="Arial" w:cs="Arial" w:eastAsia="Arial" w:hAnsi="Arial"/>
          <w:sz w:val="12"/>
          <w:szCs w:val="12"/>
          <w:color w:val="FFFFFF"/>
          <w:vertAlign w:val="superscript"/>
        </w:rPr>
        <w:t>00</w:t>
      </w:r>
      <w:r>
        <w:rPr>
          <w:rFonts w:ascii="Arial" w:cs="Arial" w:eastAsia="Arial" w:hAnsi="Arial"/>
          <w:sz w:val="8"/>
          <w:szCs w:val="8"/>
          <w:color w:val="FFFFFF"/>
        </w:rPr>
        <w:t xml:space="preserve"> $ 15.35 $ 15.53 $ 9.40 $ 8.72 $ 15.27 $ 15.52 $ 8.64 $ 8.60 $ 15.29</w:t>
      </w:r>
    </w:p>
    <w:p>
      <w:pPr>
        <w:ind w:right="2620"/>
        <w:spacing w:after="0" w:line="184" w:lineRule="auto"/>
        <w:rPr>
          <w:sz w:val="20"/>
          <w:szCs w:val="20"/>
          <w:color w:val="auto"/>
        </w:rPr>
      </w:pPr>
      <w:r>
        <w:rPr>
          <w:rFonts w:ascii="Arial" w:cs="Arial" w:eastAsia="Arial" w:hAnsi="Arial"/>
          <w:sz w:val="8"/>
          <w:szCs w:val="8"/>
          <w:color w:val="FFFFFF"/>
        </w:rPr>
        <w:t>13—13 — 13 13—14 — 14 14—14—15—15 — 13—13—13—13—14 14—14—14—15—15 -Mar Jun Sep Dec Mar Jun Sep Dec Mar Jun Mar Jun Sep Dec Mar Jun Sep Dec Mar Jun KBW, Sept 16th</w:t>
      </w:r>
    </w:p>
    <w:p>
      <w:pPr>
        <w:spacing w:after="0" w:line="184" w:lineRule="auto"/>
        <w:rPr>
          <w:sz w:val="20"/>
          <w:szCs w:val="20"/>
          <w:color w:val="auto"/>
        </w:rPr>
      </w:pPr>
      <w:r>
        <w:rPr>
          <w:rFonts w:ascii="Arial" w:cs="Arial" w:eastAsia="Arial" w:hAnsi="Arial"/>
          <w:sz w:val="8"/>
          <w:szCs w:val="8"/>
          <w:color w:val="FFFFFF"/>
        </w:rPr>
        <w:t>“The $0.29 (TICC) dividend is not sustainable, and we expect it will be cut regardless of what happens. We have been talking about a dividend cut for over a year now”</w:t>
      </w:r>
    </w:p>
    <w:p>
      <w:pPr>
        <w:spacing w:after="0"/>
        <w:rPr>
          <w:sz w:val="20"/>
          <w:szCs w:val="20"/>
          <w:color w:val="auto"/>
        </w:rPr>
      </w:pPr>
      <w:r>
        <w:rPr>
          <w:rFonts w:ascii="Arial" w:cs="Arial" w:eastAsia="Arial" w:hAnsi="Arial"/>
          <w:sz w:val="12"/>
          <w:szCs w:val="12"/>
          <w:color w:val="FFFFFF"/>
        </w:rPr>
        <w:t>?(1)TSLXNetAsset(NYSE)Value18 Per Share includes effect of realized and unrealized gains Source: Public Filings</w:t>
      </w:r>
    </w:p>
    <w:p>
      <w:pPr>
        <w:sectPr>
          <w:pgSz w:w="11900" w:h="16838" w:orient="portrait"/>
          <w:cols w:equalWidth="0" w:num="1">
            <w:col w:w="11360"/>
          </w:cols>
          <w:pgMar w:left="240" w:top="1440" w:right="2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 w:right="8379" w:hanging="6"/>
        <w:spacing w:after="0" w:line="213" w:lineRule="auto"/>
        <w:tabs>
          <w:tab w:leader="none" w:pos="182" w:val="left"/>
        </w:tabs>
        <w:numPr>
          <w:ilvl w:val="0"/>
          <w:numId w:val="14"/>
        </w:numPr>
        <w:rPr>
          <w:rFonts w:ascii="Arial" w:cs="Arial" w:eastAsia="Arial" w:hAnsi="Arial"/>
          <w:sz w:val="9"/>
          <w:szCs w:val="9"/>
          <w:color w:val="FFFFFF"/>
        </w:rPr>
      </w:pPr>
      <w:r>
        <w:rPr>
          <w:rFonts w:ascii="Arial" w:cs="Arial" w:eastAsia="Arial" w:hAnsi="Arial"/>
          <w:sz w:val="9"/>
          <w:szCs w:val="9"/>
          <w:color w:val="FFFFFF"/>
        </w:rPr>
        <w:t>TSLX’s Proposal Maximizes TICC Stockholder Value</w:t>
      </w:r>
    </w:p>
    <w:p>
      <w:pPr>
        <w:sectPr>
          <w:pgSz w:w="11900" w:h="16838" w:orient="portrait"/>
          <w:cols w:equalWidth="0" w:num="1">
            <w:col w:w="10225"/>
          </w:cols>
          <w:pgMar w:left="234"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Equity Market Show Strong Support for TSLX Offer</w:t>
      </w:r>
    </w:p>
    <w:p>
      <w:pPr>
        <w:ind w:left="80" w:right="3699" w:hanging="81"/>
        <w:spacing w:after="0"/>
        <w:rPr>
          <w:sz w:val="20"/>
          <w:szCs w:val="20"/>
          <w:color w:val="auto"/>
        </w:rPr>
      </w:pPr>
      <w:r>
        <w:rPr>
          <w:rFonts w:ascii="Arial" w:cs="Arial" w:eastAsia="Arial" w:hAnsi="Arial"/>
          <w:sz w:val="6"/>
          <w:szCs w:val="6"/>
          <w:color w:val="FFFFFF"/>
        </w:rPr>
        <w:t>Lackluster market performance following announcements of BSP offers indicates absence of stockholder enthusiasm for value proposition BSP proposal offers NO premium to the market price of TICC shares to stockholders</w:t>
      </w:r>
    </w:p>
    <w:p>
      <w:pPr>
        <w:spacing w:after="0" w:line="192"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 xml:space="preserve"> Significant transfer of value to outgoing external manager</w:t>
      </w:r>
    </w:p>
    <w:p>
      <w:pPr>
        <w:ind w:left="80"/>
        <w:spacing w:after="0" w:line="184" w:lineRule="auto"/>
        <w:rPr>
          <w:sz w:val="20"/>
          <w:szCs w:val="20"/>
          <w:color w:val="auto"/>
        </w:rPr>
      </w:pPr>
      <w:r>
        <w:rPr>
          <w:rFonts w:ascii="Arial" w:cs="Arial" w:eastAsia="Arial" w:hAnsi="Arial"/>
          <w:sz w:val="4"/>
          <w:szCs w:val="4"/>
          <w:color w:val="FFFFFF"/>
        </w:rPr>
        <w:t>BSP reduced the management fee only after competing bid from NexPoint was made public</w:t>
      </w:r>
    </w:p>
    <w:p>
      <w:pPr>
        <w:spacing w:after="0" w:line="184"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20% TICC TSLX</w:t>
      </w:r>
    </w:p>
    <w:p>
      <w:pPr>
        <w:ind w:left="40"/>
        <w:spacing w:after="0" w:line="184" w:lineRule="auto"/>
        <w:rPr>
          <w:sz w:val="20"/>
          <w:szCs w:val="20"/>
          <w:color w:val="auto"/>
        </w:rPr>
      </w:pPr>
      <w:r>
        <w:rPr>
          <w:rFonts w:ascii="Arial" w:cs="Arial" w:eastAsia="Arial" w:hAnsi="Arial"/>
          <w:sz w:val="4"/>
          <w:szCs w:val="4"/>
          <w:color w:val="FFFFFF"/>
        </w:rPr>
        <w:t>10%</w:t>
      </w:r>
    </w:p>
    <w:p>
      <w:pPr>
        <w:spacing w:after="0" w:line="184" w:lineRule="auto"/>
        <w:rPr>
          <w:sz w:val="20"/>
          <w:szCs w:val="20"/>
          <w:color w:val="auto"/>
        </w:rPr>
      </w:pPr>
      <w:r>
        <w:rPr>
          <w:rFonts w:ascii="Arial" w:cs="Arial" w:eastAsia="Arial" w:hAnsi="Arial"/>
          <w:sz w:val="4"/>
          <w:szCs w:val="4"/>
          <w:color w:val="FFFFFF"/>
        </w:rPr>
        <w:t>3%</w:t>
      </w:r>
    </w:p>
    <w:p>
      <w:pPr>
        <w:spacing w:after="0" w:line="184" w:lineRule="auto"/>
        <w:rPr>
          <w:sz w:val="20"/>
          <w:szCs w:val="20"/>
          <w:color w:val="auto"/>
        </w:rPr>
      </w:pPr>
      <w:r>
        <w:rPr>
          <w:rFonts w:ascii="Arial" w:cs="Arial" w:eastAsia="Arial" w:hAnsi="Arial"/>
          <w:sz w:val="8"/>
          <w:szCs w:val="8"/>
          <w:color w:val="FFFFFF"/>
        </w:rPr>
        <w:t>100% Sep 1</w:t>
      </w:r>
    </w:p>
    <w:p>
      <w:pPr>
        <w:spacing w:after="0" w:line="184" w:lineRule="auto"/>
        <w:rPr>
          <w:sz w:val="20"/>
          <w:szCs w:val="20"/>
          <w:color w:val="auto"/>
        </w:rPr>
      </w:pPr>
      <w:r>
        <w:rPr>
          <w:rFonts w:ascii="Arial" w:cs="Arial" w:eastAsia="Arial" w:hAnsi="Arial"/>
          <w:sz w:val="8"/>
          <w:szCs w:val="8"/>
          <w:color w:val="FFFFFF"/>
        </w:rPr>
        <w:t>SepNexPoint3 Enhanced Offer</w:t>
      </w:r>
    </w:p>
    <w:p>
      <w:pPr>
        <w:spacing w:after="0" w:line="184" w:lineRule="auto"/>
        <w:rPr>
          <w:sz w:val="20"/>
          <w:szCs w:val="20"/>
          <w:color w:val="auto"/>
        </w:rPr>
      </w:pPr>
      <w:r>
        <w:rPr>
          <w:rFonts w:ascii="Arial" w:cs="Arial" w:eastAsia="Arial" w:hAnsi="Arial"/>
          <w:sz w:val="4"/>
          <w:szCs w:val="4"/>
          <w:color w:val="FFFFFF"/>
        </w:rPr>
        <w:t>PriceBSPEnhanced90% Offer</w:t>
      </w:r>
    </w:p>
    <w:p>
      <w:pPr>
        <w:spacing w:after="0" w:line="184" w:lineRule="auto"/>
        <w:rPr>
          <w:sz w:val="20"/>
          <w:szCs w:val="20"/>
          <w:color w:val="auto"/>
        </w:rPr>
      </w:pPr>
      <w:r>
        <w:rPr>
          <w:rFonts w:ascii="Arial" w:cs="Arial" w:eastAsia="Arial" w:hAnsi="Arial"/>
          <w:sz w:val="8"/>
          <w:szCs w:val="8"/>
          <w:color w:val="FFFFFF"/>
        </w:rPr>
        <w:t>Aug 19</w:t>
      </w:r>
    </w:p>
    <w:p>
      <w:pPr>
        <w:spacing w:after="0" w:line="184" w:lineRule="auto"/>
        <w:rPr>
          <w:sz w:val="20"/>
          <w:szCs w:val="20"/>
          <w:color w:val="auto"/>
        </w:rPr>
      </w:pPr>
      <w:r>
        <w:rPr>
          <w:rFonts w:ascii="Arial" w:cs="Arial" w:eastAsia="Arial" w:hAnsi="Arial"/>
          <w:sz w:val="4"/>
          <w:szCs w:val="4"/>
          <w:color w:val="FFFFFF"/>
        </w:rPr>
        <w:t>80%NexPoint Initial Offer</w:t>
      </w:r>
    </w:p>
    <w:p>
      <w:pPr>
        <w:spacing w:after="0" w:line="184" w:lineRule="auto"/>
        <w:rPr>
          <w:sz w:val="20"/>
          <w:szCs w:val="20"/>
          <w:color w:val="auto"/>
        </w:rPr>
      </w:pPr>
      <w:r>
        <w:rPr>
          <w:rFonts w:ascii="Arial" w:cs="Arial" w:eastAsia="Arial" w:hAnsi="Arial"/>
          <w:sz w:val="4"/>
          <w:szCs w:val="4"/>
          <w:color w:val="FFFFFF"/>
        </w:rPr>
        <w:t>Indexed TICC 2-Day Stock Performance (%) (25)%</w:t>
      </w:r>
    </w:p>
    <w:p>
      <w:pPr>
        <w:spacing w:after="0" w:line="184" w:lineRule="auto"/>
        <w:rPr>
          <w:sz w:val="20"/>
          <w:szCs w:val="20"/>
          <w:color w:val="auto"/>
        </w:rPr>
      </w:pPr>
      <w:r>
        <w:rPr>
          <w:rFonts w:ascii="Arial" w:cs="Arial" w:eastAsia="Arial" w:hAnsi="Arial"/>
          <w:sz w:val="4"/>
          <w:szCs w:val="4"/>
          <w:color w:val="FFFFFF"/>
        </w:rPr>
        <w:t>BSP Initial Offer 5.3 % 70% BSP Revised Offer (1.3)%</w:t>
      </w:r>
    </w:p>
    <w:p>
      <w:pPr>
        <w:spacing w:after="0" w:line="184" w:lineRule="auto"/>
        <w:rPr>
          <w:sz w:val="20"/>
          <w:szCs w:val="20"/>
          <w:color w:val="auto"/>
        </w:rPr>
      </w:pPr>
      <w:r>
        <w:rPr>
          <w:rFonts w:ascii="Arial" w:cs="Arial" w:eastAsia="Arial" w:hAnsi="Arial"/>
          <w:sz w:val="8"/>
          <w:szCs w:val="8"/>
          <w:color w:val="FFFFFF"/>
        </w:rPr>
        <w:t>Aug 4</w:t>
      </w:r>
    </w:p>
    <w:p>
      <w:pPr>
        <w:spacing w:after="0" w:line="184" w:lineRule="auto"/>
        <w:rPr>
          <w:sz w:val="20"/>
          <w:szCs w:val="20"/>
          <w:color w:val="auto"/>
        </w:rPr>
      </w:pPr>
      <w:r>
        <w:rPr>
          <w:rFonts w:ascii="Arial" w:cs="Arial" w:eastAsia="Arial" w:hAnsi="Arial"/>
          <w:sz w:val="8"/>
          <w:szCs w:val="8"/>
          <w:color w:val="FFFFFF"/>
        </w:rPr>
        <w:t>60%TSLX Offer 11.8 % BSP Initial Offer Sep 16 TSLX Offer</w:t>
      </w:r>
    </w:p>
    <w:p>
      <w:pPr>
        <w:spacing w:after="0" w:line="184" w:lineRule="auto"/>
        <w:rPr>
          <w:sz w:val="20"/>
          <w:szCs w:val="20"/>
          <w:color w:val="auto"/>
        </w:rPr>
      </w:pPr>
      <w:r>
        <w:rPr>
          <w:rFonts w:ascii="Arial" w:cs="Arial" w:eastAsia="Arial" w:hAnsi="Arial"/>
          <w:sz w:val="4"/>
          <w:szCs w:val="4"/>
          <w:color w:val="FFFFFF"/>
        </w:rPr>
        <w:t>Note:Sep-2014MarketNovdata-2014as Janof17-2015-SepMar-2015-2015 May-2015 Jul-2015 Sep-2015</w:t>
      </w:r>
    </w:p>
    <w:p>
      <w:pPr>
        <w:spacing w:after="0"/>
        <w:rPr>
          <w:sz w:val="20"/>
          <w:szCs w:val="20"/>
          <w:color w:val="auto"/>
        </w:rPr>
      </w:pPr>
      <w:r>
        <w:rPr>
          <w:rFonts w:ascii="Arial" w:cs="Arial" w:eastAsia="Arial" w:hAnsi="Arial"/>
          <w:sz w:val="12"/>
          <w:szCs w:val="12"/>
          <w:color w:val="FFFFFF"/>
        </w:rPr>
        <w:t>? TSLX (NYSE) 20</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Analyst and Shareholder Commentary Supporting TSLX’s Offer</w:t>
      </w:r>
    </w:p>
    <w:p>
      <w:pPr>
        <w:spacing w:after="0" w:line="184" w:lineRule="auto"/>
        <w:rPr>
          <w:sz w:val="20"/>
          <w:szCs w:val="20"/>
          <w:color w:val="auto"/>
        </w:rPr>
      </w:pPr>
      <w:r>
        <w:rPr>
          <w:rFonts w:ascii="Arial" w:cs="Arial" w:eastAsia="Arial" w:hAnsi="Arial"/>
          <w:sz w:val="6"/>
          <w:szCs w:val="6"/>
          <w:color w:val="FFFFFF"/>
        </w:rPr>
        <w:t>“TSLXCantor Fitzgerald,trumpedBSP’sSept offer,16thJMPinourSecurities,view“WSeptbelieve17th theTheactionMotleytakenFool,bySept(TSLX)16th“I find TPG’s offer the most by presenting TICC’s board with a management highlights our favorable compelling, given that it provides an proposal that would provideFar 20% perception of the company’ leading opportunity for TICC Capital investors premium to TICC shareholders”¹ governance practices and focus on to exit with an immediate return” creating shareholder value “</w:t>
      </w:r>
    </w:p>
    <w:p>
      <w:pPr>
        <w:ind w:right="4860"/>
        <w:spacing w:after="0" w:line="184" w:lineRule="auto"/>
        <w:rPr>
          <w:sz w:val="20"/>
          <w:szCs w:val="20"/>
          <w:color w:val="auto"/>
        </w:rPr>
      </w:pPr>
      <w:r>
        <w:rPr>
          <w:rFonts w:ascii="Arial" w:cs="Arial" w:eastAsia="Arial" w:hAnsi="Arial"/>
          <w:sz w:val="6"/>
          <w:szCs w:val="6"/>
          <w:color w:val="FFFFFF"/>
        </w:rPr>
        <w:t>“Surprisingly,Wellsgo,SeptTICC’s16thspecial Top 5 TICC Stockholder Muzinich Ladenburg Thalmann, Sept 16th committee rejected TSLX’s offer… In st &amp; Co., Aug 31 (Pre-TSLX Offer) our view, this rejection puts the board in “As part of TPG, TICC shareholders</w:t>
      </w:r>
    </w:p>
    <w:p>
      <w:pPr>
        <w:ind w:left="11020"/>
        <w:spacing w:after="0"/>
        <w:rPr>
          <w:sz w:val="20"/>
          <w:szCs w:val="20"/>
          <w:color w:val="auto"/>
        </w:rPr>
      </w:pPr>
      <w:r>
        <w:rPr>
          <w:rFonts w:ascii="Arial" w:cs="Arial" w:eastAsia="Arial" w:hAnsi="Arial"/>
          <w:sz w:val="1"/>
          <w:szCs w:val="1"/>
          <w:color w:val="FFFFFF"/>
        </w:rPr>
        <w:t>“WSpecialwereCommitteesurprised reaffirmedwhenthe(TICC)itsmayaviewvery thistoughas predicamentchoicebetweenastheplatformmarket wouldincludingbenefitdirectfrom riginationaccessto itsinitialbroadposition and, we believe, paying substantial compensation to an team. Over the last year, TSLX has premature decision to</w:t>
      </w:r>
    </w:p>
    <w:p>
      <w:pPr>
        <w:ind w:right="160"/>
        <w:spacing w:after="0"/>
        <w:rPr>
          <w:sz w:val="20"/>
          <w:szCs w:val="20"/>
          <w:color w:val="auto"/>
        </w:rPr>
      </w:pPr>
      <w:r>
        <w:rPr>
          <w:rFonts w:ascii="Arial" w:cs="Arial" w:eastAsia="Arial" w:hAnsi="Arial"/>
          <w:sz w:val="9"/>
          <w:szCs w:val="9"/>
          <w:color w:val="FFFFFF"/>
        </w:rPr>
        <w:t>pursue the BSP underperforming external manager outperformed our BDC index by about offer over competing offer. “ versus allowing TICC shareholders to 12% and (outperformed) TICC by about receive an immediate return / 24% on a total return basis” premium”</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FFFFFF"/>
        </w:rPr>
        <w:t>?¹ ForTSLXreference,(NYSE)the21TSLX proposal represents a 12.8% discount to TICC’s NAV as of June 30, 2015, a narrower discount than the price at which the shares have traded since June 30th.</w:t>
      </w:r>
    </w:p>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IV. TSLX Delivers Best-In-Class Stockholder Value</w:t>
      </w:r>
    </w:p>
    <w:p>
      <w:pPr>
        <w:spacing w:after="0"/>
        <w:rPr>
          <w:sz w:val="20"/>
          <w:szCs w:val="20"/>
          <w:color w:val="auto"/>
        </w:rPr>
      </w:pPr>
      <w:r>
        <w:rPr>
          <w:rFonts w:ascii="Arial" w:cs="Arial" w:eastAsia="Arial" w:hAnsi="Arial"/>
          <w:sz w:val="9"/>
          <w:szCs w:val="9"/>
          <w:color w:val="FFFFFF"/>
        </w:rPr>
        <w:t>Note: Figures in this section are as of 6/30/15 unless otherwise noted</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Key Investment Highlights</w:t>
      </w:r>
    </w:p>
    <w:p>
      <w:pPr>
        <w:spacing w:after="0" w:line="184" w:lineRule="auto"/>
        <w:rPr>
          <w:sz w:val="20"/>
          <w:szCs w:val="20"/>
          <w:color w:val="auto"/>
        </w:rPr>
      </w:pPr>
      <w:r>
        <w:rPr>
          <w:rFonts w:ascii="Arial" w:cs="Arial" w:eastAsia="Arial" w:hAnsi="Arial"/>
          <w:sz w:val="4"/>
          <w:szCs w:val="4"/>
          <w:color w:val="FFFFFF"/>
        </w:rPr>
        <w:t>LeadingBroadly distributed,platformwithscaledproprietary,senioranddirectlyfloatingoriginatedrate?focuseddealflowportfolio</w:t>
      </w:r>
    </w:p>
    <w:p>
      <w:pPr>
        <w:ind w:right="419"/>
        <w:spacing w:after="0"/>
        <w:rPr>
          <w:sz w:val="20"/>
          <w:szCs w:val="20"/>
          <w:color w:val="auto"/>
        </w:rPr>
      </w:pPr>
      <w:r>
        <w:rPr>
          <w:rFonts w:ascii="Arial" w:cs="Arial" w:eastAsia="Arial" w:hAnsi="Arial"/>
          <w:sz w:val="9"/>
          <w:szCs w:val="9"/>
          <w:color w:val="FFFFFF"/>
        </w:rPr>
        <w:t>Disciplined investment strategy, underwriting process, and active asset management Consistently earned dividend yield Experienced management team Fully developed institutional platform and infrastructure ? TSLX (NYSE) 23</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FFFFFF"/>
        </w:rPr>
        <w:t>$TPG74+BPlatform Overview</w:t>
      </w:r>
    </w:p>
    <w:p>
      <w:pPr>
        <w:spacing w:after="0" w:line="184" w:lineRule="auto"/>
        <w:rPr>
          <w:sz w:val="20"/>
          <w:szCs w:val="20"/>
          <w:color w:val="auto"/>
        </w:rPr>
      </w:pPr>
      <w:r>
        <w:rPr>
          <w:rFonts w:ascii="Arial" w:cs="Arial" w:eastAsia="Arial" w:hAnsi="Arial"/>
          <w:sz w:val="8"/>
          <w:szCs w:val="8"/>
          <w:color w:val="FFFFFF"/>
        </w:rPr>
        <w:t>LiquidTPGSpecial Situations Partners / Credit Investments $12+B</w:t>
      </w:r>
    </w:p>
    <w:p>
      <w:pPr>
        <w:spacing w:after="0" w:line="184" w:lineRule="auto"/>
        <w:rPr>
          <w:sz w:val="20"/>
          <w:szCs w:val="20"/>
          <w:color w:val="auto"/>
        </w:rPr>
      </w:pPr>
      <w:r>
        <w:rPr>
          <w:rFonts w:ascii="Arial" w:cs="Arial" w:eastAsia="Arial" w:hAnsi="Arial"/>
          <w:sz w:val="4"/>
          <w:szCs w:val="4"/>
          <w:color w:val="FFFFFF"/>
        </w:rPr>
        <w:t>SpecialtyPrivateEquity(1)LeveragedReal Estate Public Equity</w:t>
      </w:r>
    </w:p>
    <w:p>
      <w:pPr>
        <w:spacing w:after="0" w:line="184" w:lineRule="auto"/>
        <w:rPr>
          <w:sz w:val="20"/>
          <w:szCs w:val="20"/>
          <w:color w:val="auto"/>
        </w:rPr>
      </w:pPr>
      <w:r>
        <w:rPr>
          <w:rFonts w:ascii="Arial" w:cs="Arial" w:eastAsia="Arial" w:hAnsi="Arial"/>
          <w:sz w:val="8"/>
          <w:szCs w:val="8"/>
          <w:color w:val="FFFFFF"/>
        </w:rPr>
        <w:t>~$59B $3.0B $0.6B Special</w:t>
      </w:r>
    </w:p>
    <w:p>
      <w:pPr>
        <w:spacing w:after="0" w:line="184" w:lineRule="auto"/>
        <w:rPr>
          <w:sz w:val="20"/>
          <w:szCs w:val="20"/>
          <w:color w:val="auto"/>
        </w:rPr>
      </w:pPr>
      <w:r>
        <w:rPr>
          <w:rFonts w:ascii="Arial" w:cs="Arial" w:eastAsia="Arial" w:hAnsi="Arial"/>
          <w:sz w:val="4"/>
          <w:szCs w:val="4"/>
          <w:color w:val="FFFFFF"/>
        </w:rPr>
        <w:t>LoanFinanceYield,/Directand Loans, High Situations</w:t>
      </w:r>
    </w:p>
    <w:p>
      <w:pPr>
        <w:spacing w:after="0" w:line="184" w:lineRule="auto"/>
        <w:rPr>
          <w:sz w:val="20"/>
          <w:szCs w:val="20"/>
          <w:color w:val="auto"/>
        </w:rPr>
      </w:pPr>
      <w:r>
        <w:rPr>
          <w:rFonts w:ascii="Arial" w:cs="Arial" w:eastAsia="Arial" w:hAnsi="Arial"/>
          <w:sz w:val="4"/>
          <w:szCs w:val="4"/>
          <w:color w:val="FFFFFF"/>
        </w:rPr>
        <w:t>Origination Structured Credit</w:t>
      </w:r>
    </w:p>
    <w:p>
      <w:pPr>
        <w:spacing w:after="0" w:line="184" w:lineRule="auto"/>
        <w:rPr>
          <w:sz w:val="20"/>
          <w:szCs w:val="20"/>
          <w:color w:val="auto"/>
        </w:rPr>
      </w:pPr>
      <w:r>
        <w:rPr>
          <w:rFonts w:ascii="Arial" w:cs="Arial" w:eastAsia="Arial" w:hAnsi="Arial"/>
          <w:sz w:val="2"/>
          <w:szCs w:val="2"/>
          <w:color w:val="FFFFFF"/>
        </w:rPr>
        <w:t>(1) Includes TPG Capital, Asia, Growth, Biotech and</w:t>
      </w:r>
      <w:r>
        <w:rPr>
          <w:rFonts w:ascii="Arial" w:cs="Arial" w:eastAsia="Arial" w:hAnsi="Arial"/>
          <w:sz w:val="4"/>
          <w:szCs w:val="4"/>
          <w:color w:val="FFFFFF"/>
          <w:vertAlign w:val="subscript"/>
        </w:rPr>
        <w:t>(TSSP)</w:t>
      </w:r>
      <w:r>
        <w:rPr>
          <w:rFonts w:ascii="Arial" w:cs="Arial" w:eastAsia="Arial" w:hAnsi="Arial"/>
          <w:sz w:val="2"/>
          <w:szCs w:val="2"/>
          <w:color w:val="FFFFFF"/>
        </w:rPr>
        <w:t>ARfunds</w:t>
      </w:r>
    </w:p>
    <w:p>
      <w:pPr>
        <w:ind w:left="240" w:right="1799" w:hanging="237"/>
        <w:spacing w:after="0" w:line="184" w:lineRule="auto"/>
        <w:rPr>
          <w:sz w:val="20"/>
          <w:szCs w:val="20"/>
          <w:color w:val="auto"/>
        </w:rPr>
      </w:pPr>
      <w:r>
        <w:rPr>
          <w:rFonts w:ascii="Arial" w:cs="Arial" w:eastAsia="Arial" w:hAnsi="Arial"/>
          <w:sz w:val="23"/>
          <w:szCs w:val="23"/>
          <w:color w:val="FFFFFF"/>
          <w:vertAlign w:val="superscript"/>
        </w:rPr>
        <w:t>TSL</w:t>
      </w:r>
      <w:r>
        <w:rPr>
          <w:rFonts w:ascii="Arial" w:cs="Arial" w:eastAsia="Arial" w:hAnsi="Arial"/>
          <w:sz w:val="12"/>
          <w:szCs w:val="12"/>
          <w:color w:val="FFFFFF"/>
        </w:rPr>
        <w:t xml:space="preserve"> sits within the TPG Special Situations Partners</w:t>
      </w:r>
      <w:r>
        <w:rPr>
          <w:sz w:val="20"/>
          <w:szCs w:val="20"/>
          <w:color w:val="auto"/>
        </w:rPr>
        <w:t xml:space="preserve"> </w:t>
      </w:r>
      <w:r>
        <w:rPr>
          <w:rFonts w:ascii="Arial" w:cs="Arial" w:eastAsia="Arial" w:hAnsi="Arial"/>
          <w:sz w:val="8"/>
          <w:szCs w:val="8"/>
          <w:color w:val="FFFFFF"/>
        </w:rPr>
        <w:t>platform, the $12+ billion dedicated credit and special situations platform of TPG, a $74+ billion global asset manager is the first-stop channel for directly originated, U. . middle market credit opportunities</w:t>
      </w:r>
    </w:p>
    <w:p>
      <w:pPr>
        <w:spacing w:after="0"/>
        <w:rPr>
          <w:sz w:val="20"/>
          <w:szCs w:val="20"/>
          <w:color w:val="auto"/>
        </w:rPr>
      </w:pPr>
      <w:r>
        <w:rPr>
          <w:rFonts w:ascii="Arial" w:cs="Arial" w:eastAsia="Arial" w:hAnsi="Arial"/>
          <w:sz w:val="12"/>
          <w:szCs w:val="12"/>
          <w:color w:val="FFFFFF"/>
        </w:rPr>
        <w:t>? TSLX (NYSE) 24</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spacing w:after="0"/>
              <w:rPr>
                <w:sz w:val="20"/>
                <w:szCs w:val="20"/>
                <w:color w:val="auto"/>
              </w:rPr>
            </w:pPr>
            <w:r>
              <w:rPr>
                <w:rFonts w:ascii="Arial" w:cs="Arial" w:eastAsia="Arial" w:hAnsi="Arial"/>
                <w:sz w:val="12"/>
                <w:szCs w:val="12"/>
                <w:color w:val="FFFFFF"/>
              </w:rPr>
              <w:t>Overview</w:t>
            </w:r>
          </w:p>
        </w:tc>
        <w:tc>
          <w:tcPr>
            <w:tcW w:w="10560" w:type="dxa"/>
            <w:vAlign w:val="bottom"/>
            <w:vMerge w:val="restart"/>
          </w:tcPr>
          <w:p>
            <w:pPr>
              <w:ind w:left="100"/>
              <w:spacing w:after="0"/>
              <w:rPr>
                <w:sz w:val="20"/>
                <w:szCs w:val="20"/>
                <w:color w:val="auto"/>
              </w:rPr>
            </w:pPr>
            <w:r>
              <w:rPr>
                <w:rFonts w:ascii="Arial" w:cs="Arial" w:eastAsia="Arial" w:hAnsi="Arial"/>
                <w:sz w:val="12"/>
                <w:szCs w:val="12"/>
                <w:color w:val="FFFFFF"/>
                <w:w w:val="88"/>
              </w:rPr>
              <w:t>company focused on lending to middle-? Total of 26 dedicated professionals, including 19 dedicated market companies investment professionals. Ratio of 2:1 – two portfolio companies per investment professional $1,398 ?</w:t>
            </w:r>
          </w:p>
        </w:tc>
        <w:tc>
          <w:tcPr>
            <w:tcW w:w="0" w:type="dxa"/>
            <w:vAlign w:val="bottom"/>
          </w:tcPr>
          <w:p>
            <w:pPr>
              <w:spacing w:after="0"/>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 Specialty</w:t>
            </w:r>
          </w:p>
        </w:tc>
        <w:tc>
          <w:tcPr>
            <w:tcW w:w="10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Operates as financeexternally managed 6% business development</w:t>
            </w:r>
          </w:p>
        </w:tc>
        <w:tc>
          <w:tcPr>
            <w:tcW w:w="0" w:type="dxa"/>
            <w:vAlign w:val="bottom"/>
          </w:tcPr>
          <w:p>
            <w:pPr>
              <w:spacing w:after="0" w:line="20" w:lineRule="exact"/>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$1,331</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company</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$1,233 $1,264 $1,196 $1,129</w:t>
            </w: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ind w:left="80"/>
              <w:spacing w:after="0" w:line="36" w:lineRule="exact"/>
              <w:rPr>
                <w:sz w:val="20"/>
                <w:szCs w:val="20"/>
                <w:color w:val="auto"/>
              </w:rPr>
            </w:pPr>
            <w:r>
              <w:rPr>
                <w:rFonts w:ascii="Arial" w:cs="Arial" w:eastAsia="Arial" w:hAnsi="Arial"/>
                <w:sz w:val="4"/>
                <w:szCs w:val="4"/>
                <w:color w:val="FFFFFF"/>
              </w:rPr>
              <w:t>Leading platform with proprietary, directly originated deal flow $1,016</w:t>
            </w: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 Disciplined investment strategy, underwriting process,</w:t>
            </w:r>
          </w:p>
        </w:tc>
        <w:tc>
          <w:tcPr>
            <w:tcW w:w="0" w:type="dxa"/>
            <w:vAlign w:val="bottom"/>
          </w:tcPr>
          <w:p>
            <w:pPr>
              <w:spacing w:after="0" w:line="20" w:lineRule="exact"/>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$889</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and active asset management</w:t>
            </w:r>
          </w:p>
        </w:tc>
        <w:tc>
          <w:tcPr>
            <w:tcW w:w="0" w:type="dxa"/>
            <w:vAlign w:val="bottom"/>
          </w:tcPr>
          <w:p>
            <w:pPr>
              <w:spacing w:after="0" w:line="20" w:lineRule="exact"/>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$787</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 Investment grade credit ratings from both</w:t>
            </w:r>
          </w:p>
        </w:tc>
        <w:tc>
          <w:tcPr>
            <w:tcW w:w="0" w:type="dxa"/>
            <w:vAlign w:val="bottom"/>
          </w:tcPr>
          <w:p>
            <w:pPr>
              <w:spacing w:after="0" w:line="20" w:lineRule="exact"/>
              <w:rPr>
                <w:sz w:val="1"/>
                <w:szCs w:val="1"/>
                <w:color w:val="auto"/>
              </w:rPr>
            </w:pPr>
          </w:p>
        </w:tc>
      </w:tr>
      <w:tr>
        <w:trPr>
          <w:trHeight w:val="35"/>
        </w:trPr>
        <w:tc>
          <w:tcPr>
            <w:tcW w:w="820" w:type="dxa"/>
            <w:vAlign w:val="bottom"/>
          </w:tcPr>
          <w:p>
            <w:pPr>
              <w:spacing w:after="0" w:line="36" w:lineRule="exact"/>
              <w:rPr>
                <w:sz w:val="20"/>
                <w:szCs w:val="20"/>
                <w:color w:val="auto"/>
              </w:rPr>
            </w:pPr>
            <w:r>
              <w:rPr>
                <w:rFonts w:ascii="Arial" w:cs="Arial" w:eastAsia="Arial" w:hAnsi="Arial"/>
                <w:sz w:val="4"/>
                <w:szCs w:val="4"/>
                <w:color w:val="FFFFFF"/>
              </w:rPr>
              <w:t>$654</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Standard &amp; Poor’s and Fitch; both affirmed $626 rating and outlook in Q1’15</w:t>
            </w:r>
          </w:p>
        </w:tc>
        <w:tc>
          <w:tcPr>
            <w:tcW w:w="0" w:type="dxa"/>
            <w:vAlign w:val="bottom"/>
          </w:tcPr>
          <w:p>
            <w:pPr>
              <w:spacing w:after="0" w:line="20" w:lineRule="exact"/>
              <w:rPr>
                <w:sz w:val="1"/>
                <w:szCs w:val="1"/>
                <w:color w:val="auto"/>
              </w:rPr>
            </w:pPr>
          </w:p>
        </w:tc>
      </w:tr>
      <w:tr>
        <w:trPr>
          <w:trHeight w:val="35"/>
        </w:trPr>
        <w:tc>
          <w:tcPr>
            <w:tcW w:w="820" w:type="dxa"/>
            <w:vAlign w:val="bottom"/>
          </w:tcPr>
          <w:p>
            <w:pPr>
              <w:ind w:left="60"/>
              <w:spacing w:after="0" w:line="36" w:lineRule="exact"/>
              <w:rPr>
                <w:sz w:val="20"/>
                <w:szCs w:val="20"/>
                <w:color w:val="auto"/>
              </w:rPr>
            </w:pPr>
            <w:r>
              <w:rPr>
                <w:rFonts w:ascii="Arial" w:cs="Arial" w:eastAsia="Arial" w:hAnsi="Arial"/>
                <w:sz w:val="4"/>
                <w:szCs w:val="4"/>
                <w:color w:val="FFFFFF"/>
              </w:rPr>
              <w:t>51  $410 $327</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820" w:type="dxa"/>
            <w:vAlign w:val="bottom"/>
          </w:tcPr>
          <w:p>
            <w:pPr>
              <w:ind w:left="60"/>
              <w:spacing w:after="0" w:line="36" w:lineRule="exact"/>
              <w:rPr>
                <w:sz w:val="20"/>
                <w:szCs w:val="20"/>
                <w:color w:val="auto"/>
              </w:rPr>
            </w:pPr>
            <w:r>
              <w:rPr>
                <w:rFonts w:ascii="Arial" w:cs="Arial" w:eastAsia="Arial" w:hAnsi="Arial"/>
                <w:sz w:val="4"/>
                <w:szCs w:val="4"/>
                <w:color w:val="FFFFFF"/>
              </w:rPr>
              <w:t>184</w:t>
            </w:r>
          </w:p>
        </w:tc>
        <w:tc>
          <w:tcPr>
            <w:tcW w:w="10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2"/>
          </w:tcPr>
          <w:p>
            <w:pPr>
              <w:spacing w:after="0" w:line="36" w:lineRule="exact"/>
              <w:rPr>
                <w:sz w:val="20"/>
                <w:szCs w:val="20"/>
                <w:color w:val="auto"/>
              </w:rPr>
            </w:pPr>
            <w:r>
              <w:rPr>
                <w:rFonts w:ascii="Arial" w:cs="Arial" w:eastAsia="Arial" w:hAnsi="Arial"/>
                <w:sz w:val="4"/>
                <w:szCs w:val="4"/>
                <w:color w:val="FFFFFF"/>
              </w:rPr>
              <w:t>$0 $0 $99 Total Portfolio Investments ($ millions)</w:t>
            </w:r>
          </w:p>
        </w:tc>
        <w:tc>
          <w:tcPr>
            <w:tcW w:w="0" w:type="dxa"/>
            <w:vAlign w:val="bottom"/>
          </w:tcPr>
          <w:p>
            <w:pPr>
              <w:spacing w:after="0" w:line="20" w:lineRule="exact"/>
              <w:rPr>
                <w:sz w:val="1"/>
                <w:szCs w:val="1"/>
                <w:color w:val="auto"/>
              </w:rPr>
            </w:pPr>
          </w:p>
        </w:tc>
      </w:tr>
      <w:tr>
        <w:trPr>
          <w:trHeight w:val="0"/>
        </w:trPr>
        <w:tc>
          <w:tcPr>
            <w:tcW w:w="820" w:type="dxa"/>
            <w:vAlign w:val="bottom"/>
          </w:tcPr>
          <w:p>
            <w:pPr>
              <w:spacing w:after="0" w:line="70" w:lineRule="exact"/>
              <w:rPr>
                <w:sz w:val="20"/>
                <w:szCs w:val="20"/>
                <w:color w:val="auto"/>
              </w:rPr>
            </w:pPr>
            <w:r>
              <w:rPr>
                <w:rFonts w:ascii="Arial" w:cs="Arial" w:eastAsia="Arial" w:hAnsi="Arial"/>
                <w:sz w:val="8"/>
                <w:szCs w:val="8"/>
                <w:color w:val="FFFFFF"/>
              </w:rPr>
              <w:t>3Q10 2Q11 3Q1</w:t>
            </w:r>
          </w:p>
        </w:tc>
        <w:tc>
          <w:tcPr>
            <w:tcW w:w="10560" w:type="dxa"/>
            <w:vAlign w:val="bottom"/>
          </w:tcPr>
          <w:p>
            <w:pPr>
              <w:ind w:left="40"/>
              <w:spacing w:after="0" w:line="70" w:lineRule="exact"/>
              <w:rPr>
                <w:sz w:val="20"/>
                <w:szCs w:val="20"/>
                <w:color w:val="auto"/>
              </w:rPr>
            </w:pPr>
            <w:r>
              <w:rPr>
                <w:rFonts w:ascii="Arial" w:cs="Arial" w:eastAsia="Arial" w:hAnsi="Arial"/>
                <w:sz w:val="8"/>
                <w:szCs w:val="8"/>
                <w:color w:val="FFFFFF"/>
              </w:rPr>
              <w:t>4Q11 1Q12 2Q12 3Q12 4Q12 1Q13 2Q13 3Q13 4Q13 1Q14 2Q14 3Q14 4Q14 1Q15 2Q15</w:t>
            </w:r>
          </w:p>
        </w:tc>
        <w:tc>
          <w:tcPr>
            <w:tcW w:w="0" w:type="dxa"/>
            <w:vAlign w:val="bottom"/>
          </w:tcPr>
          <w:p>
            <w:pPr>
              <w:spacing w:after="0" w:line="20" w:lineRule="exact"/>
              <w:rPr>
                <w:sz w:val="1"/>
                <w:szCs w:val="1"/>
                <w:color w:val="auto"/>
              </w:rPr>
            </w:pPr>
          </w:p>
        </w:tc>
      </w:tr>
    </w:tbl>
    <w:p>
      <w:pPr>
        <w:spacing w:after="0" w:line="189" w:lineRule="auto"/>
        <w:rPr>
          <w:sz w:val="20"/>
          <w:szCs w:val="20"/>
          <w:color w:val="auto"/>
        </w:rPr>
      </w:pPr>
      <w:r>
        <w:rPr>
          <w:rFonts w:ascii="Arial" w:cs="Arial" w:eastAsia="Arial" w:hAnsi="Arial"/>
          <w:sz w:val="4"/>
          <w:szCs w:val="4"/>
          <w:color w:val="FFFFFF"/>
        </w:rPr>
        <w:t>TSLX and First 10-K filed ? Completed IPO, concurrent ? Amended Amended Standard &amp; Received TSL Advisers with the SEC private placement Revolving Revolving Poors and BBB- formed ? Received BBB- rating from Credit Facility to Credit Fitch rating S&amp;P $781mm Facility to affirmed from Fitch ? $115mm 4.50% L+200 rating and ? Amended SPV Asset convertible notes outlook Facility to $175mm offering</w:t>
      </w:r>
    </w:p>
    <w:p>
      <w:pPr>
        <w:spacing w:after="0"/>
        <w:rPr>
          <w:sz w:val="20"/>
          <w:szCs w:val="20"/>
          <w:color w:val="auto"/>
        </w:rPr>
      </w:pPr>
      <w:r>
        <w:rPr>
          <w:rFonts w:ascii="Arial" w:cs="Arial" w:eastAsia="Arial" w:hAnsi="Arial"/>
          <w:sz w:val="12"/>
          <w:szCs w:val="12"/>
          <w:color w:val="FFFFFF"/>
        </w:rPr>
        <w:t>? TSLX (NYSE) 25</w:t>
      </w:r>
    </w:p>
    <w:p>
      <w:pPr>
        <w:sectPr>
          <w:pgSz w:w="11900" w:h="16838" w:orient="portrait"/>
          <w:cols w:equalWidth="0" w:num="1">
            <w:col w:w="11420"/>
          </w:cols>
          <w:pgMar w:left="240" w:top="1440"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Key Highlights</w:t>
      </w:r>
    </w:p>
    <w:p>
      <w:pPr>
        <w:spacing w:after="0" w:line="184" w:lineRule="auto"/>
        <w:rPr>
          <w:sz w:val="20"/>
          <w:szCs w:val="20"/>
          <w:color w:val="auto"/>
        </w:rPr>
      </w:pPr>
      <w:r>
        <w:rPr>
          <w:rFonts w:ascii="Arial" w:cs="Arial" w:eastAsia="Arial" w:hAnsi="Arial"/>
          <w:sz w:val="4"/>
          <w:szCs w:val="4"/>
          <w:color w:val="FFFFFF"/>
        </w:rPr>
        <w:t>? Core focus on investing in middle-market loans to U.S. based companies</w:t>
      </w:r>
    </w:p>
    <w:p>
      <w:pPr>
        <w:ind w:right="1700"/>
        <w:spacing w:after="0" w:line="184" w:lineRule="auto"/>
        <w:rPr>
          <w:sz w:val="20"/>
          <w:szCs w:val="20"/>
          <w:color w:val="auto"/>
        </w:rPr>
      </w:pPr>
      <w:r>
        <w:rPr>
          <w:rFonts w:ascii="Arial" w:cs="Arial" w:eastAsia="Arial" w:hAnsi="Arial"/>
          <w:sz w:val="8"/>
          <w:szCs w:val="8"/>
          <w:color w:val="FFFFFF"/>
        </w:rPr>
        <w:t>Target EBITDA: $10 million to $250 million Broadly distributed, Portfolio weighted average EBITDA: $31 million(1) scaled senior floating ? Portfolio of 98% secured, 90% first-lien debt investments rate-focused portfolio</w:t>
      </w:r>
    </w:p>
    <w:p>
      <w:pPr>
        <w:ind w:left="80" w:right="2080" w:hanging="81"/>
        <w:spacing w:after="0" w:line="184" w:lineRule="auto"/>
        <w:rPr>
          <w:sz w:val="20"/>
          <w:szCs w:val="20"/>
          <w:color w:val="auto"/>
        </w:rPr>
      </w:pPr>
      <w:r>
        <w:rPr>
          <w:rFonts w:ascii="Arial" w:cs="Arial" w:eastAsia="Arial" w:hAnsi="Arial"/>
          <w:sz w:val="12"/>
          <w:szCs w:val="12"/>
          <w:color w:val="FFFFFF"/>
          <w:vertAlign w:val="superscript"/>
        </w:rPr>
        <w:t>?</w:t>
      </w:r>
      <w:r>
        <w:rPr>
          <w:rFonts w:ascii="Arial" w:cs="Arial" w:eastAsia="Arial" w:hAnsi="Arial"/>
          <w:sz w:val="8"/>
          <w:szCs w:val="8"/>
          <w:color w:val="FFFFFF"/>
        </w:rPr>
        <w:t xml:space="preserve"> Diversified portfolio of investments in 40 portfolio companies with an average investment size of $35 million; largest investment position of 4.9% and largest industry concentration of 15.7% Target average investment hold size of $30 million to $100 million</w:t>
      </w:r>
    </w:p>
    <w:p>
      <w:pPr>
        <w:spacing w:after="0" w:line="184" w:lineRule="auto"/>
        <w:rPr>
          <w:sz w:val="20"/>
          <w:szCs w:val="20"/>
          <w:color w:val="auto"/>
        </w:rPr>
      </w:pPr>
      <w:r>
        <w:rPr>
          <w:rFonts w:ascii="Arial" w:cs="Arial" w:eastAsia="Arial" w:hAnsi="Arial"/>
          <w:sz w:val="4"/>
          <w:szCs w:val="4"/>
          <w:color w:val="FFFFFF"/>
        </w:rPr>
        <w:t>withLeadingproprietary,platformintermediaries?Direct,primary originations generated through coverage of companies, financial sponsors, and</w:t>
      </w:r>
    </w:p>
    <w:p>
      <w:pPr>
        <w:spacing w:after="0" w:line="184" w:lineRule="auto"/>
        <w:rPr>
          <w:sz w:val="20"/>
          <w:szCs w:val="20"/>
          <w:color w:val="auto"/>
        </w:rPr>
      </w:pPr>
      <w:r>
        <w:rPr>
          <w:rFonts w:ascii="Arial" w:cs="Arial" w:eastAsia="Arial" w:hAnsi="Arial"/>
          <w:sz w:val="4"/>
          <w:szCs w:val="4"/>
          <w:color w:val="FFFFFF"/>
          <w:vertAlign w:val="superscript"/>
        </w:rPr>
        <w:t>deal</w:t>
      </w:r>
    </w:p>
    <w:p>
      <w:pPr>
        <w:ind w:left="60"/>
        <w:spacing w:after="0" w:line="184" w:lineRule="auto"/>
        <w:rPr>
          <w:sz w:val="20"/>
          <w:szCs w:val="20"/>
          <w:color w:val="auto"/>
        </w:rPr>
      </w:pPr>
      <w:r>
        <w:rPr>
          <w:rFonts w:ascii="Arial" w:cs="Arial" w:eastAsia="Arial" w:hAnsi="Arial"/>
          <w:sz w:val="8"/>
          <w:szCs w:val="8"/>
          <w:color w:val="FFFFFF"/>
        </w:rPr>
        <w:t>irectlyfloworiginated ? Sourcing from non-intermediated channels accounts for 90% of TSLX originations</w:t>
      </w:r>
    </w:p>
    <w:p>
      <w:pPr>
        <w:spacing w:after="0" w:line="184" w:lineRule="auto"/>
        <w:rPr>
          <w:sz w:val="20"/>
          <w:szCs w:val="20"/>
          <w:color w:val="auto"/>
        </w:rPr>
      </w:pPr>
      <w:r>
        <w:rPr>
          <w:rFonts w:ascii="Arial" w:cs="Arial" w:eastAsia="Arial" w:hAnsi="Arial"/>
          <w:sz w:val="4"/>
          <w:szCs w:val="4"/>
          <w:color w:val="FFFFFF"/>
        </w:rPr>
        <w:t>Disciplined?Sponsorcoverageinvestmentfocusedstrategy,onsector-based themes</w:t>
      </w:r>
    </w:p>
    <w:p>
      <w:pPr>
        <w:ind w:right="4200"/>
        <w:spacing w:after="0" w:line="184" w:lineRule="auto"/>
        <w:rPr>
          <w:sz w:val="20"/>
          <w:szCs w:val="20"/>
          <w:color w:val="auto"/>
        </w:rPr>
      </w:pPr>
      <w:r>
        <w:rPr>
          <w:rFonts w:ascii="Arial" w:cs="Arial" w:eastAsia="Arial" w:hAnsi="Arial"/>
          <w:sz w:val="8"/>
          <w:szCs w:val="8"/>
          <w:color w:val="FFFFFF"/>
        </w:rPr>
        <w:t>underwriting process, ? Weighted average of 2.8 key financial covenants per credit agreement? Effective voting control on 81% of debt investments and active asset management</w:t>
      </w:r>
    </w:p>
    <w:p>
      <w:pPr>
        <w:spacing w:after="0" w:line="184" w:lineRule="auto"/>
        <w:rPr>
          <w:sz w:val="20"/>
          <w:szCs w:val="20"/>
          <w:color w:val="auto"/>
        </w:rPr>
      </w:pPr>
      <w:r>
        <w:rPr>
          <w:rFonts w:ascii="Arial" w:cs="Arial" w:eastAsia="Arial" w:hAnsi="Arial"/>
          <w:sz w:val="4"/>
          <w:szCs w:val="4"/>
          <w:color w:val="FFFFFF"/>
        </w:rPr>
        <w:t>Drive ROE ? 2Q ’15 Annualized ROAE from Net Investment Income of 11.9%; YTD ROAE of 10.9%(2) ? 2Q ’15 Annualized ROAE from Net Income of 16.2%; YTD ROAE of 13.9%(2)</w:t>
      </w:r>
    </w:p>
    <w:p>
      <w:pPr>
        <w:spacing w:after="0" w:line="184" w:lineRule="auto"/>
        <w:rPr>
          <w:sz w:val="20"/>
          <w:szCs w:val="20"/>
          <w:color w:val="auto"/>
        </w:rPr>
      </w:pPr>
      <w:r>
        <w:rPr>
          <w:rFonts w:ascii="Arial" w:cs="Arial" w:eastAsia="Arial" w:hAnsi="Arial"/>
          <w:sz w:val="4"/>
          <w:szCs w:val="4"/>
          <w:color w:val="FFFFFF"/>
          <w:vertAlign w:val="superscript"/>
        </w:rPr>
        <w:t>(2)</w:t>
      </w:r>
      <w:r>
        <w:rPr>
          <w:rFonts w:ascii="Arial" w:cs="Arial" w:eastAsia="Arial" w:hAnsi="Arial"/>
          <w:sz w:val="2"/>
          <w:szCs w:val="2"/>
          <w:color w:val="FFFFFF"/>
        </w:rPr>
        <w:t xml:space="preserve">1) </w:t>
      </w:r>
      <w:r>
        <w:rPr>
          <w:rFonts w:ascii="Arial" w:cs="Arial" w:eastAsia="Arial" w:hAnsi="Arial"/>
          <w:sz w:val="4"/>
          <w:szCs w:val="4"/>
          <w:color w:val="FFFFFF"/>
          <w:vertAlign w:val="superscript"/>
        </w:rPr>
        <w:t>Return</w:t>
      </w:r>
      <w:r>
        <w:rPr>
          <w:rFonts w:ascii="Arial" w:cs="Arial" w:eastAsia="Arial" w:hAnsi="Arial"/>
          <w:sz w:val="2"/>
          <w:szCs w:val="2"/>
          <w:color w:val="FFFFFF"/>
        </w:rPr>
        <w:t>presents our core portfolio, which excludes certain investments that fall outside of our typical borrower profile</w:t>
      </w:r>
    </w:p>
    <w:p>
      <w:pPr>
        <w:ind w:firstLine="516"/>
        <w:spacing w:after="0" w:line="184" w:lineRule="auto"/>
        <w:rPr>
          <w:sz w:val="20"/>
          <w:szCs w:val="20"/>
          <w:color w:val="auto"/>
        </w:rPr>
      </w:pPr>
      <w:r>
        <w:rPr>
          <w:rFonts w:ascii="Arial" w:cs="Arial" w:eastAsia="Arial" w:hAnsi="Arial"/>
          <w:sz w:val="8"/>
          <w:szCs w:val="8"/>
          <w:color w:val="FFFFFF"/>
        </w:rPr>
        <w:t>on Average Equity is calculated using weighted average equity. Weighted average equity is calculated by starting with NAV at the beginning of the period, adjusting daily for equity issuances and adjusting on the last day of the period for that period’s net income and dividends payable</w:t>
      </w:r>
    </w:p>
    <w:p>
      <w:pPr>
        <w:spacing w:after="0"/>
        <w:rPr>
          <w:sz w:val="20"/>
          <w:szCs w:val="20"/>
          <w:color w:val="auto"/>
        </w:rPr>
      </w:pPr>
      <w:r>
        <w:rPr>
          <w:rFonts w:ascii="Arial" w:cs="Arial" w:eastAsia="Arial" w:hAnsi="Arial"/>
          <w:sz w:val="12"/>
          <w:szCs w:val="12"/>
          <w:color w:val="FFFFFF"/>
        </w:rPr>
        <w:t>? TSLX (NYSE) 26</w:t>
      </w:r>
    </w:p>
    <w:p>
      <w:pPr>
        <w:sectPr>
          <w:pgSz w:w="11900" w:h="16838" w:orient="portrait"/>
          <w:cols w:equalWidth="0" w:num="1">
            <w:col w:w="11140"/>
          </w:cols>
          <w:pgMar w:left="240" w:top="1440" w:right="51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60" w:type="dxa"/>
            <w:vAlign w:val="bottom"/>
            <w:gridSpan w:val="2"/>
          </w:tcPr>
          <w:p>
            <w:pPr>
              <w:spacing w:after="0"/>
              <w:rPr>
                <w:sz w:val="20"/>
                <w:szCs w:val="20"/>
                <w:color w:val="auto"/>
              </w:rPr>
            </w:pPr>
            <w:r>
              <w:rPr>
                <w:rFonts w:ascii="Arial" w:cs="Arial" w:eastAsia="Arial" w:hAnsi="Arial"/>
                <w:sz w:val="12"/>
                <w:szCs w:val="12"/>
                <w:color w:val="FFFFFF"/>
              </w:rPr>
              <w:t>Drivers of ROE</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1 Illustrative Unit Economics / Return on Equity</w:t>
            </w:r>
          </w:p>
        </w:tc>
      </w:tr>
      <w:tr>
        <w:trPr>
          <w:trHeight w:val="35"/>
        </w:trPr>
        <w:tc>
          <w:tcPr>
            <w:tcW w:w="480" w:type="dxa"/>
            <w:vAlign w:val="bottom"/>
          </w:tcPr>
          <w:p>
            <w:pPr>
              <w:spacing w:after="0" w:line="36" w:lineRule="exact"/>
              <w:rPr>
                <w:sz w:val="20"/>
                <w:szCs w:val="20"/>
                <w:color w:val="auto"/>
              </w:rPr>
            </w:pPr>
            <w:r>
              <w:rPr>
                <w:rFonts w:ascii="Arial" w:cs="Arial" w:eastAsia="Arial" w:hAnsi="Arial"/>
                <w:sz w:val="4"/>
                <w:szCs w:val="4"/>
                <w:color w:val="FFFFFF"/>
              </w:rPr>
              <w:t>Return</w:t>
            </w:r>
          </w:p>
        </w:tc>
        <w:tc>
          <w:tcPr>
            <w:tcW w:w="4580" w:type="dxa"/>
            <w:vAlign w:val="bottom"/>
          </w:tcPr>
          <w:p>
            <w:pPr>
              <w:ind w:left="20"/>
              <w:spacing w:after="0" w:line="36" w:lineRule="exact"/>
              <w:rPr>
                <w:sz w:val="20"/>
                <w:szCs w:val="20"/>
                <w:color w:val="auto"/>
              </w:rPr>
            </w:pPr>
            <w:r>
              <w:rPr>
                <w:rFonts w:ascii="Arial" w:cs="Arial" w:eastAsia="Arial" w:hAnsi="Arial"/>
                <w:sz w:val="4"/>
                <w:szCs w:val="4"/>
                <w:color w:val="FFFFFF"/>
              </w:rPr>
              <w:t>Weighted Average Interest Rate of Debt and Income Producing Securities 9.9%</w:t>
            </w:r>
          </w:p>
        </w:tc>
      </w:tr>
      <w:tr>
        <w:trPr>
          <w:trHeight w:val="35"/>
        </w:trPr>
        <w:tc>
          <w:tcPr>
            <w:tcW w:w="480" w:type="dxa"/>
            <w:vAlign w:val="bottom"/>
          </w:tcPr>
          <w:p>
            <w:pPr>
              <w:ind w:left="80"/>
              <w:spacing w:after="0" w:line="36" w:lineRule="exact"/>
              <w:rPr>
                <w:sz w:val="20"/>
                <w:szCs w:val="20"/>
                <w:color w:val="auto"/>
              </w:rPr>
            </w:pPr>
            <w:r>
              <w:rPr>
                <w:rFonts w:ascii="Arial" w:cs="Arial" w:eastAsia="Arial" w:hAnsi="Arial"/>
                <w:sz w:val="4"/>
                <w:szCs w:val="4"/>
                <w:color w:val="FFFFFF"/>
              </w:rPr>
              <w:t>ssets (1)</w:t>
            </w:r>
          </w:p>
        </w:tc>
        <w:tc>
          <w:tcPr>
            <w:tcW w:w="4580" w:type="dxa"/>
            <w:vAlign w:val="bottom"/>
          </w:tcPr>
          <w:p>
            <w:pPr>
              <w:spacing w:after="0"/>
              <w:rPr>
                <w:sz w:val="3"/>
                <w:szCs w:val="3"/>
                <w:color w:val="auto"/>
              </w:rPr>
            </w:pP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Amortization of Upfront Fees 1.0%</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Total Yield 10.9%</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Impact of Additional Fees(2) 1.1%</w:t>
            </w:r>
          </w:p>
        </w:tc>
      </w:tr>
      <w:tr>
        <w:trPr>
          <w:trHeight w:val="35"/>
        </w:trPr>
        <w:tc>
          <w:tcPr>
            <w:tcW w:w="480" w:type="dxa"/>
            <w:vAlign w:val="bottom"/>
          </w:tcPr>
          <w:p>
            <w:pPr>
              <w:spacing w:after="0" w:line="36" w:lineRule="exact"/>
              <w:rPr>
                <w:sz w:val="20"/>
                <w:szCs w:val="20"/>
                <w:color w:val="auto"/>
              </w:rPr>
            </w:pPr>
            <w:r>
              <w:rPr>
                <w:rFonts w:ascii="Arial" w:cs="Arial" w:eastAsia="Arial" w:hAnsi="Arial"/>
                <w:sz w:val="4"/>
                <w:szCs w:val="4"/>
                <w:color w:val="FFFFFF"/>
              </w:rPr>
              <w:t>2</w:t>
            </w:r>
          </w:p>
        </w:tc>
        <w:tc>
          <w:tcPr>
            <w:tcW w:w="4580" w:type="dxa"/>
            <w:vAlign w:val="bottom"/>
          </w:tcPr>
          <w:p>
            <w:pPr>
              <w:spacing w:after="0"/>
              <w:rPr>
                <w:sz w:val="3"/>
                <w:szCs w:val="3"/>
                <w:color w:val="auto"/>
              </w:rPr>
            </w:pP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Prudent Use All-in Yield 12.0% of Leverage Cost of Funds(3) (4.0)% Assumed Debt / Equity 0.65x</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Net Levered Return 17.2%</w:t>
            </w:r>
          </w:p>
        </w:tc>
      </w:tr>
      <w:tr>
        <w:trPr>
          <w:trHeight w:val="35"/>
        </w:trPr>
        <w:tc>
          <w:tcPr>
            <w:tcW w:w="48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4580" w:type="dxa"/>
            <w:vAlign w:val="bottom"/>
          </w:tcPr>
          <w:p>
            <w:pPr>
              <w:spacing w:after="0"/>
              <w:rPr>
                <w:sz w:val="3"/>
                <w:szCs w:val="3"/>
                <w:color w:val="auto"/>
              </w:rPr>
            </w:pP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Management Fees (1.50% of Assets) (2.5)%</w:t>
            </w:r>
          </w:p>
        </w:tc>
      </w:tr>
      <w:tr>
        <w:trPr>
          <w:trHeight w:val="35"/>
        </w:trPr>
        <w:tc>
          <w:tcPr>
            <w:tcW w:w="480" w:type="dxa"/>
            <w:vAlign w:val="bottom"/>
          </w:tcPr>
          <w:p>
            <w:pPr>
              <w:spacing w:after="0" w:line="36" w:lineRule="exact"/>
              <w:rPr>
                <w:sz w:val="20"/>
                <w:szCs w:val="20"/>
                <w:color w:val="auto"/>
              </w:rPr>
            </w:pPr>
            <w:r>
              <w:rPr>
                <w:rFonts w:ascii="Arial" w:cs="Arial" w:eastAsia="Arial" w:hAnsi="Arial"/>
                <w:sz w:val="4"/>
                <w:szCs w:val="4"/>
                <w:color w:val="FFFFFF"/>
              </w:rPr>
              <w:t>Expense</w:t>
            </w:r>
          </w:p>
        </w:tc>
        <w:tc>
          <w:tcPr>
            <w:tcW w:w="4580" w:type="dxa"/>
            <w:vAlign w:val="bottom"/>
          </w:tcPr>
          <w:p>
            <w:pPr>
              <w:spacing w:after="0"/>
              <w:rPr>
                <w:sz w:val="3"/>
                <w:szCs w:val="3"/>
                <w:color w:val="auto"/>
              </w:rPr>
            </w:pP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Operating Expenses (0.76% of Assets) (1.3)%</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Management</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Levered Returns Before Incentive Fee 13.5%</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Incentive Fee (2.4)%</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4 Illustrative Net Levered ROE 11.1% Positioned For Book Dividend Yield at 31-Dec-2014 10.0%</w:t>
            </w:r>
          </w:p>
        </w:tc>
      </w:tr>
      <w:tr>
        <w:trPr>
          <w:trHeight w:val="35"/>
        </w:trPr>
        <w:tc>
          <w:tcPr>
            <w:tcW w:w="5060" w:type="dxa"/>
            <w:vAlign w:val="bottom"/>
            <w:gridSpan w:val="2"/>
          </w:tcPr>
          <w:p>
            <w:pPr>
              <w:spacing w:after="0" w:line="36" w:lineRule="exact"/>
              <w:rPr>
                <w:sz w:val="20"/>
                <w:szCs w:val="20"/>
                <w:color w:val="auto"/>
              </w:rPr>
            </w:pPr>
            <w:r>
              <w:rPr>
                <w:rFonts w:ascii="Arial" w:cs="Arial" w:eastAsia="Arial" w:hAnsi="Arial"/>
                <w:sz w:val="4"/>
                <w:szCs w:val="4"/>
                <w:color w:val="FFFFFF"/>
              </w:rPr>
              <w:t>NAV Growth</w:t>
            </w:r>
          </w:p>
        </w:tc>
      </w:tr>
      <w:tr>
        <w:trPr>
          <w:trHeight w:val="35"/>
        </w:trPr>
        <w:tc>
          <w:tcPr>
            <w:tcW w:w="5060" w:type="dxa"/>
            <w:vAlign w:val="bottom"/>
            <w:gridSpan w:val="2"/>
          </w:tcPr>
          <w:p>
            <w:pPr>
              <w:ind w:left="40"/>
              <w:spacing w:after="0" w:line="36" w:lineRule="exact"/>
              <w:rPr>
                <w:sz w:val="20"/>
                <w:szCs w:val="20"/>
                <w:color w:val="auto"/>
              </w:rPr>
            </w:pPr>
            <w:r>
              <w:rPr>
                <w:rFonts w:ascii="Arial" w:cs="Arial" w:eastAsia="Arial" w:hAnsi="Arial"/>
                <w:sz w:val="4"/>
                <w:szCs w:val="4"/>
                <w:color w:val="FFFFFF"/>
              </w:rPr>
              <w:t>1) Assumes 2.0 year average life</w:t>
            </w:r>
          </w:p>
        </w:tc>
      </w:tr>
      <w:tr>
        <w:trPr>
          <w:trHeight w:val="0"/>
        </w:trPr>
        <w:tc>
          <w:tcPr>
            <w:tcW w:w="480" w:type="dxa"/>
            <w:vAlign w:val="bottom"/>
          </w:tcPr>
          <w:p>
            <w:pPr>
              <w:ind w:left="40"/>
              <w:spacing w:after="0" w:line="70" w:lineRule="exact"/>
              <w:rPr>
                <w:sz w:val="20"/>
                <w:szCs w:val="20"/>
                <w:color w:val="auto"/>
              </w:rPr>
            </w:pPr>
            <w:r>
              <w:rPr>
                <w:rFonts w:ascii="Arial" w:cs="Arial" w:eastAsia="Arial" w:hAnsi="Arial"/>
                <w:sz w:val="8"/>
                <w:szCs w:val="8"/>
                <w:color w:val="FFFFFF"/>
              </w:rPr>
              <w:t>2)</w:t>
            </w:r>
          </w:p>
        </w:tc>
        <w:tc>
          <w:tcPr>
            <w:tcW w:w="4580" w:type="dxa"/>
            <w:vAlign w:val="bottom"/>
          </w:tcPr>
          <w:p>
            <w:pPr>
              <w:ind w:left="100"/>
              <w:spacing w:after="0" w:line="70" w:lineRule="exact"/>
              <w:rPr>
                <w:sz w:val="20"/>
                <w:szCs w:val="20"/>
                <w:color w:val="auto"/>
              </w:rPr>
            </w:pPr>
            <w:r>
              <w:rPr>
                <w:rFonts w:ascii="Arial" w:cs="Arial" w:eastAsia="Arial" w:hAnsi="Arial"/>
                <w:sz w:val="8"/>
                <w:szCs w:val="8"/>
                <w:color w:val="FFFFFF"/>
              </w:rPr>
              <w:t>average of prepayment fees, syndication fees and other income since inception through 6/30/15</w:t>
            </w:r>
          </w:p>
        </w:tc>
      </w:tr>
    </w:tbl>
    <w:p>
      <w:pPr>
        <w:spacing w:after="0" w:line="186" w:lineRule="auto"/>
        <w:rPr>
          <w:sz w:val="20"/>
          <w:szCs w:val="20"/>
          <w:color w:val="auto"/>
        </w:rPr>
      </w:pPr>
      <w:r>
        <w:rPr>
          <w:rFonts w:ascii="Arial" w:cs="Arial" w:eastAsia="Arial" w:hAnsi="Arial"/>
          <w:sz w:val="6"/>
          <w:szCs w:val="6"/>
          <w:color w:val="FFFFFF"/>
        </w:rPr>
        <w:t xml:space="preserve">(3) Reflects the pro-forma annualized interest cost within our target debt to equity range, under the terms of our debt, including fees (such as fees on undrawn amounts and amortization of upfront fees) and giving effect to the swap-adjusted </w:t>
      </w:r>
      <w:r>
        <w:rPr>
          <w:rFonts w:ascii="Arial" w:cs="Arial" w:eastAsia="Arial" w:hAnsi="Arial"/>
          <w:sz w:val="8"/>
          <w:szCs w:val="8"/>
          <w:color w:val="FFFFFF"/>
          <w:vertAlign w:val="subscript"/>
        </w:rPr>
        <w:t>interest</w:t>
      </w:r>
      <w:r>
        <w:rPr>
          <w:rFonts w:ascii="Arial" w:cs="Arial" w:eastAsia="Arial" w:hAnsi="Arial"/>
          <w:sz w:val="6"/>
          <w:szCs w:val="6"/>
          <w:color w:val="FFFFFF"/>
        </w:rPr>
        <w:t xml:space="preserve"> rate on our Convertible Senior Notes Note: For illustrative purposes only; not necessarily indicative of future returns</w:t>
      </w:r>
    </w:p>
    <w:p>
      <w:pPr>
        <w:spacing w:after="0"/>
        <w:rPr>
          <w:sz w:val="20"/>
          <w:szCs w:val="20"/>
          <w:color w:val="auto"/>
        </w:rPr>
      </w:pPr>
      <w:r>
        <w:rPr>
          <w:rFonts w:ascii="Arial" w:cs="Arial" w:eastAsia="Arial" w:hAnsi="Arial"/>
          <w:sz w:val="12"/>
          <w:szCs w:val="12"/>
          <w:color w:val="FFFFFF"/>
        </w:rPr>
        <w:t>?WTSLXbelieve(NYSE)weare27generating a strong risk-adjusted return on equity in excess of our dividend</w:t>
      </w:r>
    </w:p>
    <w:p>
      <w:pPr>
        <w:sectPr>
          <w:pgSz w:w="11900" w:h="16838" w:orient="portrait"/>
          <w:cols w:equalWidth="0" w:num="1">
            <w:col w:w="11240"/>
          </w:cols>
          <w:pgMar w:left="240" w:top="1440" w:right="41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Our Drivers of ROE</w:t>
      </w:r>
    </w:p>
    <w:p>
      <w:pPr>
        <w:spacing w:after="0" w:line="184" w:lineRule="auto"/>
        <w:rPr>
          <w:sz w:val="20"/>
          <w:szCs w:val="20"/>
          <w:color w:val="auto"/>
        </w:rPr>
      </w:pPr>
      <w:r>
        <w:rPr>
          <w:rFonts w:ascii="Arial" w:cs="Arial" w:eastAsia="Arial" w:hAnsi="Arial"/>
          <w:sz w:val="8"/>
          <w:szCs w:val="8"/>
          <w:color w:val="FFFFFF"/>
        </w:rPr>
        <w:t>Focus?Avoidontaking capital structure, interest rate, and reinvestment risk</w:t>
      </w:r>
    </w:p>
    <w:p>
      <w:pPr>
        <w:spacing w:after="0" w:line="184" w:lineRule="auto"/>
        <w:rPr>
          <w:sz w:val="20"/>
          <w:szCs w:val="20"/>
          <w:color w:val="auto"/>
        </w:rPr>
      </w:pPr>
      <w:r>
        <w:rPr>
          <w:rFonts w:ascii="Arial" w:cs="Arial" w:eastAsia="Arial" w:hAnsi="Arial"/>
          <w:sz w:val="8"/>
          <w:szCs w:val="8"/>
          <w:color w:val="FFFFFF"/>
        </w:rPr>
        <w:t>ReturnsAsset-LevelPer • 98% senior secured portfolio</w:t>
      </w:r>
    </w:p>
    <w:p>
      <w:pPr>
        <w:spacing w:after="0" w:line="184" w:lineRule="auto"/>
        <w:rPr>
          <w:sz w:val="20"/>
          <w:szCs w:val="20"/>
          <w:color w:val="auto"/>
        </w:rPr>
      </w:pPr>
      <w:r>
        <w:rPr>
          <w:rFonts w:ascii="Arial" w:cs="Arial" w:eastAsia="Arial" w:hAnsi="Arial"/>
          <w:sz w:val="4"/>
          <w:szCs w:val="4"/>
          <w:color w:val="FFFFFF"/>
        </w:rPr>
        <w:t>Unit96% ofof Riskdebt and&amp; other income producing securities are floating rate</w:t>
      </w:r>
    </w:p>
    <w:p>
      <w:pPr>
        <w:spacing w:after="0" w:line="184" w:lineRule="auto"/>
        <w:rPr>
          <w:sz w:val="20"/>
          <w:szCs w:val="20"/>
          <w:color w:val="auto"/>
        </w:rPr>
      </w:pPr>
      <w:r>
        <w:rPr>
          <w:rFonts w:ascii="Arial" w:cs="Arial" w:eastAsia="Arial" w:hAnsi="Arial"/>
          <w:sz w:val="8"/>
          <w:szCs w:val="8"/>
          <w:color w:val="FFFFFF"/>
        </w:rPr>
        <w:t>Direct (5-year swap rate of 1.74%)</w:t>
      </w:r>
    </w:p>
    <w:p>
      <w:pPr>
        <w:spacing w:after="0" w:line="184" w:lineRule="auto"/>
        <w:rPr>
          <w:sz w:val="20"/>
          <w:szCs w:val="20"/>
          <w:color w:val="auto"/>
        </w:rPr>
      </w:pPr>
      <w:r>
        <w:rPr>
          <w:rFonts w:ascii="Arial" w:cs="Arial" w:eastAsia="Arial" w:hAnsi="Arial"/>
          <w:sz w:val="8"/>
          <w:szCs w:val="8"/>
          <w:color w:val="FFFFFF"/>
        </w:rPr>
        <w:t>CapabilitiesOriginations compression•94%ofthe anddebtportfolioportfoliorunhas-off)call protection (protects against yield</w:t>
      </w:r>
    </w:p>
    <w:p>
      <w:pPr>
        <w:spacing w:after="0" w:line="184" w:lineRule="auto"/>
        <w:rPr>
          <w:sz w:val="20"/>
          <w:szCs w:val="20"/>
          <w:color w:val="auto"/>
        </w:rPr>
      </w:pPr>
      <w:r>
        <w:rPr>
          <w:rFonts w:ascii="Arial" w:cs="Arial" w:eastAsia="Arial" w:hAnsi="Arial"/>
          <w:sz w:val="4"/>
          <w:szCs w:val="4"/>
          <w:color w:val="FFFFFF"/>
          <w:vertAlign w:val="subscript"/>
        </w:rPr>
        <w:t>?Access</w:t>
      </w:r>
      <w:r>
        <w:rPr>
          <w:rFonts w:ascii="Arial" w:cs="Arial" w:eastAsia="Arial" w:hAnsi="Arial"/>
          <w:sz w:val="2"/>
          <w:szCs w:val="2"/>
          <w:color w:val="FFFFFF"/>
        </w:rPr>
        <w:t>Directoriginationstoscaledliabilitiescapabilities and scale enables us to generate incremental revenues from our asset base</w:t>
      </w:r>
    </w:p>
    <w:p>
      <w:pPr>
        <w:spacing w:after="0" w:line="184" w:lineRule="auto"/>
        <w:rPr>
          <w:sz w:val="20"/>
          <w:szCs w:val="20"/>
          <w:color w:val="auto"/>
        </w:rPr>
      </w:pPr>
      <w:r>
        <w:rPr>
          <w:rFonts w:ascii="Arial" w:cs="Arial" w:eastAsia="Arial" w:hAnsi="Arial"/>
          <w:sz w:val="8"/>
          <w:szCs w:val="8"/>
          <w:color w:val="FFFFFF"/>
        </w:rPr>
        <w:t>Prudent Use of</w:t>
      </w:r>
    </w:p>
    <w:p>
      <w:pPr>
        <w:spacing w:after="0" w:line="184" w:lineRule="auto"/>
        <w:rPr>
          <w:sz w:val="20"/>
          <w:szCs w:val="20"/>
          <w:color w:val="auto"/>
        </w:rPr>
      </w:pPr>
      <w:r>
        <w:rPr>
          <w:rFonts w:ascii="Arial" w:cs="Arial" w:eastAsia="Arial" w:hAnsi="Arial"/>
          <w:sz w:val="4"/>
          <w:szCs w:val="4"/>
          <w:color w:val="FFFFFF"/>
        </w:rPr>
        <w:t>?CompetitiveLeverage?Competitivefeestructurecost of funds ?Focus on duration and flexibility</w:t>
      </w:r>
    </w:p>
    <w:p>
      <w:pPr>
        <w:spacing w:after="0" w:line="184" w:lineRule="auto"/>
        <w:rPr>
          <w:sz w:val="20"/>
          <w:szCs w:val="20"/>
          <w:color w:val="auto"/>
        </w:rPr>
      </w:pPr>
      <w:r>
        <w:rPr>
          <w:rFonts w:ascii="Arial" w:cs="Arial" w:eastAsia="Arial" w:hAnsi="Arial"/>
          <w:sz w:val="4"/>
          <w:szCs w:val="4"/>
          <w:color w:val="FFFFFF"/>
        </w:rPr>
        <w:t>Expense</w:t>
      </w:r>
    </w:p>
    <w:p>
      <w:pPr>
        <w:spacing w:after="0" w:line="184" w:lineRule="auto"/>
        <w:rPr>
          <w:sz w:val="20"/>
          <w:szCs w:val="20"/>
          <w:color w:val="auto"/>
        </w:rPr>
      </w:pPr>
      <w:r>
        <w:rPr>
          <w:rFonts w:ascii="Arial" w:cs="Arial" w:eastAsia="Arial" w:hAnsi="Arial"/>
          <w:sz w:val="6"/>
          <w:szCs w:val="6"/>
          <w:color w:val="FFFFFF"/>
        </w:rPr>
        <w:t>Management ?Controlling other</w:t>
      </w:r>
      <w:r>
        <w:rPr>
          <w:rFonts w:ascii="Arial" w:cs="Arial" w:eastAsia="Arial" w:hAnsi="Arial"/>
          <w:sz w:val="8"/>
          <w:szCs w:val="8"/>
          <w:color w:val="FFFFFF"/>
          <w:vertAlign w:val="superscript"/>
        </w:rPr>
        <w:t>value</w:t>
      </w:r>
      <w:r>
        <w:rPr>
          <w:rFonts w:ascii="Arial" w:cs="Arial" w:eastAsia="Arial" w:hAnsi="Arial"/>
          <w:sz w:val="6"/>
          <w:szCs w:val="6"/>
          <w:color w:val="FFFFFF"/>
        </w:rPr>
        <w:t>oprating expenses</w:t>
      </w:r>
    </w:p>
    <w:p>
      <w:pPr>
        <w:spacing w:after="0" w:line="184" w:lineRule="auto"/>
        <w:rPr>
          <w:sz w:val="20"/>
          <w:szCs w:val="20"/>
          <w:color w:val="auto"/>
        </w:rPr>
      </w:pPr>
      <w:r>
        <w:rPr>
          <w:rFonts w:ascii="Arial" w:cs="Arial" w:eastAsia="Arial" w:hAnsi="Arial"/>
          <w:sz w:val="4"/>
          <w:szCs w:val="4"/>
          <w:color w:val="FFFFFF"/>
        </w:rPr>
        <w:t>DifferentiatedNote:PortfolioRiskmetrics-AdjustedbyfairReturn ason ofEquity6/30/15. 5-Year Swap rate as of 8/6/15</w:t>
      </w:r>
    </w:p>
    <w:p>
      <w:pPr>
        <w:spacing w:after="0"/>
        <w:rPr>
          <w:sz w:val="20"/>
          <w:szCs w:val="20"/>
          <w:color w:val="auto"/>
        </w:rPr>
      </w:pPr>
      <w:r>
        <w:rPr>
          <w:rFonts w:ascii="Arial" w:cs="Arial" w:eastAsia="Arial" w:hAnsi="Arial"/>
          <w:sz w:val="12"/>
          <w:szCs w:val="12"/>
          <w:color w:val="FFFFFF"/>
        </w:rPr>
        <w:t>? TSLX (NYSE) 28</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PortfolioTSLPortfolioConstructionConstructionDisciplinesDisciplinesCurrentandInvestmentCurrentInvestmentThemes Themes</w:t>
      </w:r>
    </w:p>
    <w:p>
      <w:pPr>
        <w:spacing w:after="0" w:line="184" w:lineRule="auto"/>
        <w:rPr>
          <w:sz w:val="20"/>
          <w:szCs w:val="20"/>
          <w:color w:val="auto"/>
        </w:rPr>
      </w:pPr>
      <w:r>
        <w:rPr>
          <w:rFonts w:ascii="Arial" w:cs="Arial" w:eastAsia="Arial" w:hAnsi="Arial"/>
          <w:sz w:val="4"/>
          <w:szCs w:val="4"/>
          <w:color w:val="FFFFFF"/>
        </w:rPr>
        <w:t>1 Cover the Downside 1 Avoid risks that are asymmetrical to the downside (interest rate, individual credit selection)</w:t>
      </w:r>
    </w:p>
    <w:p>
      <w:pPr>
        <w:spacing w:after="0" w:line="184" w:lineRule="auto"/>
        <w:rPr>
          <w:sz w:val="20"/>
          <w:szCs w:val="20"/>
          <w:color w:val="auto"/>
        </w:rPr>
      </w:pPr>
      <w:r>
        <w:rPr>
          <w:rFonts w:ascii="Arial" w:cs="Arial" w:eastAsia="Arial" w:hAnsi="Arial"/>
          <w:sz w:val="4"/>
          <w:szCs w:val="4"/>
          <w:color w:val="FFFFFF"/>
          <w:vertAlign w:val="superscript"/>
        </w:rPr>
        <w:t>2</w:t>
      </w:r>
    </w:p>
    <w:p>
      <w:pPr>
        <w:ind w:left="80"/>
        <w:spacing w:after="0" w:line="184" w:lineRule="auto"/>
        <w:rPr>
          <w:sz w:val="20"/>
          <w:szCs w:val="20"/>
          <w:color w:val="auto"/>
        </w:rPr>
      </w:pPr>
      <w:r>
        <w:rPr>
          <w:rFonts w:ascii="Arial" w:cs="Arial" w:eastAsia="Arial" w:hAnsi="Arial"/>
          <w:sz w:val="4"/>
          <w:szCs w:val="4"/>
          <w:color w:val="FFFFFF"/>
        </w:rPr>
        <w:t>LatePursue-cycleand-mindedUseControlsector selection</w:t>
      </w:r>
    </w:p>
    <w:p>
      <w:pPr>
        <w:spacing w:after="0" w:line="184" w:lineRule="auto"/>
        <w:rPr>
          <w:sz w:val="20"/>
          <w:szCs w:val="20"/>
          <w:color w:val="auto"/>
        </w:rPr>
      </w:pPr>
      <w:r>
        <w:rPr>
          <w:rFonts w:ascii="Arial" w:cs="Arial" w:eastAsia="Arial" w:hAnsi="Arial"/>
          <w:sz w:val="4"/>
          <w:szCs w:val="4"/>
          <w:color w:val="FFFFFF"/>
        </w:rPr>
        <w:t>3 Source Away from Wall Street 3 Late cycle- minded capital structure selection</w:t>
      </w:r>
    </w:p>
    <w:p>
      <w:pPr>
        <w:spacing w:after="0" w:line="184" w:lineRule="auto"/>
        <w:rPr>
          <w:sz w:val="20"/>
          <w:szCs w:val="20"/>
          <w:color w:val="auto"/>
        </w:rPr>
      </w:pPr>
      <w:r>
        <w:rPr>
          <w:rFonts w:ascii="Arial" w:cs="Arial" w:eastAsia="Arial" w:hAnsi="Arial"/>
          <w:sz w:val="4"/>
          <w:szCs w:val="4"/>
          <w:color w:val="FFFFFF"/>
        </w:rPr>
        <w:t>4 Create Our Own Transactions 4 Return of capital over an extra basis point / duration</w:t>
      </w:r>
    </w:p>
    <w:p>
      <w:pPr>
        <w:ind w:right="3339"/>
        <w:spacing w:after="0"/>
        <w:rPr>
          <w:sz w:val="20"/>
          <w:szCs w:val="20"/>
          <w:color w:val="auto"/>
        </w:rPr>
      </w:pPr>
      <w:r>
        <w:rPr>
          <w:rFonts w:ascii="Arial" w:cs="Arial" w:eastAsia="Arial" w:hAnsi="Arial"/>
          <w:sz w:val="9"/>
          <w:szCs w:val="9"/>
          <w:color w:val="FFFFFF"/>
        </w:rPr>
        <w:t>5 5 Focus on resource-intensive situations Leverage Our Resource Competitive that require originations and Advantages underwriting capabilities ? TSLX (NYSE) 29</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FFFFFF"/>
        </w:rPr>
        <w:t>Appendix A: Additional Materials</w:t>
      </w:r>
    </w:p>
    <w:p>
      <w:pPr>
        <w:sectPr>
          <w:pgSz w:w="11900" w:h="16838" w:orient="portrait"/>
          <w:cols w:equalWidth="0" w:num="1">
            <w:col w:w="10219"/>
          </w:cols>
          <w:pgMar w:left="2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gridSpan w:val="6"/>
          </w:tcPr>
          <w:p>
            <w:pPr>
              <w:spacing w:after="0"/>
              <w:rPr>
                <w:sz w:val="20"/>
                <w:szCs w:val="20"/>
                <w:color w:val="auto"/>
              </w:rPr>
            </w:pPr>
            <w:r>
              <w:rPr>
                <w:rFonts w:ascii="Arial" w:cs="Arial" w:eastAsia="Arial" w:hAnsi="Arial"/>
                <w:sz w:val="12"/>
                <w:szCs w:val="12"/>
                <w:color w:val="FFFFFF"/>
              </w:rPr>
              <w:t>Portfolio Highlights – Originations</w:t>
            </w:r>
          </w:p>
        </w:tc>
        <w:tc>
          <w:tcPr>
            <w:tcW w:w="26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880" w:type="dxa"/>
            <w:vAlign w:val="bottom"/>
            <w:gridSpan w:val="6"/>
          </w:tcPr>
          <w:p>
            <w:pPr>
              <w:spacing w:after="0" w:line="36" w:lineRule="exact"/>
              <w:rPr>
                <w:sz w:val="20"/>
                <w:szCs w:val="20"/>
                <w:color w:val="auto"/>
              </w:rPr>
            </w:pPr>
            <w:r>
              <w:rPr>
                <w:rFonts w:ascii="Arial" w:cs="Arial" w:eastAsia="Arial" w:hAnsi="Arial"/>
                <w:sz w:val="4"/>
                <w:szCs w:val="4"/>
                <w:color w:val="FFFFFF"/>
              </w:rPr>
              <w:t>(Dollar amounts in thousands)</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80" w:type="dxa"/>
            <w:vAlign w:val="bottom"/>
            <w:gridSpan w:val="6"/>
          </w:tcPr>
          <w:p>
            <w:pPr>
              <w:spacing w:after="0" w:line="36" w:lineRule="exact"/>
              <w:rPr>
                <w:sz w:val="20"/>
                <w:szCs w:val="20"/>
                <w:color w:val="auto"/>
              </w:rPr>
            </w:pPr>
            <w:r>
              <w:rPr>
                <w:rFonts w:ascii="Arial" w:cs="Arial" w:eastAsia="Arial" w:hAnsi="Arial"/>
                <w:sz w:val="4"/>
                <w:szCs w:val="4"/>
                <w:color w:val="FFFFFF"/>
              </w:rPr>
              <w:t>O iginations and Net Funds Growth</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80" w:type="dxa"/>
            <w:vAlign w:val="bottom"/>
            <w:gridSpan w:val="6"/>
          </w:tcPr>
          <w:p>
            <w:pPr>
              <w:spacing w:after="0" w:line="36" w:lineRule="exact"/>
              <w:rPr>
                <w:sz w:val="20"/>
                <w:szCs w:val="20"/>
                <w:color w:val="auto"/>
              </w:rPr>
            </w:pPr>
            <w:r>
              <w:rPr>
                <w:rFonts w:ascii="Arial" w:cs="Arial" w:eastAsia="Arial" w:hAnsi="Arial"/>
                <w:sz w:val="4"/>
                <w:szCs w:val="4"/>
                <w:color w:val="FFFFFF"/>
              </w:rPr>
              <w:t>Gross originations were $112,255 for the quarter</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0160" w:type="dxa"/>
            <w:vAlign w:val="bottom"/>
            <w:gridSpan w:val="8"/>
          </w:tcPr>
          <w:p>
            <w:pPr>
              <w:spacing w:after="0" w:line="36" w:lineRule="exact"/>
              <w:rPr>
                <w:sz w:val="20"/>
                <w:szCs w:val="20"/>
                <w:color w:val="auto"/>
              </w:rPr>
            </w:pPr>
            <w:r>
              <w:rPr>
                <w:rFonts w:ascii="Arial" w:cs="Arial" w:eastAsia="Arial" w:hAnsi="Arial"/>
                <w:sz w:val="4"/>
                <w:szCs w:val="4"/>
                <w:color w:val="FFFFFF"/>
              </w:rPr>
              <w:t>New investment commitments and fundings totaled $112,255 and $84,135, respectively, for the quarter. The commitments were distributed across 5 new portfolio companies and 3 add-ons of existing investments</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0160" w:type="dxa"/>
            <w:vAlign w:val="bottom"/>
            <w:gridSpan w:val="8"/>
          </w:tcPr>
          <w:p>
            <w:pPr>
              <w:spacing w:after="0" w:line="36" w:lineRule="exact"/>
              <w:rPr>
                <w:sz w:val="20"/>
                <w:szCs w:val="20"/>
                <w:color w:val="auto"/>
              </w:rPr>
            </w:pPr>
            <w:r>
              <w:rPr>
                <w:rFonts w:ascii="Arial" w:cs="Arial" w:eastAsia="Arial" w:hAnsi="Arial"/>
                <w:sz w:val="4"/>
                <w:szCs w:val="4"/>
                <w:color w:val="FFFFFF"/>
              </w:rPr>
              <w:t>Received a full paydown on 1 investment, partial paydowns on 2 investments, and 1 partial sale of an investment, totaling $21,581 for the quarter</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20" w:type="dxa"/>
            <w:vAlign w:val="bottom"/>
            <w:gridSpan w:val="4"/>
          </w:tcPr>
          <w:p>
            <w:pPr>
              <w:spacing w:after="0" w:line="36" w:lineRule="exact"/>
              <w:rPr>
                <w:sz w:val="20"/>
                <w:szCs w:val="20"/>
                <w:color w:val="auto"/>
              </w:rPr>
            </w:pPr>
            <w:r>
              <w:rPr>
                <w:rFonts w:ascii="Arial" w:cs="Arial" w:eastAsia="Arial" w:hAnsi="Arial"/>
                <w:sz w:val="4"/>
                <w:szCs w:val="4"/>
                <w:color w:val="FFFFFF"/>
              </w:rPr>
              <w:t>Net funded</w:t>
            </w:r>
          </w:p>
        </w:tc>
        <w:tc>
          <w:tcPr>
            <w:tcW w:w="100" w:type="dxa"/>
            <w:vAlign w:val="bottom"/>
          </w:tcPr>
          <w:p>
            <w:pPr>
              <w:spacing w:after="0"/>
              <w:rPr>
                <w:sz w:val="3"/>
                <w:szCs w:val="3"/>
                <w:color w:val="auto"/>
              </w:rPr>
            </w:pPr>
          </w:p>
        </w:tc>
        <w:tc>
          <w:tcPr>
            <w:tcW w:w="2260" w:type="dxa"/>
            <w:vAlign w:val="bottom"/>
          </w:tcPr>
          <w:p>
            <w:pPr>
              <w:jc w:val="right"/>
              <w:ind w:right="82"/>
              <w:spacing w:after="0" w:line="36" w:lineRule="exact"/>
              <w:rPr>
                <w:sz w:val="20"/>
                <w:szCs w:val="20"/>
                <w:color w:val="auto"/>
              </w:rPr>
            </w:pPr>
            <w:r>
              <w:rPr>
                <w:rFonts w:ascii="Arial" w:cs="Arial" w:eastAsia="Arial" w:hAnsi="Arial"/>
                <w:sz w:val="4"/>
                <w:szCs w:val="4"/>
                <w:color w:val="FFFFFF"/>
              </w:rPr>
              <w:t>activity was $62,554 for the quarter</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80" w:type="dxa"/>
            <w:vAlign w:val="bottom"/>
            <w:gridSpan w:val="6"/>
          </w:tcPr>
          <w:p>
            <w:pPr>
              <w:spacing w:after="0" w:line="36" w:lineRule="exact"/>
              <w:rPr>
                <w:sz w:val="20"/>
                <w:szCs w:val="20"/>
                <w:color w:val="auto"/>
              </w:rPr>
            </w:pPr>
            <w:r>
              <w:rPr>
                <w:rFonts w:ascii="Arial" w:cs="Arial" w:eastAsia="Arial" w:hAnsi="Arial"/>
                <w:sz w:val="4"/>
                <w:szCs w:val="4"/>
                <w:color w:val="FFFFFF"/>
              </w:rPr>
              <w:t>(Dollar amountsinvestmentmillions)</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540" w:type="dxa"/>
            <w:vAlign w:val="bottom"/>
            <w:gridSpan w:val="7"/>
          </w:tcPr>
          <w:p>
            <w:pPr>
              <w:spacing w:after="0" w:line="36" w:lineRule="exact"/>
              <w:rPr>
                <w:sz w:val="20"/>
                <w:szCs w:val="20"/>
                <w:color w:val="auto"/>
              </w:rPr>
            </w:pPr>
            <w:r>
              <w:rPr>
                <w:rFonts w:ascii="Arial" w:cs="Arial" w:eastAsia="Arial" w:hAnsi="Arial"/>
                <w:sz w:val="4"/>
                <w:szCs w:val="4"/>
                <w:color w:val="FFFFFF"/>
              </w:rPr>
              <w:t>TSLX Gross Originations TSLX New Investment Commitments(1) TSLX New Investment Fundings(2)</w:t>
            </w: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40" w:type="dxa"/>
            <w:vAlign w:val="bottom"/>
          </w:tcPr>
          <w:p>
            <w:pPr>
              <w:ind w:left="60"/>
              <w:spacing w:after="0" w:line="36" w:lineRule="exact"/>
              <w:rPr>
                <w:sz w:val="20"/>
                <w:szCs w:val="20"/>
                <w:color w:val="auto"/>
              </w:rPr>
            </w:pPr>
            <w:r>
              <w:rPr>
                <w:rFonts w:ascii="Arial" w:cs="Arial" w:eastAsia="Arial" w:hAnsi="Arial"/>
                <w:sz w:val="4"/>
                <w:szCs w:val="4"/>
                <w:color w:val="FFFFFF"/>
              </w:rPr>
              <w:t>3</w:t>
            </w:r>
          </w:p>
        </w:tc>
        <w:tc>
          <w:tcPr>
            <w:tcW w:w="40" w:type="dxa"/>
            <w:vAlign w:val="bottom"/>
          </w:tcPr>
          <w:p>
            <w:pPr>
              <w:spacing w:after="0"/>
              <w:rPr>
                <w:sz w:val="3"/>
                <w:szCs w:val="3"/>
                <w:color w:val="auto"/>
              </w:rPr>
            </w:pPr>
          </w:p>
        </w:tc>
        <w:tc>
          <w:tcPr>
            <w:tcW w:w="60" w:type="dxa"/>
            <w:vAlign w:val="bottom"/>
          </w:tcPr>
          <w:p>
            <w:pPr>
              <w:spacing w:after="0" w:line="36" w:lineRule="exact"/>
              <w:rPr>
                <w:sz w:val="20"/>
                <w:szCs w:val="20"/>
                <w:color w:val="auto"/>
              </w:rPr>
            </w:pPr>
            <w:r>
              <w:rPr>
                <w:rFonts w:ascii="Arial" w:cs="Arial" w:eastAsia="Arial" w:hAnsi="Arial"/>
                <w:sz w:val="4"/>
                <w:szCs w:val="4"/>
                <w:color w:val="FFFFFF"/>
              </w:rPr>
              <w:t>1</w:t>
            </w:r>
          </w:p>
        </w:tc>
        <w:tc>
          <w:tcPr>
            <w:tcW w:w="280" w:type="dxa"/>
            <w:vAlign w:val="bottom"/>
          </w:tcPr>
          <w:p>
            <w:pPr>
              <w:jc w:val="right"/>
              <w:ind w:right="2"/>
              <w:spacing w:after="0" w:line="36" w:lineRule="exact"/>
              <w:rPr>
                <w:sz w:val="20"/>
                <w:szCs w:val="20"/>
                <w:color w:val="auto"/>
              </w:rPr>
            </w:pPr>
            <w:r>
              <w:rPr>
                <w:rFonts w:ascii="Arial" w:cs="Arial" w:eastAsia="Arial" w:hAnsi="Arial"/>
                <w:sz w:val="4"/>
                <w:szCs w:val="4"/>
                <w:color w:val="FFFFFF"/>
              </w:rPr>
              <w:t>405</w:t>
            </w:r>
          </w:p>
        </w:tc>
        <w:tc>
          <w:tcPr>
            <w:tcW w:w="100" w:type="dxa"/>
            <w:vAlign w:val="bottom"/>
          </w:tcPr>
          <w:p>
            <w:pPr>
              <w:spacing w:after="0"/>
              <w:rPr>
                <w:sz w:val="3"/>
                <w:szCs w:val="3"/>
                <w:color w:val="auto"/>
              </w:rPr>
            </w:pPr>
          </w:p>
        </w:tc>
        <w:tc>
          <w:tcPr>
            <w:tcW w:w="2260" w:type="dxa"/>
            <w:vAlign w:val="bottom"/>
          </w:tcPr>
          <w:p>
            <w:pPr>
              <w:jc w:val="right"/>
              <w:ind w:right="2102"/>
              <w:spacing w:after="0" w:line="36" w:lineRule="exact"/>
              <w:rPr>
                <w:sz w:val="20"/>
                <w:szCs w:val="20"/>
                <w:color w:val="auto"/>
              </w:rPr>
            </w:pPr>
            <w:r>
              <w:rPr>
                <w:rFonts w:ascii="Arial" w:cs="Arial" w:eastAsia="Arial" w:hAnsi="Arial"/>
                <w:sz w:val="4"/>
                <w:szCs w:val="4"/>
                <w:color w:val="FFFFFF"/>
              </w:rPr>
              <w:t>70</w:t>
            </w:r>
          </w:p>
        </w:tc>
        <w:tc>
          <w:tcPr>
            <w:tcW w:w="266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$224 $184 $205 $181 $186 $153 $176 $187 $198 $154</w:t>
            </w:r>
          </w:p>
        </w:tc>
        <w:tc>
          <w:tcPr>
            <w:tcW w:w="462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$170 $169 $154 $157 $138 $146 $150 $132 $123 $112 $104 $116 $116 $112 $100 $94 $94 $104</w:t>
            </w:r>
          </w:p>
        </w:tc>
        <w:tc>
          <w:tcPr>
            <w:tcW w:w="1160" w:type="dxa"/>
            <w:vAlign w:val="bottom"/>
            <w:vMerge w:val="restart"/>
          </w:tcPr>
          <w:p>
            <w:pPr>
              <w:jc w:val="right"/>
              <w:ind w:right="859"/>
              <w:spacing w:after="0" w:line="71" w:lineRule="exact"/>
              <w:rPr>
                <w:sz w:val="20"/>
                <w:szCs w:val="20"/>
                <w:color w:val="auto"/>
              </w:rPr>
            </w:pPr>
            <w:r>
              <w:rPr>
                <w:rFonts w:ascii="Arial" w:cs="Arial" w:eastAsia="Arial" w:hAnsi="Arial"/>
                <w:sz w:val="8"/>
                <w:szCs w:val="8"/>
                <w:color w:val="FFFFFF"/>
              </w:rPr>
              <w:t>$104</w:t>
            </w:r>
          </w:p>
        </w:tc>
        <w:tc>
          <w:tcPr>
            <w:tcW w:w="0" w:type="dxa"/>
            <w:vAlign w:val="bottom"/>
          </w:tcPr>
          <w:p>
            <w:pPr>
              <w:spacing w:after="0" w:line="20" w:lineRule="exact"/>
              <w:rPr>
                <w:sz w:val="1"/>
                <w:szCs w:val="1"/>
                <w:color w:val="auto"/>
              </w:rPr>
            </w:pPr>
          </w:p>
        </w:tc>
      </w:tr>
      <w:tr>
        <w:trPr>
          <w:trHeight w:val="35"/>
        </w:trPr>
        <w:tc>
          <w:tcPr>
            <w:tcW w:w="240" w:type="dxa"/>
            <w:vAlign w:val="bottom"/>
            <w:gridSpan w:val="3"/>
          </w:tcPr>
          <w:p>
            <w:pPr>
              <w:ind w:left="60"/>
              <w:spacing w:after="0" w:line="36" w:lineRule="exact"/>
              <w:rPr>
                <w:sz w:val="20"/>
                <w:szCs w:val="20"/>
                <w:color w:val="auto"/>
              </w:rPr>
            </w:pPr>
            <w:r>
              <w:rPr>
                <w:rFonts w:ascii="Arial" w:cs="Arial" w:eastAsia="Arial" w:hAnsi="Arial"/>
                <w:sz w:val="4"/>
                <w:szCs w:val="4"/>
                <w:color w:val="FFFFFF"/>
              </w:rPr>
              <w:t>292</w:t>
            </w:r>
          </w:p>
        </w:tc>
        <w:tc>
          <w:tcPr>
            <w:tcW w:w="280" w:type="dxa"/>
            <w:vAlign w:val="bottom"/>
          </w:tcPr>
          <w:p>
            <w:pPr>
              <w:jc w:val="right"/>
              <w:ind w:right="2"/>
              <w:spacing w:after="0" w:line="36" w:lineRule="exact"/>
              <w:rPr>
                <w:sz w:val="20"/>
                <w:szCs w:val="20"/>
                <w:color w:val="auto"/>
              </w:rPr>
            </w:pPr>
            <w:r>
              <w:rPr>
                <w:rFonts w:ascii="Arial" w:cs="Arial" w:eastAsia="Arial" w:hAnsi="Arial"/>
                <w:sz w:val="4"/>
                <w:szCs w:val="4"/>
                <w:color w:val="FFFFFF"/>
              </w:rPr>
              <w:t>$ 15</w:t>
            </w:r>
          </w:p>
        </w:tc>
        <w:tc>
          <w:tcPr>
            <w:tcW w:w="23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$305 $288 $289 $281 $266 $277 $268 $261 $249</w:t>
            </w:r>
          </w:p>
        </w:tc>
        <w:tc>
          <w:tcPr>
            <w:tcW w:w="2660" w:type="dxa"/>
            <w:vAlign w:val="bottom"/>
            <w:vMerge w:val="continue"/>
          </w:tcPr>
          <w:p>
            <w:pPr>
              <w:spacing w:after="0"/>
              <w:rPr>
                <w:sz w:val="3"/>
                <w:szCs w:val="3"/>
                <w:color w:val="auto"/>
              </w:rPr>
            </w:pPr>
          </w:p>
        </w:tc>
        <w:tc>
          <w:tcPr>
            <w:tcW w:w="46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80" w:type="dxa"/>
            <w:vAlign w:val="bottom"/>
            <w:gridSpan w:val="2"/>
          </w:tcPr>
          <w:p>
            <w:pPr>
              <w:ind w:left="60"/>
              <w:spacing w:after="0" w:line="36" w:lineRule="exact"/>
              <w:rPr>
                <w:sz w:val="20"/>
                <w:szCs w:val="20"/>
                <w:color w:val="auto"/>
              </w:rPr>
            </w:pPr>
            <w:r>
              <w:rPr>
                <w:rFonts w:ascii="Arial" w:cs="Arial" w:eastAsia="Arial" w:hAnsi="Arial"/>
                <w:sz w:val="4"/>
                <w:szCs w:val="4"/>
                <w:color w:val="FFFFFF"/>
              </w:rPr>
              <w:t>91</w:t>
            </w:r>
          </w:p>
        </w:tc>
        <w:tc>
          <w:tcPr>
            <w:tcW w:w="60" w:type="dxa"/>
            <w:vAlign w:val="bottom"/>
          </w:tcPr>
          <w:p>
            <w:pPr>
              <w:spacing w:after="0"/>
              <w:rPr>
                <w:sz w:val="3"/>
                <w:szCs w:val="3"/>
                <w:color w:val="auto"/>
              </w:rPr>
            </w:pPr>
          </w:p>
        </w:tc>
        <w:tc>
          <w:tcPr>
            <w:tcW w:w="380" w:type="dxa"/>
            <w:vAlign w:val="bottom"/>
            <w:gridSpan w:val="2"/>
          </w:tcPr>
          <w:p>
            <w:pPr>
              <w:jc w:val="right"/>
              <w:ind w:right="22"/>
              <w:spacing w:after="0" w:line="36" w:lineRule="exact"/>
              <w:rPr>
                <w:sz w:val="20"/>
                <w:szCs w:val="20"/>
                <w:color w:val="auto"/>
              </w:rPr>
            </w:pPr>
            <w:r>
              <w:rPr>
                <w:rFonts w:ascii="Arial" w:cs="Arial" w:eastAsia="Arial" w:hAnsi="Arial"/>
                <w:sz w:val="4"/>
                <w:szCs w:val="4"/>
                <w:color w:val="FFFFFF"/>
              </w:rPr>
              <w:t>93 $84</w:t>
            </w:r>
          </w:p>
        </w:tc>
        <w:tc>
          <w:tcPr>
            <w:tcW w:w="22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80" w:type="dxa"/>
            <w:vAlign w:val="bottom"/>
            <w:gridSpan w:val="2"/>
          </w:tcPr>
          <w:p>
            <w:pPr>
              <w:spacing w:after="0" w:line="36" w:lineRule="exact"/>
              <w:rPr>
                <w:sz w:val="20"/>
                <w:szCs w:val="20"/>
                <w:color w:val="auto"/>
              </w:rPr>
            </w:pPr>
            <w:r>
              <w:rPr>
                <w:rFonts w:ascii="Arial" w:cs="Arial" w:eastAsia="Arial" w:hAnsi="Arial"/>
                <w:sz w:val="4"/>
                <w:szCs w:val="4"/>
                <w:color w:val="FFFFFF"/>
              </w:rPr>
              <w:t>$59</w:t>
            </w:r>
          </w:p>
        </w:tc>
        <w:tc>
          <w:tcPr>
            <w:tcW w:w="3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$59</w:t>
            </w:r>
          </w:p>
        </w:tc>
        <w:tc>
          <w:tcPr>
            <w:tcW w:w="1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540" w:type="dxa"/>
            <w:vAlign w:val="bottom"/>
            <w:gridSpan w:val="7"/>
          </w:tcPr>
          <w:p>
            <w:pPr>
              <w:spacing w:after="0" w:line="36" w:lineRule="exact"/>
              <w:rPr>
                <w:sz w:val="20"/>
                <w:szCs w:val="20"/>
                <w:color w:val="auto"/>
              </w:rPr>
            </w:pPr>
            <w:r>
              <w:rPr>
                <w:rFonts w:ascii="Arial" w:cs="Arial" w:eastAsia="Arial" w:hAnsi="Arial"/>
                <w:sz w:val="4"/>
                <w:szCs w:val="4"/>
                <w:color w:val="FFFFFF"/>
              </w:rPr>
              <w:t>3Q’11 4Q’11 1Q’12 2Q’12 3Q’12 4Q’12 1Q’13 2Q’13 3Q’13 4Q’13 1Q’14 2Q’14 3Q’14 4Q’14 1Q’15 2Q’15</w:t>
            </w: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4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80" w:type="dxa"/>
            <w:vAlign w:val="bottom"/>
            <w:gridSpan w:val="6"/>
          </w:tcPr>
          <w:p>
            <w:pPr>
              <w:spacing w:after="0" w:line="36" w:lineRule="exact"/>
              <w:rPr>
                <w:sz w:val="20"/>
                <w:szCs w:val="20"/>
                <w:color w:val="auto"/>
              </w:rPr>
            </w:pPr>
            <w:r>
              <w:rPr>
                <w:rFonts w:ascii="Arial" w:cs="Arial" w:eastAsia="Arial" w:hAnsi="Arial"/>
                <w:sz w:val="4"/>
                <w:szCs w:val="4"/>
                <w:color w:val="FFFFFF"/>
              </w:rPr>
              <w:t>Portfolio Funds Roll</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5540" w:type="dxa"/>
            <w:vAlign w:val="bottom"/>
            <w:gridSpan w:val="7"/>
          </w:tcPr>
          <w:p>
            <w:pPr>
              <w:spacing w:after="0" w:line="36" w:lineRule="exact"/>
              <w:rPr>
                <w:sz w:val="20"/>
                <w:szCs w:val="20"/>
                <w:color w:val="auto"/>
              </w:rPr>
            </w:pPr>
            <w:r>
              <w:rPr>
                <w:rFonts w:ascii="Arial" w:cs="Arial" w:eastAsia="Arial" w:hAnsi="Arial"/>
                <w:sz w:val="4"/>
                <w:szCs w:val="4"/>
                <w:color w:val="FFFFFF"/>
              </w:rPr>
              <w:t>(Dollar amounts in thousands) Q2 2014 Q3 2014 Q4 2014 Q1 2015 Q2 2015</w:t>
            </w:r>
          </w:p>
        </w:tc>
        <w:tc>
          <w:tcPr>
            <w:tcW w:w="578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$224,032 $198,363 $131,835 $84,135 Investments Sold or Repaid ($159,172) ($109,643) ($148,446) ($60,818) ($21,581)</w:t>
            </w:r>
          </w:p>
        </w:tc>
        <w:tc>
          <w:tcPr>
            <w:tcW w:w="0" w:type="dxa"/>
            <w:vAlign w:val="bottom"/>
          </w:tcPr>
          <w:p>
            <w:pPr>
              <w:spacing w:after="0" w:line="20" w:lineRule="exact"/>
              <w:rPr>
                <w:sz w:val="1"/>
                <w:szCs w:val="1"/>
                <w:color w:val="auto"/>
              </w:rPr>
            </w:pPr>
          </w:p>
        </w:tc>
      </w:tr>
      <w:tr>
        <w:trPr>
          <w:trHeight w:val="35"/>
        </w:trPr>
        <w:tc>
          <w:tcPr>
            <w:tcW w:w="140" w:type="dxa"/>
            <w:vAlign w:val="bottom"/>
          </w:tcPr>
          <w:p>
            <w:pPr>
              <w:spacing w:after="0"/>
              <w:rPr>
                <w:sz w:val="3"/>
                <w:szCs w:val="3"/>
                <w:color w:val="auto"/>
              </w:rPr>
            </w:pPr>
          </w:p>
        </w:tc>
        <w:tc>
          <w:tcPr>
            <w:tcW w:w="2740" w:type="dxa"/>
            <w:vAlign w:val="bottom"/>
            <w:gridSpan w:val="5"/>
          </w:tcPr>
          <w:p>
            <w:pPr>
              <w:jc w:val="right"/>
              <w:spacing w:after="0" w:line="36" w:lineRule="exact"/>
              <w:rPr>
                <w:sz w:val="20"/>
                <w:szCs w:val="20"/>
                <w:color w:val="auto"/>
              </w:rPr>
            </w:pPr>
            <w:r>
              <w:rPr>
                <w:rFonts w:ascii="Arial" w:cs="Arial" w:eastAsia="Arial" w:hAnsi="Arial"/>
                <w:sz w:val="4"/>
                <w:szCs w:val="4"/>
                <w:color w:val="FFFFFF"/>
              </w:rPr>
              <w:t>w Investment Commitments $116,382 $248,619 $204,791</w:t>
            </w:r>
          </w:p>
        </w:tc>
        <w:tc>
          <w:tcPr>
            <w:tcW w:w="2660" w:type="dxa"/>
            <w:vAlign w:val="bottom"/>
          </w:tcPr>
          <w:p>
            <w:pPr>
              <w:ind w:left="20"/>
              <w:spacing w:after="0" w:line="36" w:lineRule="exact"/>
              <w:rPr>
                <w:sz w:val="20"/>
                <w:szCs w:val="20"/>
                <w:color w:val="auto"/>
              </w:rPr>
            </w:pPr>
            <w:r>
              <w:rPr>
                <w:rFonts w:ascii="Arial" w:cs="Arial" w:eastAsia="Arial" w:hAnsi="Arial"/>
                <w:sz w:val="4"/>
                <w:szCs w:val="4"/>
                <w:color w:val="FFFFFF"/>
              </w:rPr>
              <w:t>$137,835 $112,255 New Investment Fundings $104,382</w:t>
            </w:r>
          </w:p>
        </w:tc>
        <w:tc>
          <w:tcPr>
            <w:tcW w:w="5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80" w:type="dxa"/>
            <w:vAlign w:val="bottom"/>
            <w:gridSpan w:val="2"/>
          </w:tcPr>
          <w:p>
            <w:pPr>
              <w:spacing w:after="0" w:line="36" w:lineRule="exact"/>
              <w:rPr>
                <w:sz w:val="20"/>
                <w:szCs w:val="20"/>
                <w:color w:val="auto"/>
              </w:rPr>
            </w:pPr>
            <w:r>
              <w:rPr>
                <w:rFonts w:ascii="Arial" w:cs="Arial" w:eastAsia="Arial" w:hAnsi="Arial"/>
                <w:sz w:val="4"/>
                <w:szCs w:val="4"/>
                <w:color w:val="FFFFFF"/>
              </w:rPr>
              <w:t>Net</w:t>
            </w:r>
          </w:p>
        </w:tc>
        <w:tc>
          <w:tcPr>
            <w:tcW w:w="2700" w:type="dxa"/>
            <w:vAlign w:val="bottom"/>
            <w:gridSpan w:val="4"/>
          </w:tcPr>
          <w:p>
            <w:pPr>
              <w:ind w:left="20"/>
              <w:spacing w:after="0" w:line="36" w:lineRule="exact"/>
              <w:rPr>
                <w:sz w:val="20"/>
                <w:szCs w:val="20"/>
                <w:color w:val="auto"/>
              </w:rPr>
            </w:pPr>
            <w:r>
              <w:rPr>
                <w:rFonts w:ascii="Arial" w:cs="Arial" w:eastAsia="Arial" w:hAnsi="Arial"/>
                <w:sz w:val="4"/>
                <w:szCs w:val="4"/>
                <w:color w:val="FFFFFF"/>
              </w:rPr>
              <w:t>Funded Investment Activity ($54,790) $114,389 $49,917</w:t>
            </w:r>
          </w:p>
        </w:tc>
        <w:tc>
          <w:tcPr>
            <w:tcW w:w="2660" w:type="dxa"/>
            <w:vAlign w:val="bottom"/>
          </w:tcPr>
          <w:p>
            <w:pPr>
              <w:ind w:left="20"/>
              <w:spacing w:after="0" w:line="36" w:lineRule="exact"/>
              <w:rPr>
                <w:sz w:val="20"/>
                <w:szCs w:val="20"/>
                <w:color w:val="auto"/>
              </w:rPr>
            </w:pPr>
            <w:r>
              <w:rPr>
                <w:rFonts w:ascii="Arial" w:cs="Arial" w:eastAsia="Arial" w:hAnsi="Arial"/>
                <w:sz w:val="4"/>
                <w:szCs w:val="4"/>
                <w:color w:val="FFFFFF"/>
              </w:rPr>
              <w:t>$71,017 $62,554</w:t>
            </w: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80" w:type="dxa"/>
            <w:vAlign w:val="bottom"/>
            <w:gridSpan w:val="6"/>
          </w:tcPr>
          <w:p>
            <w:pPr>
              <w:ind w:left="40"/>
              <w:spacing w:after="0" w:line="36" w:lineRule="exact"/>
              <w:rPr>
                <w:sz w:val="20"/>
                <w:szCs w:val="20"/>
                <w:color w:val="auto"/>
              </w:rPr>
            </w:pPr>
            <w:r>
              <w:rPr>
                <w:rFonts w:ascii="Arial" w:cs="Arial" w:eastAsia="Arial" w:hAnsi="Arial"/>
                <w:sz w:val="4"/>
                <w:szCs w:val="4"/>
                <w:color w:val="FFFFFF"/>
              </w:rPr>
              <w:t>1) New investments are net of sell-downs</w:t>
            </w:r>
          </w:p>
        </w:tc>
        <w:tc>
          <w:tcPr>
            <w:tcW w:w="26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40" w:type="dxa"/>
            <w:vAlign w:val="bottom"/>
          </w:tcPr>
          <w:p>
            <w:pPr>
              <w:ind w:left="40"/>
              <w:spacing w:after="0" w:line="36" w:lineRule="exact"/>
              <w:rPr>
                <w:sz w:val="20"/>
                <w:szCs w:val="20"/>
                <w:color w:val="auto"/>
              </w:rPr>
            </w:pPr>
            <w:r>
              <w:rPr>
                <w:rFonts w:ascii="Arial" w:cs="Arial" w:eastAsia="Arial" w:hAnsi="Arial"/>
                <w:sz w:val="4"/>
                <w:szCs w:val="4"/>
                <w:color w:val="FFFFFF"/>
              </w:rPr>
              <w:t>2)</w:t>
            </w:r>
          </w:p>
        </w:tc>
        <w:tc>
          <w:tcPr>
            <w:tcW w:w="5400" w:type="dxa"/>
            <w:vAlign w:val="bottom"/>
            <w:gridSpan w:val="6"/>
          </w:tcPr>
          <w:p>
            <w:pPr>
              <w:ind w:left="20"/>
              <w:spacing w:after="0" w:line="36" w:lineRule="exact"/>
              <w:rPr>
                <w:sz w:val="20"/>
                <w:szCs w:val="20"/>
                <w:color w:val="auto"/>
              </w:rPr>
            </w:pPr>
            <w:r>
              <w:rPr>
                <w:rFonts w:ascii="Arial" w:cs="Arial" w:eastAsia="Arial" w:hAnsi="Arial"/>
                <w:sz w:val="4"/>
                <w:szCs w:val="4"/>
                <w:color w:val="FFFFFF"/>
              </w:rPr>
              <w:t>Fundings exclude intra-quarter revolver borrowings that are repaid by quarter-end</w:t>
            </w:r>
          </w:p>
        </w:tc>
        <w:tc>
          <w:tcPr>
            <w:tcW w:w="4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4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10020" w:type="dxa"/>
            <w:vAlign w:val="bottom"/>
            <w:gridSpan w:val="7"/>
          </w:tcPr>
          <w:p>
            <w:pPr>
              <w:ind w:left="20"/>
              <w:spacing w:after="0" w:line="36" w:lineRule="exact"/>
              <w:rPr>
                <w:sz w:val="20"/>
                <w:szCs w:val="20"/>
                <w:color w:val="auto"/>
              </w:rPr>
            </w:pPr>
            <w:r>
              <w:rPr>
                <w:rFonts w:ascii="Arial" w:cs="Arial" w:eastAsia="Arial" w:hAnsi="Arial"/>
                <w:sz w:val="4"/>
                <w:szCs w:val="4"/>
                <w:color w:val="FFFFFF"/>
              </w:rPr>
              <w:t>Par value; excludes amortization, excess cash flow sweeps, PIK, FX movements, and intra-quarter revolver borrowings that are repaid by quarter-end</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880" w:type="dxa"/>
            <w:vAlign w:val="bottom"/>
            <w:gridSpan w:val="6"/>
          </w:tcPr>
          <w:p>
            <w:pPr>
              <w:spacing w:after="0"/>
              <w:rPr>
                <w:sz w:val="20"/>
                <w:szCs w:val="20"/>
                <w:color w:val="auto"/>
              </w:rPr>
            </w:pPr>
            <w:r>
              <w:rPr>
                <w:rFonts w:ascii="Arial" w:cs="Arial" w:eastAsia="Arial" w:hAnsi="Arial"/>
                <w:sz w:val="12"/>
                <w:szCs w:val="12"/>
                <w:color w:val="FFFFFF"/>
              </w:rPr>
              <w:t>? TSLX (NYSE) 31</w:t>
            </w:r>
          </w:p>
        </w:tc>
        <w:tc>
          <w:tcPr>
            <w:tcW w:w="26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gridSpan w:val="3"/>
          </w:tcPr>
          <w:p>
            <w:pPr>
              <w:spacing w:after="0"/>
              <w:rPr>
                <w:sz w:val="20"/>
                <w:szCs w:val="20"/>
                <w:color w:val="auto"/>
              </w:rPr>
            </w:pPr>
            <w:r>
              <w:rPr>
                <w:rFonts w:ascii="Arial" w:cs="Arial" w:eastAsia="Arial" w:hAnsi="Arial"/>
                <w:sz w:val="12"/>
                <w:szCs w:val="12"/>
                <w:color w:val="FFFFFF"/>
              </w:rPr>
              <w:t>Portfolio Highlights – Asset Mix</w:t>
            </w:r>
          </w:p>
        </w:tc>
        <w:tc>
          <w:tcPr>
            <w:tcW w:w="0" w:type="dxa"/>
            <w:vAlign w:val="bottom"/>
          </w:tcPr>
          <w:p>
            <w:pPr>
              <w:spacing w:after="0"/>
              <w:rPr>
                <w:sz w:val="1"/>
                <w:szCs w:val="1"/>
                <w:color w:val="auto"/>
              </w:rPr>
            </w:pPr>
          </w:p>
        </w:tc>
      </w:tr>
      <w:tr>
        <w:trPr>
          <w:trHeight w:val="35"/>
        </w:trPr>
        <w:tc>
          <w:tcPr>
            <w:tcW w:w="340" w:type="dxa"/>
            <w:vAlign w:val="bottom"/>
            <w:gridSpan w:val="2"/>
          </w:tcPr>
          <w:p>
            <w:pPr>
              <w:spacing w:after="0" w:line="36" w:lineRule="exact"/>
              <w:rPr>
                <w:sz w:val="20"/>
                <w:szCs w:val="20"/>
                <w:color w:val="auto"/>
              </w:rPr>
            </w:pPr>
            <w:r>
              <w:rPr>
                <w:rFonts w:ascii="Arial" w:cs="Arial" w:eastAsia="Arial" w:hAnsi="Arial"/>
                <w:sz w:val="4"/>
                <w:szCs w:val="4"/>
                <w:color w:val="FFFFFF"/>
              </w:rPr>
              <w:t>NEW</w:t>
            </w:r>
          </w:p>
        </w:tc>
        <w:tc>
          <w:tcPr>
            <w:tcW w:w="5760" w:type="dxa"/>
            <w:vAlign w:val="bottom"/>
          </w:tcPr>
          <w:p>
            <w:pPr>
              <w:ind w:left="720"/>
              <w:spacing w:after="0" w:line="36" w:lineRule="exact"/>
              <w:rPr>
                <w:sz w:val="20"/>
                <w:szCs w:val="20"/>
                <w:color w:val="auto"/>
              </w:rPr>
            </w:pPr>
            <w:r>
              <w:rPr>
                <w:rFonts w:ascii="Arial" w:cs="Arial" w:eastAsia="Arial" w:hAnsi="Arial"/>
                <w:sz w:val="4"/>
                <w:szCs w:val="4"/>
                <w:color w:val="FFFFFF"/>
              </w:rPr>
              <w:t>FUNDINGS END OF PERIOD INVESTMENTS</w:t>
            </w:r>
          </w:p>
        </w:tc>
        <w:tc>
          <w:tcPr>
            <w:tcW w:w="0" w:type="dxa"/>
            <w:vAlign w:val="bottom"/>
          </w:tcPr>
          <w:p>
            <w:pPr>
              <w:spacing w:after="0" w:line="20" w:lineRule="exact"/>
              <w:rPr>
                <w:sz w:val="1"/>
                <w:szCs w:val="1"/>
                <w:color w:val="auto"/>
              </w:rPr>
            </w:pPr>
          </w:p>
        </w:tc>
      </w:tr>
      <w:tr>
        <w:trPr>
          <w:trHeight w:val="35"/>
        </w:trPr>
        <w:tc>
          <w:tcPr>
            <w:tcW w:w="6100" w:type="dxa"/>
            <w:vAlign w:val="bottom"/>
            <w:gridSpan w:val="3"/>
          </w:tcPr>
          <w:p>
            <w:pPr>
              <w:spacing w:after="0" w:line="36" w:lineRule="exact"/>
              <w:rPr>
                <w:sz w:val="20"/>
                <w:szCs w:val="20"/>
                <w:color w:val="auto"/>
              </w:rPr>
            </w:pPr>
            <w:r>
              <w:rPr>
                <w:rFonts w:ascii="Arial" w:cs="Arial" w:eastAsia="Arial" w:hAnsi="Arial"/>
                <w:sz w:val="4"/>
                <w:szCs w:val="4"/>
                <w:color w:val="FFFFFF"/>
              </w:rPr>
              <w:t>(At ParINVESTMENTalue,$mm)(At Fair Value, $mm)</w:t>
            </w:r>
          </w:p>
        </w:tc>
        <w:tc>
          <w:tcPr>
            <w:tcW w:w="0" w:type="dxa"/>
            <w:vAlign w:val="bottom"/>
          </w:tcPr>
          <w:p>
            <w:pPr>
              <w:spacing w:after="0" w:line="20" w:lineRule="exact"/>
              <w:rPr>
                <w:sz w:val="1"/>
                <w:szCs w:val="1"/>
                <w:color w:val="auto"/>
              </w:rPr>
            </w:pPr>
          </w:p>
        </w:tc>
      </w:tr>
      <w:tr>
        <w:trPr>
          <w:trHeight w:val="35"/>
        </w:trPr>
        <w:tc>
          <w:tcPr>
            <w:tcW w:w="6100" w:type="dxa"/>
            <w:vAlign w:val="bottom"/>
            <w:gridSpan w:val="3"/>
          </w:tcPr>
          <w:p>
            <w:pPr>
              <w:spacing w:after="0" w:line="36" w:lineRule="exact"/>
              <w:rPr>
                <w:sz w:val="20"/>
                <w:szCs w:val="20"/>
                <w:color w:val="auto"/>
              </w:rPr>
            </w:pPr>
            <w:r>
              <w:rPr>
                <w:rFonts w:ascii="Arial" w:cs="Arial" w:eastAsia="Arial" w:hAnsi="Arial"/>
                <w:sz w:val="4"/>
                <w:szCs w:val="4"/>
                <w:color w:val="FFFFFF"/>
              </w:rPr>
              <w:t>First Lien Second Lien Mezzanine &amp; Unsecured Equity &amp; Other First Lien Second Lien Mezzanine &amp; Unsecured Equity &amp; Other</w:t>
            </w:r>
          </w:p>
        </w:tc>
        <w:tc>
          <w:tcPr>
            <w:tcW w:w="0" w:type="dxa"/>
            <w:vAlign w:val="bottom"/>
          </w:tcPr>
          <w:p>
            <w:pPr>
              <w:spacing w:after="0" w:line="20" w:lineRule="exact"/>
              <w:rPr>
                <w:sz w:val="1"/>
                <w:szCs w:val="1"/>
                <w:color w:val="auto"/>
              </w:rPr>
            </w:pPr>
          </w:p>
        </w:tc>
      </w:tr>
      <w:tr>
        <w:trPr>
          <w:trHeight w:val="35"/>
        </w:trPr>
        <w:tc>
          <w:tcPr>
            <w:tcW w:w="340" w:type="dxa"/>
            <w:vAlign w:val="bottom"/>
            <w:gridSpan w:val="2"/>
          </w:tcPr>
          <w:p>
            <w:pPr>
              <w:spacing w:after="0" w:line="36" w:lineRule="exact"/>
              <w:rPr>
                <w:sz w:val="20"/>
                <w:szCs w:val="20"/>
                <w:color w:val="auto"/>
              </w:rPr>
            </w:pPr>
            <w:r>
              <w:rPr>
                <w:rFonts w:ascii="Arial" w:cs="Arial" w:eastAsia="Arial" w:hAnsi="Arial"/>
                <w:sz w:val="4"/>
                <w:szCs w:val="4"/>
                <w:color w:val="FFFFFF"/>
              </w:rPr>
              <w:t>$1,398</w:t>
            </w:r>
          </w:p>
        </w:tc>
        <w:tc>
          <w:tcPr>
            <w:tcW w:w="5760" w:type="dxa"/>
            <w:vAlign w:val="bottom"/>
          </w:tcPr>
          <w:p>
            <w:pPr>
              <w:spacing w:after="0" w:line="36" w:lineRule="exact"/>
              <w:rPr>
                <w:sz w:val="20"/>
                <w:szCs w:val="20"/>
                <w:color w:val="auto"/>
              </w:rPr>
            </w:pPr>
            <w:r>
              <w:rPr>
                <w:rFonts w:ascii="Arial" w:cs="Arial" w:eastAsia="Arial" w:hAnsi="Arial"/>
                <w:sz w:val="4"/>
                <w:szCs w:val="4"/>
                <w:color w:val="FFFFFF"/>
              </w:rPr>
              <w:t>$1,331 &lt;1% $224 1% 1% $1,264 8% $1,233 1% 1%</w:t>
            </w:r>
          </w:p>
        </w:tc>
        <w:tc>
          <w:tcPr>
            <w:tcW w:w="0" w:type="dxa"/>
            <w:vAlign w:val="bottom"/>
          </w:tcPr>
          <w:p>
            <w:pPr>
              <w:spacing w:after="0" w:line="20" w:lineRule="exact"/>
              <w:rPr>
                <w:sz w:val="1"/>
                <w:szCs w:val="1"/>
                <w:color w:val="auto"/>
              </w:rPr>
            </w:pPr>
          </w:p>
        </w:tc>
      </w:tr>
      <w:tr>
        <w:trPr>
          <w:trHeight w:val="35"/>
        </w:trPr>
        <w:tc>
          <w:tcPr>
            <w:tcW w:w="160" w:type="dxa"/>
            <w:vAlign w:val="bottom"/>
          </w:tcPr>
          <w:p>
            <w:pPr>
              <w:spacing w:after="0" w:line="36" w:lineRule="exact"/>
              <w:rPr>
                <w:sz w:val="20"/>
                <w:szCs w:val="20"/>
                <w:color w:val="auto"/>
              </w:rPr>
            </w:pPr>
            <w:r>
              <w:rPr>
                <w:rFonts w:ascii="Arial" w:cs="Arial" w:eastAsia="Arial" w:hAnsi="Arial"/>
                <w:sz w:val="4"/>
                <w:szCs w:val="4"/>
                <w:color w:val="FFFFFF"/>
              </w:rPr>
              <w:t>0%</w:t>
            </w:r>
          </w:p>
        </w:tc>
        <w:tc>
          <w:tcPr>
            <w:tcW w:w="180" w:type="dxa"/>
            <w:vAlign w:val="bottom"/>
          </w:tcPr>
          <w:p>
            <w:pPr>
              <w:spacing w:after="0"/>
              <w:rPr>
                <w:sz w:val="3"/>
                <w:szCs w:val="3"/>
                <w:color w:val="auto"/>
              </w:rPr>
            </w:pPr>
          </w:p>
        </w:tc>
        <w:tc>
          <w:tcPr>
            <w:tcW w:w="5760" w:type="dxa"/>
            <w:vAlign w:val="bottom"/>
          </w:tcPr>
          <w:p>
            <w:pPr>
              <w:ind w:left="20"/>
              <w:spacing w:after="0" w:line="36" w:lineRule="exact"/>
              <w:rPr>
                <w:sz w:val="20"/>
                <w:szCs w:val="20"/>
                <w:color w:val="auto"/>
              </w:rPr>
            </w:pPr>
            <w:r>
              <w:rPr>
                <w:rFonts w:ascii="Arial" w:cs="Arial" w:eastAsia="Arial" w:hAnsi="Arial"/>
                <w:sz w:val="4"/>
                <w:szCs w:val="4"/>
                <w:color w:val="FFFFFF"/>
              </w:rPr>
              <w:t>1% 8% 0% 11% $198 &lt;1% 9% $1,129</w:t>
            </w:r>
          </w:p>
        </w:tc>
        <w:tc>
          <w:tcPr>
            <w:tcW w:w="0" w:type="dxa"/>
            <w:vAlign w:val="bottom"/>
          </w:tcPr>
          <w:p>
            <w:pPr>
              <w:spacing w:after="0" w:line="20" w:lineRule="exact"/>
              <w:rPr>
                <w:sz w:val="1"/>
                <w:szCs w:val="1"/>
                <w:color w:val="auto"/>
              </w:rPr>
            </w:pPr>
          </w:p>
        </w:tc>
      </w:tr>
      <w:tr>
        <w:trPr>
          <w:trHeight w:val="35"/>
        </w:trPr>
        <w:tc>
          <w:tcPr>
            <w:tcW w:w="160" w:type="dxa"/>
            <w:vAlign w:val="bottom"/>
          </w:tcPr>
          <w:p>
            <w:pPr>
              <w:spacing w:after="0" w:line="36" w:lineRule="exact"/>
              <w:rPr>
                <w:sz w:val="20"/>
                <w:szCs w:val="20"/>
                <w:color w:val="auto"/>
              </w:rPr>
            </w:pPr>
            <w:r>
              <w:rPr>
                <w:rFonts w:ascii="Arial" w:cs="Arial" w:eastAsia="Arial" w:hAnsi="Arial"/>
                <w:sz w:val="4"/>
                <w:szCs w:val="4"/>
                <w:color w:val="FFFFFF"/>
              </w:rPr>
              <w:t>1%</w:t>
            </w: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13%</w:t>
            </w:r>
          </w:p>
        </w:tc>
        <w:tc>
          <w:tcPr>
            <w:tcW w:w="0" w:type="dxa"/>
            <w:vAlign w:val="bottom"/>
          </w:tcPr>
          <w:p>
            <w:pPr>
              <w:spacing w:after="0" w:line="20" w:lineRule="exact"/>
              <w:rPr>
                <w:sz w:val="1"/>
                <w:szCs w:val="1"/>
                <w:color w:val="auto"/>
              </w:rPr>
            </w:pPr>
          </w:p>
        </w:tc>
      </w:tr>
      <w:tr>
        <w:trPr>
          <w:trHeight w:val="35"/>
        </w:trPr>
        <w:tc>
          <w:tcPr>
            <w:tcW w:w="160" w:type="dxa"/>
            <w:vAlign w:val="bottom"/>
            <w:vMerge w:val="restart"/>
          </w:tcPr>
          <w:p>
            <w:pPr>
              <w:spacing w:after="0" w:line="71" w:lineRule="exact"/>
              <w:rPr>
                <w:sz w:val="20"/>
                <w:szCs w:val="20"/>
                <w:color w:val="auto"/>
              </w:rPr>
            </w:pPr>
            <w:r>
              <w:rPr>
                <w:rFonts w:ascii="Arial" w:cs="Arial" w:eastAsia="Arial" w:hAnsi="Arial"/>
                <w:sz w:val="8"/>
                <w:szCs w:val="8"/>
                <w:color w:val="FFFFFF"/>
              </w:rPr>
              <w:t>3%</w:t>
            </w: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&lt;1% 5%</w:t>
            </w:r>
          </w:p>
        </w:tc>
        <w:tc>
          <w:tcPr>
            <w:tcW w:w="0" w:type="dxa"/>
            <w:vAlign w:val="bottom"/>
          </w:tcPr>
          <w:p>
            <w:pPr>
              <w:spacing w:after="0" w:line="20" w:lineRule="exact"/>
              <w:rPr>
                <w:sz w:val="1"/>
                <w:szCs w:val="1"/>
                <w:color w:val="auto"/>
              </w:rPr>
            </w:pPr>
          </w:p>
        </w:tc>
      </w:tr>
      <w:tr>
        <w:trPr>
          <w:trHeight w:val="35"/>
        </w:trPr>
        <w:tc>
          <w:tcPr>
            <w:tcW w:w="160" w:type="dxa"/>
            <w:vAlign w:val="bottom"/>
            <w:vMerge w:val="continue"/>
          </w:tcPr>
          <w:p>
            <w:pPr>
              <w:spacing w:after="0"/>
              <w:rPr>
                <w:sz w:val="3"/>
                <w:szCs w:val="3"/>
                <w:color w:val="auto"/>
              </w:rPr>
            </w:pP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13%</w:t>
            </w:r>
          </w:p>
        </w:tc>
        <w:tc>
          <w:tcPr>
            <w:tcW w:w="0" w:type="dxa"/>
            <w:vAlign w:val="bottom"/>
          </w:tcPr>
          <w:p>
            <w:pPr>
              <w:spacing w:after="0" w:line="20" w:lineRule="exact"/>
              <w:rPr>
                <w:sz w:val="1"/>
                <w:szCs w:val="1"/>
                <w:color w:val="auto"/>
              </w:rPr>
            </w:pPr>
          </w:p>
        </w:tc>
      </w:tr>
      <w:tr>
        <w:trPr>
          <w:trHeight w:val="35"/>
        </w:trPr>
        <w:tc>
          <w:tcPr>
            <w:tcW w:w="6100" w:type="dxa"/>
            <w:vAlign w:val="bottom"/>
            <w:gridSpan w:val="3"/>
          </w:tcPr>
          <w:p>
            <w:pPr>
              <w:spacing w:after="0" w:line="36" w:lineRule="exact"/>
              <w:rPr>
                <w:sz w:val="20"/>
                <w:szCs w:val="20"/>
                <w:color w:val="auto"/>
              </w:rPr>
            </w:pPr>
            <w:r>
              <w:rPr>
                <w:rFonts w:ascii="Arial" w:cs="Arial" w:eastAsia="Arial" w:hAnsi="Arial"/>
                <w:sz w:val="4"/>
                <w:szCs w:val="4"/>
                <w:color w:val="FFFFFF"/>
              </w:rPr>
              <w:t>$132 0% 7% 0% $104 90% 90%</w:t>
            </w:r>
          </w:p>
        </w:tc>
        <w:tc>
          <w:tcPr>
            <w:tcW w:w="0" w:type="dxa"/>
            <w:vAlign w:val="bottom"/>
          </w:tcPr>
          <w:p>
            <w:pPr>
              <w:spacing w:after="0" w:line="20" w:lineRule="exact"/>
              <w:rPr>
                <w:sz w:val="1"/>
                <w:szCs w:val="1"/>
                <w:color w:val="auto"/>
              </w:rPr>
            </w:pPr>
          </w:p>
        </w:tc>
      </w:tr>
      <w:tr>
        <w:trPr>
          <w:trHeight w:val="35"/>
        </w:trPr>
        <w:tc>
          <w:tcPr>
            <w:tcW w:w="160" w:type="dxa"/>
            <w:vAlign w:val="bottom"/>
          </w:tcPr>
          <w:p>
            <w:pPr>
              <w:spacing w:after="0" w:line="36" w:lineRule="exact"/>
              <w:rPr>
                <w:sz w:val="20"/>
                <w:szCs w:val="20"/>
                <w:color w:val="auto"/>
              </w:rPr>
            </w:pPr>
            <w:r>
              <w:rPr>
                <w:rFonts w:ascii="Arial" w:cs="Arial" w:eastAsia="Arial" w:hAnsi="Arial"/>
                <w:sz w:val="4"/>
                <w:szCs w:val="4"/>
                <w:color w:val="FFFFFF"/>
              </w:rPr>
              <w:t>9%</w:t>
            </w: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89% 89%</w:t>
            </w:r>
          </w:p>
        </w:tc>
        <w:tc>
          <w:tcPr>
            <w:tcW w:w="0" w:type="dxa"/>
            <w:vAlign w:val="bottom"/>
          </w:tcPr>
          <w:p>
            <w:pPr>
              <w:spacing w:after="0" w:line="20" w:lineRule="exact"/>
              <w:rPr>
                <w:sz w:val="1"/>
                <w:szCs w:val="1"/>
                <w:color w:val="auto"/>
              </w:rPr>
            </w:pPr>
          </w:p>
        </w:tc>
      </w:tr>
      <w:tr>
        <w:trPr>
          <w:trHeight w:val="35"/>
        </w:trPr>
        <w:tc>
          <w:tcPr>
            <w:tcW w:w="160" w:type="dxa"/>
            <w:vAlign w:val="bottom"/>
          </w:tcPr>
          <w:p>
            <w:pPr>
              <w:spacing w:after="0" w:line="36" w:lineRule="exact"/>
              <w:rPr>
                <w:sz w:val="20"/>
                <w:szCs w:val="20"/>
                <w:color w:val="auto"/>
              </w:rPr>
            </w:pPr>
            <w:r>
              <w:rPr>
                <w:rFonts w:ascii="Arial" w:cs="Arial" w:eastAsia="Arial" w:hAnsi="Arial"/>
                <w:sz w:val="4"/>
                <w:szCs w:val="4"/>
                <w:color w:val="FFFFFF"/>
              </w:rPr>
              <w:t>6%</w:t>
            </w: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$84 86% 88%</w:t>
            </w:r>
          </w:p>
        </w:tc>
        <w:tc>
          <w:tcPr>
            <w:tcW w:w="0" w:type="dxa"/>
            <w:vAlign w:val="bottom"/>
          </w:tcPr>
          <w:p>
            <w:pPr>
              <w:spacing w:after="0" w:line="20" w:lineRule="exact"/>
              <w:rPr>
                <w:sz w:val="1"/>
                <w:szCs w:val="1"/>
                <w:color w:val="auto"/>
              </w:rPr>
            </w:pPr>
          </w:p>
        </w:tc>
      </w:tr>
      <w:tr>
        <w:trPr>
          <w:trHeight w:val="35"/>
        </w:trPr>
        <w:tc>
          <w:tcPr>
            <w:tcW w:w="160" w:type="dxa"/>
            <w:vAlign w:val="bottom"/>
            <w:vMerge w:val="restart"/>
          </w:tcPr>
          <w:p>
            <w:pPr>
              <w:spacing w:after="0" w:line="2" w:lineRule="exact"/>
              <w:rPr>
                <w:sz w:val="20"/>
                <w:szCs w:val="20"/>
                <w:color w:val="auto"/>
              </w:rPr>
            </w:pPr>
            <w:r>
              <w:rPr>
                <w:rFonts w:ascii="Arial" w:cs="Arial" w:eastAsia="Arial" w:hAnsi="Arial"/>
                <w:sz w:val="1"/>
                <w:szCs w:val="1"/>
                <w:color w:val="FFFFFF"/>
              </w:rPr>
              <w:t>0%</w:t>
            </w:r>
          </w:p>
        </w:tc>
        <w:tc>
          <w:tcPr>
            <w:tcW w:w="5940" w:type="dxa"/>
            <w:vAlign w:val="bottom"/>
            <w:gridSpan w:val="2"/>
          </w:tcPr>
          <w:p>
            <w:pPr>
              <w:ind w:left="20"/>
              <w:spacing w:after="0" w:line="36" w:lineRule="exact"/>
              <w:rPr>
                <w:sz w:val="20"/>
                <w:szCs w:val="20"/>
                <w:color w:val="auto"/>
              </w:rPr>
            </w:pPr>
            <w:r>
              <w:rPr>
                <w:rFonts w:ascii="Arial" w:cs="Arial" w:eastAsia="Arial" w:hAnsi="Arial"/>
                <w:sz w:val="4"/>
                <w:szCs w:val="4"/>
                <w:color w:val="FFFFFF"/>
              </w:rPr>
              <w:t>0% 86% 8%</w:t>
            </w:r>
          </w:p>
        </w:tc>
        <w:tc>
          <w:tcPr>
            <w:tcW w:w="0" w:type="dxa"/>
            <w:vAlign w:val="bottom"/>
          </w:tcPr>
          <w:p>
            <w:pPr>
              <w:spacing w:after="0" w:line="20" w:lineRule="exact"/>
              <w:rPr>
                <w:sz w:val="1"/>
                <w:szCs w:val="1"/>
                <w:color w:val="auto"/>
              </w:rPr>
            </w:pPr>
          </w:p>
        </w:tc>
      </w:tr>
      <w:tr>
        <w:trPr>
          <w:trHeight w:val="0"/>
        </w:trPr>
        <w:tc>
          <w:tcPr>
            <w:tcW w:w="160" w:type="dxa"/>
            <w:vAlign w:val="bottom"/>
            <w:vMerge w:val="continue"/>
          </w:tcPr>
          <w:p>
            <w:pPr>
              <w:spacing w:after="0" w:line="20" w:lineRule="exact"/>
              <w:rPr>
                <w:sz w:val="1"/>
                <w:szCs w:val="1"/>
                <w:color w:val="auto"/>
              </w:rPr>
            </w:pPr>
          </w:p>
        </w:tc>
        <w:tc>
          <w:tcPr>
            <w:tcW w:w="5940" w:type="dxa"/>
            <w:vAlign w:val="bottom"/>
            <w:gridSpan w:val="2"/>
          </w:tcPr>
          <w:p>
            <w:pPr>
              <w:ind w:left="20"/>
              <w:spacing w:after="0"/>
              <w:rPr>
                <w:sz w:val="20"/>
                <w:szCs w:val="20"/>
                <w:color w:val="auto"/>
              </w:rPr>
            </w:pPr>
            <w:r>
              <w:rPr>
                <w:rFonts w:ascii="Arial" w:cs="Arial" w:eastAsia="Arial" w:hAnsi="Arial"/>
                <w:sz w:val="2"/>
                <w:szCs w:val="2"/>
                <w:color w:val="FFFFFF"/>
              </w:rPr>
              <w:t>93%</w:t>
            </w:r>
          </w:p>
        </w:tc>
        <w:tc>
          <w:tcPr>
            <w:tcW w:w="0" w:type="dxa"/>
            <w:vAlign w:val="bottom"/>
          </w:tcPr>
          <w:p>
            <w:pPr>
              <w:spacing w:after="0" w:line="20" w:lineRule="exact"/>
              <w:rPr>
                <w:sz w:val="1"/>
                <w:szCs w:val="1"/>
                <w:color w:val="auto"/>
              </w:rPr>
            </w:pPr>
          </w:p>
        </w:tc>
      </w:tr>
    </w:tbl>
    <w:p>
      <w:pPr>
        <w:spacing w:after="0" w:line="185" w:lineRule="auto"/>
        <w:rPr>
          <w:sz w:val="20"/>
          <w:szCs w:val="20"/>
          <w:color w:val="auto"/>
        </w:rPr>
      </w:pPr>
      <w:r>
        <w:rPr>
          <w:rFonts w:ascii="Arial" w:cs="Arial" w:eastAsia="Arial" w:hAnsi="Arial"/>
          <w:sz w:val="8"/>
          <w:szCs w:val="8"/>
          <w:color w:val="FFFFFF"/>
        </w:rPr>
        <w:t>92%</w:t>
      </w:r>
      <w:r>
        <w:rPr>
          <w:rFonts w:ascii="Arial" w:cs="Arial" w:eastAsia="Arial" w:hAnsi="Arial"/>
          <w:sz w:val="12"/>
          <w:szCs w:val="12"/>
          <w:color w:val="FFFFFF"/>
          <w:vertAlign w:val="superscript"/>
        </w:rPr>
        <w:t>85%</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 TSLX (NYSE) 32</w:t>
      </w:r>
    </w:p>
    <w:p>
      <w:pPr>
        <w:sectPr>
          <w:pgSz w:w="11900" w:h="16838" w:orient="portrait"/>
          <w:cols w:equalWidth="0" w:num="1">
            <w:col w:w="10219"/>
          </w:cols>
          <w:pgMar w:left="2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60" w:type="dxa"/>
            <w:vAlign w:val="bottom"/>
            <w:gridSpan w:val="5"/>
          </w:tcPr>
          <w:p>
            <w:pPr>
              <w:spacing w:after="0"/>
              <w:rPr>
                <w:sz w:val="20"/>
                <w:szCs w:val="20"/>
                <w:color w:val="auto"/>
              </w:rPr>
            </w:pPr>
            <w:r>
              <w:rPr>
                <w:rFonts w:ascii="Arial" w:cs="Arial" w:eastAsia="Arial" w:hAnsi="Arial"/>
                <w:sz w:val="12"/>
                <w:szCs w:val="12"/>
                <w:color w:val="FFFFFF"/>
              </w:rPr>
              <w:t>Portfolio Highlights – Diversification Across Borrower and Industry</w:t>
            </w:r>
          </w:p>
        </w:tc>
        <w:tc>
          <w:tcPr>
            <w:tcW w:w="0" w:type="dxa"/>
            <w:vAlign w:val="bottom"/>
          </w:tcPr>
          <w:p>
            <w:pPr>
              <w:spacing w:after="0"/>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Borrower Diversification Industry Diversification</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Mediware Information Systems, Inc. Insurity Inc.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Healthcare and pharmaceuticals Business services Actian Corporation AFS Technologies (2)</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My Alarm Center LLC Rogue Wave Software, Inc. Financial services Oil, gas and consumable fuels Milagro Exploration, LLC Kewill Ltd Saba Software Highwinds Capital, Inc. Hotel, gaming, and leisure Insurance Toys R Us Global</w:t>
            </w:r>
          </w:p>
        </w:tc>
        <w:tc>
          <w:tcPr>
            <w:tcW w:w="0" w:type="dxa"/>
            <w:vAlign w:val="bottom"/>
          </w:tcPr>
          <w:p>
            <w:pPr>
              <w:spacing w:after="0" w:line="20" w:lineRule="exact"/>
              <w:rPr>
                <w:sz w:val="1"/>
                <w:szCs w:val="1"/>
                <w:color w:val="auto"/>
              </w:rPr>
            </w:pPr>
          </w:p>
        </w:tc>
      </w:tr>
      <w:tr>
        <w:trPr>
          <w:trHeight w:val="35"/>
        </w:trPr>
        <w:tc>
          <w:tcPr>
            <w:tcW w:w="520" w:type="dxa"/>
            <w:vAlign w:val="bottom"/>
            <w:gridSpan w:val="4"/>
          </w:tcPr>
          <w:p>
            <w:pPr>
              <w:spacing w:after="0" w:line="36" w:lineRule="exact"/>
              <w:rPr>
                <w:sz w:val="20"/>
                <w:szCs w:val="20"/>
                <w:color w:val="auto"/>
              </w:rPr>
            </w:pPr>
            <w:r>
              <w:rPr>
                <w:rFonts w:ascii="Arial" w:cs="Arial" w:eastAsia="Arial" w:hAnsi="Arial"/>
                <w:sz w:val="4"/>
                <w:szCs w:val="4"/>
                <w:color w:val="FFFFFF"/>
              </w:rPr>
              <w:t>Healthcare</w:t>
            </w:r>
          </w:p>
        </w:tc>
        <w:tc>
          <w:tcPr>
            <w:tcW w:w="10540" w:type="dxa"/>
            <w:vAlign w:val="bottom"/>
          </w:tcPr>
          <w:p>
            <w:pPr>
              <w:ind w:left="20"/>
              <w:spacing w:after="0" w:line="36" w:lineRule="exact"/>
              <w:rPr>
                <w:sz w:val="20"/>
                <w:szCs w:val="20"/>
                <w:color w:val="auto"/>
              </w:rPr>
            </w:pPr>
            <w:r>
              <w:rPr>
                <w:rFonts w:ascii="Arial" w:cs="Arial" w:eastAsia="Arial" w:hAnsi="Arial"/>
                <w:sz w:val="4"/>
                <w:szCs w:val="4"/>
                <w:color w:val="FFFFFF"/>
              </w:rPr>
              <w:t>Exchange, LLC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Beverage, food, and tobacco Transportation Mississippi Resources Embarcadero Technologies, Inc.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Infogix, Inc. ECI Acquisition Holdings, Inc. Electronics Retail SRS Software IRG Sports</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Aesynt, Inc. Heartland Automotive Holdings, Inc. Human resource support services Internet services Soho House Bond LTD PayLease, LLC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Office products Automotive Helix Health Network Merchants, LLC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Longview Solutions, Inc Campus Management, Inc.</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1000" w:type="dxa"/>
            <w:vAlign w:val="bottom"/>
            <w:gridSpan w:val="4"/>
          </w:tcPr>
          <w:p>
            <w:pPr>
              <w:ind w:left="20"/>
              <w:spacing w:after="0" w:line="36" w:lineRule="exact"/>
              <w:rPr>
                <w:sz w:val="20"/>
                <w:szCs w:val="20"/>
                <w:color w:val="auto"/>
              </w:rPr>
            </w:pPr>
            <w:r>
              <w:rPr>
                <w:rFonts w:ascii="Arial" w:cs="Arial" w:eastAsia="Arial" w:hAnsi="Arial"/>
                <w:sz w:val="4"/>
                <w:szCs w:val="4"/>
                <w:color w:val="FFFFFF"/>
              </w:rPr>
              <w:t>runchTime Information Systems, Inc. Jeeves II—BV Acquisitions AB Education Manufacturing Great Atlantic &amp; Pacific Tea Co. Inc. (The) Clarabridge, Inc. Metals and mining Chemicals Metalico, Inc. ScentAir Technologies, Inc.</w:t>
            </w:r>
          </w:p>
        </w:tc>
        <w:tc>
          <w:tcPr>
            <w:tcW w:w="0" w:type="dxa"/>
            <w:vAlign w:val="bottom"/>
          </w:tcPr>
          <w:p>
            <w:pPr>
              <w:spacing w:after="0" w:line="20" w:lineRule="exact"/>
              <w:rPr>
                <w:sz w:val="1"/>
                <w:szCs w:val="1"/>
                <w:color w:val="auto"/>
              </w:rPr>
            </w:pPr>
          </w:p>
        </w:tc>
      </w:tr>
      <w:tr>
        <w:trPr>
          <w:trHeight w:val="35"/>
        </w:trPr>
        <w:tc>
          <w:tcPr>
            <w:tcW w:w="340" w:type="dxa"/>
            <w:vAlign w:val="bottom"/>
            <w:gridSpan w:val="3"/>
          </w:tcPr>
          <w:p>
            <w:pPr>
              <w:spacing w:after="0" w:line="36" w:lineRule="exact"/>
              <w:rPr>
                <w:sz w:val="20"/>
                <w:szCs w:val="20"/>
                <w:color w:val="auto"/>
              </w:rPr>
            </w:pPr>
            <w:r>
              <w:rPr>
                <w:rFonts w:ascii="Arial" w:cs="Arial" w:eastAsia="Arial" w:hAnsi="Arial"/>
                <w:sz w:val="4"/>
                <w:szCs w:val="4"/>
                <w:color w:val="FFFFFF"/>
              </w:rPr>
              <w:t>Carrix,</w:t>
            </w:r>
          </w:p>
        </w:tc>
        <w:tc>
          <w:tcPr>
            <w:tcW w:w="10720" w:type="dxa"/>
            <w:vAlign w:val="bottom"/>
            <w:gridSpan w:val="2"/>
          </w:tcPr>
          <w:p>
            <w:pPr>
              <w:ind w:left="20"/>
              <w:spacing w:after="0" w:line="36" w:lineRule="exact"/>
              <w:rPr>
                <w:sz w:val="20"/>
                <w:szCs w:val="20"/>
                <w:color w:val="auto"/>
              </w:rPr>
            </w:pPr>
            <w:r>
              <w:rPr>
                <w:rFonts w:ascii="Arial" w:cs="Arial" w:eastAsia="Arial" w:hAnsi="Arial"/>
                <w:sz w:val="4"/>
                <w:szCs w:val="4"/>
                <w:color w:val="FFFFFF"/>
              </w:rPr>
              <w:t>Inc. Centaur LLC Other Key Energy Vertellus Specialties, Inc.</w:t>
            </w:r>
          </w:p>
        </w:tc>
        <w:tc>
          <w:tcPr>
            <w:tcW w:w="0" w:type="dxa"/>
            <w:vAlign w:val="bottom"/>
          </w:tcPr>
          <w:p>
            <w:pPr>
              <w:spacing w:after="0" w:line="20" w:lineRule="exact"/>
              <w:rPr>
                <w:sz w:val="1"/>
                <w:szCs w:val="1"/>
                <w:color w:val="auto"/>
              </w:rPr>
            </w:pPr>
          </w:p>
        </w:tc>
      </w:tr>
      <w:tr>
        <w:trPr>
          <w:trHeight w:val="35"/>
        </w:trPr>
        <w:tc>
          <w:tcPr>
            <w:tcW w:w="11060" w:type="dxa"/>
            <w:vAlign w:val="bottom"/>
            <w:gridSpan w:val="5"/>
          </w:tcPr>
          <w:p>
            <w:pPr>
              <w:spacing w:after="0" w:line="36" w:lineRule="exact"/>
              <w:rPr>
                <w:sz w:val="20"/>
                <w:szCs w:val="20"/>
                <w:color w:val="auto"/>
              </w:rPr>
            </w:pPr>
            <w:r>
              <w:rPr>
                <w:rFonts w:ascii="Arial" w:cs="Arial" w:eastAsia="Arial" w:hAnsi="Arial"/>
                <w:sz w:val="4"/>
                <w:szCs w:val="4"/>
                <w:color w:val="FFFFFF"/>
              </w:rPr>
              <w:t>APX Group Quicksilver Symphony 0.7%0. 7% Sears</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7%</w:t>
            </w:r>
          </w:p>
        </w:tc>
        <w:tc>
          <w:tcPr>
            <w:tcW w:w="80" w:type="dxa"/>
            <w:vAlign w:val="bottom"/>
          </w:tcPr>
          <w:p>
            <w:pPr>
              <w:spacing w:after="0"/>
              <w:rPr>
                <w:sz w:val="3"/>
                <w:szCs w:val="3"/>
                <w:color w:val="auto"/>
              </w:rPr>
            </w:pPr>
          </w:p>
        </w:tc>
        <w:tc>
          <w:tcPr>
            <w:tcW w:w="180" w:type="dxa"/>
            <w:vAlign w:val="bottom"/>
          </w:tcPr>
          <w:p>
            <w:pPr>
              <w:jc w:val="right"/>
              <w:spacing w:after="0" w:line="36" w:lineRule="exact"/>
              <w:rPr>
                <w:sz w:val="20"/>
                <w:szCs w:val="20"/>
                <w:color w:val="auto"/>
              </w:rPr>
            </w:pPr>
            <w:r>
              <w:rPr>
                <w:rFonts w:ascii="Arial" w:cs="Arial" w:eastAsia="Arial" w:hAnsi="Arial"/>
                <w:sz w:val="4"/>
                <w:szCs w:val="4"/>
                <w:color w:val="FFFFFF"/>
              </w:rPr>
              <w:t>6%</w:t>
            </w:r>
          </w:p>
        </w:tc>
        <w:tc>
          <w:tcPr>
            <w:tcW w:w="10540" w:type="dxa"/>
            <w:vAlign w:val="bottom"/>
          </w:tcPr>
          <w:p>
            <w:pPr>
              <w:ind w:left="20"/>
              <w:spacing w:after="0" w:line="36" w:lineRule="exact"/>
              <w:rPr>
                <w:sz w:val="20"/>
                <w:szCs w:val="20"/>
                <w:color w:val="auto"/>
              </w:rPr>
            </w:pPr>
            <w:r>
              <w:rPr>
                <w:rFonts w:ascii="Arial" w:cs="Arial" w:eastAsia="Arial" w:hAnsi="Arial"/>
                <w:sz w:val="4"/>
                <w:szCs w:val="4"/>
                <w:color w:val="FFFFFF"/>
              </w:rPr>
              <w:t>0 5%</w:t>
            </w: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0 9%</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0 4%</w:t>
            </w:r>
          </w:p>
        </w:tc>
        <w:tc>
          <w:tcPr>
            <w:tcW w:w="10540" w:type="dxa"/>
            <w:vAlign w:val="bottom"/>
          </w:tcPr>
          <w:p>
            <w:pPr>
              <w:ind w:left="20"/>
              <w:spacing w:after="0" w:line="36" w:lineRule="exact"/>
              <w:rPr>
                <w:sz w:val="20"/>
                <w:szCs w:val="20"/>
                <w:color w:val="auto"/>
              </w:rPr>
            </w:pPr>
            <w:r>
              <w:rPr>
                <w:rFonts w:ascii="Arial" w:cs="Arial" w:eastAsia="Arial" w:hAnsi="Arial"/>
                <w:sz w:val="4"/>
                <w:szCs w:val="4"/>
                <w:color w:val="FFFFFF"/>
              </w:rPr>
              <w:t>1.3% 0.7%</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1</w:t>
            </w:r>
          </w:p>
        </w:tc>
        <w:tc>
          <w:tcPr>
            <w:tcW w:w="20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2%</w:t>
            </w:r>
          </w:p>
        </w:tc>
        <w:tc>
          <w:tcPr>
            <w:tcW w:w="260" w:type="dxa"/>
            <w:vAlign w:val="bottom"/>
            <w:gridSpan w:val="2"/>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0</w:t>
            </w:r>
          </w:p>
        </w:tc>
        <w:tc>
          <w:tcPr>
            <w:tcW w:w="200" w:type="dxa"/>
            <w:vAlign w:val="bottom"/>
            <w:vMerge w:val="continue"/>
          </w:tcPr>
          <w:p>
            <w:pPr>
              <w:spacing w:after="0"/>
              <w:rPr>
                <w:sz w:val="3"/>
                <w:szCs w:val="3"/>
                <w:color w:val="auto"/>
              </w:rPr>
            </w:pP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1.8%</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3%</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4.9%</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1 6%</w:t>
            </w:r>
          </w:p>
        </w:tc>
        <w:tc>
          <w:tcPr>
            <w:tcW w:w="260" w:type="dxa"/>
            <w:vAlign w:val="bottom"/>
            <w:gridSpan w:val="2"/>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2</w:t>
            </w: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0%</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2.4%</w:t>
            </w:r>
          </w:p>
        </w:tc>
        <w:tc>
          <w:tcPr>
            <w:tcW w:w="1054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15.7%</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4</w:t>
            </w:r>
          </w:p>
        </w:tc>
        <w:tc>
          <w:tcPr>
            <w:tcW w:w="200" w:type="dxa"/>
            <w:vAlign w:val="bottom"/>
            <w:vMerge w:val="restart"/>
          </w:tcPr>
          <w:p>
            <w:pPr>
              <w:jc w:val="right"/>
              <w:spacing w:after="0" w:line="106" w:lineRule="exact"/>
              <w:rPr>
                <w:sz w:val="20"/>
                <w:szCs w:val="20"/>
                <w:color w:val="auto"/>
              </w:rPr>
            </w:pPr>
            <w:r>
              <w:rPr>
                <w:rFonts w:ascii="Arial" w:cs="Arial" w:eastAsia="Arial" w:hAnsi="Arial"/>
                <w:sz w:val="12"/>
                <w:szCs w:val="12"/>
                <w:color w:val="FFFFFF"/>
                <w:w w:val="91"/>
              </w:rPr>
              <w:t>6%</w:t>
            </w:r>
          </w:p>
        </w:tc>
        <w:tc>
          <w:tcPr>
            <w:tcW w:w="260" w:type="dxa"/>
            <w:vAlign w:val="bottom"/>
            <w:gridSpan w:val="2"/>
            <w:vMerge w:val="continue"/>
          </w:tcPr>
          <w:p>
            <w:pPr>
              <w:spacing w:after="0"/>
              <w:rPr>
                <w:sz w:val="3"/>
                <w:szCs w:val="3"/>
                <w:color w:val="auto"/>
              </w:rPr>
            </w:pPr>
          </w:p>
        </w:tc>
        <w:tc>
          <w:tcPr>
            <w:tcW w:w="10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
        </w:trPr>
        <w:tc>
          <w:tcPr>
            <w:tcW w:w="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jc w:val="right"/>
              <w:spacing w:after="0" w:line="71" w:lineRule="exact"/>
              <w:rPr>
                <w:sz w:val="20"/>
                <w:szCs w:val="20"/>
                <w:color w:val="auto"/>
              </w:rPr>
            </w:pPr>
            <w:r>
              <w:rPr>
                <w:rFonts w:ascii="Arial" w:cs="Arial" w:eastAsia="Arial" w:hAnsi="Arial"/>
                <w:sz w:val="8"/>
                <w:szCs w:val="8"/>
                <w:color w:val="FFFFFF"/>
                <w:w w:val="88"/>
              </w:rPr>
              <w:t>2</w:t>
            </w:r>
          </w:p>
        </w:tc>
        <w:tc>
          <w:tcPr>
            <w:tcW w:w="180" w:type="dxa"/>
            <w:vAlign w:val="bottom"/>
            <w:vMerge w:val="restart"/>
          </w:tcPr>
          <w:p>
            <w:pPr>
              <w:jc w:val="right"/>
              <w:spacing w:after="0" w:line="106" w:lineRule="exact"/>
              <w:rPr>
                <w:sz w:val="20"/>
                <w:szCs w:val="20"/>
                <w:color w:val="auto"/>
              </w:rPr>
            </w:pPr>
            <w:r>
              <w:rPr>
                <w:rFonts w:ascii="Arial" w:cs="Arial" w:eastAsia="Arial" w:hAnsi="Arial"/>
                <w:sz w:val="12"/>
                <w:szCs w:val="12"/>
                <w:color w:val="FFFFFF"/>
                <w:w w:val="91"/>
              </w:rPr>
              <w:t>6%</w:t>
            </w:r>
          </w:p>
        </w:tc>
        <w:tc>
          <w:tcPr>
            <w:tcW w:w="10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1 8%</w:t>
            </w:r>
          </w:p>
        </w:tc>
        <w:tc>
          <w:tcPr>
            <w:tcW w:w="80" w:type="dxa"/>
            <w:vAlign w:val="bottom"/>
          </w:tcPr>
          <w:p>
            <w:pPr>
              <w:jc w:val="right"/>
              <w:spacing w:after="0" w:line="36" w:lineRule="exact"/>
              <w:rPr>
                <w:sz w:val="20"/>
                <w:szCs w:val="20"/>
                <w:color w:val="auto"/>
              </w:rPr>
            </w:pPr>
            <w:r>
              <w:rPr>
                <w:rFonts w:ascii="Arial" w:cs="Arial" w:eastAsia="Arial" w:hAnsi="Arial"/>
                <w:sz w:val="4"/>
                <w:szCs w:val="4"/>
                <w:color w:val="FFFFFF"/>
              </w:rPr>
              <w:t>4</w:t>
            </w:r>
          </w:p>
        </w:tc>
        <w:tc>
          <w:tcPr>
            <w:tcW w:w="180" w:type="dxa"/>
            <w:vAlign w:val="bottom"/>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0%</w:t>
            </w:r>
          </w:p>
        </w:tc>
        <w:tc>
          <w:tcPr>
            <w:tcW w:w="80" w:type="dxa"/>
            <w:vAlign w:val="bottom"/>
          </w:tcPr>
          <w:p>
            <w:pPr>
              <w:jc w:val="right"/>
              <w:spacing w:after="0" w:line="36" w:lineRule="exact"/>
              <w:rPr>
                <w:sz w:val="20"/>
                <w:szCs w:val="20"/>
                <w:color w:val="auto"/>
              </w:rPr>
            </w:pPr>
            <w:r>
              <w:rPr>
                <w:rFonts w:ascii="Arial" w:cs="Arial" w:eastAsia="Arial" w:hAnsi="Arial"/>
                <w:sz w:val="4"/>
                <w:szCs w:val="4"/>
                <w:color w:val="FFFFFF"/>
              </w:rPr>
              <w:t>3</w:t>
            </w:r>
          </w:p>
        </w:tc>
        <w:tc>
          <w:tcPr>
            <w:tcW w:w="180" w:type="dxa"/>
            <w:vAlign w:val="bottom"/>
          </w:tcPr>
          <w:p>
            <w:pPr>
              <w:jc w:val="right"/>
              <w:spacing w:after="0" w:line="36" w:lineRule="exact"/>
              <w:rPr>
                <w:sz w:val="20"/>
                <w:szCs w:val="20"/>
                <w:color w:val="auto"/>
              </w:rPr>
            </w:pPr>
            <w:r>
              <w:rPr>
                <w:rFonts w:ascii="Arial" w:cs="Arial" w:eastAsia="Arial" w:hAnsi="Arial"/>
                <w:sz w:val="4"/>
                <w:szCs w:val="4"/>
                <w:color w:val="FFFFFF"/>
              </w:rPr>
              <w:t>9%</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2 1%</w:t>
            </w: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4.5%</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9%</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2%</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4.5%</w:t>
            </w:r>
          </w:p>
        </w:tc>
        <w:tc>
          <w:tcPr>
            <w:tcW w:w="1054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4.2%</w:t>
            </w: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2.3%</w:t>
            </w:r>
          </w:p>
        </w:tc>
        <w:tc>
          <w:tcPr>
            <w:tcW w:w="260" w:type="dxa"/>
            <w:vAlign w:val="bottom"/>
            <w:gridSpan w:val="2"/>
            <w:vMerge w:val="continue"/>
          </w:tcPr>
          <w:p>
            <w:pPr>
              <w:spacing w:after="0"/>
              <w:rPr>
                <w:sz w:val="3"/>
                <w:szCs w:val="3"/>
                <w:color w:val="auto"/>
              </w:rPr>
            </w:pPr>
          </w:p>
        </w:tc>
        <w:tc>
          <w:tcPr>
            <w:tcW w:w="10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40" w:type="dxa"/>
            <w:vAlign w:val="bottom"/>
            <w:gridSpan w:val="3"/>
          </w:tcPr>
          <w:p>
            <w:pPr>
              <w:spacing w:after="0" w:line="36" w:lineRule="exact"/>
              <w:rPr>
                <w:sz w:val="20"/>
                <w:szCs w:val="20"/>
                <w:color w:val="auto"/>
              </w:rPr>
            </w:pPr>
            <w:r>
              <w:rPr>
                <w:rFonts w:ascii="Arial" w:cs="Arial" w:eastAsia="Arial" w:hAnsi="Arial"/>
                <w:sz w:val="4"/>
                <w:szCs w:val="4"/>
                <w:color w:val="FFFFFF"/>
              </w:rPr>
              <w:t>11.7%</w:t>
            </w:r>
          </w:p>
        </w:tc>
        <w:tc>
          <w:tcPr>
            <w:tcW w:w="180" w:type="dxa"/>
            <w:vAlign w:val="bottom"/>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2 3%</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5.2%</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4</w:t>
            </w: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5%</w:t>
            </w:r>
          </w:p>
        </w:tc>
        <w:tc>
          <w:tcPr>
            <w:tcW w:w="260" w:type="dxa"/>
            <w:vAlign w:val="bottom"/>
            <w:gridSpan w:val="2"/>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
        </w:trPr>
        <w:tc>
          <w:tcPr>
            <w:tcW w:w="60" w:type="dxa"/>
            <w:vAlign w:val="bottom"/>
          </w:tcPr>
          <w:p>
            <w:pPr>
              <w:spacing w:after="0" w:line="71" w:lineRule="exact"/>
              <w:rPr>
                <w:sz w:val="20"/>
                <w:szCs w:val="20"/>
                <w:color w:val="auto"/>
              </w:rPr>
            </w:pPr>
            <w:r>
              <w:rPr>
                <w:rFonts w:ascii="Arial" w:cs="Arial" w:eastAsia="Arial" w:hAnsi="Arial"/>
                <w:sz w:val="8"/>
                <w:szCs w:val="8"/>
                <w:color w:val="FFFFFF"/>
                <w:w w:val="88"/>
              </w:rPr>
              <w:t>2</w:t>
            </w:r>
          </w:p>
        </w:tc>
        <w:tc>
          <w:tcPr>
            <w:tcW w:w="200" w:type="dxa"/>
            <w:vAlign w:val="bottom"/>
          </w:tcPr>
          <w:p>
            <w:pPr>
              <w:spacing w:after="0"/>
              <w:rPr>
                <w:sz w:val="6"/>
                <w:szCs w:val="6"/>
                <w:color w:val="auto"/>
              </w:rPr>
            </w:pPr>
          </w:p>
        </w:tc>
        <w:tc>
          <w:tcPr>
            <w:tcW w:w="260" w:type="dxa"/>
            <w:vAlign w:val="bottom"/>
            <w:gridSpan w:val="2"/>
            <w:vMerge w:val="restart"/>
          </w:tcPr>
          <w:p>
            <w:pPr>
              <w:jc w:val="right"/>
              <w:spacing w:after="0" w:line="106" w:lineRule="exact"/>
              <w:rPr>
                <w:sz w:val="20"/>
                <w:szCs w:val="20"/>
                <w:color w:val="auto"/>
              </w:rPr>
            </w:pPr>
            <w:r>
              <w:rPr>
                <w:rFonts w:ascii="Arial" w:cs="Arial" w:eastAsia="Arial" w:hAnsi="Arial"/>
                <w:sz w:val="12"/>
                <w:szCs w:val="12"/>
                <w:color w:val="FFFFFF"/>
                <w:w w:val="87"/>
              </w:rPr>
              <w:t>5.3%</w:t>
            </w:r>
          </w:p>
        </w:tc>
        <w:tc>
          <w:tcPr>
            <w:tcW w:w="10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4</w:t>
            </w:r>
          </w:p>
        </w:tc>
        <w:tc>
          <w:tcPr>
            <w:tcW w:w="20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4%</w:t>
            </w:r>
          </w:p>
        </w:tc>
        <w:tc>
          <w:tcPr>
            <w:tcW w:w="260" w:type="dxa"/>
            <w:vAlign w:val="bottom"/>
            <w:gridSpan w:val="2"/>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2</w:t>
            </w:r>
          </w:p>
        </w:tc>
        <w:tc>
          <w:tcPr>
            <w:tcW w:w="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9</w:t>
            </w: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7%</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4 4%</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5%</w:t>
            </w:r>
          </w:p>
        </w:tc>
        <w:tc>
          <w:tcPr>
            <w:tcW w:w="260" w:type="dxa"/>
            <w:vAlign w:val="bottom"/>
            <w:gridSpan w:val="2"/>
            <w:vMerge w:val="continue"/>
          </w:tcPr>
          <w:p>
            <w:pPr>
              <w:spacing w:after="0"/>
              <w:rPr>
                <w:sz w:val="3"/>
                <w:szCs w:val="3"/>
                <w:color w:val="auto"/>
              </w:rPr>
            </w:pP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2 6%</w:t>
            </w: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6.2%</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9%</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8 4%</w:t>
            </w:r>
          </w:p>
        </w:tc>
        <w:tc>
          <w:tcPr>
            <w:tcW w:w="10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6%</w:t>
            </w:r>
          </w:p>
        </w:tc>
        <w:tc>
          <w:tcPr>
            <w:tcW w:w="260" w:type="dxa"/>
            <w:vAlign w:val="bottom"/>
            <w:gridSpan w:val="2"/>
            <w:vMerge w:val="continue"/>
          </w:tcPr>
          <w:p>
            <w:pPr>
              <w:spacing w:after="0"/>
              <w:rPr>
                <w:sz w:val="3"/>
                <w:szCs w:val="3"/>
                <w:color w:val="auto"/>
              </w:rPr>
            </w:pPr>
          </w:p>
        </w:tc>
        <w:tc>
          <w:tcPr>
            <w:tcW w:w="1054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7.3%</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7%</w:t>
            </w: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3.9%</w:t>
            </w:r>
          </w:p>
        </w:tc>
        <w:tc>
          <w:tcPr>
            <w:tcW w:w="10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2 8%</w:t>
            </w: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3.5%</w:t>
            </w:r>
          </w:p>
        </w:tc>
        <w:tc>
          <w:tcPr>
            <w:tcW w:w="1054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7.3%</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3%</w:t>
            </w:r>
          </w:p>
        </w:tc>
        <w:tc>
          <w:tcPr>
            <w:tcW w:w="260" w:type="dxa"/>
            <w:vAlign w:val="bottom"/>
            <w:gridSpan w:val="2"/>
            <w:vMerge w:val="continue"/>
          </w:tcPr>
          <w:p>
            <w:pPr>
              <w:spacing w:after="0"/>
              <w:rPr>
                <w:sz w:val="3"/>
                <w:szCs w:val="3"/>
                <w:color w:val="auto"/>
              </w:rPr>
            </w:pPr>
          </w:p>
        </w:tc>
        <w:tc>
          <w:tcPr>
            <w:tcW w:w="10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
        </w:trPr>
        <w:tc>
          <w:tcPr>
            <w:tcW w:w="260" w:type="dxa"/>
            <w:vAlign w:val="bottom"/>
            <w:gridSpan w:val="2"/>
          </w:tcPr>
          <w:p>
            <w:pPr>
              <w:jc w:val="right"/>
              <w:spacing w:after="0" w:line="2" w:lineRule="exact"/>
              <w:rPr>
                <w:sz w:val="20"/>
                <w:szCs w:val="20"/>
                <w:color w:val="auto"/>
              </w:rPr>
            </w:pPr>
            <w:r>
              <w:rPr>
                <w:rFonts w:ascii="Arial" w:cs="Arial" w:eastAsia="Arial" w:hAnsi="Arial"/>
                <w:sz w:val="1"/>
                <w:szCs w:val="1"/>
                <w:color w:val="FFFFFF"/>
              </w:rPr>
              <w:t>3.5%</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2"/>
          <w:szCs w:val="12"/>
          <w:color w:val="FFFFFF"/>
        </w:rPr>
        <w:t>?Note:TSLXNumbers(NYSE)may33 not sum to 100% due to rounding Based on fair value of investments</w:t>
      </w:r>
    </w:p>
    <w:p>
      <w:pPr>
        <w:sectPr>
          <w:pgSz w:w="11900" w:h="16838" w:orient="portrait"/>
          <w:cols w:equalWidth="0" w:num="1">
            <w:col w:w="11060"/>
          </w:cols>
          <w:pgMar w:left="240" w:top="1440" w:right="5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0" w:type="dxa"/>
            <w:vAlign w:val="bottom"/>
            <w:gridSpan w:val="6"/>
          </w:tcPr>
          <w:p>
            <w:pPr>
              <w:spacing w:after="0"/>
              <w:rPr>
                <w:sz w:val="20"/>
                <w:szCs w:val="20"/>
                <w:color w:val="auto"/>
              </w:rPr>
            </w:pPr>
            <w:r>
              <w:rPr>
                <w:rFonts w:ascii="Arial" w:cs="Arial" w:eastAsia="Arial" w:hAnsi="Arial"/>
                <w:sz w:val="12"/>
                <w:szCs w:val="12"/>
                <w:color w:val="FFFFFF"/>
              </w:rPr>
              <w:t>Portfolio Highlights – Net Interest Margin Analysis</w:t>
            </w:r>
          </w:p>
        </w:tc>
        <w:tc>
          <w:tcPr>
            <w:tcW w:w="0" w:type="dxa"/>
            <w:vAlign w:val="bottom"/>
          </w:tcPr>
          <w:p>
            <w:pPr>
              <w:spacing w:after="0"/>
              <w:rPr>
                <w:sz w:val="1"/>
                <w:szCs w:val="1"/>
                <w:color w:val="auto"/>
              </w:rPr>
            </w:pPr>
          </w:p>
        </w:tc>
      </w:tr>
      <w:tr>
        <w:trPr>
          <w:trHeight w:val="35"/>
        </w:trPr>
        <w:tc>
          <w:tcPr>
            <w:tcW w:w="1940" w:type="dxa"/>
            <w:vAlign w:val="bottom"/>
            <w:gridSpan w:val="5"/>
          </w:tcPr>
          <w:p>
            <w:pPr>
              <w:spacing w:after="0" w:line="36" w:lineRule="exact"/>
              <w:rPr>
                <w:sz w:val="20"/>
                <w:szCs w:val="20"/>
                <w:color w:val="auto"/>
              </w:rPr>
            </w:pPr>
            <w:r>
              <w:rPr>
                <w:rFonts w:ascii="Arial" w:cs="Arial" w:eastAsia="Arial" w:hAnsi="Arial"/>
                <w:sz w:val="4"/>
                <w:szCs w:val="4"/>
                <w:color w:val="FFFFFF"/>
              </w:rPr>
              <w:t>Weighted Average Total Yield on Debt</w:t>
            </w:r>
          </w:p>
        </w:tc>
        <w:tc>
          <w:tcPr>
            <w:tcW w:w="9460" w:type="dxa"/>
            <w:vAlign w:val="bottom"/>
          </w:tcPr>
          <w:p>
            <w:pPr>
              <w:ind w:left="100"/>
              <w:spacing w:after="0" w:line="36" w:lineRule="exact"/>
              <w:rPr>
                <w:sz w:val="20"/>
                <w:szCs w:val="20"/>
                <w:color w:val="auto"/>
              </w:rPr>
            </w:pPr>
            <w:r>
              <w:rPr>
                <w:rFonts w:ascii="Arial" w:cs="Arial" w:eastAsia="Arial" w:hAnsi="Arial"/>
                <w:sz w:val="4"/>
                <w:szCs w:val="4"/>
                <w:color w:val="FFFFFF"/>
              </w:rPr>
              <w:t>Income Producing Securities at Amortized Cost(1) Weighted Average Interest Rate of Debt and Income Producing Securities Weighted Average Spread Over LIBOR of All Floating Rate Investments</w:t>
            </w:r>
          </w:p>
        </w:tc>
        <w:tc>
          <w:tcPr>
            <w:tcW w:w="0" w:type="dxa"/>
            <w:vAlign w:val="bottom"/>
          </w:tcPr>
          <w:p>
            <w:pPr>
              <w:spacing w:after="0" w:line="20" w:lineRule="exact"/>
              <w:rPr>
                <w:sz w:val="1"/>
                <w:szCs w:val="1"/>
                <w:color w:val="auto"/>
              </w:rPr>
            </w:pPr>
          </w:p>
        </w:tc>
      </w:tr>
      <w:tr>
        <w:trPr>
          <w:trHeight w:val="35"/>
        </w:trPr>
        <w:tc>
          <w:tcPr>
            <w:tcW w:w="11400" w:type="dxa"/>
            <w:vAlign w:val="bottom"/>
            <w:gridSpan w:val="6"/>
          </w:tcPr>
          <w:p>
            <w:pPr>
              <w:spacing w:after="0" w:line="36" w:lineRule="exact"/>
              <w:rPr>
                <w:sz w:val="20"/>
                <w:szCs w:val="20"/>
                <w:color w:val="auto"/>
              </w:rPr>
            </w:pPr>
            <w:r>
              <w:rPr>
                <w:rFonts w:ascii="Arial" w:cs="Arial" w:eastAsia="Arial" w:hAnsi="Arial"/>
                <w:sz w:val="4"/>
                <w:szCs w:val="4"/>
                <w:color w:val="FFFFFF"/>
              </w:rPr>
              <w:t>Average Stated Interest Rate on Debt Outstanding(2)</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3</w:t>
            </w:r>
          </w:p>
        </w:tc>
        <w:tc>
          <w:tcPr>
            <w:tcW w:w="11340" w:type="dxa"/>
            <w:vAlign w:val="bottom"/>
            <w:gridSpan w:val="5"/>
          </w:tcPr>
          <w:p>
            <w:pPr>
              <w:ind w:left="20"/>
              <w:spacing w:after="0" w:line="36" w:lineRule="exact"/>
              <w:rPr>
                <w:sz w:val="20"/>
                <w:szCs w:val="20"/>
                <w:color w:val="auto"/>
              </w:rPr>
            </w:pPr>
            <w:r>
              <w:rPr>
                <w:rFonts w:ascii="Arial" w:cs="Arial" w:eastAsia="Arial" w:hAnsi="Arial"/>
                <w:sz w:val="4"/>
                <w:szCs w:val="4"/>
                <w:color w:val="FFFFFF"/>
              </w:rPr>
              <w:t>Month London Interbank Offered Rate (“LIBOR”)</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2 0%</w:t>
            </w:r>
          </w:p>
        </w:tc>
        <w:tc>
          <w:tcPr>
            <w:tcW w:w="1620" w:type="dxa"/>
            <w:vAlign w:val="bottom"/>
            <w:gridSpan w:val="2"/>
            <w:vMerge w:val="restart"/>
          </w:tcPr>
          <w:p>
            <w:pPr>
              <w:jc w:val="right"/>
              <w:ind w:right="1271"/>
              <w:spacing w:after="0" w:line="71" w:lineRule="exact"/>
              <w:rPr>
                <w:sz w:val="20"/>
                <w:szCs w:val="20"/>
                <w:color w:val="auto"/>
              </w:rPr>
            </w:pPr>
            <w:r>
              <w:rPr>
                <w:rFonts w:ascii="Arial" w:cs="Arial" w:eastAsia="Arial" w:hAnsi="Arial"/>
                <w:sz w:val="8"/>
                <w:szCs w:val="8"/>
                <w:color w:val="FFFFFF"/>
              </w:rPr>
              <w:t>6%</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5%</w:t>
            </w:r>
          </w:p>
        </w:tc>
        <w:tc>
          <w:tcPr>
            <w:tcW w:w="1620" w:type="dxa"/>
            <w:vAlign w:val="bottom"/>
            <w:gridSpan w:val="2"/>
            <w:vMerge w:val="continue"/>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880" w:type="dxa"/>
            <w:vAlign w:val="bottom"/>
            <w:gridSpan w:val="4"/>
          </w:tcPr>
          <w:p>
            <w:pPr>
              <w:jc w:val="right"/>
              <w:ind w:right="951"/>
              <w:spacing w:after="0" w:line="36" w:lineRule="exact"/>
              <w:rPr>
                <w:sz w:val="20"/>
                <w:szCs w:val="20"/>
                <w:color w:val="auto"/>
              </w:rPr>
            </w:pPr>
            <w:r>
              <w:rPr>
                <w:rFonts w:ascii="Arial" w:cs="Arial" w:eastAsia="Arial" w:hAnsi="Arial"/>
                <w:sz w:val="4"/>
                <w:szCs w:val="4"/>
                <w:color w:val="FFFFFF"/>
              </w:rPr>
              <w:t>3% 10.3% 10.4%</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
        </w:trPr>
        <w:tc>
          <w:tcPr>
            <w:tcW w:w="1940" w:type="dxa"/>
            <w:vAlign w:val="bottom"/>
            <w:gridSpan w:val="5"/>
          </w:tcPr>
          <w:p>
            <w:pPr>
              <w:spacing w:after="0" w:line="71" w:lineRule="exact"/>
              <w:rPr>
                <w:sz w:val="20"/>
                <w:szCs w:val="20"/>
                <w:color w:val="auto"/>
              </w:rPr>
            </w:pPr>
            <w:r>
              <w:rPr>
                <w:rFonts w:ascii="Arial" w:cs="Arial" w:eastAsia="Arial" w:hAnsi="Arial"/>
                <w:sz w:val="8"/>
                <w:szCs w:val="8"/>
                <w:color w:val="FFFFFF"/>
                <w:vertAlign w:val="superscript"/>
              </w:rPr>
              <w:t>10.0%</w:t>
            </w:r>
            <w:r>
              <w:rPr>
                <w:rFonts w:ascii="Arial" w:cs="Arial" w:eastAsia="Arial" w:hAnsi="Arial"/>
                <w:sz w:val="6"/>
                <w:szCs w:val="6"/>
                <w:color w:val="FFFFFF"/>
              </w:rPr>
              <w:t>10.0% 9.9%</w:t>
            </w: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9</w:t>
            </w:r>
          </w:p>
        </w:tc>
        <w:tc>
          <w:tcPr>
            <w:tcW w:w="200" w:type="dxa"/>
            <w:vAlign w:val="bottom"/>
          </w:tcPr>
          <w:p>
            <w:pPr>
              <w:ind w:left="20"/>
              <w:spacing w:after="0" w:line="36" w:lineRule="exact"/>
              <w:rPr>
                <w:sz w:val="20"/>
                <w:szCs w:val="20"/>
                <w:color w:val="auto"/>
              </w:rPr>
            </w:pPr>
            <w:r>
              <w:rPr>
                <w:rFonts w:ascii="Arial" w:cs="Arial" w:eastAsia="Arial" w:hAnsi="Arial"/>
                <w:sz w:val="4"/>
                <w:szCs w:val="4"/>
                <w:color w:val="FFFFFF"/>
              </w:rPr>
              <w:t>9%</w:t>
            </w: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9 9%</w:t>
            </w:r>
          </w:p>
        </w:tc>
        <w:tc>
          <w:tcPr>
            <w:tcW w:w="1420" w:type="dxa"/>
            <w:vAlign w:val="bottom"/>
            <w:vMerge w:val="restart"/>
          </w:tcPr>
          <w:p>
            <w:pPr>
              <w:jc w:val="right"/>
              <w:ind w:right="851"/>
              <w:spacing w:after="0" w:line="71" w:lineRule="exact"/>
              <w:rPr>
                <w:sz w:val="20"/>
                <w:szCs w:val="20"/>
                <w:color w:val="auto"/>
              </w:rPr>
            </w:pPr>
            <w:r>
              <w:rPr>
                <w:rFonts w:ascii="Arial" w:cs="Arial" w:eastAsia="Arial" w:hAnsi="Arial"/>
                <w:sz w:val="8"/>
                <w:szCs w:val="8"/>
                <w:color w:val="FFFFFF"/>
              </w:rPr>
              <w:t>8.8% 8.7%</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vMerge w:val="restart"/>
          </w:tcPr>
          <w:p>
            <w:pPr>
              <w:spacing w:after="0" w:line="71" w:lineRule="exact"/>
              <w:rPr>
                <w:sz w:val="20"/>
                <w:szCs w:val="20"/>
                <w:color w:val="auto"/>
              </w:rPr>
            </w:pPr>
            <w:r>
              <w:rPr>
                <w:rFonts w:ascii="Arial" w:cs="Arial" w:eastAsia="Arial" w:hAnsi="Arial"/>
                <w:sz w:val="8"/>
                <w:szCs w:val="8"/>
                <w:color w:val="FFFFFF"/>
                <w:w w:val="88"/>
              </w:rPr>
              <w:t>8</w:t>
            </w:r>
          </w:p>
        </w:tc>
        <w:tc>
          <w:tcPr>
            <w:tcW w:w="200" w:type="dxa"/>
            <w:vAlign w:val="bottom"/>
          </w:tcPr>
          <w:p>
            <w:pPr>
              <w:ind w:left="20"/>
              <w:spacing w:after="0" w:line="36" w:lineRule="exact"/>
              <w:rPr>
                <w:sz w:val="20"/>
                <w:szCs w:val="20"/>
                <w:color w:val="auto"/>
              </w:rPr>
            </w:pPr>
            <w:r>
              <w:rPr>
                <w:rFonts w:ascii="Arial" w:cs="Arial" w:eastAsia="Arial" w:hAnsi="Arial"/>
                <w:sz w:val="4"/>
                <w:szCs w:val="4"/>
                <w:color w:val="FFFFFF"/>
              </w:rPr>
              <w:t>8%</w:t>
            </w:r>
          </w:p>
        </w:tc>
        <w:tc>
          <w:tcPr>
            <w:tcW w:w="60" w:type="dxa"/>
            <w:vAlign w:val="bottom"/>
          </w:tcPr>
          <w:p>
            <w:pPr>
              <w:spacing w:after="0"/>
              <w:rPr>
                <w:sz w:val="3"/>
                <w:szCs w:val="3"/>
                <w:color w:val="auto"/>
              </w:rPr>
            </w:pPr>
          </w:p>
        </w:tc>
        <w:tc>
          <w:tcPr>
            <w:tcW w:w="200" w:type="dxa"/>
            <w:vAlign w:val="bottom"/>
          </w:tcPr>
          <w:p>
            <w:pPr>
              <w:jc w:val="right"/>
              <w:spacing w:after="0" w:line="36" w:lineRule="exact"/>
              <w:rPr>
                <w:sz w:val="20"/>
                <w:szCs w:val="20"/>
                <w:color w:val="auto"/>
              </w:rPr>
            </w:pPr>
            <w:r>
              <w:rPr>
                <w:rFonts w:ascii="Arial" w:cs="Arial" w:eastAsia="Arial" w:hAnsi="Arial"/>
                <w:sz w:val="4"/>
                <w:szCs w:val="4"/>
                <w:color w:val="FFFFFF"/>
              </w:rPr>
              <w:t>7%</w:t>
            </w:r>
          </w:p>
        </w:tc>
        <w:tc>
          <w:tcPr>
            <w:tcW w:w="1420" w:type="dxa"/>
            <w:vAlign w:val="bottom"/>
            <w:vMerge w:val="continue"/>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gridSpan w:val="2"/>
          </w:tcPr>
          <w:p>
            <w:pPr>
              <w:jc w:val="right"/>
              <w:spacing w:after="0" w:line="36" w:lineRule="exact"/>
              <w:rPr>
                <w:sz w:val="20"/>
                <w:szCs w:val="20"/>
                <w:color w:val="auto"/>
              </w:rPr>
            </w:pPr>
            <w:r>
              <w:rPr>
                <w:rFonts w:ascii="Arial" w:cs="Arial" w:eastAsia="Arial" w:hAnsi="Arial"/>
                <w:sz w:val="4"/>
                <w:szCs w:val="4"/>
                <w:color w:val="FFFFFF"/>
              </w:rPr>
              <w:t>8.6%</w:t>
            </w:r>
          </w:p>
        </w:tc>
        <w:tc>
          <w:tcPr>
            <w:tcW w:w="142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6</w:t>
            </w:r>
          </w:p>
        </w:tc>
        <w:tc>
          <w:tcPr>
            <w:tcW w:w="20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0%</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line="36" w:lineRule="exact"/>
              <w:rPr>
                <w:sz w:val="20"/>
                <w:szCs w:val="20"/>
                <w:color w:val="auto"/>
              </w:rPr>
            </w:pPr>
            <w:r>
              <w:rPr>
                <w:rFonts w:ascii="Arial" w:cs="Arial" w:eastAsia="Arial" w:hAnsi="Arial"/>
                <w:sz w:val="4"/>
                <w:szCs w:val="4"/>
                <w:color w:val="FFFFFF"/>
              </w:rPr>
              <w:t>4</w:t>
            </w:r>
          </w:p>
        </w:tc>
        <w:tc>
          <w:tcPr>
            <w:tcW w:w="200" w:type="dxa"/>
            <w:vAlign w:val="bottom"/>
            <w:vMerge w:val="continue"/>
          </w:tcPr>
          <w:p>
            <w:pPr>
              <w:spacing w:after="0"/>
              <w:rPr>
                <w:sz w:val="3"/>
                <w:szCs w:val="3"/>
                <w:color w:val="auto"/>
              </w:rPr>
            </w:pPr>
          </w:p>
        </w:tc>
        <w:tc>
          <w:tcPr>
            <w:tcW w:w="260" w:type="dxa"/>
            <w:vAlign w:val="bottom"/>
            <w:gridSpan w:val="2"/>
            <w:vMerge w:val="restart"/>
          </w:tcPr>
          <w:p>
            <w:pPr>
              <w:jc w:val="right"/>
              <w:spacing w:after="0" w:line="71" w:lineRule="exact"/>
              <w:rPr>
                <w:sz w:val="20"/>
                <w:szCs w:val="20"/>
                <w:color w:val="auto"/>
              </w:rPr>
            </w:pPr>
            <w:r>
              <w:rPr>
                <w:rFonts w:ascii="Arial" w:cs="Arial" w:eastAsia="Arial" w:hAnsi="Arial"/>
                <w:sz w:val="8"/>
                <w:szCs w:val="8"/>
                <w:color w:val="FFFFFF"/>
              </w:rPr>
              <w:t>2.7%</w:t>
            </w:r>
          </w:p>
        </w:tc>
        <w:tc>
          <w:tcPr>
            <w:tcW w:w="1420" w:type="dxa"/>
            <w:vAlign w:val="bottom"/>
            <w:vMerge w:val="restart"/>
          </w:tcPr>
          <w:p>
            <w:pPr>
              <w:jc w:val="right"/>
              <w:ind w:right="851"/>
              <w:spacing w:after="0" w:line="71" w:lineRule="exact"/>
              <w:rPr>
                <w:sz w:val="20"/>
                <w:szCs w:val="20"/>
                <w:color w:val="auto"/>
              </w:rPr>
            </w:pPr>
            <w:r>
              <w:rPr>
                <w:rFonts w:ascii="Arial" w:cs="Arial" w:eastAsia="Arial" w:hAnsi="Arial"/>
                <w:sz w:val="8"/>
                <w:szCs w:val="8"/>
                <w:color w:val="FFFFFF"/>
              </w:rPr>
              <w:t>2.5% 2.6%</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200" w:type="dxa"/>
            <w:vAlign w:val="bottom"/>
          </w:tcPr>
          <w:p>
            <w:pPr>
              <w:ind w:left="20"/>
              <w:spacing w:after="0" w:line="36" w:lineRule="exact"/>
              <w:rPr>
                <w:sz w:val="20"/>
                <w:szCs w:val="20"/>
                <w:color w:val="auto"/>
              </w:rPr>
            </w:pPr>
            <w:r>
              <w:rPr>
                <w:rFonts w:ascii="Arial" w:cs="Arial" w:eastAsia="Arial" w:hAnsi="Arial"/>
                <w:sz w:val="4"/>
                <w:szCs w:val="4"/>
                <w:color w:val="FFFFFF"/>
              </w:rPr>
              <w:t>7%</w:t>
            </w:r>
          </w:p>
        </w:tc>
        <w:tc>
          <w:tcPr>
            <w:tcW w:w="260" w:type="dxa"/>
            <w:vAlign w:val="bottom"/>
            <w:gridSpan w:val="2"/>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vMerge w:val="restart"/>
          </w:tcPr>
          <w:p>
            <w:pPr>
              <w:spacing w:after="0" w:line="71" w:lineRule="exact"/>
              <w:rPr>
                <w:sz w:val="20"/>
                <w:szCs w:val="20"/>
                <w:color w:val="auto"/>
              </w:rPr>
            </w:pPr>
            <w:r>
              <w:rPr>
                <w:rFonts w:ascii="Arial" w:cs="Arial" w:eastAsia="Arial" w:hAnsi="Arial"/>
                <w:sz w:val="8"/>
                <w:szCs w:val="8"/>
                <w:color w:val="FFFFFF"/>
                <w:w w:val="88"/>
              </w:rPr>
              <w:t>2</w:t>
            </w:r>
          </w:p>
        </w:tc>
        <w:tc>
          <w:tcPr>
            <w:tcW w:w="200" w:type="dxa"/>
            <w:vAlign w:val="bottom"/>
          </w:tcPr>
          <w:p>
            <w:pPr>
              <w:ind w:left="20"/>
              <w:spacing w:after="0" w:line="36" w:lineRule="exact"/>
              <w:rPr>
                <w:sz w:val="20"/>
                <w:szCs w:val="20"/>
                <w:color w:val="auto"/>
              </w:rPr>
            </w:pPr>
            <w:r>
              <w:rPr>
                <w:rFonts w:ascii="Arial" w:cs="Arial" w:eastAsia="Arial" w:hAnsi="Arial"/>
                <w:sz w:val="4"/>
                <w:szCs w:val="4"/>
                <w:color w:val="FFFFFF"/>
              </w:rPr>
              <w:t>5%</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vMerge w:val="continue"/>
          </w:tcPr>
          <w:p>
            <w:pPr>
              <w:spacing w:after="0"/>
              <w:rPr>
                <w:sz w:val="3"/>
                <w:szCs w:val="3"/>
                <w:color w:val="auto"/>
              </w:rPr>
            </w:pPr>
          </w:p>
        </w:tc>
        <w:tc>
          <w:tcPr>
            <w:tcW w:w="200" w:type="dxa"/>
            <w:vAlign w:val="bottom"/>
          </w:tcPr>
          <w:p>
            <w:pPr>
              <w:ind w:left="20"/>
              <w:spacing w:after="0" w:line="36" w:lineRule="exact"/>
              <w:rPr>
                <w:sz w:val="20"/>
                <w:szCs w:val="20"/>
                <w:color w:val="auto"/>
              </w:rPr>
            </w:pPr>
            <w:r>
              <w:rPr>
                <w:rFonts w:ascii="Arial" w:cs="Arial" w:eastAsia="Arial" w:hAnsi="Arial"/>
                <w:sz w:val="4"/>
                <w:szCs w:val="4"/>
                <w:color w:val="FFFFFF"/>
              </w:rPr>
              <w:t>0%</w:t>
            </w:r>
          </w:p>
        </w:tc>
        <w:tc>
          <w:tcPr>
            <w:tcW w:w="260" w:type="dxa"/>
            <w:vAlign w:val="bottom"/>
            <w:gridSpan w:val="2"/>
            <w:vMerge w:val="restart"/>
          </w:tcPr>
          <w:p>
            <w:pPr>
              <w:jc w:val="right"/>
              <w:spacing w:after="0" w:line="2" w:lineRule="exact"/>
              <w:rPr>
                <w:sz w:val="20"/>
                <w:szCs w:val="20"/>
                <w:color w:val="auto"/>
              </w:rPr>
            </w:pPr>
            <w:r>
              <w:rPr>
                <w:rFonts w:ascii="Arial" w:cs="Arial" w:eastAsia="Arial" w:hAnsi="Arial"/>
                <w:sz w:val="1"/>
                <w:szCs w:val="1"/>
                <w:color w:val="FFFFFF"/>
              </w:rPr>
              <w:t>0.3%</w:t>
            </w:r>
          </w:p>
        </w:tc>
        <w:tc>
          <w:tcPr>
            <w:tcW w:w="1420" w:type="dxa"/>
            <w:vAlign w:val="bottom"/>
            <w:vMerge w:val="restart"/>
          </w:tcPr>
          <w:p>
            <w:pPr>
              <w:jc w:val="right"/>
              <w:ind w:right="851"/>
              <w:spacing w:after="0" w:line="2" w:lineRule="exact"/>
              <w:rPr>
                <w:sz w:val="20"/>
                <w:szCs w:val="20"/>
                <w:color w:val="auto"/>
              </w:rPr>
            </w:pPr>
            <w:r>
              <w:rPr>
                <w:rFonts w:ascii="Arial" w:cs="Arial" w:eastAsia="Arial" w:hAnsi="Arial"/>
                <w:sz w:val="1"/>
                <w:szCs w:val="1"/>
                <w:color w:val="FFFFFF"/>
              </w:rPr>
              <w:t>0.3% 0.3%</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60" w:type="dxa"/>
            <w:vAlign w:val="bottom"/>
          </w:tcPr>
          <w:p>
            <w:pPr>
              <w:spacing w:after="0" w:line="20" w:lineRule="exact"/>
              <w:rPr>
                <w:sz w:val="1"/>
                <w:szCs w:val="1"/>
                <w:color w:val="auto"/>
              </w:rPr>
            </w:pPr>
          </w:p>
        </w:tc>
        <w:tc>
          <w:tcPr>
            <w:tcW w:w="200" w:type="dxa"/>
            <w:vAlign w:val="bottom"/>
          </w:tcPr>
          <w:p>
            <w:pPr>
              <w:ind w:left="20"/>
              <w:spacing w:after="0"/>
              <w:rPr>
                <w:sz w:val="20"/>
                <w:szCs w:val="20"/>
                <w:color w:val="auto"/>
              </w:rPr>
            </w:pPr>
            <w:r>
              <w:rPr>
                <w:rFonts w:ascii="Arial" w:cs="Arial" w:eastAsia="Arial" w:hAnsi="Arial"/>
                <w:sz w:val="2"/>
                <w:szCs w:val="2"/>
                <w:color w:val="FFFFFF"/>
              </w:rPr>
              <w:t>2%</w:t>
            </w:r>
          </w:p>
        </w:tc>
        <w:tc>
          <w:tcPr>
            <w:tcW w:w="260" w:type="dxa"/>
            <w:vAlign w:val="bottom"/>
            <w:gridSpan w:val="2"/>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auto"/>
        <w:rPr>
          <w:sz w:val="20"/>
          <w:szCs w:val="20"/>
          <w:color w:val="auto"/>
        </w:rPr>
      </w:pPr>
      <w:r>
        <w:rPr>
          <w:rFonts w:ascii="Arial" w:cs="Arial" w:eastAsia="Arial" w:hAnsi="Arial"/>
          <w:sz w:val="4"/>
          <w:szCs w:val="4"/>
          <w:color w:val="FFFFFF"/>
        </w:rPr>
        <w:t>0.0%</w:t>
      </w:r>
    </w:p>
    <w:p>
      <w:pPr>
        <w:spacing w:after="0" w:line="184" w:lineRule="auto"/>
        <w:rPr>
          <w:sz w:val="20"/>
          <w:szCs w:val="20"/>
          <w:color w:val="auto"/>
        </w:rPr>
      </w:pPr>
      <w:r>
        <w:rPr>
          <w:rFonts w:ascii="Arial" w:cs="Arial" w:eastAsia="Arial" w:hAnsi="Arial"/>
          <w:sz w:val="4"/>
          <w:szCs w:val="4"/>
          <w:color w:val="FFFFFF"/>
        </w:rPr>
        <w:t>Q2 2014 Q3 2014 Q4 2014 Q1 2015 Q2 2015</w:t>
      </w:r>
    </w:p>
    <w:p>
      <w:pPr>
        <w:ind w:right="280"/>
        <w:spacing w:after="0" w:line="184" w:lineRule="auto"/>
        <w:rPr>
          <w:sz w:val="20"/>
          <w:szCs w:val="20"/>
          <w:color w:val="auto"/>
        </w:rPr>
      </w:pPr>
      <w:r>
        <w:rPr>
          <w:rFonts w:ascii="Arial" w:cs="Arial" w:eastAsia="Arial" w:hAnsi="Arial"/>
          <w:sz w:val="8"/>
          <w:szCs w:val="8"/>
          <w:color w:val="FFFFFF"/>
        </w:rPr>
        <w:t>(1) Total yield on investments is calculated based on the interest rate and the accretion of OID, exclusive of investments on non-accrual status (2) Interest rate on debt outstanding includes the swap-adjusted interest expense related to our Convertible Notes</w:t>
      </w:r>
    </w:p>
    <w:p>
      <w:pPr>
        <w:spacing w:after="0"/>
        <w:rPr>
          <w:sz w:val="20"/>
          <w:szCs w:val="20"/>
          <w:color w:val="auto"/>
        </w:rPr>
      </w:pPr>
      <w:r>
        <w:rPr>
          <w:rFonts w:ascii="Arial" w:cs="Arial" w:eastAsia="Arial" w:hAnsi="Arial"/>
          <w:sz w:val="12"/>
          <w:szCs w:val="12"/>
          <w:color w:val="FFFFFF"/>
        </w:rPr>
        <w:t>? TSLX (NYSE) 34</w:t>
      </w:r>
    </w:p>
    <w:p>
      <w:pPr>
        <w:sectPr>
          <w:pgSz w:w="11900" w:h="16838" w:orient="portrait"/>
          <w:cols w:equalWidth="0" w:num="1">
            <w:col w:w="11400"/>
          </w:cols>
          <w:pgMar w:left="240" w:top="1440" w:right="2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(DollarPortfolioamountsHighlightsinthousands)–Selected Metrics</w:t>
      </w:r>
    </w:p>
    <w:p>
      <w:pPr>
        <w:spacing w:after="0" w:line="184" w:lineRule="auto"/>
        <w:rPr>
          <w:sz w:val="20"/>
          <w:szCs w:val="20"/>
          <w:color w:val="auto"/>
        </w:rPr>
      </w:pPr>
      <w:r>
        <w:rPr>
          <w:rFonts w:ascii="Arial" w:cs="Arial" w:eastAsia="Arial" w:hAnsi="Arial"/>
          <w:sz w:val="4"/>
          <w:szCs w:val="4"/>
          <w:color w:val="FFFFFF"/>
        </w:rPr>
        <w:t>As of and For Three Months Ended</w:t>
      </w:r>
    </w:p>
    <w:p>
      <w:pPr>
        <w:spacing w:after="0" w:line="184" w:lineRule="auto"/>
        <w:rPr>
          <w:sz w:val="20"/>
          <w:szCs w:val="20"/>
          <w:color w:val="auto"/>
        </w:rPr>
      </w:pPr>
      <w:r>
        <w:rPr>
          <w:rFonts w:ascii="Arial" w:cs="Arial" w:eastAsia="Arial" w:hAnsi="Arial"/>
          <w:sz w:val="8"/>
          <w:szCs w:val="8"/>
          <w:color w:val="FFFFFF"/>
        </w:rPr>
        <w:t>June 30, 2014 September 30, 2014 December 31, 2014 March 31, 2015 June 30, 2015</w:t>
      </w:r>
    </w:p>
    <w:p>
      <w:pPr>
        <w:spacing w:after="0" w:line="184" w:lineRule="auto"/>
        <w:rPr>
          <w:sz w:val="20"/>
          <w:szCs w:val="20"/>
          <w:color w:val="auto"/>
        </w:rPr>
      </w:pPr>
      <w:r>
        <w:rPr>
          <w:rFonts w:ascii="Arial" w:cs="Arial" w:eastAsia="Arial" w:hAnsi="Arial"/>
          <w:sz w:val="4"/>
          <w:szCs w:val="4"/>
          <w:color w:val="FFFFFF"/>
        </w:rPr>
        <w:t>NumberInvestmentsofPortfolioatFairValueCompanies$1,129,1993131$341,233,1813540 $1,263,511 $1,330,993 $1,397,560</w:t>
      </w:r>
    </w:p>
    <w:p>
      <w:pPr>
        <w:spacing w:after="0" w:line="184" w:lineRule="auto"/>
        <w:rPr>
          <w:sz w:val="20"/>
          <w:szCs w:val="20"/>
          <w:color w:val="auto"/>
        </w:rPr>
      </w:pPr>
      <w:r>
        <w:rPr>
          <w:rFonts w:ascii="Arial" w:cs="Arial" w:eastAsia="Arial" w:hAnsi="Arial"/>
          <w:sz w:val="4"/>
          <w:szCs w:val="4"/>
          <w:color w:val="FFFFFF"/>
          <w:vertAlign w:val="superscript"/>
        </w:rPr>
        <w:t>Asset</w:t>
      </w:r>
    </w:p>
    <w:p>
      <w:pPr>
        <w:ind w:left="80"/>
        <w:spacing w:after="0" w:line="184" w:lineRule="auto"/>
        <w:rPr>
          <w:sz w:val="20"/>
          <w:szCs w:val="20"/>
          <w:color w:val="auto"/>
        </w:rPr>
      </w:pPr>
      <w:r>
        <w:rPr>
          <w:rFonts w:ascii="Arial" w:cs="Arial" w:eastAsia="Arial" w:hAnsi="Arial"/>
          <w:sz w:val="8"/>
          <w:szCs w:val="8"/>
          <w:color w:val="FFFFFF"/>
        </w:rPr>
        <w:t>verageClass:Investment Size in Our Portfolio Companies $36,426 $39,780 $37,162 $38,028 $34,939</w:t>
      </w:r>
    </w:p>
    <w:p>
      <w:pPr>
        <w:spacing w:after="0" w:line="184" w:lineRule="auto"/>
        <w:rPr>
          <w:sz w:val="20"/>
          <w:szCs w:val="20"/>
          <w:color w:val="auto"/>
        </w:rPr>
      </w:pPr>
      <w:r>
        <w:rPr>
          <w:rFonts w:ascii="Arial" w:cs="Arial" w:eastAsia="Arial" w:hAnsi="Arial"/>
          <w:sz w:val="4"/>
          <w:szCs w:val="4"/>
          <w:color w:val="FFFFFF"/>
        </w:rPr>
        <w:t>InterestFirst-LienRateDebtType:Investments 86% 86% 89% 90% 90% Second-Lien Debt Investments 13% 13% 9% 8% 8% Mezzanine and Unsecured Debt Investments &lt;1% &lt;1% 1% 1% 1% Equity and Other Investments 1% 1% 1% 1% &lt;1%</w:t>
      </w:r>
    </w:p>
    <w:p>
      <w:pPr>
        <w:jc w:val="center"/>
        <w:ind w:right="9380"/>
        <w:spacing w:after="0" w:line="184" w:lineRule="auto"/>
        <w:rPr>
          <w:sz w:val="20"/>
          <w:szCs w:val="20"/>
          <w:color w:val="auto"/>
        </w:rPr>
      </w:pPr>
      <w:r>
        <w:rPr>
          <w:rFonts w:ascii="Arial" w:cs="Arial" w:eastAsia="Arial" w:hAnsi="Arial"/>
          <w:sz w:val="4"/>
          <w:szCs w:val="4"/>
          <w:color w:val="FFFFFF"/>
          <w:vertAlign w:val="subscript"/>
        </w:rPr>
        <w:t>% Fixed</w:t>
      </w:r>
      <w:r>
        <w:rPr>
          <w:rFonts w:ascii="Arial" w:cs="Arial" w:eastAsia="Arial" w:hAnsi="Arial"/>
          <w:sz w:val="2"/>
          <w:szCs w:val="2"/>
          <w:color w:val="FFFFFF"/>
        </w:rPr>
        <w:t>loating Rate 98% 98% 97% 97% 96%</w:t>
      </w:r>
    </w:p>
    <w:p>
      <w:pPr>
        <w:jc w:val="center"/>
        <w:ind w:right="9380"/>
        <w:spacing w:after="0" w:line="184" w:lineRule="auto"/>
        <w:rPr>
          <w:sz w:val="20"/>
          <w:szCs w:val="20"/>
          <w:color w:val="auto"/>
        </w:rPr>
      </w:pPr>
      <w:r>
        <w:rPr>
          <w:rFonts w:ascii="Arial" w:cs="Arial" w:eastAsia="Arial" w:hAnsi="Arial"/>
          <w:sz w:val="4"/>
          <w:szCs w:val="4"/>
          <w:color w:val="FFFFFF"/>
        </w:rPr>
        <w:t>Rate 2% 2% 3% 3% 4%</w:t>
      </w:r>
    </w:p>
    <w:p>
      <w:pPr>
        <w:spacing w:after="0" w:line="184" w:lineRule="auto"/>
        <w:rPr>
          <w:sz w:val="20"/>
          <w:szCs w:val="20"/>
          <w:color w:val="auto"/>
        </w:rPr>
      </w:pPr>
      <w:r>
        <w:rPr>
          <w:rFonts w:ascii="Arial" w:cs="Arial" w:eastAsia="Arial" w:hAnsi="Arial"/>
          <w:sz w:val="4"/>
          <w:szCs w:val="4"/>
          <w:color w:val="FFFFFF"/>
        </w:rPr>
        <w:t>Yields at Fair Value unless Otherwise Noted:</w:t>
      </w:r>
    </w:p>
    <w:p>
      <w:pPr>
        <w:spacing w:after="0" w:line="184" w:lineRule="auto"/>
        <w:rPr>
          <w:sz w:val="20"/>
          <w:szCs w:val="20"/>
          <w:color w:val="auto"/>
        </w:rPr>
      </w:pPr>
      <w:r>
        <w:rPr>
          <w:rFonts w:ascii="Arial" w:cs="Arial" w:eastAsia="Arial" w:hAnsi="Arial"/>
          <w:sz w:val="4"/>
          <w:szCs w:val="4"/>
          <w:color w:val="FFFFFF"/>
        </w:rPr>
        <w:t>Weighted Average Total Yield of Debt and Income Producing Securities at</w:t>
      </w:r>
    </w:p>
    <w:p>
      <w:pPr>
        <w:spacing w:after="0" w:line="184" w:lineRule="auto"/>
        <w:rPr>
          <w:sz w:val="20"/>
          <w:szCs w:val="20"/>
          <w:color w:val="auto"/>
        </w:rPr>
      </w:pPr>
      <w:r>
        <w:rPr>
          <w:rFonts w:ascii="Arial" w:cs="Arial" w:eastAsia="Arial" w:hAnsi="Arial"/>
          <w:sz w:val="4"/>
          <w:szCs w:val="4"/>
          <w:color w:val="FFFFFF"/>
        </w:rPr>
        <w:t>(1) 10.5% 10.6% 10.3% 10.3% 10.4% Amortized Cost</w:t>
      </w:r>
    </w:p>
    <w:p>
      <w:pPr>
        <w:jc w:val="both"/>
        <w:spacing w:after="0" w:line="184" w:lineRule="auto"/>
        <w:rPr>
          <w:sz w:val="20"/>
          <w:szCs w:val="20"/>
          <w:color w:val="auto"/>
        </w:rPr>
      </w:pPr>
      <w:r>
        <w:rPr>
          <w:rFonts w:ascii="Arial" w:cs="Arial" w:eastAsia="Arial" w:hAnsi="Arial"/>
          <w:sz w:val="6"/>
          <w:szCs w:val="6"/>
          <w:color w:val="FFFFFF"/>
        </w:rPr>
        <w:t>Weighted Average Total Yield of Debt and Income Producing Securities(1) 10.3% 10.5% 10.3% 10.4% 10.3% Weighted Average Spread Over LIBOR of All Floating Rate Investments 8.6% 8.8% 8.7% 8.8% 8.7% Weighted Average Interest Rate of Debt and Income Producing Securities 9.8% 10.0% 9.9% 9.9% 9.9% Fair Value as a Percentage of Principal (Debt) 99.8% 99.4% 98.2% 98.5% 99.3% Fair Value as a Percentage of Call Price (Debt) 94.6% 93.8% 93.4% 92.9% 94.0% Investment Activity at Par:</w:t>
      </w:r>
    </w:p>
    <w:p>
      <w:pPr>
        <w:jc w:val="center"/>
        <w:ind w:right="11060"/>
        <w:spacing w:after="0" w:line="184" w:lineRule="auto"/>
        <w:rPr>
          <w:sz w:val="20"/>
          <w:szCs w:val="20"/>
          <w:color w:val="auto"/>
        </w:rPr>
      </w:pPr>
      <w:r>
        <w:rPr>
          <w:rFonts w:ascii="Arial" w:cs="Arial" w:eastAsia="Arial" w:hAnsi="Arial"/>
          <w:sz w:val="4"/>
          <w:szCs w:val="4"/>
          <w:color w:val="FFFFFF"/>
          <w:vertAlign w:val="superscript"/>
        </w:rPr>
        <w:t>ewt</w:t>
      </w:r>
    </w:p>
    <w:p>
      <w:pPr>
        <w:jc w:val="center"/>
        <w:ind w:right="7360"/>
        <w:spacing w:after="0" w:line="184" w:lineRule="auto"/>
        <w:rPr>
          <w:sz w:val="20"/>
          <w:szCs w:val="20"/>
          <w:color w:val="auto"/>
        </w:rPr>
      </w:pPr>
      <w:r>
        <w:rPr>
          <w:rFonts w:ascii="Arial" w:cs="Arial" w:eastAsia="Arial" w:hAnsi="Arial"/>
          <w:sz w:val="4"/>
          <w:szCs w:val="4"/>
          <w:color w:val="FFFFFF"/>
        </w:rPr>
        <w:t>FundedInvestmentInvestmentCommitmentsActivity$(116,382$54,790)$248,619$114,389$204,791$49,917 $$137,83571,017$$62,554112,255</w:t>
      </w:r>
    </w:p>
    <w:p>
      <w:pPr>
        <w:spacing w:after="0" w:line="184" w:lineRule="auto"/>
        <w:rPr>
          <w:sz w:val="20"/>
          <w:szCs w:val="20"/>
          <w:color w:val="auto"/>
        </w:rPr>
      </w:pPr>
      <w:r>
        <w:rPr>
          <w:rFonts w:ascii="Arial" w:cs="Arial" w:eastAsia="Arial" w:hAnsi="Arial"/>
          <w:sz w:val="4"/>
          <w:szCs w:val="4"/>
          <w:color w:val="FFFFFF"/>
          <w:vertAlign w:val="subscript"/>
        </w:rPr>
        <w:t>Number</w:t>
      </w:r>
      <w:r>
        <w:rPr>
          <w:rFonts w:ascii="Arial" w:cs="Arial" w:eastAsia="Arial" w:hAnsi="Arial"/>
          <w:sz w:val="2"/>
          <w:szCs w:val="2"/>
          <w:color w:val="FFFFFF"/>
        </w:rPr>
        <w:t>Investment Commitments at Par:</w:t>
      </w:r>
    </w:p>
    <w:p>
      <w:pPr>
        <w:ind w:left="400"/>
        <w:spacing w:after="0" w:line="184" w:lineRule="auto"/>
        <w:rPr>
          <w:sz w:val="20"/>
          <w:szCs w:val="20"/>
          <w:color w:val="auto"/>
        </w:rPr>
      </w:pPr>
      <w:r>
        <w:rPr>
          <w:rFonts w:ascii="Arial" w:cs="Arial" w:eastAsia="Arial" w:hAnsi="Arial"/>
          <w:sz w:val="2"/>
          <w:szCs w:val="2"/>
          <w:color w:val="FFFFFF"/>
        </w:rPr>
        <w:t xml:space="preserve">of New Investment Commitments in New Portfolio Companies 4 4 6 </w:t>
      </w:r>
      <w:r>
        <w:rPr>
          <w:rFonts w:ascii="Arial" w:cs="Arial" w:eastAsia="Arial" w:hAnsi="Arial"/>
          <w:sz w:val="4"/>
          <w:szCs w:val="4"/>
          <w:color w:val="FFFFFF"/>
          <w:vertAlign w:val="superscript"/>
        </w:rPr>
        <w:t>$</w:t>
      </w:r>
      <w:r>
        <w:rPr>
          <w:rFonts w:ascii="Arial" w:cs="Arial" w:eastAsia="Arial" w:hAnsi="Arial"/>
          <w:sz w:val="2"/>
          <w:szCs w:val="2"/>
          <w:color w:val="FFFFFF"/>
        </w:rPr>
        <w:t>3</w:t>
      </w:r>
      <w:r>
        <w:rPr>
          <w:rFonts w:ascii="Arial" w:cs="Arial" w:eastAsia="Arial" w:hAnsi="Arial"/>
          <w:sz w:val="4"/>
          <w:szCs w:val="4"/>
          <w:color w:val="FFFFFF"/>
          <w:vertAlign w:val="superscript"/>
        </w:rPr>
        <w:t>28,500</w:t>
      </w:r>
    </w:p>
    <w:p>
      <w:pPr>
        <w:ind w:right="2020"/>
        <w:spacing w:after="0" w:line="184" w:lineRule="auto"/>
        <w:rPr>
          <w:sz w:val="20"/>
          <w:szCs w:val="20"/>
          <w:color w:val="auto"/>
        </w:rPr>
      </w:pPr>
      <w:r>
        <w:rPr>
          <w:rFonts w:ascii="Arial" w:cs="Arial" w:eastAsia="Arial" w:hAnsi="Arial"/>
          <w:sz w:val="8"/>
          <w:szCs w:val="8"/>
          <w:color w:val="FFFFFF"/>
        </w:rPr>
        <w:t>Average New Investment Commitment Amount in New Portfolio Companies $54,219 $28,500 $33,667 $19,351 Weighted Average Term for New Investment Commitments in New Portfolio 4.7 4.1 5.3 5.5 4.9</w:t>
      </w:r>
    </w:p>
    <w:p>
      <w:pPr>
        <w:spacing w:after="0" w:line="184" w:lineRule="auto"/>
        <w:rPr>
          <w:sz w:val="20"/>
          <w:szCs w:val="20"/>
          <w:color w:val="auto"/>
        </w:rPr>
      </w:pPr>
      <w:r>
        <w:rPr>
          <w:rFonts w:ascii="Arial" w:cs="Arial" w:eastAsia="Arial" w:hAnsi="Arial"/>
          <w:sz w:val="4"/>
          <w:szCs w:val="4"/>
          <w:color w:val="FFFFFF"/>
        </w:rPr>
        <w:t>Companies (in years)</w:t>
      </w:r>
    </w:p>
    <w:p>
      <w:pPr>
        <w:spacing w:after="0" w:line="184" w:lineRule="auto"/>
        <w:rPr>
          <w:sz w:val="20"/>
          <w:szCs w:val="20"/>
          <w:color w:val="auto"/>
        </w:rPr>
      </w:pPr>
      <w:r>
        <w:rPr>
          <w:rFonts w:ascii="Arial" w:cs="Arial" w:eastAsia="Arial" w:hAnsi="Arial"/>
          <w:sz w:val="4"/>
          <w:szCs w:val="4"/>
          <w:color w:val="FFFFFF"/>
        </w:rPr>
        <w:t>Weighted Average Interest Rate of New Investment Commitments 10.6% 10.3% 9.0% 10.2% 7.9% Weighted Average Spread Over LIBOR of New Floating Rate Investment 9.6% 9.3% 8.1% 9.3% 7.2% Commitments</w:t>
      </w:r>
    </w:p>
    <w:p>
      <w:pPr>
        <w:spacing w:after="0" w:line="184" w:lineRule="auto"/>
        <w:rPr>
          <w:sz w:val="20"/>
          <w:szCs w:val="20"/>
          <w:color w:val="auto"/>
        </w:rPr>
      </w:pPr>
      <w:r>
        <w:rPr>
          <w:rFonts w:ascii="Arial" w:cs="Arial" w:eastAsia="Arial" w:hAnsi="Arial"/>
          <w:sz w:val="2"/>
          <w:szCs w:val="2"/>
          <w:color w:val="FFFFFF"/>
        </w:rPr>
        <w:t>(1)</w:t>
      </w:r>
      <w:r>
        <w:rPr>
          <w:rFonts w:ascii="Arial" w:cs="Arial" w:eastAsia="Arial" w:hAnsi="Arial"/>
          <w:sz w:val="4"/>
          <w:szCs w:val="4"/>
          <w:color w:val="FFFFFF"/>
          <w:vertAlign w:val="superscript"/>
        </w:rPr>
        <w:t>TSLX</w:t>
      </w:r>
      <w:r>
        <w:rPr>
          <w:rFonts w:ascii="Arial" w:cs="Arial" w:eastAsia="Arial" w:hAnsi="Arial"/>
          <w:sz w:val="2"/>
          <w:szCs w:val="2"/>
          <w:color w:val="FFFFFF"/>
        </w:rPr>
        <w:t>otal yield on investments is calculated based on the interest rate and the accretion of OID, exclusive of investments on non-accrual status</w:t>
      </w:r>
    </w:p>
    <w:p>
      <w:pPr>
        <w:spacing w:after="0"/>
        <w:tabs>
          <w:tab w:leader="none" w:pos="380" w:val="left"/>
        </w:tabs>
        <w:rPr>
          <w:sz w:val="20"/>
          <w:szCs w:val="20"/>
          <w:color w:val="auto"/>
        </w:rPr>
      </w:pPr>
      <w:r>
        <w:rPr>
          <w:rFonts w:ascii="Arial" w:cs="Arial" w:eastAsia="Arial" w:hAnsi="Arial"/>
          <w:sz w:val="12"/>
          <w:szCs w:val="12"/>
          <w:color w:val="FFFFFF"/>
        </w:rPr>
        <w:t>?</w:t>
      </w:r>
      <w:r>
        <w:rPr>
          <w:sz w:val="20"/>
          <w:szCs w:val="20"/>
          <w:color w:val="auto"/>
        </w:rPr>
        <w:tab/>
      </w:r>
      <w:r>
        <w:rPr>
          <w:rFonts w:ascii="Arial" w:cs="Arial" w:eastAsia="Arial" w:hAnsi="Arial"/>
          <w:sz w:val="12"/>
          <w:szCs w:val="12"/>
          <w:color w:val="FFFFFF"/>
        </w:rPr>
        <w:t>(NYSE) 35</w:t>
      </w:r>
    </w:p>
    <w:p>
      <w:pPr>
        <w:sectPr>
          <w:pgSz w:w="11900" w:h="16838" w:orient="portrait"/>
          <w:cols w:equalWidth="0" w:num="1">
            <w:col w:w="11360"/>
          </w:cols>
          <w:pgMar w:left="240" w:top="1440" w:right="2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color w:val="FFFFFF"/>
                <w:w w:val="92"/>
              </w:rPr>
              <w:t>Financial Highlights</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8500" w:type="dxa"/>
            <w:vAlign w:val="bottom"/>
            <w:gridSpan w:val="8"/>
          </w:tcPr>
          <w:p>
            <w:pPr>
              <w:spacing w:after="0" w:line="36" w:lineRule="exact"/>
              <w:rPr>
                <w:sz w:val="20"/>
                <w:szCs w:val="20"/>
                <w:color w:val="auto"/>
              </w:rPr>
            </w:pPr>
            <w:r>
              <w:rPr>
                <w:rFonts w:ascii="Arial" w:cs="Arial" w:eastAsia="Arial" w:hAnsi="Arial"/>
                <w:sz w:val="4"/>
                <w:szCs w:val="4"/>
                <w:color w:val="FFFFFF"/>
              </w:rPr>
              <w:t>(Dollar amounts in thousands, except per share data; per share data is based on weighted average shares outstanding during the period, except as otherwise noted)</w:t>
            </w: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400" w:type="dxa"/>
            <w:vAlign w:val="bottom"/>
            <w:gridSpan w:val="4"/>
          </w:tcPr>
          <w:p>
            <w:pPr>
              <w:spacing w:after="0" w:line="36" w:lineRule="exact"/>
              <w:rPr>
                <w:sz w:val="20"/>
                <w:szCs w:val="20"/>
                <w:color w:val="auto"/>
              </w:rPr>
            </w:pPr>
            <w:r>
              <w:rPr>
                <w:rFonts w:ascii="Arial" w:cs="Arial" w:eastAsia="Arial" w:hAnsi="Arial"/>
                <w:sz w:val="4"/>
                <w:szCs w:val="4"/>
                <w:color w:val="FFFFFF"/>
              </w:rPr>
              <w:t>Q2 2014 Q3 2014 Q4 2014 Q1 2015 Q2 2015</w:t>
            </w:r>
          </w:p>
        </w:tc>
        <w:tc>
          <w:tcPr>
            <w:tcW w:w="9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0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$0.06</w:t>
            </w:r>
          </w:p>
        </w:tc>
        <w:tc>
          <w:tcPr>
            <w:tcW w:w="162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$0.17 Net income per share $0.51</w:t>
            </w:r>
          </w:p>
        </w:tc>
        <w:tc>
          <w:tcPr>
            <w:tcW w:w="30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$0.35</w:t>
            </w:r>
          </w:p>
        </w:tc>
        <w:tc>
          <w:tcPr>
            <w:tcW w:w="28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$0.26</w:t>
            </w:r>
          </w:p>
        </w:tc>
        <w:tc>
          <w:tcPr>
            <w:tcW w:w="300" w:type="dxa"/>
            <w:vAlign w:val="bottom"/>
            <w:vMerge w:val="restart"/>
          </w:tcPr>
          <w:p>
            <w:pPr>
              <w:jc w:val="right"/>
              <w:spacing w:after="0" w:line="71" w:lineRule="exact"/>
              <w:rPr>
                <w:sz w:val="20"/>
                <w:szCs w:val="20"/>
                <w:color w:val="auto"/>
              </w:rPr>
            </w:pPr>
            <w:r>
              <w:rPr>
                <w:rFonts w:ascii="Arial" w:cs="Arial" w:eastAsia="Arial" w:hAnsi="Arial"/>
                <w:sz w:val="8"/>
                <w:szCs w:val="8"/>
                <w:color w:val="FFFFFF"/>
              </w:rPr>
              <w:t>$0.45</w:t>
            </w:r>
          </w:p>
        </w:tc>
        <w:tc>
          <w:tcPr>
            <w:tcW w:w="184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$0.63 Net asset value per share $15.70</w:t>
            </w:r>
          </w:p>
        </w:tc>
        <w:tc>
          <w:tcPr>
            <w:tcW w:w="0" w:type="dxa"/>
            <w:vAlign w:val="bottom"/>
          </w:tcPr>
          <w:p>
            <w:pPr>
              <w:spacing w:after="0" w:line="20" w:lineRule="exact"/>
              <w:rPr>
                <w:sz w:val="1"/>
                <w:szCs w:val="1"/>
                <w:color w:val="auto"/>
              </w:rPr>
            </w:pPr>
          </w:p>
        </w:tc>
      </w:tr>
      <w:tr>
        <w:trPr>
          <w:trHeight w:val="35"/>
        </w:trPr>
        <w:tc>
          <w:tcPr>
            <w:tcW w:w="6580" w:type="dxa"/>
            <w:vAlign w:val="bottom"/>
            <w:gridSpan w:val="6"/>
          </w:tcPr>
          <w:p>
            <w:pPr>
              <w:spacing w:after="0" w:line="36" w:lineRule="exact"/>
              <w:rPr>
                <w:sz w:val="20"/>
                <w:szCs w:val="20"/>
                <w:color w:val="auto"/>
              </w:rPr>
            </w:pPr>
            <w:r>
              <w:rPr>
                <w:rFonts w:ascii="Arial" w:cs="Arial" w:eastAsia="Arial" w:hAnsi="Arial"/>
                <w:sz w:val="4"/>
                <w:szCs w:val="4"/>
                <w:color w:val="FFFFFF"/>
              </w:rPr>
              <w:t>Net investment income per share $0.55 $0.43 $0.57 $0.39 $0.46 Net realized and unrealized gains (losses) per share ($0.04) ($0.08) ($0.31)</w:t>
            </w:r>
          </w:p>
        </w:tc>
        <w:tc>
          <w:tcPr>
            <w:tcW w:w="30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320" w:type="dxa"/>
            <w:vAlign w:val="bottom"/>
            <w:gridSpan w:val="5"/>
          </w:tcPr>
          <w:p>
            <w:pPr>
              <w:spacing w:after="0" w:line="36" w:lineRule="exact"/>
              <w:rPr>
                <w:sz w:val="20"/>
                <w:szCs w:val="20"/>
                <w:color w:val="auto"/>
              </w:rPr>
            </w:pPr>
            <w:r>
              <w:rPr>
                <w:rFonts w:ascii="Arial" w:cs="Arial" w:eastAsia="Arial" w:hAnsi="Arial"/>
                <w:sz w:val="4"/>
                <w:szCs w:val="4"/>
                <w:color w:val="FFFFFF"/>
              </w:rPr>
              <w:t>$15.66 $15.53 $15.60 $15.84 Distributions paid per share $0.38 $0.38</w:t>
            </w:r>
          </w:p>
        </w:tc>
        <w:tc>
          <w:tcPr>
            <w:tcW w:w="3260" w:type="dxa"/>
            <w:vAlign w:val="bottom"/>
          </w:tcPr>
          <w:p>
            <w:pPr>
              <w:spacing w:after="0" w:line="36" w:lineRule="exact"/>
              <w:rPr>
                <w:sz w:val="20"/>
                <w:szCs w:val="20"/>
                <w:color w:val="auto"/>
              </w:rPr>
            </w:pPr>
            <w:r>
              <w:rPr>
                <w:rFonts w:ascii="Arial" w:cs="Arial" w:eastAsia="Arial" w:hAnsi="Arial"/>
                <w:sz w:val="4"/>
                <w:szCs w:val="4"/>
                <w:color w:val="FFFFFF"/>
              </w:rPr>
              <w:t>$0.39 $0.39 $0.39 Distributions paid per share (ending shares) $0.38</w:t>
            </w:r>
          </w:p>
        </w:tc>
        <w:tc>
          <w:tcPr>
            <w:tcW w:w="300" w:type="dxa"/>
            <w:vAlign w:val="bottom"/>
          </w:tcPr>
          <w:p>
            <w:pPr>
              <w:jc w:val="right"/>
              <w:ind w:right="11"/>
              <w:spacing w:after="0" w:line="36" w:lineRule="exact"/>
              <w:rPr>
                <w:sz w:val="20"/>
                <w:szCs w:val="20"/>
                <w:color w:val="auto"/>
              </w:rPr>
            </w:pPr>
            <w:r>
              <w:rPr>
                <w:rFonts w:ascii="Arial" w:cs="Arial" w:eastAsia="Arial" w:hAnsi="Arial"/>
                <w:sz w:val="4"/>
                <w:szCs w:val="4"/>
                <w:color w:val="FFFFFF"/>
              </w:rPr>
              <w:t>$0.38</w:t>
            </w:r>
          </w:p>
        </w:tc>
        <w:tc>
          <w:tcPr>
            <w:tcW w:w="1620" w:type="dxa"/>
            <w:vAlign w:val="bottom"/>
          </w:tcPr>
          <w:p>
            <w:pPr>
              <w:spacing w:after="0" w:line="36" w:lineRule="exact"/>
              <w:rPr>
                <w:sz w:val="20"/>
                <w:szCs w:val="20"/>
                <w:color w:val="auto"/>
              </w:rPr>
            </w:pPr>
            <w:r>
              <w:rPr>
                <w:rFonts w:ascii="Arial" w:cs="Arial" w:eastAsia="Arial" w:hAnsi="Arial"/>
                <w:sz w:val="4"/>
                <w:szCs w:val="4"/>
                <w:color w:val="FFFFFF"/>
              </w:rPr>
              <w:t>$0.39 $0.39 $0.39</w:t>
            </w: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980" w:type="dxa"/>
            <w:vAlign w:val="bottom"/>
          </w:tcPr>
          <w:p>
            <w:pPr>
              <w:spacing w:after="0" w:line="36" w:lineRule="exact"/>
              <w:rPr>
                <w:sz w:val="20"/>
                <w:szCs w:val="20"/>
                <w:color w:val="auto"/>
              </w:rPr>
            </w:pPr>
            <w:r>
              <w:rPr>
                <w:rFonts w:ascii="Arial" w:cs="Arial" w:eastAsia="Arial" w:hAnsi="Arial"/>
                <w:sz w:val="4"/>
                <w:szCs w:val="4"/>
                <w:color w:val="FFFFFF"/>
              </w:rPr>
              <w:t>Net Assets $837,426</w:t>
            </w:r>
          </w:p>
        </w:tc>
        <w:tc>
          <w:tcPr>
            <w:tcW w:w="480" w:type="dxa"/>
            <w:vAlign w:val="bottom"/>
          </w:tcPr>
          <w:p>
            <w:pPr>
              <w:jc w:val="right"/>
              <w:ind w:right="2"/>
              <w:spacing w:after="0" w:line="36" w:lineRule="exact"/>
              <w:rPr>
                <w:sz w:val="20"/>
                <w:szCs w:val="20"/>
                <w:color w:val="auto"/>
              </w:rPr>
            </w:pPr>
            <w:r>
              <w:rPr>
                <w:rFonts w:ascii="Arial" w:cs="Arial" w:eastAsia="Arial" w:hAnsi="Arial"/>
                <w:sz w:val="4"/>
                <w:szCs w:val="4"/>
                <w:color w:val="FFFFFF"/>
              </w:rPr>
              <w:t>$838,889</w:t>
            </w:r>
          </w:p>
        </w:tc>
        <w:tc>
          <w:tcPr>
            <w:tcW w:w="460" w:type="dxa"/>
            <w:vAlign w:val="bottom"/>
          </w:tcPr>
          <w:p>
            <w:pPr>
              <w:jc w:val="right"/>
              <w:spacing w:after="0" w:line="36" w:lineRule="exact"/>
              <w:rPr>
                <w:sz w:val="20"/>
                <w:szCs w:val="20"/>
                <w:color w:val="auto"/>
              </w:rPr>
            </w:pPr>
            <w:r>
              <w:rPr>
                <w:rFonts w:ascii="Arial" w:cs="Arial" w:eastAsia="Arial" w:hAnsi="Arial"/>
                <w:sz w:val="4"/>
                <w:szCs w:val="4"/>
                <w:color w:val="FFFFFF"/>
              </w:rPr>
              <w:t>$835,405</w:t>
            </w:r>
          </w:p>
        </w:tc>
        <w:tc>
          <w:tcPr>
            <w:tcW w:w="480" w:type="dxa"/>
            <w:vAlign w:val="bottom"/>
          </w:tcPr>
          <w:p>
            <w:pPr>
              <w:jc w:val="right"/>
              <w:spacing w:after="0" w:line="36" w:lineRule="exact"/>
              <w:rPr>
                <w:sz w:val="20"/>
                <w:szCs w:val="20"/>
                <w:color w:val="auto"/>
              </w:rPr>
            </w:pPr>
            <w:r>
              <w:rPr>
                <w:rFonts w:ascii="Arial" w:cs="Arial" w:eastAsia="Arial" w:hAnsi="Arial"/>
                <w:sz w:val="4"/>
                <w:szCs w:val="4"/>
                <w:color w:val="FFFFFF"/>
              </w:rPr>
              <w:t>$841,530</w:t>
            </w:r>
          </w:p>
        </w:tc>
        <w:tc>
          <w:tcPr>
            <w:tcW w:w="920" w:type="dxa"/>
            <w:vAlign w:val="bottom"/>
          </w:tcPr>
          <w:p>
            <w:pPr>
              <w:jc w:val="right"/>
              <w:ind w:right="442"/>
              <w:spacing w:after="0" w:line="36" w:lineRule="exact"/>
              <w:rPr>
                <w:sz w:val="20"/>
                <w:szCs w:val="20"/>
                <w:color w:val="auto"/>
              </w:rPr>
            </w:pPr>
            <w:r>
              <w:rPr>
                <w:rFonts w:ascii="Arial" w:cs="Arial" w:eastAsia="Arial" w:hAnsi="Arial"/>
                <w:sz w:val="4"/>
                <w:szCs w:val="4"/>
                <w:color w:val="FFFFFF"/>
              </w:rPr>
              <w:t>$855,289</w:t>
            </w:r>
          </w:p>
        </w:tc>
        <w:tc>
          <w:tcPr>
            <w:tcW w:w="3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980" w:type="dxa"/>
            <w:vAlign w:val="bottom"/>
          </w:tcPr>
          <w:p>
            <w:pPr>
              <w:spacing w:after="0" w:line="36" w:lineRule="exact"/>
              <w:rPr>
                <w:sz w:val="20"/>
                <w:szCs w:val="20"/>
                <w:color w:val="auto"/>
              </w:rPr>
            </w:pPr>
            <w:r>
              <w:rPr>
                <w:rFonts w:ascii="Arial" w:cs="Arial" w:eastAsia="Arial" w:hAnsi="Arial"/>
                <w:sz w:val="4"/>
                <w:szCs w:val="4"/>
                <w:color w:val="FFFFFF"/>
              </w:rPr>
              <w:t>Total Debt $296,392</w:t>
            </w:r>
          </w:p>
        </w:tc>
        <w:tc>
          <w:tcPr>
            <w:tcW w:w="480" w:type="dxa"/>
            <w:vAlign w:val="bottom"/>
          </w:tcPr>
          <w:p>
            <w:pPr>
              <w:jc w:val="right"/>
              <w:ind w:right="2"/>
              <w:spacing w:after="0" w:line="36" w:lineRule="exact"/>
              <w:rPr>
                <w:sz w:val="20"/>
                <w:szCs w:val="20"/>
                <w:color w:val="auto"/>
              </w:rPr>
            </w:pPr>
            <w:r>
              <w:rPr>
                <w:rFonts w:ascii="Arial" w:cs="Arial" w:eastAsia="Arial" w:hAnsi="Arial"/>
                <w:sz w:val="4"/>
                <w:szCs w:val="4"/>
                <w:color w:val="FFFFFF"/>
              </w:rPr>
              <w:t>$382,177</w:t>
            </w:r>
          </w:p>
        </w:tc>
        <w:tc>
          <w:tcPr>
            <w:tcW w:w="460" w:type="dxa"/>
            <w:vAlign w:val="bottom"/>
          </w:tcPr>
          <w:p>
            <w:pPr>
              <w:jc w:val="right"/>
              <w:ind w:right="2"/>
              <w:spacing w:after="0" w:line="36" w:lineRule="exact"/>
              <w:rPr>
                <w:sz w:val="20"/>
                <w:szCs w:val="20"/>
                <w:color w:val="auto"/>
              </w:rPr>
            </w:pPr>
            <w:r>
              <w:rPr>
                <w:rFonts w:ascii="Arial" w:cs="Arial" w:eastAsia="Arial" w:hAnsi="Arial"/>
                <w:sz w:val="4"/>
                <w:szCs w:val="4"/>
                <w:color w:val="FFFFFF"/>
              </w:rPr>
              <w:t>$395,864</w:t>
            </w:r>
          </w:p>
        </w:tc>
        <w:tc>
          <w:tcPr>
            <w:tcW w:w="480" w:type="dxa"/>
            <w:vAlign w:val="bottom"/>
          </w:tcPr>
          <w:p>
            <w:pPr>
              <w:jc w:val="right"/>
              <w:spacing w:after="0" w:line="36" w:lineRule="exact"/>
              <w:rPr>
                <w:sz w:val="20"/>
                <w:szCs w:val="20"/>
                <w:color w:val="auto"/>
              </w:rPr>
            </w:pPr>
            <w:r>
              <w:rPr>
                <w:rFonts w:ascii="Arial" w:cs="Arial" w:eastAsia="Arial" w:hAnsi="Arial"/>
                <w:sz w:val="4"/>
                <w:szCs w:val="4"/>
                <w:color w:val="FFFFFF"/>
              </w:rPr>
              <w:t>$485,223</w:t>
            </w:r>
          </w:p>
        </w:tc>
        <w:tc>
          <w:tcPr>
            <w:tcW w:w="920" w:type="dxa"/>
            <w:vAlign w:val="bottom"/>
          </w:tcPr>
          <w:p>
            <w:pPr>
              <w:jc w:val="right"/>
              <w:ind w:right="462"/>
              <w:spacing w:after="0" w:line="36" w:lineRule="exact"/>
              <w:rPr>
                <w:sz w:val="20"/>
                <w:szCs w:val="20"/>
                <w:color w:val="auto"/>
              </w:rPr>
            </w:pPr>
            <w:r>
              <w:rPr>
                <w:rFonts w:ascii="Arial" w:cs="Arial" w:eastAsia="Arial" w:hAnsi="Arial"/>
                <w:sz w:val="4"/>
                <w:szCs w:val="4"/>
                <w:color w:val="FFFFFF"/>
              </w:rPr>
              <w:t>$557,132</w:t>
            </w:r>
          </w:p>
        </w:tc>
        <w:tc>
          <w:tcPr>
            <w:tcW w:w="3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320" w:type="dxa"/>
            <w:vAlign w:val="bottom"/>
            <w:gridSpan w:val="5"/>
          </w:tcPr>
          <w:p>
            <w:pPr>
              <w:spacing w:after="0" w:line="36" w:lineRule="exact"/>
              <w:rPr>
                <w:sz w:val="20"/>
                <w:szCs w:val="20"/>
                <w:color w:val="auto"/>
              </w:rPr>
            </w:pPr>
            <w:r>
              <w:rPr>
                <w:rFonts w:ascii="Arial" w:cs="Arial" w:eastAsia="Arial" w:hAnsi="Arial"/>
                <w:sz w:val="4"/>
                <w:szCs w:val="4"/>
                <w:color w:val="FFFFFF"/>
              </w:rPr>
              <w:t>Debt to Equity at Quarter-End 0.35x 0.46x 0.51x * 0.59x** 0.64x ***</w:t>
            </w:r>
          </w:p>
        </w:tc>
        <w:tc>
          <w:tcPr>
            <w:tcW w:w="3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320" w:type="dxa"/>
            <w:vAlign w:val="bottom"/>
            <w:gridSpan w:val="5"/>
          </w:tcPr>
          <w:p>
            <w:pPr>
              <w:spacing w:after="0" w:line="36" w:lineRule="exact"/>
              <w:rPr>
                <w:sz w:val="20"/>
                <w:szCs w:val="20"/>
                <w:color w:val="auto"/>
              </w:rPr>
            </w:pPr>
            <w:r>
              <w:rPr>
                <w:rFonts w:ascii="Arial" w:cs="Arial" w:eastAsia="Arial" w:hAnsi="Arial"/>
                <w:sz w:val="4"/>
                <w:szCs w:val="4"/>
                <w:color w:val="FFFFFF"/>
              </w:rPr>
              <w:t>Average Debt to Equity(1) 0.43x 0.38x 0.44x 0.50x 0.63x</w:t>
            </w:r>
          </w:p>
        </w:tc>
        <w:tc>
          <w:tcPr>
            <w:tcW w:w="3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920" w:type="dxa"/>
            <w:vAlign w:val="bottom"/>
            <w:gridSpan w:val="3"/>
          </w:tcPr>
          <w:p>
            <w:pPr>
              <w:ind w:left="80"/>
              <w:spacing w:after="0" w:line="70" w:lineRule="exact"/>
              <w:rPr>
                <w:sz w:val="20"/>
                <w:szCs w:val="20"/>
                <w:color w:val="auto"/>
              </w:rPr>
            </w:pPr>
            <w:r>
              <w:rPr>
                <w:rFonts w:ascii="Arial" w:cs="Arial" w:eastAsia="Arial" w:hAnsi="Arial"/>
                <w:sz w:val="8"/>
                <w:szCs w:val="8"/>
                <w:color w:val="FFFFFF"/>
              </w:rPr>
              <w:t>Pro-forma for unsettled trades of ~$29</w:t>
            </w:r>
          </w:p>
        </w:tc>
        <w:tc>
          <w:tcPr>
            <w:tcW w:w="1400" w:type="dxa"/>
            <w:vAlign w:val="bottom"/>
            <w:gridSpan w:val="2"/>
          </w:tcPr>
          <w:p>
            <w:pPr>
              <w:jc w:val="right"/>
              <w:ind w:right="662"/>
              <w:spacing w:after="0" w:line="70" w:lineRule="exact"/>
              <w:rPr>
                <w:sz w:val="20"/>
                <w:szCs w:val="20"/>
                <w:color w:val="auto"/>
              </w:rPr>
            </w:pPr>
            <w:r>
              <w:rPr>
                <w:rFonts w:ascii="Arial" w:cs="Arial" w:eastAsia="Arial" w:hAnsi="Arial"/>
                <w:sz w:val="8"/>
                <w:szCs w:val="8"/>
                <w:color w:val="FFFFFF"/>
              </w:rPr>
              <w:t>12/31/14</w:t>
            </w: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auto"/>
        <w:rPr>
          <w:sz w:val="20"/>
          <w:szCs w:val="20"/>
          <w:color w:val="auto"/>
        </w:rPr>
      </w:pPr>
      <w:r>
        <w:rPr>
          <w:rFonts w:ascii="Arial" w:cs="Arial" w:eastAsia="Arial" w:hAnsi="Arial"/>
          <w:sz w:val="1"/>
          <w:szCs w:val="1"/>
          <w:color w:val="FFFFFF"/>
        </w:rPr>
        <w:t>** Pro-forma for unsettled</w:t>
      </w:r>
      <w:r>
        <w:rPr>
          <w:rFonts w:ascii="Arial" w:cs="Arial" w:eastAsia="Arial" w:hAnsi="Arial"/>
          <w:sz w:val="1"/>
          <w:szCs w:val="1"/>
          <w:color w:val="FFFFFF"/>
          <w:vertAlign w:val="subscript"/>
        </w:rPr>
        <w:t>outstanding</w:t>
      </w:r>
      <w:r>
        <w:rPr>
          <w:rFonts w:ascii="Arial" w:cs="Arial" w:eastAsia="Arial" w:hAnsi="Arial"/>
          <w:sz w:val="1"/>
          <w:szCs w:val="1"/>
          <w:color w:val="FFFFFF"/>
        </w:rPr>
        <w:t>radesof ~$8mm at 3/31/15 *** Pro-forma for unsettled trades of -$6mm at 6/30/15</w:t>
      </w:r>
    </w:p>
    <w:p>
      <w:pPr>
        <w:spacing w:after="0" w:line="184" w:lineRule="auto"/>
        <w:rPr>
          <w:sz w:val="20"/>
          <w:szCs w:val="20"/>
          <w:color w:val="auto"/>
        </w:rPr>
      </w:pPr>
      <w:r>
        <w:rPr>
          <w:rFonts w:ascii="Arial" w:cs="Arial" w:eastAsia="Arial" w:hAnsi="Arial"/>
          <w:sz w:val="8"/>
          <w:szCs w:val="8"/>
          <w:color w:val="FFFFFF"/>
        </w:rPr>
        <w:t>(1) Daily average debt during the quarter divided by daily average net assets during the quarter. Daily average net assets is calculated by starting with the prior quarter end net asset value and adjusting for capital activity during the quarter (adding common stock offerings / capital calls / DRIP contributions)</w:t>
      </w:r>
    </w:p>
    <w:p>
      <w:pPr>
        <w:spacing w:after="0"/>
        <w:rPr>
          <w:sz w:val="20"/>
          <w:szCs w:val="20"/>
          <w:color w:val="auto"/>
        </w:rPr>
      </w:pPr>
      <w:r>
        <w:rPr>
          <w:rFonts w:ascii="Arial" w:cs="Arial" w:eastAsia="Arial" w:hAnsi="Arial"/>
          <w:sz w:val="12"/>
          <w:szCs w:val="12"/>
          <w:color w:val="FFFFFF"/>
        </w:rPr>
        <w:t>? TSLX (NYSE) 36</w:t>
      </w:r>
    </w:p>
    <w:p>
      <w:pPr>
        <w:sectPr>
          <w:pgSz w:w="11900" w:h="16838" w:orient="portrait"/>
          <w:cols w:equalWidth="0" w:num="1">
            <w:col w:w="11360"/>
          </w:cols>
          <w:pgMar w:left="240" w:top="1440" w:right="2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20" w:type="dxa"/>
            <w:vAlign w:val="bottom"/>
            <w:gridSpan w:val="3"/>
          </w:tcPr>
          <w:p>
            <w:pPr>
              <w:spacing w:after="0"/>
              <w:rPr>
                <w:sz w:val="20"/>
                <w:szCs w:val="20"/>
                <w:color w:val="auto"/>
              </w:rPr>
            </w:pPr>
            <w:r>
              <w:rPr>
                <w:rFonts w:ascii="Arial" w:cs="Arial" w:eastAsia="Arial" w:hAnsi="Arial"/>
                <w:sz w:val="12"/>
                <w:szCs w:val="12"/>
                <w:color w:val="FFFFFF"/>
              </w:rPr>
              <w:t>Financial Highlights</w:t>
            </w:r>
          </w:p>
        </w:tc>
        <w:tc>
          <w:tcPr>
            <w:tcW w:w="0" w:type="dxa"/>
            <w:vAlign w:val="bottom"/>
          </w:tcPr>
          <w:p>
            <w:pPr>
              <w:spacing w:after="0"/>
              <w:rPr>
                <w:sz w:val="1"/>
                <w:szCs w:val="1"/>
                <w:color w:val="auto"/>
              </w:rPr>
            </w:pPr>
          </w:p>
        </w:tc>
      </w:tr>
      <w:tr>
        <w:trPr>
          <w:trHeight w:val="35"/>
        </w:trPr>
        <w:tc>
          <w:tcPr>
            <w:tcW w:w="6520" w:type="dxa"/>
            <w:vAlign w:val="bottom"/>
            <w:gridSpan w:val="3"/>
          </w:tcPr>
          <w:p>
            <w:pPr>
              <w:spacing w:after="0" w:line="36" w:lineRule="exact"/>
              <w:rPr>
                <w:sz w:val="20"/>
                <w:szCs w:val="20"/>
                <w:color w:val="auto"/>
              </w:rPr>
            </w:pPr>
            <w:r>
              <w:rPr>
                <w:rFonts w:ascii="Arial" w:cs="Arial" w:eastAsia="Arial" w:hAnsi="Arial"/>
                <w:sz w:val="4"/>
                <w:szCs w:val="4"/>
                <w:color w:val="FFFFFF"/>
              </w:rPr>
              <w:t>(Dollar amounts in thousands, except per share data; per share data is based on weighted average shares outstanding during the period)</w:t>
            </w:r>
          </w:p>
        </w:tc>
        <w:tc>
          <w:tcPr>
            <w:tcW w:w="0" w:type="dxa"/>
            <w:vAlign w:val="bottom"/>
          </w:tcPr>
          <w:p>
            <w:pPr>
              <w:spacing w:after="0" w:line="20" w:lineRule="exact"/>
              <w:rPr>
                <w:sz w:val="1"/>
                <w:szCs w:val="1"/>
                <w:color w:val="auto"/>
              </w:rPr>
            </w:pPr>
          </w:p>
        </w:tc>
      </w:tr>
      <w:tr>
        <w:trPr>
          <w:trHeight w:val="35"/>
        </w:trPr>
        <w:tc>
          <w:tcPr>
            <w:tcW w:w="6520" w:type="dxa"/>
            <w:vAlign w:val="bottom"/>
            <w:gridSpan w:val="3"/>
          </w:tcPr>
          <w:p>
            <w:pPr>
              <w:spacing w:after="0" w:line="36" w:lineRule="exact"/>
              <w:rPr>
                <w:sz w:val="20"/>
                <w:szCs w:val="20"/>
                <w:color w:val="auto"/>
              </w:rPr>
            </w:pPr>
            <w:r>
              <w:rPr>
                <w:rFonts w:ascii="Arial" w:cs="Arial" w:eastAsia="Arial" w:hAnsi="Arial"/>
                <w:sz w:val="4"/>
                <w:szCs w:val="4"/>
                <w:color w:val="FFFFFF"/>
              </w:rPr>
              <w:t>DIVIDEND COVERAGE % DIVIDEND COVERAGE</w:t>
            </w:r>
          </w:p>
        </w:tc>
        <w:tc>
          <w:tcPr>
            <w:tcW w:w="0" w:type="dxa"/>
            <w:vAlign w:val="bottom"/>
          </w:tcPr>
          <w:p>
            <w:pPr>
              <w:spacing w:after="0" w:line="20" w:lineRule="exact"/>
              <w:rPr>
                <w:sz w:val="1"/>
                <w:szCs w:val="1"/>
                <w:color w:val="auto"/>
              </w:rPr>
            </w:pPr>
          </w:p>
        </w:tc>
      </w:tr>
      <w:tr>
        <w:trPr>
          <w:trHeight w:val="35"/>
        </w:trPr>
        <w:tc>
          <w:tcPr>
            <w:tcW w:w="6520" w:type="dxa"/>
            <w:vAlign w:val="bottom"/>
            <w:gridSpan w:val="3"/>
          </w:tcPr>
          <w:p>
            <w:pPr>
              <w:ind w:left="200"/>
              <w:spacing w:after="0" w:line="36" w:lineRule="exact"/>
              <w:rPr>
                <w:sz w:val="20"/>
                <w:szCs w:val="20"/>
                <w:color w:val="auto"/>
              </w:rPr>
            </w:pPr>
            <w:r>
              <w:rPr>
                <w:rFonts w:ascii="Arial" w:cs="Arial" w:eastAsia="Arial" w:hAnsi="Arial"/>
                <w:sz w:val="4"/>
                <w:szCs w:val="4"/>
                <w:color w:val="FFFFFF"/>
              </w:rPr>
              <w:t>Investment Income per Share Net Investment Income</w:t>
            </w:r>
          </w:p>
        </w:tc>
        <w:tc>
          <w:tcPr>
            <w:tcW w:w="0" w:type="dxa"/>
            <w:vAlign w:val="bottom"/>
          </w:tcPr>
          <w:p>
            <w:pPr>
              <w:spacing w:after="0" w:line="20" w:lineRule="exact"/>
              <w:rPr>
                <w:sz w:val="1"/>
                <w:szCs w:val="1"/>
                <w:color w:val="auto"/>
              </w:rPr>
            </w:pPr>
          </w:p>
        </w:tc>
      </w:tr>
      <w:tr>
        <w:trPr>
          <w:trHeight w:val="35"/>
        </w:trPr>
        <w:tc>
          <w:tcPr>
            <w:tcW w:w="6520" w:type="dxa"/>
            <w:vAlign w:val="bottom"/>
            <w:gridSpan w:val="3"/>
          </w:tcPr>
          <w:p>
            <w:pPr>
              <w:spacing w:after="0" w:line="36" w:lineRule="exact"/>
              <w:rPr>
                <w:sz w:val="20"/>
                <w:szCs w:val="20"/>
                <w:color w:val="auto"/>
              </w:rPr>
            </w:pPr>
            <w:r>
              <w:rPr>
                <w:rFonts w:ascii="Arial" w:cs="Arial" w:eastAsia="Arial" w:hAnsi="Arial"/>
                <w:sz w:val="4"/>
                <w:szCs w:val="4"/>
                <w:color w:val="FFFFFF"/>
              </w:rPr>
              <w:t>Net Realized / Unrealized Gains per Share Net Investment Income plus Realized Gains / (Losses) Distributions Paid per Share Net Income</w:t>
            </w:r>
          </w:p>
        </w:tc>
        <w:tc>
          <w:tcPr>
            <w:tcW w:w="0" w:type="dxa"/>
            <w:vAlign w:val="bottom"/>
          </w:tcPr>
          <w:p>
            <w:pPr>
              <w:spacing w:after="0" w:line="20" w:lineRule="exact"/>
              <w:rPr>
                <w:sz w:val="1"/>
                <w:szCs w:val="1"/>
                <w:color w:val="auto"/>
              </w:rPr>
            </w:pPr>
          </w:p>
        </w:tc>
      </w:tr>
      <w:tr>
        <w:trPr>
          <w:trHeight w:val="35"/>
        </w:trPr>
        <w:tc>
          <w:tcPr>
            <w:tcW w:w="280" w:type="dxa"/>
            <w:vAlign w:val="bottom"/>
          </w:tcPr>
          <w:p>
            <w:pPr>
              <w:spacing w:after="0" w:line="36" w:lineRule="exact"/>
              <w:rPr>
                <w:sz w:val="20"/>
                <w:szCs w:val="20"/>
                <w:color w:val="auto"/>
              </w:rPr>
            </w:pPr>
            <w:r>
              <w:rPr>
                <w:rFonts w:ascii="Arial" w:cs="Arial" w:eastAsia="Arial" w:hAnsi="Arial"/>
                <w:sz w:val="4"/>
                <w:szCs w:val="4"/>
                <w:color w:val="FFFFFF"/>
              </w:rPr>
              <w:t>140%</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FFFFFF"/>
                <w:w w:val="84"/>
              </w:rPr>
              <w:t>128%</w:t>
            </w:r>
          </w:p>
        </w:tc>
        <w:tc>
          <w:tcPr>
            <w:tcW w:w="5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80" w:type="dxa"/>
            <w:vAlign w:val="bottom"/>
          </w:tcPr>
          <w:p>
            <w:pPr>
              <w:jc w:val="right"/>
              <w:spacing w:after="0" w:line="106" w:lineRule="exact"/>
              <w:rPr>
                <w:sz w:val="20"/>
                <w:szCs w:val="20"/>
                <w:color w:val="auto"/>
              </w:rPr>
            </w:pPr>
            <w:r>
              <w:rPr>
                <w:rFonts w:ascii="Arial" w:cs="Arial" w:eastAsia="Arial" w:hAnsi="Arial"/>
                <w:sz w:val="12"/>
                <w:szCs w:val="12"/>
                <w:color w:val="FFFFFF"/>
                <w:w w:val="79"/>
              </w:rPr>
              <w:t>$0.27</w:t>
            </w:r>
          </w:p>
        </w:tc>
        <w:tc>
          <w:tcPr>
            <w:tcW w:w="300" w:type="dxa"/>
            <w:vAlign w:val="bottom"/>
            <w:vMerge w:val="continue"/>
          </w:tcPr>
          <w:p>
            <w:pPr>
              <w:spacing w:after="0"/>
              <w:rPr>
                <w:sz w:val="9"/>
                <w:szCs w:val="9"/>
                <w:color w:val="auto"/>
              </w:rPr>
            </w:pPr>
          </w:p>
        </w:tc>
        <w:tc>
          <w:tcPr>
            <w:tcW w:w="5940" w:type="dxa"/>
            <w:vAlign w:val="bottom"/>
            <w:vMerge w:val="restart"/>
          </w:tcPr>
          <w:p>
            <w:pPr>
              <w:jc w:val="right"/>
              <w:ind w:right="5301"/>
              <w:spacing w:after="0"/>
              <w:rPr>
                <w:sz w:val="20"/>
                <w:szCs w:val="20"/>
                <w:color w:val="auto"/>
              </w:rPr>
            </w:pPr>
            <w:r>
              <w:rPr>
                <w:rFonts w:ascii="Arial" w:cs="Arial" w:eastAsia="Arial" w:hAnsi="Arial"/>
                <w:sz w:val="12"/>
                <w:szCs w:val="12"/>
                <w:color w:val="FFFFFF"/>
                <w:w w:val="86"/>
              </w:rPr>
              <w:t>126% 121%</w:t>
            </w:r>
          </w:p>
        </w:tc>
        <w:tc>
          <w:tcPr>
            <w:tcW w:w="0" w:type="dxa"/>
            <w:vAlign w:val="bottom"/>
          </w:tcPr>
          <w:p>
            <w:pPr>
              <w:spacing w:after="0"/>
              <w:rPr>
                <w:sz w:val="1"/>
                <w:szCs w:val="1"/>
                <w:color w:val="auto"/>
              </w:rPr>
            </w:pPr>
          </w:p>
        </w:tc>
      </w:tr>
      <w:tr>
        <w:trPr>
          <w:trHeight w:val="35"/>
        </w:trPr>
        <w:tc>
          <w:tcPr>
            <w:tcW w:w="280" w:type="dxa"/>
            <w:vAlign w:val="bottom"/>
          </w:tcPr>
          <w:p>
            <w:pPr>
              <w:spacing w:after="0" w:line="36" w:lineRule="exact"/>
              <w:rPr>
                <w:sz w:val="20"/>
                <w:szCs w:val="20"/>
                <w:color w:val="auto"/>
              </w:rPr>
            </w:pPr>
            <w:r>
              <w:rPr>
                <w:rFonts w:ascii="Arial" w:cs="Arial" w:eastAsia="Arial" w:hAnsi="Arial"/>
                <w:sz w:val="4"/>
                <w:szCs w:val="4"/>
                <w:color w:val="FFFFFF"/>
              </w:rPr>
              <w:t>133%60</w:t>
            </w:r>
          </w:p>
        </w:tc>
        <w:tc>
          <w:tcPr>
            <w:tcW w:w="300" w:type="dxa"/>
            <w:vAlign w:val="bottom"/>
          </w:tcPr>
          <w:p>
            <w:pPr>
              <w:jc w:val="right"/>
              <w:spacing w:after="0" w:line="36" w:lineRule="exact"/>
              <w:rPr>
                <w:sz w:val="20"/>
                <w:szCs w:val="20"/>
                <w:color w:val="auto"/>
              </w:rPr>
            </w:pPr>
            <w:r>
              <w:rPr>
                <w:rFonts w:ascii="Arial" w:cs="Arial" w:eastAsia="Arial" w:hAnsi="Arial"/>
                <w:sz w:val="4"/>
                <w:szCs w:val="4"/>
                <w:color w:val="FFFFFF"/>
              </w:rPr>
              <w:t>09</w:t>
            </w:r>
          </w:p>
        </w:tc>
        <w:tc>
          <w:tcPr>
            <w:tcW w:w="5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0" w:type="dxa"/>
            <w:vAlign w:val="bottom"/>
          </w:tcPr>
          <w:p>
            <w:pPr>
              <w:jc w:val="right"/>
              <w:spacing w:after="0" w:line="36" w:lineRule="exact"/>
              <w:rPr>
                <w:sz w:val="20"/>
                <w:szCs w:val="20"/>
                <w:color w:val="auto"/>
              </w:rPr>
            </w:pPr>
            <w:r>
              <w:rPr>
                <w:rFonts w:ascii="Arial" w:cs="Arial" w:eastAsia="Arial" w:hAnsi="Arial"/>
                <w:sz w:val="4"/>
                <w:szCs w:val="4"/>
                <w:color w:val="FFFFFF"/>
              </w:rPr>
              <w:t>$0.29</w:t>
            </w:r>
          </w:p>
        </w:tc>
        <w:tc>
          <w:tcPr>
            <w:tcW w:w="300" w:type="dxa"/>
            <w:vAlign w:val="bottom"/>
          </w:tcPr>
          <w:p>
            <w:pPr>
              <w:jc w:val="right"/>
              <w:spacing w:after="0" w:line="36" w:lineRule="exact"/>
              <w:rPr>
                <w:sz w:val="20"/>
                <w:szCs w:val="20"/>
                <w:color w:val="auto"/>
              </w:rPr>
            </w:pPr>
            <w:r>
              <w:rPr>
                <w:rFonts w:ascii="Arial" w:cs="Arial" w:eastAsia="Arial" w:hAnsi="Arial"/>
                <w:sz w:val="4"/>
                <w:szCs w:val="4"/>
                <w:color w:val="FFFFFF"/>
              </w:rPr>
              <w:t>$1.45</w:t>
            </w:r>
          </w:p>
        </w:tc>
        <w:tc>
          <w:tcPr>
            <w:tcW w:w="5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520" w:type="dxa"/>
            <w:vAlign w:val="bottom"/>
            <w:gridSpan w:val="3"/>
          </w:tcPr>
          <w:p>
            <w:pPr>
              <w:spacing w:after="0" w:line="36" w:lineRule="exact"/>
              <w:rPr>
                <w:sz w:val="20"/>
                <w:szCs w:val="20"/>
                <w:color w:val="auto"/>
              </w:rPr>
            </w:pPr>
            <w:r>
              <w:rPr>
                <w:rFonts w:ascii="Arial" w:cs="Arial" w:eastAsia="Arial" w:hAnsi="Arial"/>
                <w:sz w:val="4"/>
                <w:szCs w:val="4"/>
                <w:color w:val="FFFFFF"/>
              </w:rPr>
              <w:t>113% 109% 106% 109% 104% 105% 94%</w:t>
            </w:r>
          </w:p>
        </w:tc>
        <w:tc>
          <w:tcPr>
            <w:tcW w:w="0" w:type="dxa"/>
            <w:vAlign w:val="bottom"/>
          </w:tcPr>
          <w:p>
            <w:pPr>
              <w:spacing w:after="0" w:line="20" w:lineRule="exact"/>
              <w:rPr>
                <w:sz w:val="1"/>
                <w:szCs w:val="1"/>
                <w:color w:val="auto"/>
              </w:rPr>
            </w:pPr>
          </w:p>
        </w:tc>
      </w:tr>
      <w:tr>
        <w:trPr>
          <w:trHeight w:val="35"/>
        </w:trPr>
        <w:tc>
          <w:tcPr>
            <w:tcW w:w="280" w:type="dxa"/>
            <w:vAlign w:val="bottom"/>
          </w:tcPr>
          <w:p>
            <w:pPr>
              <w:jc w:val="right"/>
              <w:spacing w:after="0" w:line="36" w:lineRule="exact"/>
              <w:rPr>
                <w:sz w:val="20"/>
                <w:szCs w:val="20"/>
                <w:color w:val="auto"/>
              </w:rPr>
            </w:pPr>
            <w:r>
              <w:rPr>
                <w:rFonts w:ascii="Arial" w:cs="Arial" w:eastAsia="Arial" w:hAnsi="Arial"/>
                <w:sz w:val="4"/>
                <w:szCs w:val="4"/>
                <w:color w:val="FFFFFF"/>
              </w:rPr>
              <w:t>2 07</w:t>
            </w:r>
          </w:p>
        </w:tc>
        <w:tc>
          <w:tcPr>
            <w:tcW w:w="300" w:type="dxa"/>
            <w:vAlign w:val="bottom"/>
          </w:tcPr>
          <w:p>
            <w:pPr>
              <w:jc w:val="right"/>
              <w:spacing w:after="0" w:line="36" w:lineRule="exact"/>
              <w:rPr>
                <w:sz w:val="20"/>
                <w:szCs w:val="20"/>
                <w:color w:val="auto"/>
              </w:rPr>
            </w:pPr>
            <w:r>
              <w:rPr>
                <w:rFonts w:ascii="Arial" w:cs="Arial" w:eastAsia="Arial" w:hAnsi="Arial"/>
                <w:sz w:val="4"/>
                <w:szCs w:val="4"/>
                <w:color w:val="FFFFFF"/>
              </w:rPr>
              <w:t>24</w:t>
            </w:r>
          </w:p>
        </w:tc>
        <w:tc>
          <w:tcPr>
            <w:tcW w:w="5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0" w:type="dxa"/>
            <w:vAlign w:val="bottom"/>
          </w:tcPr>
          <w:p>
            <w:pPr>
              <w:jc w:val="right"/>
              <w:spacing w:after="0" w:line="36" w:lineRule="exact"/>
              <w:rPr>
                <w:sz w:val="20"/>
                <w:szCs w:val="20"/>
                <w:color w:val="auto"/>
              </w:rPr>
            </w:pPr>
            <w:r>
              <w:rPr>
                <w:rFonts w:ascii="Arial" w:cs="Arial" w:eastAsia="Arial" w:hAnsi="Arial"/>
                <w:sz w:val="4"/>
                <w:szCs w:val="4"/>
                <w:color w:val="FFFFFF"/>
              </w:rPr>
              <w:t>66</w:t>
            </w:r>
          </w:p>
        </w:tc>
        <w:tc>
          <w:tcPr>
            <w:tcW w:w="300" w:type="dxa"/>
            <w:vAlign w:val="bottom"/>
          </w:tcPr>
          <w:p>
            <w:pPr>
              <w:jc w:val="right"/>
              <w:spacing w:after="0" w:line="36" w:lineRule="exact"/>
              <w:rPr>
                <w:sz w:val="20"/>
                <w:szCs w:val="20"/>
                <w:color w:val="auto"/>
              </w:rPr>
            </w:pPr>
            <w:r>
              <w:rPr>
                <w:rFonts w:ascii="Arial" w:cs="Arial" w:eastAsia="Arial" w:hAnsi="Arial"/>
                <w:sz w:val="4"/>
                <w:szCs w:val="4"/>
                <w:color w:val="FFFFFF"/>
              </w:rPr>
              <w:t>$0.78</w:t>
            </w:r>
          </w:p>
        </w:tc>
        <w:tc>
          <w:tcPr>
            <w:tcW w:w="5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80" w:type="dxa"/>
            <w:vAlign w:val="bottom"/>
          </w:tcPr>
          <w:p>
            <w:pPr>
              <w:jc w:val="right"/>
              <w:spacing w:after="0" w:line="36" w:lineRule="exact"/>
              <w:rPr>
                <w:sz w:val="20"/>
                <w:szCs w:val="20"/>
                <w:color w:val="auto"/>
              </w:rPr>
            </w:pPr>
            <w:r>
              <w:rPr>
                <w:rFonts w:ascii="Arial" w:cs="Arial" w:eastAsia="Arial" w:hAnsi="Arial"/>
                <w:sz w:val="4"/>
                <w:szCs w:val="4"/>
                <w:color w:val="FFFFFF"/>
              </w:rPr>
              <w:t>1 36</w:t>
            </w:r>
          </w:p>
        </w:tc>
        <w:tc>
          <w:tcPr>
            <w:tcW w:w="300" w:type="dxa"/>
            <w:vAlign w:val="bottom"/>
          </w:tcPr>
          <w:p>
            <w:pPr>
              <w:spacing w:after="0"/>
              <w:rPr>
                <w:sz w:val="3"/>
                <w:szCs w:val="3"/>
                <w:color w:val="auto"/>
              </w:rPr>
            </w:pPr>
          </w:p>
        </w:tc>
        <w:tc>
          <w:tcPr>
            <w:tcW w:w="5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280" w:type="dxa"/>
            <w:vAlign w:val="bottom"/>
          </w:tcPr>
          <w:p>
            <w:pPr>
              <w:jc w:val="right"/>
              <w:spacing w:after="0"/>
              <w:rPr>
                <w:sz w:val="20"/>
                <w:szCs w:val="20"/>
                <w:color w:val="auto"/>
              </w:rPr>
            </w:pPr>
            <w:r>
              <w:rPr>
                <w:rFonts w:ascii="Arial" w:cs="Arial" w:eastAsia="Arial" w:hAnsi="Arial"/>
                <w:sz w:val="2"/>
                <w:szCs w:val="2"/>
                <w:color w:val="FFFFFF"/>
              </w:rPr>
              <w:t>$0.85</w:t>
            </w: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auto"/>
        <w:rPr>
          <w:sz w:val="20"/>
          <w:szCs w:val="20"/>
          <w:color w:val="auto"/>
        </w:rPr>
      </w:pPr>
      <w:r>
        <w:rPr>
          <w:rFonts w:ascii="Arial" w:cs="Arial" w:eastAsia="Arial" w:hAnsi="Arial"/>
          <w:sz w:val="1"/>
          <w:szCs w:val="1"/>
          <w:color w:val="FFFFFF"/>
        </w:rPr>
        <w:t>($0.38)</w:t>
      </w:r>
    </w:p>
    <w:p>
      <w:pPr>
        <w:spacing w:after="0" w:line="184" w:lineRule="auto"/>
        <w:rPr>
          <w:sz w:val="20"/>
          <w:szCs w:val="20"/>
          <w:color w:val="auto"/>
        </w:rPr>
      </w:pPr>
      <w:r>
        <w:rPr>
          <w:rFonts w:ascii="Arial" w:cs="Arial" w:eastAsia="Arial" w:hAnsi="Arial"/>
          <w:sz w:val="4"/>
          <w:szCs w:val="4"/>
          <w:color w:val="FFFFFF"/>
        </w:rPr>
        <w:t>2012 2013 2014 YTD 2Q 2015 2012 2013 2014 YTD 2Q 2015</w:t>
      </w:r>
    </w:p>
    <w:p>
      <w:pPr>
        <w:spacing w:after="0"/>
        <w:rPr>
          <w:sz w:val="20"/>
          <w:szCs w:val="20"/>
          <w:color w:val="auto"/>
        </w:rPr>
      </w:pPr>
      <w:r>
        <w:rPr>
          <w:rFonts w:ascii="Arial" w:cs="Arial" w:eastAsia="Arial" w:hAnsi="Arial"/>
          <w:sz w:val="5"/>
          <w:szCs w:val="5"/>
          <w:color w:val="FFFFFF"/>
        </w:rPr>
        <w:t>Note: The indicated amounts have been retroactively adjusted for the stock split which was effected in the form of a stock dividend. On December 3, 2013, the Board approved a stock split in the form of a stock dividend pursuant to which the Company’</w:t>
      </w:r>
      <w:r>
        <w:rPr>
          <w:rFonts w:ascii="Arial" w:cs="Arial" w:eastAsia="Arial" w:hAnsi="Arial"/>
          <w:sz w:val="6"/>
          <w:szCs w:val="6"/>
          <w:color w:val="FFFFFF"/>
          <w:vertAlign w:val="subscript"/>
        </w:rPr>
        <w:t>interest</w:t>
      </w:r>
      <w:r>
        <w:rPr>
          <w:rFonts w:ascii="Arial" w:cs="Arial" w:eastAsia="Arial" w:hAnsi="Arial"/>
          <w:sz w:val="5"/>
          <w:szCs w:val="5"/>
          <w:color w:val="FFFFFF"/>
        </w:rPr>
        <w:t>stockholders of record as of December 4, 2013 received 65.676 additional shares of common stock for each share of common stock held. The Company distributed the shares on December 5, 2013 and paid cash for fractional shares</w:t>
      </w:r>
    </w:p>
    <w:p>
      <w:pPr>
        <w:spacing w:after="0" w:line="192" w:lineRule="auto"/>
        <w:tabs>
          <w:tab w:leader="none" w:pos="740" w:val="left"/>
        </w:tabs>
        <w:rPr>
          <w:sz w:val="20"/>
          <w:szCs w:val="20"/>
          <w:color w:val="auto"/>
        </w:rPr>
      </w:pPr>
      <w:r>
        <w:rPr>
          <w:rFonts w:ascii="Arial" w:cs="Arial" w:eastAsia="Arial" w:hAnsi="Arial"/>
          <w:sz w:val="4"/>
          <w:szCs w:val="4"/>
          <w:color w:val="FFFFFF"/>
        </w:rPr>
        <w:t>without</w:t>
      </w:r>
      <w:r>
        <w:rPr>
          <w:sz w:val="20"/>
          <w:szCs w:val="20"/>
          <w:color w:val="auto"/>
        </w:rPr>
        <w:tab/>
      </w:r>
      <w:r>
        <w:rPr>
          <w:rFonts w:ascii="Arial" w:cs="Arial" w:eastAsia="Arial" w:hAnsi="Arial"/>
          <w:sz w:val="4"/>
          <w:szCs w:val="4"/>
          <w:color w:val="FFFFFF"/>
        </w:rPr>
        <w:t>or deduction.</w:t>
      </w:r>
    </w:p>
    <w:p>
      <w:pPr>
        <w:ind w:right="1480"/>
        <w:spacing w:after="0" w:line="184" w:lineRule="auto"/>
        <w:rPr>
          <w:sz w:val="20"/>
          <w:szCs w:val="20"/>
          <w:color w:val="auto"/>
        </w:rPr>
      </w:pPr>
      <w:r>
        <w:rPr>
          <w:rFonts w:ascii="Arial" w:cs="Arial" w:eastAsia="Arial" w:hAnsi="Arial"/>
          <w:sz w:val="8"/>
          <w:szCs w:val="8"/>
          <w:color w:val="FFFFFF"/>
        </w:rPr>
        <w:t>The Company has retroactively applied the effect of the stock split to the financial information presented herein by multiplying numbers of shares outstanding by 66.676 and dividing per share amounts by 66.676 Consistently earned dividend for over 3 years</w:t>
      </w:r>
    </w:p>
    <w:p>
      <w:pPr>
        <w:spacing w:after="0"/>
        <w:rPr>
          <w:sz w:val="20"/>
          <w:szCs w:val="20"/>
          <w:color w:val="auto"/>
        </w:rPr>
      </w:pPr>
      <w:r>
        <w:rPr>
          <w:rFonts w:ascii="Arial" w:cs="Arial" w:eastAsia="Arial" w:hAnsi="Arial"/>
          <w:sz w:val="12"/>
          <w:szCs w:val="12"/>
          <w:color w:val="FFFFFF"/>
        </w:rPr>
        <w:t>? TSLX (NYSE) 37</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FFFFFF"/>
        </w:rPr>
        <w:t>Net</w:t>
      </w:r>
      <w:r>
        <w:rPr>
          <w:rFonts w:ascii="Arial" w:cs="Arial" w:eastAsia="Arial" w:hAnsi="Arial"/>
          <w:sz w:val="23"/>
          <w:szCs w:val="23"/>
          <w:color w:val="FFFFFF"/>
          <w:vertAlign w:val="superscript"/>
        </w:rPr>
        <w:t>0.</w:t>
      </w:r>
      <w:r>
        <w:rPr>
          <w:rFonts w:ascii="Arial" w:cs="Arial" w:eastAsia="Arial" w:hAnsi="Arial"/>
          <w:sz w:val="12"/>
          <w:szCs w:val="12"/>
          <w:color w:val="FFFFFF"/>
        </w:rPr>
        <w:t>15Asset$15.84Value Bridge</w:t>
      </w:r>
    </w:p>
    <w:p>
      <w:pPr>
        <w:ind w:left="260"/>
        <w:spacing w:after="0" w:line="184" w:lineRule="auto"/>
        <w:rPr>
          <w:sz w:val="20"/>
          <w:szCs w:val="20"/>
          <w:color w:val="auto"/>
        </w:rPr>
      </w:pPr>
      <w:r>
        <w:rPr>
          <w:rFonts w:ascii="Arial" w:cs="Arial" w:eastAsia="Arial" w:hAnsi="Arial"/>
          <w:sz w:val="4"/>
          <w:szCs w:val="4"/>
          <w:color w:val="FFFFFF"/>
          <w:vertAlign w:val="superscript"/>
        </w:rPr>
        <w:t>8</w:t>
      </w:r>
    </w:p>
    <w:p>
      <w:pPr>
        <w:spacing w:after="0" w:line="184" w:lineRule="auto"/>
        <w:rPr>
          <w:sz w:val="20"/>
          <w:szCs w:val="20"/>
          <w:color w:val="auto"/>
        </w:rPr>
      </w:pPr>
      <w:r>
        <w:rPr>
          <w:rFonts w:ascii="Arial" w:cs="Arial" w:eastAsia="Arial" w:hAnsi="Arial"/>
          <w:sz w:val="6"/>
          <w:szCs w:val="6"/>
          <w:color w:val="FFFFFF"/>
        </w:rPr>
        <w:t>$15.6046($$0.39)0.00</w:t>
      </w:r>
      <w:r>
        <w:rPr>
          <w:rFonts w:ascii="Arial" w:cs="Arial" w:eastAsia="Arial" w:hAnsi="Arial"/>
          <w:sz w:val="8"/>
          <w:szCs w:val="8"/>
          <w:color w:val="FFFFFF"/>
          <w:vertAlign w:val="superscript"/>
        </w:rPr>
        <w:t>1</w:t>
      </w:r>
      <w:r>
        <w:rPr>
          <w:rFonts w:ascii="Arial" w:cs="Arial" w:eastAsia="Arial" w:hAnsi="Arial"/>
          <w:sz w:val="6"/>
          <w:szCs w:val="6"/>
          <w:color w:val="FFFFFF"/>
        </w:rPr>
        <w:t xml:space="preserve"> $0.01</w:t>
      </w:r>
    </w:p>
    <w:p>
      <w:pPr>
        <w:spacing w:after="0" w:line="184" w:lineRule="auto"/>
        <w:rPr>
          <w:sz w:val="20"/>
          <w:szCs w:val="20"/>
          <w:color w:val="auto"/>
        </w:rPr>
      </w:pPr>
      <w:r>
        <w:rPr>
          <w:rFonts w:ascii="Arial" w:cs="Arial" w:eastAsia="Arial" w:hAnsi="Arial"/>
          <w:sz w:val="4"/>
          <w:szCs w:val="4"/>
          <w:color w:val="FFFFFF"/>
        </w:rPr>
        <w:t>3/31/15 DRIP 2Q ‘15 2Q ‘15 2Q ‘15 Book NAV 2Q ‘15 2Q ‘15 6/30/15 Book NAV Issuance Reversal of Net Dividend Before Unrealized Other Book NAV</w:t>
      </w:r>
    </w:p>
    <w:p>
      <w:pPr>
        <w:spacing w:after="0" w:line="184" w:lineRule="auto"/>
        <w:rPr>
          <w:sz w:val="20"/>
          <w:szCs w:val="20"/>
          <w:color w:val="auto"/>
        </w:rPr>
      </w:pPr>
      <w:r>
        <w:rPr>
          <w:rFonts w:ascii="Arial" w:cs="Arial" w:eastAsia="Arial" w:hAnsi="Arial"/>
          <w:sz w:val="2"/>
          <w:szCs w:val="2"/>
          <w:color w:val="FFFFFF"/>
        </w:rPr>
        <w:t>Unrealized Investment Other Items Gains on Changes Gains &amp; Losses Income Investments in Unrealized from Full Primarily</w:t>
      </w:r>
      <w:r>
        <w:rPr>
          <w:rFonts w:ascii="Arial" w:cs="Arial" w:eastAsia="Arial" w:hAnsi="Arial"/>
          <w:sz w:val="4"/>
          <w:szCs w:val="4"/>
          <w:color w:val="FFFFFF"/>
          <w:vertAlign w:val="subscript"/>
        </w:rPr>
        <w:t>outstanding</w:t>
      </w:r>
      <w:r>
        <w:rPr>
          <w:rFonts w:ascii="Arial" w:cs="Arial" w:eastAsia="Arial" w:hAnsi="Arial"/>
          <w:sz w:val="2"/>
          <w:szCs w:val="2"/>
          <w:color w:val="FFFFFF"/>
        </w:rPr>
        <w:t>Realized Paydowns Attributable Gains to Change &amp; Losses in Spreads</w:t>
      </w:r>
    </w:p>
    <w:p>
      <w:pPr>
        <w:spacing w:after="0"/>
        <w:rPr>
          <w:sz w:val="20"/>
          <w:szCs w:val="20"/>
          <w:color w:val="auto"/>
        </w:rPr>
      </w:pPr>
      <w:r>
        <w:rPr>
          <w:rFonts w:ascii="Arial" w:cs="Arial" w:eastAsia="Arial" w:hAnsi="Arial"/>
          <w:sz w:val="9"/>
          <w:szCs w:val="9"/>
          <w:color w:val="FFFFFF"/>
        </w:rPr>
        <w:t>Note: Each net asset value per share impact is calculated based on total TSLX equity post each event divided by total shares post each event, less net asset value per share pre-event. Based on Q2 2015 weighted shares outstanding ? TSLX (NYSE) 38</w:t>
      </w:r>
    </w:p>
    <w:p>
      <w:pPr>
        <w:sectPr>
          <w:pgSz w:w="11900" w:h="16838" w:orient="portrait"/>
          <w:cols w:equalWidth="0" w:num="1">
            <w:col w:w="11340"/>
          </w:cols>
          <w:pgMar w:left="240" w:top="1440" w:right="31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CashLiquidityand CashManagementEquivalents</w:t>
      </w:r>
    </w:p>
    <w:p>
      <w:pPr>
        <w:spacing w:after="0" w:line="184" w:lineRule="auto"/>
        <w:rPr>
          <w:sz w:val="20"/>
          <w:szCs w:val="20"/>
          <w:color w:val="auto"/>
        </w:rPr>
      </w:pPr>
      <w:r>
        <w:rPr>
          <w:rFonts w:ascii="Arial" w:cs="Arial" w:eastAsia="Arial" w:hAnsi="Arial"/>
          <w:sz w:val="8"/>
          <w:szCs w:val="8"/>
          <w:color w:val="FFFFFF"/>
        </w:rPr>
        <w:t>Unrestricted cash totaled $2.8 million as of June 30, 2015. Cash held at quarter-end was primarily attributable to amortization and interest payments. Restricted cash related to our SPV Asset Facility and interest rate swaps totaled $12.8 million SPV Asset Facility Revolving Credit Facility Convertible Notes</w:t>
      </w:r>
    </w:p>
    <w:p>
      <w:pPr>
        <w:spacing w:after="0" w:line="184" w:lineRule="auto"/>
        <w:rPr>
          <w:sz w:val="20"/>
          <w:szCs w:val="20"/>
          <w:color w:val="auto"/>
        </w:rPr>
      </w:pPr>
      <w:r>
        <w:rPr>
          <w:rFonts w:ascii="Arial" w:cs="Arial" w:eastAsia="Arial" w:hAnsi="Arial"/>
          <w:sz w:val="4"/>
          <w:szCs w:val="4"/>
          <w:color w:val="FFFFFF"/>
        </w:rPr>
        <w:t>$781 million; uncommitted accordion feature can</w:t>
      </w:r>
    </w:p>
    <w:p>
      <w:pPr>
        <w:spacing w:after="0" w:line="184" w:lineRule="auto"/>
        <w:rPr>
          <w:sz w:val="20"/>
          <w:szCs w:val="20"/>
          <w:color w:val="auto"/>
        </w:rPr>
      </w:pPr>
      <w:r>
        <w:rPr>
          <w:rFonts w:ascii="Arial" w:cs="Arial" w:eastAsia="Arial" w:hAnsi="Arial"/>
          <w:sz w:val="4"/>
          <w:szCs w:val="4"/>
          <w:color w:val="FFFFFF"/>
        </w:rPr>
        <w:t>Size: N/A Size: $115 million increase total size to $956 million²</w:t>
      </w:r>
    </w:p>
    <w:p>
      <w:pPr>
        <w:spacing w:after="0" w:line="184" w:lineRule="auto"/>
        <w:rPr>
          <w:sz w:val="20"/>
          <w:szCs w:val="20"/>
          <w:color w:val="auto"/>
        </w:rPr>
      </w:pPr>
      <w:r>
        <w:rPr>
          <w:rFonts w:ascii="Arial" w:cs="Arial" w:eastAsia="Arial" w:hAnsi="Arial"/>
          <w:sz w:val="4"/>
          <w:szCs w:val="4"/>
          <w:color w:val="FFFFFF"/>
        </w:rPr>
        <w:t>Revolving Period: N/A October 17, 2018 Maturity: December 15, 2019</w:t>
      </w:r>
    </w:p>
    <w:p>
      <w:pPr>
        <w:spacing w:after="0" w:line="184" w:lineRule="auto"/>
        <w:rPr>
          <w:sz w:val="20"/>
          <w:szCs w:val="20"/>
          <w:color w:val="auto"/>
        </w:rPr>
      </w:pPr>
      <w:r>
        <w:rPr>
          <w:rFonts w:ascii="Arial" w:cs="Arial" w:eastAsia="Arial" w:hAnsi="Arial"/>
          <w:sz w:val="8"/>
          <w:szCs w:val="8"/>
          <w:color w:val="FFFFFF"/>
          <w:vertAlign w:val="subscript"/>
        </w:rPr>
        <w:t>Interest</w:t>
      </w:r>
      <w:r>
        <w:rPr>
          <w:rFonts w:ascii="Arial" w:cs="Arial" w:eastAsia="Arial" w:hAnsi="Arial"/>
          <w:sz w:val="6"/>
          <w:szCs w:val="6"/>
          <w:color w:val="FFFFFF"/>
        </w:rPr>
        <w:t>Maturiy Date: January 21, 2021 October 17, 2019 Coupon: 4.50%</w:t>
      </w:r>
    </w:p>
    <w:p>
      <w:pPr>
        <w:spacing w:after="0" w:line="184" w:lineRule="auto"/>
        <w:rPr>
          <w:sz w:val="20"/>
          <w:szCs w:val="20"/>
          <w:color w:val="auto"/>
        </w:rPr>
      </w:pPr>
      <w:r>
        <w:rPr>
          <w:rFonts w:ascii="Arial" w:cs="Arial" w:eastAsia="Arial" w:hAnsi="Arial"/>
          <w:sz w:val="2"/>
          <w:szCs w:val="2"/>
          <w:color w:val="FFFFFF"/>
        </w:rPr>
        <w:t>UndrawnRate:Fee:LIBORN/A</w:t>
      </w:r>
      <w:r>
        <w:rPr>
          <w:rFonts w:ascii="Arial" w:cs="Arial" w:eastAsia="Arial" w:hAnsi="Arial"/>
          <w:sz w:val="4"/>
          <w:szCs w:val="4"/>
          <w:color w:val="FFFFFF"/>
          <w:vertAlign w:val="superscript"/>
        </w:rPr>
        <w:t>2015)</w:t>
      </w:r>
      <w:r>
        <w:rPr>
          <w:rFonts w:ascii="Arial" w:cs="Arial" w:eastAsia="Arial" w:hAnsi="Arial"/>
          <w:sz w:val="2"/>
          <w:szCs w:val="2"/>
          <w:color w:val="FFFFFF"/>
        </w:rPr>
        <w:t>.375%+235 ConversionLIBOR+200Price:Interest$25.83Rate Swap Pricing(1): LIBOR + 286</w:t>
      </w:r>
    </w:p>
    <w:p>
      <w:pPr>
        <w:spacing w:after="0" w:line="200" w:lineRule="auto"/>
        <w:tabs>
          <w:tab w:leader="none" w:pos="1020" w:val="left"/>
        </w:tabs>
        <w:rPr>
          <w:sz w:val="20"/>
          <w:szCs w:val="20"/>
          <w:color w:val="auto"/>
        </w:rPr>
      </w:pPr>
      <w:r>
        <w:rPr>
          <w:rFonts w:ascii="Arial" w:cs="Arial" w:eastAsia="Arial" w:hAnsi="Arial"/>
          <w:sz w:val="12"/>
          <w:szCs w:val="12"/>
          <w:color w:val="FFFFFF"/>
        </w:rPr>
        <w:t>(As461of June 30,</w:t>
      </w:r>
      <w:r>
        <w:rPr>
          <w:sz w:val="20"/>
          <w:szCs w:val="20"/>
          <w:color w:val="auto"/>
        </w:rPr>
        <w:tab/>
      </w:r>
      <w:r>
        <w:rPr>
          <w:rFonts w:ascii="Arial" w:cs="Arial" w:eastAsia="Arial" w:hAnsi="Arial"/>
          <w:sz w:val="11"/>
          <w:szCs w:val="11"/>
          <w:color w:val="FFFFFF"/>
        </w:rPr>
        <w:t>Drawn Undrawn (Dollar amounts in millions)</w:t>
      </w:r>
    </w:p>
    <w:p>
      <w:pPr>
        <w:spacing w:after="0" w:line="184" w:lineRule="auto"/>
        <w:rPr>
          <w:sz w:val="20"/>
          <w:szCs w:val="20"/>
          <w:color w:val="auto"/>
        </w:rPr>
      </w:pPr>
      <w:r>
        <w:rPr>
          <w:rFonts w:ascii="Arial" w:cs="Arial" w:eastAsia="Arial" w:hAnsi="Arial"/>
          <w:sz w:val="4"/>
          <w:szCs w:val="4"/>
          <w:color w:val="FFFFFF"/>
        </w:rPr>
        <w:t>$0 $320 $125 $115</w:t>
      </w:r>
    </w:p>
    <w:p>
      <w:pPr>
        <w:spacing w:after="0" w:line="184" w:lineRule="auto"/>
        <w:rPr>
          <w:sz w:val="20"/>
          <w:szCs w:val="20"/>
          <w:color w:val="auto"/>
        </w:rPr>
      </w:pPr>
      <w:r>
        <w:rPr>
          <w:rFonts w:ascii="Arial" w:cs="Arial" w:eastAsia="Arial" w:hAnsi="Arial"/>
          <w:sz w:val="4"/>
          <w:szCs w:val="4"/>
          <w:color w:val="FFFFFF"/>
        </w:rPr>
        <w:t>SPV Asset Facility Revolving Credit Facility Convertible Notes</w:t>
      </w:r>
    </w:p>
    <w:p>
      <w:pPr>
        <w:ind w:right="60"/>
        <w:spacing w:after="0"/>
        <w:rPr>
          <w:sz w:val="20"/>
          <w:szCs w:val="20"/>
          <w:color w:val="auto"/>
        </w:rPr>
      </w:pPr>
      <w:r>
        <w:rPr>
          <w:rFonts w:ascii="Arial" w:cs="Arial" w:eastAsia="Arial" w:hAnsi="Arial"/>
          <w:sz w:val="5"/>
          <w:szCs w:val="5"/>
          <w:color w:val="FFFFFF"/>
        </w:rPr>
        <w:t>(1) In connection with the offering of the convertible senior notes, the Company entered into interest rate swaps to continue to align the interest rates of our liabilities with our investment portfolio, which consists of predominately floating rate loans. As</w:t>
      </w:r>
      <w:r>
        <w:rPr>
          <w:rFonts w:ascii="Arial" w:cs="Arial" w:eastAsia="Arial" w:hAnsi="Arial"/>
          <w:sz w:val="6"/>
          <w:szCs w:val="6"/>
          <w:color w:val="FFFFFF"/>
          <w:vertAlign w:val="subscript"/>
        </w:rPr>
        <w:t>Facility</w:t>
      </w:r>
      <w:r>
        <w:rPr>
          <w:rFonts w:ascii="Arial" w:cs="Arial" w:eastAsia="Arial" w:hAnsi="Arial"/>
          <w:sz w:val="5"/>
          <w:szCs w:val="5"/>
          <w:color w:val="FFFFFF"/>
        </w:rPr>
        <w:t>result of the swaps, our effective interest rate on the convertible senior notes was three-month LIBOR plus 286 basis points, which reflects the June 30, 3015 terms (2) On October 2, 2015, the Company amended the Revolving</w:t>
      </w:r>
    </w:p>
    <w:p>
      <w:pPr>
        <w:spacing w:after="0" w:line="2" w:lineRule="exact"/>
        <w:rPr>
          <w:sz w:val="20"/>
          <w:szCs w:val="20"/>
          <w:color w:val="auto"/>
        </w:rPr>
      </w:pPr>
    </w:p>
    <w:p>
      <w:pPr>
        <w:ind w:right="120"/>
        <w:spacing w:after="0" w:line="184" w:lineRule="auto"/>
        <w:rPr>
          <w:sz w:val="20"/>
          <w:szCs w:val="20"/>
          <w:color w:val="auto"/>
        </w:rPr>
      </w:pPr>
      <w:r>
        <w:rPr>
          <w:rFonts w:ascii="Arial" w:cs="Arial" w:eastAsia="Arial" w:hAnsi="Arial"/>
          <w:sz w:val="8"/>
          <w:szCs w:val="8"/>
          <w:color w:val="FFFFFF"/>
        </w:rPr>
        <w:t>Credit , which, among other things, increased total commitments to the facility to $821 million and increased the size of the accordion feature, which would allow the Company, under certain circumstances, to increase the total size of the facility to a maximum of $1.25 billion.</w:t>
      </w:r>
    </w:p>
    <w:p>
      <w:pPr>
        <w:spacing w:after="0"/>
        <w:rPr>
          <w:sz w:val="20"/>
          <w:szCs w:val="20"/>
          <w:color w:val="auto"/>
        </w:rPr>
      </w:pPr>
      <w:r>
        <w:rPr>
          <w:rFonts w:ascii="Arial" w:cs="Arial" w:eastAsia="Arial" w:hAnsi="Arial"/>
          <w:sz w:val="12"/>
          <w:szCs w:val="12"/>
          <w:color w:val="FFFFFF"/>
        </w:rPr>
        <w:t>? TSLX (NYSE) 39</w:t>
      </w:r>
    </w:p>
    <w:p>
      <w:pPr>
        <w:sectPr>
          <w:pgSz w:w="11900" w:h="16838" w:orient="portrait"/>
          <w:cols w:equalWidth="0" w:num="1">
            <w:col w:w="11420"/>
          </w:cols>
          <w:pgMar w:left="240" w:top="1440"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FFFFFF"/>
          <w:vertAlign w:val="superscript"/>
        </w:rPr>
        <w:t>TSLX</w:t>
      </w:r>
      <w:r>
        <w:rPr>
          <w:rFonts w:ascii="Arial" w:cs="Arial" w:eastAsia="Arial" w:hAnsi="Arial"/>
          <w:sz w:val="12"/>
          <w:szCs w:val="12"/>
          <w:color w:val="FFFFFF"/>
        </w:rPr>
        <w:t xml:space="preserve"> Funding Profile</w:t>
      </w:r>
    </w:p>
    <w:p>
      <w:pPr>
        <w:spacing w:after="0" w:line="184" w:lineRule="auto"/>
        <w:rPr>
          <w:sz w:val="20"/>
          <w:szCs w:val="20"/>
          <w:color w:val="auto"/>
        </w:rPr>
      </w:pPr>
      <w:r>
        <w:rPr>
          <w:rFonts w:ascii="Arial" w:cs="Arial" w:eastAsia="Arial" w:hAnsi="Arial"/>
          <w:sz w:val="8"/>
          <w:szCs w:val="8"/>
          <w:color w:val="FFFFFF"/>
        </w:rPr>
        <w:t>Stable</w:t>
      </w:r>
    </w:p>
    <w:p>
      <w:pPr>
        <w:ind w:left="60"/>
        <w:spacing w:after="0" w:line="184" w:lineRule="auto"/>
        <w:rPr>
          <w:sz w:val="20"/>
          <w:szCs w:val="20"/>
          <w:color w:val="auto"/>
        </w:rPr>
      </w:pPr>
      <w:r>
        <w:rPr>
          <w:rFonts w:ascii="Arial" w:cs="Arial" w:eastAsia="Arial" w:hAnsi="Arial"/>
          <w:sz w:val="4"/>
          <w:szCs w:val="4"/>
          <w:color w:val="FFFFFF"/>
        </w:rPr>
        <w:t>LOATING RATE PORTFOLIO FLOATING RATE DEBT</w:t>
      </w:r>
    </w:p>
    <w:p>
      <w:pPr>
        <w:spacing w:after="0" w:line="184" w:lineRule="auto"/>
        <w:rPr>
          <w:sz w:val="20"/>
          <w:szCs w:val="20"/>
          <w:color w:val="auto"/>
        </w:rPr>
      </w:pPr>
      <w:r>
        <w:rPr>
          <w:rFonts w:ascii="Arial" w:cs="Arial" w:eastAsia="Arial" w:hAnsi="Arial"/>
          <w:sz w:val="4"/>
          <w:szCs w:val="4"/>
          <w:color w:val="FFFFFF"/>
          <w:vertAlign w:val="subscript"/>
        </w:rPr>
        <w:t>4%Fixed</w:t>
      </w:r>
      <w:r>
        <w:rPr>
          <w:rFonts w:ascii="Arial" w:cs="Arial" w:eastAsia="Arial" w:hAnsi="Arial"/>
          <w:sz w:val="2"/>
          <w:szCs w:val="2"/>
          <w:color w:val="FFFFFF"/>
        </w:rPr>
        <w:t xml:space="preserve"> Rate</w:t>
      </w:r>
    </w:p>
    <w:p>
      <w:pPr>
        <w:spacing w:after="0" w:line="184" w:lineRule="auto"/>
        <w:rPr>
          <w:sz w:val="20"/>
          <w:szCs w:val="20"/>
          <w:color w:val="auto"/>
        </w:rPr>
      </w:pPr>
      <w:r>
        <w:rPr>
          <w:rFonts w:ascii="Arial" w:cs="Arial" w:eastAsia="Arial" w:hAnsi="Arial"/>
          <w:sz w:val="4"/>
          <w:szCs w:val="4"/>
          <w:color w:val="FFFFFF"/>
        </w:rPr>
        <w:t>Floating Rate</w:t>
      </w:r>
    </w:p>
    <w:p>
      <w:pPr>
        <w:spacing w:after="0" w:line="184" w:lineRule="auto"/>
        <w:rPr>
          <w:sz w:val="20"/>
          <w:szCs w:val="20"/>
          <w:color w:val="auto"/>
        </w:rPr>
      </w:pPr>
      <w:r>
        <w:rPr>
          <w:rFonts w:ascii="Arial" w:cs="Arial" w:eastAsia="Arial" w:hAnsi="Arial"/>
          <w:sz w:val="4"/>
          <w:szCs w:val="4"/>
          <w:color w:val="FFFFFF"/>
        </w:rPr>
        <w:t>(1)</w:t>
      </w:r>
    </w:p>
    <w:p>
      <w:pPr>
        <w:spacing w:after="0" w:line="184" w:lineRule="auto"/>
        <w:rPr>
          <w:sz w:val="20"/>
          <w:szCs w:val="20"/>
          <w:color w:val="auto"/>
        </w:rPr>
      </w:pPr>
      <w:r>
        <w:rPr>
          <w:rFonts w:ascii="Arial" w:cs="Arial" w:eastAsia="Arial" w:hAnsi="Arial"/>
          <w:sz w:val="8"/>
          <w:szCs w:val="8"/>
          <w:color w:val="FFFFFF"/>
        </w:rPr>
        <w:t>100% Floating Rate 96%</w:t>
      </w:r>
    </w:p>
    <w:p>
      <w:pPr>
        <w:spacing w:after="0" w:line="184" w:lineRule="auto"/>
        <w:rPr>
          <w:sz w:val="20"/>
          <w:szCs w:val="20"/>
          <w:color w:val="auto"/>
        </w:rPr>
      </w:pPr>
      <w:r>
        <w:rPr>
          <w:rFonts w:ascii="Arial" w:cs="Arial" w:eastAsia="Arial" w:hAnsi="Arial"/>
          <w:sz w:val="8"/>
          <w:szCs w:val="8"/>
          <w:color w:val="FFFFFF"/>
        </w:rPr>
        <w:t>ConvertiblePORTFOLIO INVESTMENTS FUNDED REMAINING DURATION OF DEBT FUNDING PROFILE WITH DEBT</w:t>
      </w:r>
    </w:p>
    <w:p>
      <w:pPr>
        <w:spacing w:after="0" w:line="184" w:lineRule="auto"/>
        <w:rPr>
          <w:sz w:val="20"/>
          <w:szCs w:val="20"/>
          <w:color w:val="auto"/>
        </w:rPr>
      </w:pPr>
      <w:r>
        <w:rPr>
          <w:rFonts w:ascii="Arial" w:cs="Arial" w:eastAsia="Arial" w:hAnsi="Arial"/>
          <w:sz w:val="4"/>
          <w:szCs w:val="4"/>
          <w:color w:val="FFFFFF"/>
        </w:rPr>
        <w:t>YearsSPVAsset Notes 4-5 Facility Unfunded* 5-6</w:t>
      </w:r>
    </w:p>
    <w:p>
      <w:pPr>
        <w:ind w:right="4360"/>
        <w:spacing w:after="0"/>
        <w:rPr>
          <w:sz w:val="20"/>
          <w:szCs w:val="20"/>
          <w:color w:val="auto"/>
        </w:rPr>
      </w:pPr>
      <w:r>
        <w:rPr>
          <w:rFonts w:ascii="Arial" w:cs="Arial" w:eastAsia="Arial" w:hAnsi="Arial"/>
          <w:sz w:val="5"/>
          <w:szCs w:val="5"/>
          <w:color w:val="FFFFFF"/>
        </w:rPr>
        <w:t>9% 3-4 Years 11% Years &lt;2 years 16% 21% Debt Equity 12% Funded Funded 44% 56% 2-3 Years Revolving 4-5 Years 58% Credit 73% Facility Weighted average remaining life of investments funded by debt of ~2.7 years(2) Weighted average remaining maturity date of debt of ~4.5 years(3)</w:t>
      </w:r>
    </w:p>
    <w:p>
      <w:pPr>
        <w:spacing w:after="0" w:line="201" w:lineRule="auto"/>
        <w:rPr>
          <w:sz w:val="20"/>
          <w:szCs w:val="20"/>
          <w:color w:val="auto"/>
        </w:rPr>
      </w:pPr>
      <w:r>
        <w:rPr>
          <w:rFonts w:ascii="Arial" w:cs="Arial" w:eastAsia="Arial" w:hAnsi="Arial"/>
          <w:sz w:val="5"/>
          <w:szCs w:val="5"/>
          <w:color w:val="FFFFFF"/>
          <w:vertAlign w:val="superscript"/>
        </w:rPr>
        <w:t>(2)</w:t>
      </w:r>
      <w:r>
        <w:rPr>
          <w:rFonts w:ascii="Arial" w:cs="Arial" w:eastAsia="Arial" w:hAnsi="Arial"/>
          <w:sz w:val="3"/>
          <w:szCs w:val="3"/>
          <w:color w:val="FFFFFF"/>
        </w:rPr>
        <w:t>1) Convertible debt treated as floating rate due to interest rate swap TSLX entered into to swap fixed notes payments for floating rate payments</w:t>
      </w:r>
    </w:p>
    <w:p>
      <w:pPr>
        <w:ind w:firstLine="167"/>
        <w:spacing w:after="0"/>
        <w:rPr>
          <w:sz w:val="20"/>
          <w:szCs w:val="20"/>
          <w:color w:val="auto"/>
        </w:rPr>
      </w:pPr>
      <w:r>
        <w:rPr>
          <w:rFonts w:ascii="Arial" w:cs="Arial" w:eastAsia="Arial" w:hAnsi="Arial"/>
          <w:sz w:val="5"/>
          <w:szCs w:val="5"/>
          <w:color w:val="FFFFFF"/>
        </w:rPr>
        <w:t>Weighted by amortized cost of debt investments. Investments are financed by debt and permanent equity capital. This analysis assumes longer-dated investments are currently funded by permanent equity capital (56% of investments) and the remaining (shorter-dated) investments (44% of investments) are currently funded by debt financing. Investments for purposes of this analysis include unfunded commitments (3) Weighted by gross commitment amount</w:t>
      </w:r>
    </w:p>
    <w:p>
      <w:pPr>
        <w:spacing w:after="0" w:line="193" w:lineRule="auto"/>
        <w:rPr>
          <w:sz w:val="20"/>
          <w:szCs w:val="20"/>
          <w:color w:val="auto"/>
        </w:rPr>
      </w:pPr>
      <w:r>
        <w:rPr>
          <w:rFonts w:ascii="Arial" w:cs="Arial" w:eastAsia="Arial" w:hAnsi="Arial"/>
          <w:sz w:val="9"/>
          <w:szCs w:val="9"/>
          <w:color w:val="FFFFFF"/>
        </w:rPr>
        <w:t>* Includes unfunded commitments of $60.4mm</w:t>
      </w:r>
    </w:p>
    <w:p>
      <w:pPr>
        <w:spacing w:after="0"/>
        <w:rPr>
          <w:sz w:val="20"/>
          <w:szCs w:val="20"/>
          <w:color w:val="auto"/>
        </w:rPr>
      </w:pPr>
      <w:r>
        <w:rPr>
          <w:rFonts w:ascii="Arial" w:cs="Arial" w:eastAsia="Arial" w:hAnsi="Arial"/>
          <w:sz w:val="12"/>
          <w:szCs w:val="12"/>
          <w:color w:val="FFFFFF"/>
        </w:rPr>
        <w:t>?TSLXTSLXis (NYSE)matchfunded40 from an interest rate and duration perspective</w:t>
      </w:r>
    </w:p>
    <w:p>
      <w:pPr>
        <w:sectPr>
          <w:pgSz w:w="11900" w:h="16838" w:orient="portrait"/>
          <w:cols w:equalWidth="0" w:num="1">
            <w:col w:w="11300"/>
          </w:cols>
          <w:pgMar w:left="240" w:top="1440" w:right="3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FFFFFF"/>
        </w:rPr>
        <w:t>Appendix B: Reconciliation to GAAP</w:t>
      </w:r>
    </w:p>
    <w:p>
      <w:pPr>
        <w:sectPr>
          <w:pgSz w:w="11900" w:h="16838" w:orient="portrait"/>
          <w:cols w:equalWidth="0" w:num="1">
            <w:col w:w="10219"/>
          </w:cols>
          <w:pgMar w:left="2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gridSpan w:val="2"/>
          </w:tcPr>
          <w:p>
            <w:pPr>
              <w:spacing w:after="0"/>
              <w:rPr>
                <w:sz w:val="20"/>
                <w:szCs w:val="20"/>
                <w:color w:val="auto"/>
              </w:rPr>
            </w:pPr>
            <w:r>
              <w:rPr>
                <w:rFonts w:ascii="Arial" w:cs="Arial" w:eastAsia="Arial" w:hAnsi="Arial"/>
                <w:sz w:val="12"/>
                <w:szCs w:val="12"/>
                <w:color w:val="FFFFFF"/>
              </w:rPr>
              <w:t>Reconciliation of Certain Non-GAAP Financial Measures (1/2)</w:t>
            </w: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500" w:type="dxa"/>
            <w:vAlign w:val="bottom"/>
          </w:tcPr>
          <w:p>
            <w:pPr>
              <w:spacing w:after="0" w:line="36" w:lineRule="exact"/>
              <w:rPr>
                <w:sz w:val="20"/>
                <w:szCs w:val="20"/>
                <w:color w:val="auto"/>
              </w:rPr>
            </w:pPr>
            <w:r>
              <w:rPr>
                <w:rFonts w:ascii="Arial" w:cs="Arial" w:eastAsia="Arial" w:hAnsi="Arial"/>
                <w:sz w:val="4"/>
                <w:szCs w:val="4"/>
                <w:color w:val="FFFFFF"/>
              </w:rPr>
              <w:t>Total economics of your</w:t>
            </w:r>
          </w:p>
        </w:tc>
        <w:tc>
          <w:tcPr>
            <w:tcW w:w="9840" w:type="dxa"/>
            <w:vAlign w:val="bottom"/>
            <w:gridSpan w:val="2"/>
          </w:tcPr>
          <w:p>
            <w:pPr>
              <w:ind w:left="240"/>
              <w:spacing w:after="0" w:line="36" w:lineRule="exact"/>
              <w:rPr>
                <w:sz w:val="20"/>
                <w:szCs w:val="20"/>
                <w:color w:val="auto"/>
              </w:rPr>
            </w:pPr>
            <w:r>
              <w:rPr>
                <w:rFonts w:ascii="Arial" w:cs="Arial" w:eastAsia="Arial" w:hAnsi="Arial"/>
                <w:sz w:val="4"/>
                <w:szCs w:val="4"/>
                <w:color w:val="FFFFFF"/>
              </w:rPr>
              <w:t>as set forth in this presentation, may be considered a non-GAAP financial measure. TSLX provides this information to stockholders because TSLX believes it enhances stockholders’ understanding of the</w:t>
            </w:r>
          </w:p>
        </w:tc>
        <w:tc>
          <w:tcPr>
            <w:tcW w:w="0" w:type="dxa"/>
            <w:vAlign w:val="bottom"/>
          </w:tcPr>
          <w:p>
            <w:pPr>
              <w:spacing w:after="0" w:line="20" w:lineRule="exact"/>
              <w:rPr>
                <w:sz w:val="1"/>
                <w:szCs w:val="1"/>
                <w:color w:val="auto"/>
              </w:rPr>
            </w:pPr>
          </w:p>
        </w:tc>
      </w:tr>
      <w:tr>
        <w:trPr>
          <w:trHeight w:val="35"/>
        </w:trPr>
        <w:tc>
          <w:tcPr>
            <w:tcW w:w="1500" w:type="dxa"/>
            <w:vAlign w:val="bottom"/>
          </w:tcPr>
          <w:p>
            <w:pPr>
              <w:spacing w:after="0" w:line="36" w:lineRule="exact"/>
              <w:rPr>
                <w:sz w:val="20"/>
                <w:szCs w:val="20"/>
                <w:color w:val="auto"/>
              </w:rPr>
            </w:pPr>
            <w:r>
              <w:rPr>
                <w:rFonts w:ascii="Arial" w:cs="Arial" w:eastAsia="Arial" w:hAnsi="Arial"/>
                <w:sz w:val="4"/>
                <w:szCs w:val="4"/>
                <w:color w:val="FFFFFF"/>
              </w:rPr>
              <w:t>relative costs stockholder bear</w:t>
            </w:r>
          </w:p>
        </w:tc>
        <w:tc>
          <w:tcPr>
            <w:tcW w:w="9840" w:type="dxa"/>
            <w:vAlign w:val="bottom"/>
            <w:gridSpan w:val="2"/>
          </w:tcPr>
          <w:p>
            <w:pPr>
              <w:ind w:left="80"/>
              <w:spacing w:after="0" w:line="36" w:lineRule="exact"/>
              <w:rPr>
                <w:sz w:val="20"/>
                <w:szCs w:val="20"/>
                <w:color w:val="auto"/>
              </w:rPr>
            </w:pPr>
            <w:r>
              <w:rPr>
                <w:rFonts w:ascii="Arial" w:cs="Arial" w:eastAsia="Arial" w:hAnsi="Arial"/>
                <w:sz w:val="4"/>
                <w:szCs w:val="4"/>
                <w:color w:val="FFFFFF"/>
              </w:rPr>
              <w:t>relation to the assets generated by operations of TSLX and TICC, respectively. Non-GAAP financial measures should not be considered in isolation from, or as a substitute for, financial information presented</w:t>
            </w:r>
          </w:p>
        </w:tc>
        <w:tc>
          <w:tcPr>
            <w:tcW w:w="0" w:type="dxa"/>
            <w:vAlign w:val="bottom"/>
          </w:tcPr>
          <w:p>
            <w:pPr>
              <w:spacing w:after="0" w:line="20" w:lineRule="exact"/>
              <w:rPr>
                <w:sz w:val="1"/>
                <w:szCs w:val="1"/>
                <w:color w:val="auto"/>
              </w:rPr>
            </w:pPr>
          </w:p>
        </w:tc>
      </w:tr>
      <w:tr>
        <w:trPr>
          <w:trHeight w:val="35"/>
        </w:trPr>
        <w:tc>
          <w:tcPr>
            <w:tcW w:w="8240" w:type="dxa"/>
            <w:vAlign w:val="bottom"/>
            <w:gridSpan w:val="2"/>
          </w:tcPr>
          <w:p>
            <w:pPr>
              <w:spacing w:after="0" w:line="36" w:lineRule="exact"/>
              <w:rPr>
                <w:sz w:val="20"/>
                <w:szCs w:val="20"/>
                <w:color w:val="auto"/>
              </w:rPr>
            </w:pPr>
            <w:r>
              <w:rPr>
                <w:rFonts w:ascii="Arial" w:cs="Arial" w:eastAsia="Arial" w:hAnsi="Arial"/>
                <w:sz w:val="4"/>
                <w:szCs w:val="4"/>
                <w:color w:val="FFFFFF"/>
              </w:rPr>
              <w:t>in compliance with GAAP and non-GAAP financial measures as used by TSLX may not be comparable to similarly titled amounts used by other companies.</w:t>
            </w:r>
          </w:p>
        </w:tc>
        <w:tc>
          <w:tcPr>
            <w:tcW w:w="3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8240" w:type="dxa"/>
            <w:vAlign w:val="bottom"/>
            <w:gridSpan w:val="2"/>
          </w:tcPr>
          <w:p>
            <w:pPr>
              <w:spacing w:after="0" w:line="36" w:lineRule="exact"/>
              <w:rPr>
                <w:sz w:val="20"/>
                <w:szCs w:val="20"/>
                <w:color w:val="auto"/>
              </w:rPr>
            </w:pPr>
            <w:r>
              <w:rPr>
                <w:rFonts w:ascii="Arial" w:cs="Arial" w:eastAsia="Arial" w:hAnsi="Arial"/>
                <w:sz w:val="4"/>
                <w:szCs w:val="4"/>
                <w:color w:val="FFFFFF"/>
              </w:rPr>
              <w:t>Economic Profit = Increaseinvestment,NetAssets Resulting from Operations + Total Shareholder Expenses</w:t>
            </w:r>
          </w:p>
        </w:tc>
        <w:tc>
          <w:tcPr>
            <w:tcW w:w="3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40" w:type="dxa"/>
            <w:vAlign w:val="bottom"/>
            <w:gridSpan w:val="3"/>
          </w:tcPr>
          <w:p>
            <w:pPr>
              <w:spacing w:after="0" w:line="36" w:lineRule="exact"/>
              <w:rPr>
                <w:sz w:val="20"/>
                <w:szCs w:val="20"/>
                <w:color w:val="auto"/>
              </w:rPr>
            </w:pPr>
            <w:r>
              <w:rPr>
                <w:rFonts w:ascii="Arial" w:cs="Arial" w:eastAsia="Arial" w:hAnsi="Arial"/>
                <w:sz w:val="4"/>
                <w:szCs w:val="4"/>
                <w:color w:val="FFFFFF"/>
              </w:rPr>
              <w:t>The table below illustrates a reconciliation of the increase in net assets resulting from operations over the years TSLX and TICC (on the next page) had operations to the ratio of shareholder expenses to economic profit:</w:t>
            </w:r>
          </w:p>
        </w:tc>
        <w:tc>
          <w:tcPr>
            <w:tcW w:w="0" w:type="dxa"/>
            <w:vAlign w:val="bottom"/>
          </w:tcPr>
          <w:p>
            <w:pPr>
              <w:spacing w:after="0" w:line="20" w:lineRule="exact"/>
              <w:rPr>
                <w:sz w:val="1"/>
                <w:szCs w:val="1"/>
                <w:color w:val="auto"/>
              </w:rPr>
            </w:pPr>
          </w:p>
        </w:tc>
      </w:tr>
      <w:tr>
        <w:trPr>
          <w:trHeight w:val="35"/>
        </w:trPr>
        <w:tc>
          <w:tcPr>
            <w:tcW w:w="1500" w:type="dxa"/>
            <w:vAlign w:val="bottom"/>
          </w:tcPr>
          <w:p>
            <w:pPr>
              <w:spacing w:after="0" w:line="36" w:lineRule="exact"/>
              <w:rPr>
                <w:sz w:val="20"/>
                <w:szCs w:val="20"/>
                <w:color w:val="auto"/>
              </w:rPr>
            </w:pPr>
            <w:r>
              <w:rPr>
                <w:rFonts w:ascii="Arial" w:cs="Arial" w:eastAsia="Arial" w:hAnsi="Arial"/>
                <w:sz w:val="4"/>
                <w:szCs w:val="4"/>
                <w:color w:val="FFFFFF"/>
              </w:rPr>
              <w:t>2015 (through</w:t>
            </w:r>
          </w:p>
        </w:tc>
        <w:tc>
          <w:tcPr>
            <w:tcW w:w="67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8240" w:type="dxa"/>
            <w:vAlign w:val="bottom"/>
            <w:gridSpan w:val="2"/>
          </w:tcPr>
          <w:p>
            <w:pPr>
              <w:spacing w:after="0" w:line="36" w:lineRule="exact"/>
              <w:rPr>
                <w:sz w:val="20"/>
                <w:szCs w:val="20"/>
                <w:color w:val="auto"/>
              </w:rPr>
            </w:pPr>
            <w:r>
              <w:rPr>
                <w:rFonts w:ascii="Arial" w:cs="Arial" w:eastAsia="Arial" w:hAnsi="Arial"/>
                <w:sz w:val="4"/>
                <w:szCs w:val="4"/>
                <w:color w:val="FFFFFF"/>
              </w:rPr>
              <w:t>(In thousands) 2011 2012 2013 2014 June 30) Cumulative</w:t>
            </w:r>
          </w:p>
        </w:tc>
        <w:tc>
          <w:tcPr>
            <w:tcW w:w="3100" w:type="dxa"/>
            <w:vAlign w:val="bottom"/>
            <w:vMerge w:val="restart"/>
          </w:tcPr>
          <w:p>
            <w:pPr>
              <w:ind w:left="20"/>
              <w:spacing w:after="0" w:line="71" w:lineRule="exact"/>
              <w:rPr>
                <w:sz w:val="20"/>
                <w:szCs w:val="20"/>
                <w:color w:val="auto"/>
              </w:rPr>
            </w:pPr>
            <w:r>
              <w:rPr>
                <w:rFonts w:ascii="Arial" w:cs="Arial" w:eastAsia="Arial" w:hAnsi="Arial"/>
                <w:sz w:val="8"/>
                <w:szCs w:val="8"/>
                <w:color w:val="FFFFFF"/>
              </w:rPr>
              <w:t>$ 8,892 $ 13,376 $ 18,296 $ 10,247 $ 52,404 Incentive fees</w:t>
            </w:r>
          </w:p>
        </w:tc>
        <w:tc>
          <w:tcPr>
            <w:tcW w:w="0" w:type="dxa"/>
            <w:vAlign w:val="bottom"/>
          </w:tcPr>
          <w:p>
            <w:pPr>
              <w:spacing w:after="0" w:line="20" w:lineRule="exact"/>
              <w:rPr>
                <w:sz w:val="1"/>
                <w:szCs w:val="1"/>
                <w:color w:val="auto"/>
              </w:rPr>
            </w:pPr>
          </w:p>
        </w:tc>
      </w:tr>
      <w:tr>
        <w:trPr>
          <w:trHeight w:val="35"/>
        </w:trPr>
        <w:tc>
          <w:tcPr>
            <w:tcW w:w="8240" w:type="dxa"/>
            <w:vAlign w:val="bottom"/>
            <w:gridSpan w:val="2"/>
          </w:tcPr>
          <w:p>
            <w:pPr>
              <w:spacing w:after="0" w:line="36" w:lineRule="exact"/>
              <w:rPr>
                <w:sz w:val="20"/>
                <w:szCs w:val="20"/>
                <w:color w:val="auto"/>
              </w:rPr>
            </w:pPr>
            <w:r>
              <w:rPr>
                <w:rFonts w:ascii="Arial" w:cs="Arial" w:eastAsia="Arial" w:hAnsi="Arial"/>
                <w:sz w:val="4"/>
                <w:szCs w:val="4"/>
                <w:color w:val="FFFFFF"/>
              </w:rPr>
              <w:t>Increase in Net Assets Resulting from Operations (GAAP) $ 813 $ 39,595 $ 66,983 $ 85,050 $ 58,573 $ 251,014 Shareholder Expenses: Management fees (GAAP)(1) $ 1,593</w:t>
            </w:r>
          </w:p>
        </w:tc>
        <w:tc>
          <w:tcPr>
            <w:tcW w:w="3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8240" w:type="dxa"/>
            <w:vAlign w:val="bottom"/>
            <w:gridSpan w:val="2"/>
          </w:tcPr>
          <w:p>
            <w:pPr>
              <w:spacing w:after="0" w:line="36" w:lineRule="exact"/>
              <w:rPr>
                <w:sz w:val="20"/>
                <w:szCs w:val="20"/>
                <w:color w:val="auto"/>
              </w:rPr>
            </w:pPr>
            <w:r>
              <w:rPr>
                <w:rFonts w:ascii="Arial" w:cs="Arial" w:eastAsia="Arial" w:hAnsi="Arial"/>
                <w:sz w:val="4"/>
                <w:szCs w:val="4"/>
                <w:color w:val="FFFFFF"/>
              </w:rPr>
              <w:t>(GAAP) 347 6,996 11,790 17,839 12,137 49,109 Professional fees (GAAP) 1,563 2,881 3,691 4,752 2,490 15,377</w:t>
            </w:r>
          </w:p>
        </w:tc>
        <w:tc>
          <w:tcPr>
            <w:tcW w:w="3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500" w:type="dxa"/>
            <w:vAlign w:val="bottom"/>
          </w:tcPr>
          <w:p>
            <w:pPr>
              <w:spacing w:after="0" w:line="36" w:lineRule="exact"/>
              <w:rPr>
                <w:sz w:val="20"/>
                <w:szCs w:val="20"/>
                <w:color w:val="auto"/>
              </w:rPr>
            </w:pPr>
            <w:r>
              <w:rPr>
                <w:rFonts w:ascii="Arial" w:cs="Arial" w:eastAsia="Arial" w:hAnsi="Arial"/>
                <w:sz w:val="4"/>
                <w:szCs w:val="4"/>
                <w:color w:val="FFFFFF"/>
              </w:rPr>
              <w:t>Directors’ fees (GAAP)</w:t>
            </w:r>
          </w:p>
        </w:tc>
        <w:tc>
          <w:tcPr>
            <w:tcW w:w="67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500" w:type="dxa"/>
            <w:vAlign w:val="bottom"/>
          </w:tcPr>
          <w:p>
            <w:pPr>
              <w:spacing w:after="0"/>
              <w:rPr>
                <w:sz w:val="20"/>
                <w:szCs w:val="20"/>
                <w:color w:val="auto"/>
              </w:rPr>
            </w:pPr>
            <w:r>
              <w:rPr>
                <w:rFonts w:ascii="Arial" w:cs="Arial" w:eastAsia="Arial" w:hAnsi="Arial"/>
                <w:sz w:val="12"/>
                <w:szCs w:val="12"/>
                <w:color w:val="FFFFFF"/>
              </w:rPr>
              <w:t>245 287 285 342 187 1,346</w:t>
            </w:r>
          </w:p>
        </w:tc>
        <w:tc>
          <w:tcPr>
            <w:tcW w:w="67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2"/>
          <w:szCs w:val="12"/>
          <w:color w:val="FFFFFF"/>
        </w:rPr>
        <w:t>Other general and administrative (GAAP) 773 1,564 2,434 3,858 2,427 11,056 Compensation expense (GAAP) — — — — — —</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FFFFFF"/>
        </w:rPr>
        <w:t>Total Shareholder Expenses 4,521 20,620 31,576 45,087 27,488 129,292 Economic Profit* $ 380,306 Ratio of Total Shareholder Expenses to Economic Profit 34%</w:t>
      </w:r>
    </w:p>
    <w:p>
      <w:pPr>
        <w:spacing w:after="0"/>
        <w:rPr>
          <w:sz w:val="20"/>
          <w:szCs w:val="20"/>
          <w:color w:val="auto"/>
        </w:rPr>
      </w:pPr>
      <w:r>
        <w:rPr>
          <w:rFonts w:ascii="Arial" w:cs="Arial" w:eastAsia="Arial" w:hAnsi="Arial"/>
          <w:sz w:val="12"/>
          <w:szCs w:val="12"/>
          <w:color w:val="FFFFFF"/>
        </w:rPr>
        <w:t>42(1) Includes management fees waived by TSLX’s investment advisor prior to TSLX’s IPO in 2014, which totaled $7 in 2011, $3,704 in 2012, $7,135 in 2013 and $2,464 in 2014.</w:t>
      </w:r>
    </w:p>
    <w:p>
      <w:pPr>
        <w:sectPr>
          <w:pgSz w:w="11900" w:h="16838" w:orient="portrait"/>
          <w:cols w:equalWidth="0" w:num="1">
            <w:col w:w="11340"/>
          </w:cols>
          <w:pgMar w:left="240" w:top="1440" w:right="31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09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Reconciliation of Certain Non-GAAP Financial Measures (2/2)</w:t>
      </w:r>
    </w:p>
    <w:p>
      <w:pPr>
        <w:spacing w:after="0" w:line="184" w:lineRule="auto"/>
        <w:rPr>
          <w:sz w:val="20"/>
          <w:szCs w:val="20"/>
          <w:color w:val="auto"/>
        </w:rPr>
      </w:pPr>
      <w:r>
        <w:rPr>
          <w:rFonts w:ascii="Arial" w:cs="Arial" w:eastAsia="Arial" w:hAnsi="Arial"/>
          <w:sz w:val="4"/>
          <w:szCs w:val="4"/>
          <w:color w:val="FFFFFF"/>
        </w:rPr>
        <w:t>2015 (through</w:t>
      </w:r>
    </w:p>
    <w:p>
      <w:pPr>
        <w:spacing w:after="0"/>
        <w:rPr>
          <w:sz w:val="20"/>
          <w:szCs w:val="20"/>
          <w:color w:val="auto"/>
        </w:rPr>
      </w:pPr>
      <w:r>
        <w:rPr>
          <w:rFonts w:ascii="Arial" w:cs="Arial" w:eastAsia="Arial" w:hAnsi="Arial"/>
          <w:sz w:val="8"/>
          <w:szCs w:val="8"/>
          <w:color w:val="FFFFFF"/>
        </w:rPr>
        <w:t>(In thousands) 2003 2004 2005 2006 2007 2008 2009 2010 2011 2012 2013 2014 June 30) Cumulative Increase (Decrease) in Net Assets Resulting from Operations (GAAP) $ (578) $ 3,364 $ 16,304 $ 26,331 $ (11,649) $ (53,266) $ 35,182 $ 63,947 $ 14,209 $ 68,323 $ 58,945 $ (3,348) $ 30,856 $ 248,620</w:t>
      </w:r>
    </w:p>
    <w:p>
      <w:pPr>
        <w:spacing w:after="0" w:line="195" w:lineRule="auto"/>
        <w:rPr>
          <w:sz w:val="20"/>
          <w:szCs w:val="20"/>
          <w:color w:val="auto"/>
        </w:rPr>
      </w:pPr>
      <w:r>
        <w:rPr>
          <w:rFonts w:ascii="Arial" w:cs="Arial" w:eastAsia="Arial" w:hAnsi="Arial"/>
          <w:sz w:val="9"/>
          <w:szCs w:val="9"/>
          <w:color w:val="FFFFFF"/>
          <w:vertAlign w:val="superscript"/>
        </w:rPr>
        <w:t>Expense</w:t>
      </w:r>
      <w:r>
        <w:rPr>
          <w:rFonts w:ascii="Arial" w:cs="Arial" w:eastAsia="Arial" w:hAnsi="Arial"/>
          <w:sz w:val="7"/>
          <w:szCs w:val="7"/>
          <w:color w:val="FFFFFF"/>
        </w:rPr>
        <w:t>CompensationShareholder</w:t>
      </w:r>
      <w:r>
        <w:rPr>
          <w:rFonts w:ascii="Arial" w:cs="Arial" w:eastAsia="Arial" w:hAnsi="Arial"/>
          <w:sz w:val="9"/>
          <w:szCs w:val="9"/>
          <w:color w:val="FFFFFF"/>
          <w:vertAlign w:val="superscript"/>
        </w:rPr>
        <w:t>:(2)</w:t>
      </w:r>
      <w:r>
        <w:rPr>
          <w:rFonts w:ascii="Arial" w:cs="Arial" w:eastAsia="Arial" w:hAnsi="Arial"/>
          <w:sz w:val="7"/>
          <w:szCs w:val="7"/>
          <w:color w:val="FFFFFF"/>
        </w:rPr>
        <w:t xml:space="preserve"> expense</w:t>
      </w:r>
    </w:p>
    <w:p>
      <w:pPr>
        <w:ind w:right="340"/>
        <w:spacing w:after="0" w:line="184" w:lineRule="auto"/>
        <w:rPr>
          <w:sz w:val="20"/>
          <w:szCs w:val="20"/>
          <w:color w:val="auto"/>
        </w:rPr>
      </w:pPr>
      <w:r>
        <w:rPr>
          <w:rFonts w:ascii="Arial" w:cs="Arial" w:eastAsia="Arial" w:hAnsi="Arial"/>
          <w:sz w:val="8"/>
          <w:szCs w:val="8"/>
          <w:color w:val="FFFFFF"/>
        </w:rPr>
        <w:t>(GAAP) $ 27 $ 208 $ 725 $ 712 $ 898 $ 906 $ 971 $ 1,021 $ 1,091 $ 1,183 $ 1,648 $ 1,861 $ 876 $ 12,127 Investment advisory fees (GAAP) 259 2,774 4,346 6,240 7,462 7,001 4,070 5,044 7,317 11,223 19,096 21,150 10,319 106,301 Professional fees (GAAP)</w:t>
      </w:r>
    </w:p>
    <w:p>
      <w:pPr>
        <w:ind w:right="2340"/>
        <w:spacing w:after="0" w:line="184" w:lineRule="auto"/>
        <w:rPr>
          <w:sz w:val="20"/>
          <w:szCs w:val="20"/>
          <w:color w:val="auto"/>
        </w:rPr>
      </w:pPr>
      <w:r>
        <w:rPr>
          <w:rFonts w:ascii="Arial" w:cs="Arial" w:eastAsia="Arial" w:hAnsi="Arial"/>
          <w:sz w:val="8"/>
          <w:szCs w:val="8"/>
          <w:color w:val="FFFFFF"/>
        </w:rPr>
        <w:t>30 587 1,102 1,060 1,010 1,626 1,306 1,034 1,191 1,874 1,996 2,150 1,512 16,478 General and administrati ve (GAAP) (3) 9 145 368 221 310 401 250 401 587 1,028 1,590 1,398 1,184 7,892 Directors’ Fees</w:t>
      </w:r>
    </w:p>
    <w:p>
      <w:pPr>
        <w:spacing w:after="0" w:line="184" w:lineRule="auto"/>
        <w:rPr>
          <w:sz w:val="20"/>
          <w:szCs w:val="20"/>
          <w:color w:val="auto"/>
        </w:rPr>
      </w:pPr>
      <w:r>
        <w:rPr>
          <w:rFonts w:ascii="Arial" w:cs="Arial" w:eastAsia="Arial" w:hAnsi="Arial"/>
          <w:sz w:val="4"/>
          <w:szCs w:val="4"/>
          <w:color w:val="FFFFFF"/>
        </w:rPr>
        <w:t>(GAAP)</w:t>
      </w:r>
    </w:p>
    <w:p>
      <w:pPr>
        <w:spacing w:after="0" w:line="184" w:lineRule="auto"/>
        <w:rPr>
          <w:sz w:val="20"/>
          <w:szCs w:val="20"/>
          <w:color w:val="auto"/>
        </w:rPr>
      </w:pPr>
      <w:r>
        <w:rPr>
          <w:rFonts w:ascii="Arial" w:cs="Arial" w:eastAsia="Arial" w:hAnsi="Arial"/>
          <w:sz w:val="2"/>
          <w:szCs w:val="2"/>
          <w:color w:val="FFFFFF"/>
        </w:rPr>
        <w:t>— 141 135 169 165 185 193 179 223 261</w:t>
      </w:r>
      <w:r>
        <w:rPr>
          <w:rFonts w:ascii="Arial" w:cs="Arial" w:eastAsia="Arial" w:hAnsi="Arial"/>
          <w:sz w:val="4"/>
          <w:szCs w:val="4"/>
          <w:color w:val="FFFFFF"/>
          <w:vertAlign w:val="subscript"/>
        </w:rPr>
        <w:t>1,649</w:t>
      </w:r>
      <w:r>
        <w:rPr>
          <w:rFonts w:ascii="Arial" w:cs="Arial" w:eastAsia="Arial" w:hAnsi="Arial"/>
          <w:sz w:val="2"/>
          <w:szCs w:val="2"/>
          <w:color w:val="FFFFFF"/>
        </w:rPr>
        <w:t>323 317 — 2,291</w:t>
      </w:r>
    </w:p>
    <w:p>
      <w:pPr>
        <w:spacing w:after="0" w:line="184" w:lineRule="auto"/>
        <w:tabs>
          <w:tab w:leader="none" w:pos="2180" w:val="left"/>
        </w:tabs>
        <w:rPr>
          <w:sz w:val="20"/>
          <w:szCs w:val="20"/>
          <w:color w:val="auto"/>
        </w:rPr>
      </w:pPr>
      <w:r>
        <w:rPr>
          <w:rFonts w:ascii="Arial" w:cs="Arial" w:eastAsia="Arial" w:hAnsi="Arial"/>
          <w:sz w:val="8"/>
          <w:szCs w:val="8"/>
          <w:color w:val="FFFFFF"/>
        </w:rPr>
        <w:t>Total incentive fees (GAAP) $ 16, 26, (1</w:t>
      </w:r>
      <w:r>
        <w:rPr>
          <w:sz w:val="20"/>
          <w:szCs w:val="20"/>
          <w:color w:val="auto"/>
        </w:rPr>
        <w:tab/>
      </w:r>
      <w:r>
        <w:rPr>
          <w:rFonts w:ascii="Arial" w:cs="Arial" w:eastAsia="Arial" w:hAnsi="Arial"/>
          <w:sz w:val="6"/>
          <w:szCs w:val="6"/>
          <w:color w:val="FFFFFF"/>
        </w:rPr>
        <w:t>53</w:t>
      </w:r>
      <w:r>
        <w:rPr>
          <w:rFonts w:ascii="Arial" w:cs="Arial" w:eastAsia="Arial" w:hAnsi="Arial"/>
          <w:sz w:val="8"/>
          <w:szCs w:val="8"/>
          <w:color w:val="FFFFFF"/>
          <w:vertAlign w:val="subscript"/>
        </w:rPr>
        <w:t>1,731</w:t>
      </w:r>
      <w:r>
        <w:rPr>
          <w:rFonts w:ascii="Arial" w:cs="Arial" w:eastAsia="Arial" w:hAnsi="Arial"/>
          <w:sz w:val="6"/>
          <w:szCs w:val="6"/>
          <w:color w:val="FFFFFF"/>
        </w:rPr>
        <w:t>266) $ $ $ $ 58, (3, $</w:t>
      </w:r>
    </w:p>
    <w:p>
      <w:pPr>
        <w:spacing w:after="0" w:line="184" w:lineRule="auto"/>
        <w:tabs>
          <w:tab w:leader="none" w:pos="2540" w:val="left"/>
        </w:tabs>
        <w:rPr>
          <w:sz w:val="20"/>
          <w:szCs w:val="20"/>
          <w:color w:val="auto"/>
        </w:rPr>
      </w:pPr>
      <w:r>
        <w:rPr>
          <w:rFonts w:ascii="Arial" w:cs="Arial" w:eastAsia="Arial" w:hAnsi="Arial"/>
          <w:sz w:val="8"/>
          <w:szCs w:val="8"/>
          <w:color w:val="FFFFFF"/>
        </w:rPr>
        <w:t>Total—— Shareholder———— Expenses521,404 3,350 10,969 5,388</w:t>
      </w:r>
      <w:r>
        <w:rPr>
          <w:sz w:val="20"/>
          <w:szCs w:val="20"/>
          <w:color w:val="auto"/>
        </w:rPr>
        <w:tab/>
      </w:r>
      <w:r>
        <w:rPr>
          <w:rFonts w:ascii="Arial" w:cs="Arial" w:eastAsia="Arial" w:hAnsi="Arial"/>
          <w:sz w:val="8"/>
          <w:szCs w:val="8"/>
          <w:color w:val="FFFFFF"/>
        </w:rPr>
        <w:t>(1,505) 21,389</w:t>
      </w:r>
    </w:p>
    <w:p>
      <w:pPr>
        <w:spacing w:after="0" w:line="184" w:lineRule="auto"/>
        <w:rPr>
          <w:sz w:val="20"/>
          <w:szCs w:val="20"/>
          <w:color w:val="auto"/>
        </w:rPr>
      </w:pPr>
      <w:r>
        <w:rPr>
          <w:rFonts w:ascii="Arial" w:cs="Arial" w:eastAsia="Arial" w:hAnsi="Arial"/>
          <w:sz w:val="4"/>
          <w:szCs w:val="4"/>
          <w:color w:val="FFFFFF"/>
        </w:rPr>
        <w:t>Economic3253,855 6,676Profit*8,402 9,845 10,119 6,842 9,083 13,759 26,538 30,041 28,607 12,386 166,478</w:t>
      </w:r>
    </w:p>
    <w:p>
      <w:pPr>
        <w:spacing w:after="0" w:line="184" w:lineRule="auto"/>
        <w:rPr>
          <w:sz w:val="20"/>
          <w:szCs w:val="20"/>
          <w:color w:val="auto"/>
        </w:rPr>
      </w:pPr>
      <w:r>
        <w:rPr>
          <w:rFonts w:ascii="Arial" w:cs="Arial" w:eastAsia="Arial" w:hAnsi="Arial"/>
          <w:sz w:val="8"/>
          <w:szCs w:val="8"/>
          <w:color w:val="FFFFFF"/>
        </w:rPr>
        <w:t>$ 415,098</w:t>
      </w:r>
    </w:p>
    <w:p>
      <w:pPr>
        <w:spacing w:after="0" w:line="184" w:lineRule="auto"/>
        <w:rPr>
          <w:sz w:val="20"/>
          <w:szCs w:val="20"/>
          <w:color w:val="auto"/>
        </w:rPr>
      </w:pPr>
      <w:r>
        <w:rPr>
          <w:rFonts w:ascii="Arial" w:cs="Arial" w:eastAsia="Arial" w:hAnsi="Arial"/>
          <w:sz w:val="4"/>
          <w:szCs w:val="4"/>
          <w:color w:val="FFFFFF"/>
        </w:rPr>
        <w:t>EconomicRatioofTotalProfitShareholder Expenses to</w:t>
      </w:r>
    </w:p>
    <w:p>
      <w:pPr>
        <w:spacing w:after="0" w:line="184" w:lineRule="auto"/>
        <w:rPr>
          <w:sz w:val="20"/>
          <w:szCs w:val="20"/>
          <w:color w:val="auto"/>
        </w:rPr>
      </w:pPr>
      <w:r>
        <w:rPr>
          <w:rFonts w:ascii="Arial" w:cs="Arial" w:eastAsia="Arial" w:hAnsi="Arial"/>
          <w:sz w:val="4"/>
          <w:szCs w:val="4"/>
          <w:color w:val="FFFFFF"/>
        </w:rPr>
        <w:t>40%</w:t>
      </w:r>
    </w:p>
    <w:p>
      <w:pPr>
        <w:spacing w:after="0" w:line="184" w:lineRule="auto"/>
        <w:rPr>
          <w:sz w:val="20"/>
          <w:szCs w:val="20"/>
          <w:color w:val="auto"/>
        </w:rPr>
      </w:pPr>
      <w:r>
        <w:rPr>
          <w:rFonts w:ascii="Arial" w:cs="Arial" w:eastAsia="Arial" w:hAnsi="Arial"/>
          <w:sz w:val="4"/>
          <w:szCs w:val="4"/>
          <w:color w:val="FFFFFF"/>
        </w:rPr>
        <w:t>(2) TICC has recategorized and renamed certain line items in its statement of operations since it began reporting in 2003. From 2003 to 2008, incentive fees were included in</w:t>
      </w:r>
    </w:p>
    <w:p>
      <w:pPr>
        <w:ind w:right="560"/>
        <w:spacing w:after="0" w:line="210" w:lineRule="auto"/>
        <w:rPr>
          <w:sz w:val="20"/>
          <w:szCs w:val="20"/>
          <w:color w:val="auto"/>
        </w:rPr>
      </w:pPr>
      <w:r>
        <w:rPr>
          <w:rFonts w:ascii="Arial" w:cs="Arial" w:eastAsia="Arial" w:hAnsi="Arial"/>
          <w:sz w:val="7"/>
          <w:szCs w:val="7"/>
          <w:color w:val="FFFFFF"/>
        </w:rPr>
        <w:t>“Investment advisory fees.” For years after 2008, incentive fees have been reported separately. For the six months ended June 30, 2015, directors’ fees, which previously had been separately reported, were included in “General and administrative.” Prior to 2006, TICC reported the line “Compensation expense” as “Salaries and benefits.”</w:t>
      </w:r>
    </w:p>
    <w:p>
      <w:pPr>
        <w:ind w:right="40"/>
        <w:spacing w:after="0" w:line="184" w:lineRule="auto"/>
        <w:rPr>
          <w:sz w:val="20"/>
          <w:szCs w:val="20"/>
          <w:color w:val="auto"/>
        </w:rPr>
      </w:pPr>
      <w:r>
        <w:rPr>
          <w:rFonts w:ascii="Arial" w:cs="Arial" w:eastAsia="Arial" w:hAnsi="Arial"/>
          <w:sz w:val="8"/>
          <w:szCs w:val="8"/>
          <w:color w:val="FFFFFF"/>
        </w:rPr>
        <w:t>(3) Does not include “Insurance” or “Transfer agent and custodian fees” for periods prior to 2015. Prior to 2015, these expenses were included as separate line items on TICC’s statement of operations. For the six months ended June 30, 2015, these expenses were included in “General and administrative.”</w:t>
      </w:r>
    </w:p>
    <w:p>
      <w:pPr>
        <w:spacing w:after="0"/>
        <w:rPr>
          <w:sz w:val="20"/>
          <w:szCs w:val="20"/>
          <w:color w:val="auto"/>
        </w:rPr>
      </w:pPr>
      <w:r>
        <w:rPr>
          <w:rFonts w:ascii="Arial" w:cs="Arial" w:eastAsia="Arial" w:hAnsi="Arial"/>
          <w:sz w:val="12"/>
          <w:szCs w:val="12"/>
          <w:color w:val="FFFFFF"/>
        </w:rPr>
        <w:t>43</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emdash "/>
      <w:numFmt w:val="bullet"/>
      <w:start w:val="1"/>
    </w:lvl>
  </w:abstractNum>
  <w:abstractNum w:abstractNumId="6">
    <w:nsid w:val="216231B"/>
    <w:multiLevelType w:val="hybridMultilevel"/>
    <w:lvl w:ilvl="0">
      <w:lvlJc w:val="left"/>
      <w:lvlText w:val="\emdash "/>
      <w:numFmt w:val="bullet"/>
      <w:start w:val="1"/>
    </w:lvl>
  </w:abstractNum>
  <w:abstractNum w:abstractNumId="7">
    <w:nsid w:val="1F16E9E8"/>
    <w:multiLevelType w:val="hybridMultilevel"/>
    <w:lvl w:ilvl="0">
      <w:lvlJc w:val="left"/>
      <w:lvlText w:val="\emdash "/>
      <w:numFmt w:val="bullet"/>
      <w:start w:val="1"/>
    </w:lvl>
  </w:abstractNum>
  <w:abstractNum w:abstractNumId="8">
    <w:nsid w:val="1190CDE7"/>
    <w:multiLevelType w:val="hybridMultilevel"/>
    <w:lvl w:ilvl="0">
      <w:lvlJc w:val="left"/>
      <w:lvlText w:val="(%1)"/>
      <w:numFmt w:val="decimal"/>
      <w:start w:val="1"/>
    </w:lvl>
    <w:lvl w:ilvl="1">
      <w:lvlJc w:val="left"/>
      <w:lvlText w:val="\emdash "/>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2019-12-20T23:19:49Z</dcterms:created>
  <dcterms:modified xsi:type="dcterms:W3CDTF">2019-12-20T23:19:49Z</dcterms:modified>
</cp:coreProperties>
</file>