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376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37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4"/>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18"/>
                <w:szCs w:val="18"/>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7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3"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0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350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580" w:type="dxa"/>
            <w:vAlign w:val="bottom"/>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16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216535"/>
                    </a:xfrm>
                    <a:prstGeom prst="rect">
                      <a:avLst/>
                    </a:prstGeom>
                    <a:noFill/>
                  </pic:spPr>
                </pic:pic>
              </a:graphicData>
            </a:graphic>
          </wp:anchor>
        </w:drawing>
      </w:r>
    </w:p>
    <w:p>
      <w:pPr>
        <w:spacing w:after="0" w:line="80" w:lineRule="exact"/>
        <w:rPr>
          <w:sz w:val="24"/>
          <w:szCs w:val="24"/>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February 13, 2025, Sixth Street Specialty Lending, Inc. (the “Company”) issued a press release announcing its financial results for the year ended December 31, 2024. The text of the press release is included as Exhibit 99.1 to this Form 8-K.</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Certain Officers; Election of Directors; Appointment of Certain Officers; Compensation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Retirement of John A. Ross as Independent Director of the Company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13, 2025, pursuant to the Second Amended and Restated Bylaws of the Company, John A. Ross informed the Company of his intention to retire from the Board of Directors (the “Board”) of the Company, effective as of the close of business on May 22, 2025. Accordingly, Mr. Ross will not run for re-election to the Board at the 2025 annual meeting of the shareholders. Mr. Ross’s decision was not a result of any disagreement with the Company on any matter relating to the Company’s operations, policies or practices. The Company thanks Mr. Ross for his years of service on the Board. Chairman and Chief Executive Officer, Joshua Easterly, noted “On behalf of the entire company and the Sixth Street platform, I extend my deepest gratitude to Mr. Ross for his fourteen years of unwavering support and invaluable contributions as a Board member, which have been instrumental in guiding the success for our shareholders.”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13, 2025, the Company issued a press release, included herewith as Exhibit 99.1, announcing the declaration of a first quarter 2025 base dividend per share of $0.46 to shareholders of record as of March 14, 2025, payable on March 31, 2025, and a fourth quarter 2024 supplemental dividend per share of $0.07 to shareholders of record as of February 28, 2025, payable on March 20,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9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13, 2025</w:t>
            </w:r>
          </w:p>
        </w:tc>
        <w:tc>
          <w:tcPr>
            <w:tcW w:w="20" w:type="dxa"/>
            <w:vAlign w:val="bottom"/>
            <w:tcBorders>
              <w:bottom w:val="single" w:sz="8" w:color="0000EE"/>
            </w:tcBorders>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27"/>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13,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7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7160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FULL YEAR AND FOURTH QUARTER 2024 EARNINGS RESULTS</w:t>
      </w:r>
    </w:p>
    <w:p>
      <w:pPr>
        <w:spacing w:after="0" w:line="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Sixth Street Specialty Lending, Inc. Reports Full Year and Fourth Quarter Earnings Results; Declares a First Quarter Base Dividend Per Share of $0.46, and a Fourth Quarter Supplemental Dividend Per Share of $0.07.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15240</wp:posOffset>
            </wp:positionV>
            <wp:extent cx="16973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355" cy="17970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56"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NEW YORK—February 13, 2025— Sixth Street Specialty Lending, Inc. (NYSE: TSLX, or the “Company”) today reported net investment income of $2.39 per share and net income of $2.03 per share, for the year ended December 31, 2024. For the quarter ended December 31, 2024 net investment income and net income per share were $0.62 and $0.55, respectvely. The Company’s net investment income for Q4 contnues to refect the impact from the higher interest rate environment combined with an increase in actvity-based fee income. In the fourth quarter, the Company earned $0.15 per share of actvity-based fees, including dividend income, representng the highest amount recognized in seven quarters. Return on equity (ROE) for the full year 2024 was 14.1% and 12.0% on a net investment income and a net income basis, respectvely. Annualized ROE for the fourth quarter 2024 was 14.4% and 12.8% on a net investment income and a net income basis, respectvely.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40"/>
        <w:spacing w:after="0"/>
        <w:rPr>
          <w:sz w:val="20"/>
          <w:szCs w:val="20"/>
          <w:color w:val="auto"/>
        </w:rPr>
      </w:pPr>
      <w:r>
        <w:rPr>
          <w:rFonts w:ascii="Calibri" w:cs="Calibri" w:eastAsia="Calibri" w:hAnsi="Calibri"/>
          <w:sz w:val="14"/>
          <w:szCs w:val="14"/>
          <w:b w:val="1"/>
          <w:bCs w:val="1"/>
          <w:color w:val="FFFFFF"/>
        </w:rPr>
        <w:t>Net Investment Income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2024</w:t>
            </w:r>
            <w:r>
              <w:rPr>
                <w:rFonts w:ascii="Calibri" w:cs="Calibri" w:eastAsia="Calibri" w:hAnsi="Calibri"/>
                <w:sz w:val="14"/>
                <w:szCs w:val="14"/>
                <w:color w:val="auto"/>
              </w:rPr>
              <w:t>:</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$2.39</w:t>
            </w:r>
          </w:p>
        </w:tc>
      </w:tr>
      <w:tr>
        <w:trPr>
          <w:trHeight w:val="229"/>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1940" w:type="dxa"/>
            <w:vAlign w:val="bottom"/>
          </w:tcPr>
          <w:p>
            <w:pPr>
              <w:ind w:left="20"/>
              <w:spacing w:after="0"/>
              <w:rPr>
                <w:sz w:val="20"/>
                <w:szCs w:val="20"/>
                <w:color w:val="auto"/>
              </w:rPr>
            </w:pPr>
            <w:r>
              <w:rPr>
                <w:rFonts w:ascii="Calibri" w:cs="Calibri" w:eastAsia="Calibri" w:hAnsi="Calibri"/>
                <w:sz w:val="14"/>
                <w:szCs w:val="14"/>
                <w:b w:val="1"/>
                <w:bCs w:val="1"/>
                <w:color w:val="auto"/>
              </w:rPr>
              <w:t>2024:</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$0.62</w:t>
            </w:r>
          </w:p>
        </w:tc>
      </w:tr>
      <w:tr>
        <w:trPr>
          <w:trHeight w:val="74"/>
        </w:trPr>
        <w:tc>
          <w:tcPr>
            <w:tcW w:w="2160" w:type="dxa"/>
            <w:vAlign w:val="bottom"/>
            <w:tcBorders>
              <w:bottom w:val="single" w:sz="8" w:color="auto"/>
            </w:tcBorders>
            <w:gridSpan w:val="2"/>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r>
      <w:tr>
        <w:trPr>
          <w:trHeight w:val="203"/>
        </w:trPr>
        <w:tc>
          <w:tcPr>
            <w:tcW w:w="216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2024 (adjusted):</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$2.33</w:t>
            </w:r>
          </w:p>
        </w:tc>
      </w:tr>
      <w:tr>
        <w:trPr>
          <w:trHeight w:val="23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1940" w:type="dxa"/>
            <w:vAlign w:val="bottom"/>
          </w:tcPr>
          <w:p>
            <w:pPr>
              <w:ind w:left="20"/>
              <w:spacing w:after="0"/>
              <w:rPr>
                <w:sz w:val="20"/>
                <w:szCs w:val="20"/>
                <w:color w:val="auto"/>
              </w:rPr>
            </w:pPr>
            <w:r>
              <w:rPr>
                <w:rFonts w:ascii="Calibri" w:cs="Calibri" w:eastAsia="Calibri" w:hAnsi="Calibri"/>
                <w:sz w:val="14"/>
                <w:szCs w:val="14"/>
                <w:b w:val="1"/>
                <w:bCs w:val="1"/>
                <w:color w:val="auto"/>
              </w:rPr>
              <w:t>2024 (adjusted):</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$0.61</w:t>
            </w:r>
          </w:p>
        </w:tc>
      </w:tr>
      <w:tr>
        <w:trPr>
          <w:trHeight w:val="249"/>
        </w:trPr>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09"/>
        </w:trPr>
        <w:tc>
          <w:tcPr>
            <w:tcW w:w="220" w:type="dxa"/>
            <w:vAlign w:val="bottom"/>
            <w:shd w:val="clear" w:color="auto" w:fill="0F2F50"/>
          </w:tcPr>
          <w:p>
            <w:pPr>
              <w:spacing w:after="0"/>
              <w:rPr>
                <w:sz w:val="18"/>
                <w:szCs w:val="18"/>
                <w:color w:val="auto"/>
              </w:rPr>
            </w:pPr>
          </w:p>
        </w:tc>
        <w:tc>
          <w:tcPr>
            <w:tcW w:w="1940" w:type="dxa"/>
            <w:vAlign w:val="bottom"/>
            <w:shd w:val="clear" w:color="auto" w:fill="0F2F50"/>
          </w:tcPr>
          <w:p>
            <w:pPr>
              <w:ind w:left="480"/>
              <w:spacing w:after="0"/>
              <w:rPr>
                <w:sz w:val="20"/>
                <w:szCs w:val="20"/>
                <w:color w:val="auto"/>
              </w:rPr>
            </w:pPr>
            <w:r>
              <w:rPr>
                <w:rFonts w:ascii="Calibri" w:cs="Calibri" w:eastAsia="Calibri" w:hAnsi="Calibri"/>
                <w:sz w:val="14"/>
                <w:szCs w:val="14"/>
                <w:b w:val="1"/>
                <w:bCs w:val="1"/>
                <w:color w:val="FFFFFF"/>
              </w:rPr>
              <w:t>Net Income Per Share</w:t>
            </w:r>
          </w:p>
        </w:tc>
        <w:tc>
          <w:tcPr>
            <w:tcW w:w="520" w:type="dxa"/>
            <w:vAlign w:val="bottom"/>
            <w:shd w:val="clear" w:color="auto" w:fill="0F2F50"/>
          </w:tcPr>
          <w:p>
            <w:pPr>
              <w:spacing w:after="0"/>
              <w:rPr>
                <w:sz w:val="18"/>
                <w:szCs w:val="18"/>
                <w:color w:val="auto"/>
              </w:rPr>
            </w:pPr>
          </w:p>
        </w:tc>
      </w:tr>
      <w:tr>
        <w:trPr>
          <w:trHeight w:val="74"/>
        </w:trPr>
        <w:tc>
          <w:tcPr>
            <w:tcW w:w="2160" w:type="dxa"/>
            <w:vAlign w:val="bottom"/>
            <w:gridSpan w:val="2"/>
            <w:shd w:val="clear" w:color="auto" w:fill="0F2F50"/>
          </w:tcPr>
          <w:p>
            <w:pPr>
              <w:spacing w:after="0"/>
              <w:rPr>
                <w:sz w:val="6"/>
                <w:szCs w:val="6"/>
                <w:color w:val="auto"/>
              </w:rPr>
            </w:pPr>
          </w:p>
        </w:tc>
        <w:tc>
          <w:tcPr>
            <w:tcW w:w="520" w:type="dxa"/>
            <w:vAlign w:val="bottom"/>
            <w:shd w:val="clear" w:color="auto" w:fill="0F2F50"/>
          </w:tcPr>
          <w:p>
            <w:pPr>
              <w:spacing w:after="0"/>
              <w:rPr>
                <w:sz w:val="6"/>
                <w:szCs w:val="6"/>
                <w:color w:val="auto"/>
              </w:rPr>
            </w:pPr>
          </w:p>
        </w:tc>
      </w:tr>
      <w:tr>
        <w:trPr>
          <w:trHeight w:val="210"/>
        </w:trPr>
        <w:tc>
          <w:tcPr>
            <w:tcW w:w="2160" w:type="dxa"/>
            <w:vAlign w:val="bottom"/>
            <w:gridSpan w:val="2"/>
          </w:tcPr>
          <w:p>
            <w:pPr>
              <w:ind w:left="40"/>
              <w:spacing w:after="0"/>
              <w:rPr>
                <w:sz w:val="20"/>
                <w:szCs w:val="20"/>
                <w:color w:val="auto"/>
              </w:rPr>
            </w:pPr>
            <w:r>
              <w:rPr>
                <w:rFonts w:ascii="Calibri" w:cs="Calibri" w:eastAsia="Calibri" w:hAnsi="Calibri"/>
                <w:sz w:val="14"/>
                <w:szCs w:val="14"/>
                <w:b w:val="1"/>
                <w:bCs w:val="1"/>
                <w:color w:val="auto"/>
              </w:rPr>
              <w:t>2024:</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$2.03</w:t>
            </w:r>
          </w:p>
        </w:tc>
      </w:tr>
      <w:tr>
        <w:trPr>
          <w:trHeight w:val="229"/>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1940" w:type="dxa"/>
            <w:vAlign w:val="bottom"/>
          </w:tcPr>
          <w:p>
            <w:pPr>
              <w:ind w:left="20"/>
              <w:spacing w:after="0"/>
              <w:rPr>
                <w:sz w:val="20"/>
                <w:szCs w:val="20"/>
                <w:color w:val="auto"/>
              </w:rPr>
            </w:pPr>
            <w:r>
              <w:rPr>
                <w:rFonts w:ascii="Calibri" w:cs="Calibri" w:eastAsia="Calibri" w:hAnsi="Calibri"/>
                <w:sz w:val="14"/>
                <w:szCs w:val="14"/>
                <w:b w:val="1"/>
                <w:bCs w:val="1"/>
                <w:color w:val="auto"/>
              </w:rPr>
              <w:t>2024:</w:t>
            </w:r>
          </w:p>
        </w:tc>
        <w:tc>
          <w:tcPr>
            <w:tcW w:w="520" w:type="dxa"/>
            <w:vAlign w:val="bottom"/>
          </w:tcPr>
          <w:p>
            <w:pPr>
              <w:jc w:val="right"/>
              <w:spacing w:after="0"/>
              <w:rPr>
                <w:sz w:val="20"/>
                <w:szCs w:val="20"/>
                <w:color w:val="auto"/>
              </w:rPr>
            </w:pPr>
            <w:r>
              <w:rPr>
                <w:rFonts w:ascii="Calibri" w:cs="Calibri" w:eastAsia="Calibri" w:hAnsi="Calibri"/>
                <w:sz w:val="14"/>
                <w:szCs w:val="14"/>
                <w:b w:val="1"/>
                <w:bCs w:val="1"/>
                <w:color w:val="auto"/>
              </w:rPr>
              <w:t>$0.55</w:t>
            </w:r>
          </w:p>
        </w:tc>
      </w:tr>
    </w:tbl>
    <w:p>
      <w:pPr>
        <w:spacing w:after="0" w:line="1" w:lineRule="exact"/>
        <w:rPr>
          <w:sz w:val="20"/>
          <w:szCs w:val="20"/>
          <w:color w:val="auto"/>
        </w:rPr>
      </w:pPr>
    </w:p>
    <w:p>
      <w:pPr>
        <w:sectPr>
          <w:pgSz w:w="11900" w:h="16838" w:orient="portrait"/>
          <w:cols w:equalWidth="0" w:num="2">
            <w:col w:w="8440" w:space="120"/>
            <w:col w:w="2680"/>
          </w:cols>
          <w:pgMar w:left="320" w:top="760" w:right="339" w:bottom="1440" w:gutter="0" w:footer="0" w:header="0"/>
          <w:type w:val="continuous"/>
        </w:sectPr>
      </w:pPr>
    </w:p>
    <w:p>
      <w:pPr>
        <w:jc w:val="both"/>
        <w:ind w:left="20"/>
        <w:spacing w:after="0" w:line="231" w:lineRule="auto"/>
        <w:rPr>
          <w:sz w:val="20"/>
          <w:szCs w:val="20"/>
          <w:color w:val="auto"/>
        </w:rPr>
      </w:pPr>
      <w:r>
        <w:rPr>
          <w:rFonts w:ascii="Calibri" w:cs="Calibri" w:eastAsia="Calibri" w:hAnsi="Calibri"/>
          <w:sz w:val="18"/>
          <w:szCs w:val="18"/>
          <w:color w:val="auto"/>
        </w:rPr>
        <w:t>Both net investment income per share and net income per share for the year include approximately $0.06 per share of unwind of previously accrued capital gains incentve fee expenses. Excluding the impact of the accrued capital gains incentve fee expenses, the Company’s adjusted net investment income and adjusted net income for the year ended December 31, 2024 were $2.33 per share and $1.97 per share, respectvely. For the quarter ended December 31, 2024, adjusted net investment income per share was $0.61 and adjusted net income per share was $0.54. Return on equity (ROE) for the full year 2024 was 13.8% and 11.6% on an adjusted net investment income and an adjusted net income basis, respectvely. Annualized ROE for the fourth quarter 2024 was 14.2% and 12.5% on an adjusted net investment income and an adjusted net income basis, respectvely.</w:t>
      </w:r>
    </w:p>
    <w:p>
      <w:pPr>
        <w:spacing w:after="0" w:line="223"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Reported net asset value (NAV) per share was $17.16 at December 31, 2024 as compared to $17.12 at September 30, 2024. The Company’s base dividend remained well covered with adjusted net investment income of $0.61 per share exceeding the base quarterly dividend by $0.15 per share, or 33%. The Company announced that its Board of Directors has declared a frst quarter 2025 base dividend of $0.46 per share to shareholders of record as of March 14, 2025 and payable on March 31, 2025. The Board also announced a fourth quarter supplemental dividend of $0.07 per share to shareholders of record as of February 28, 2025, payable on March 20, 2025. Adjusted for the impact of the supplemental dividend related to this quarter’s earnings, the Company’s Q4 adjusted NAV per share was $17.09. The primary drivers of this year’s NAV per share growth were the over-earning of our base dividend through net investment income, accretve capital markets transactons, and realized gains on investments. Over the last twelve months, reported NAV per share has increased from $17.04 to $17.16.</w:t>
      </w:r>
    </w:p>
    <w:p>
      <w:pPr>
        <w:spacing w:after="0" w:line="224"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Post quarter-end, the Company began the annual process of amending and extending its revolving credit facility. The Company has historically extended the maturity on an annual basis driven by its asset-liability matching principle of maintaining a weighted average duraton on its liabilites that meaningfully exceeds the weighted average life of its assets funded by debt. The Company antcipates marginally lowering the drawn spread and undrawn fee on the facility upon closing of the amendment in Q1 2025.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(adjusted):</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$1.97</w:t>
            </w:r>
          </w:p>
        </w:tc>
      </w:tr>
      <w:tr>
        <w:trPr>
          <w:trHeight w:val="23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(adjusted):</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$0.54</w:t>
            </w:r>
          </w:p>
        </w:tc>
      </w:tr>
      <w:tr>
        <w:trPr>
          <w:trHeight w:val="249"/>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9"/>
        </w:trPr>
        <w:tc>
          <w:tcPr>
            <w:tcW w:w="220" w:type="dxa"/>
            <w:vAlign w:val="bottom"/>
            <w:shd w:val="clear" w:color="auto" w:fill="0F2F50"/>
          </w:tcPr>
          <w:p>
            <w:pPr>
              <w:spacing w:after="0"/>
              <w:rPr>
                <w:sz w:val="18"/>
                <w:szCs w:val="18"/>
                <w:color w:val="auto"/>
              </w:rPr>
            </w:pPr>
          </w:p>
        </w:tc>
        <w:tc>
          <w:tcPr>
            <w:tcW w:w="120" w:type="dxa"/>
            <w:vAlign w:val="bottom"/>
            <w:shd w:val="clear" w:color="auto" w:fill="0F2F50"/>
          </w:tcPr>
          <w:p>
            <w:pPr>
              <w:spacing w:after="0"/>
              <w:rPr>
                <w:sz w:val="18"/>
                <w:szCs w:val="18"/>
                <w:color w:val="auto"/>
              </w:rPr>
            </w:pPr>
          </w:p>
        </w:tc>
        <w:tc>
          <w:tcPr>
            <w:tcW w:w="200" w:type="dxa"/>
            <w:vAlign w:val="bottom"/>
            <w:shd w:val="clear" w:color="auto" w:fill="0F2F50"/>
          </w:tcPr>
          <w:p>
            <w:pPr>
              <w:spacing w:after="0"/>
              <w:rPr>
                <w:sz w:val="18"/>
                <w:szCs w:val="18"/>
                <w:color w:val="auto"/>
              </w:rPr>
            </w:pPr>
          </w:p>
        </w:tc>
        <w:tc>
          <w:tcPr>
            <w:tcW w:w="1460" w:type="dxa"/>
            <w:vAlign w:val="bottom"/>
            <w:shd w:val="clear" w:color="auto" w:fill="0F2F50"/>
          </w:tcPr>
          <w:p>
            <w:pPr>
              <w:jc w:val="center"/>
              <w:ind w:left="68"/>
              <w:spacing w:after="0"/>
              <w:rPr>
                <w:sz w:val="20"/>
                <w:szCs w:val="20"/>
                <w:color w:val="auto"/>
              </w:rPr>
            </w:pPr>
            <w:r>
              <w:rPr>
                <w:rFonts w:ascii="Calibri" w:cs="Calibri" w:eastAsia="Calibri" w:hAnsi="Calibri"/>
                <w:sz w:val="14"/>
                <w:szCs w:val="14"/>
                <w:b w:val="1"/>
                <w:bCs w:val="1"/>
                <w:color w:val="FFFFFF"/>
              </w:rPr>
              <w:t>Return on Equity</w:t>
            </w:r>
          </w:p>
        </w:tc>
        <w:tc>
          <w:tcPr>
            <w:tcW w:w="680" w:type="dxa"/>
            <w:vAlign w:val="bottom"/>
            <w:shd w:val="clear" w:color="auto" w:fill="0F2F50"/>
          </w:tcPr>
          <w:p>
            <w:pPr>
              <w:spacing w:after="0"/>
              <w:rPr>
                <w:sz w:val="18"/>
                <w:szCs w:val="18"/>
                <w:color w:val="auto"/>
              </w:rPr>
            </w:pPr>
          </w:p>
        </w:tc>
      </w:tr>
      <w:tr>
        <w:trPr>
          <w:trHeight w:val="74"/>
        </w:trPr>
        <w:tc>
          <w:tcPr>
            <w:tcW w:w="340" w:type="dxa"/>
            <w:vAlign w:val="bottom"/>
            <w:gridSpan w:val="2"/>
            <w:shd w:val="clear" w:color="auto" w:fill="0F2F50"/>
          </w:tcPr>
          <w:p>
            <w:pPr>
              <w:spacing w:after="0"/>
              <w:rPr>
                <w:sz w:val="6"/>
                <w:szCs w:val="6"/>
                <w:color w:val="auto"/>
              </w:rPr>
            </w:pPr>
          </w:p>
        </w:tc>
        <w:tc>
          <w:tcPr>
            <w:tcW w:w="1660" w:type="dxa"/>
            <w:vAlign w:val="bottom"/>
            <w:gridSpan w:val="2"/>
            <w:shd w:val="clear" w:color="auto" w:fill="0F2F50"/>
          </w:tcPr>
          <w:p>
            <w:pPr>
              <w:spacing w:after="0"/>
              <w:rPr>
                <w:sz w:val="6"/>
                <w:szCs w:val="6"/>
                <w:color w:val="auto"/>
              </w:rPr>
            </w:pPr>
          </w:p>
        </w:tc>
        <w:tc>
          <w:tcPr>
            <w:tcW w:w="680" w:type="dxa"/>
            <w:vAlign w:val="bottom"/>
            <w:shd w:val="clear" w:color="auto" w:fill="0F2F50"/>
          </w:tcPr>
          <w:p>
            <w:pPr>
              <w:spacing w:after="0"/>
              <w:rPr>
                <w:sz w:val="6"/>
                <w:szCs w:val="6"/>
                <w:color w:val="auto"/>
              </w:rPr>
            </w:pPr>
          </w:p>
        </w:tc>
      </w:tr>
      <w:tr>
        <w:trPr>
          <w:trHeight w:val="210"/>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(NII):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14.1%</w:t>
            </w:r>
          </w:p>
        </w:tc>
      </w:tr>
      <w:tr>
        <w:trPr>
          <w:trHeight w:val="229"/>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(NII):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14.4%</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(NI):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12.0%</w:t>
            </w:r>
          </w:p>
        </w:tc>
      </w:tr>
      <w:tr>
        <w:trPr>
          <w:trHeight w:val="23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(NI):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12.8%</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 NII):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13.8%</w:t>
            </w:r>
          </w:p>
        </w:tc>
      </w:tr>
      <w:tr>
        <w:trPr>
          <w:trHeight w:val="23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(Adj. NII):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14.2%</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 NI):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11.6%</w:t>
            </w:r>
          </w:p>
        </w:tc>
      </w:tr>
      <w:tr>
        <w:trPr>
          <w:trHeight w:val="23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(Adj. NI):</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12.5%</w:t>
            </w:r>
          </w:p>
        </w:tc>
      </w:tr>
      <w:tr>
        <w:trPr>
          <w:trHeight w:val="249"/>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0"/>
        </w:trPr>
        <w:tc>
          <w:tcPr>
            <w:tcW w:w="220" w:type="dxa"/>
            <w:vAlign w:val="bottom"/>
            <w:shd w:val="clear" w:color="auto" w:fill="0F2F50"/>
          </w:tcPr>
          <w:p>
            <w:pPr>
              <w:spacing w:after="0"/>
              <w:rPr>
                <w:sz w:val="18"/>
                <w:szCs w:val="18"/>
                <w:color w:val="auto"/>
              </w:rPr>
            </w:pPr>
          </w:p>
        </w:tc>
        <w:tc>
          <w:tcPr>
            <w:tcW w:w="120" w:type="dxa"/>
            <w:vAlign w:val="bottom"/>
            <w:shd w:val="clear" w:color="auto" w:fill="0F2F50"/>
          </w:tcPr>
          <w:p>
            <w:pPr>
              <w:spacing w:after="0"/>
              <w:rPr>
                <w:sz w:val="18"/>
                <w:szCs w:val="18"/>
                <w:color w:val="auto"/>
              </w:rPr>
            </w:pPr>
          </w:p>
        </w:tc>
        <w:tc>
          <w:tcPr>
            <w:tcW w:w="200" w:type="dxa"/>
            <w:vAlign w:val="bottom"/>
            <w:shd w:val="clear" w:color="auto" w:fill="0F2F50"/>
          </w:tcPr>
          <w:p>
            <w:pPr>
              <w:spacing w:after="0"/>
              <w:rPr>
                <w:sz w:val="18"/>
                <w:szCs w:val="18"/>
                <w:color w:val="auto"/>
              </w:rPr>
            </w:pPr>
          </w:p>
        </w:tc>
        <w:tc>
          <w:tcPr>
            <w:tcW w:w="1460" w:type="dxa"/>
            <w:vAlign w:val="bottom"/>
            <w:shd w:val="clear" w:color="auto" w:fill="0F2F50"/>
          </w:tcPr>
          <w:p>
            <w:pPr>
              <w:jc w:val="center"/>
              <w:ind w:left="88"/>
              <w:spacing w:after="0"/>
              <w:rPr>
                <w:sz w:val="20"/>
                <w:szCs w:val="20"/>
                <w:color w:val="auto"/>
              </w:rPr>
            </w:pPr>
            <w:r>
              <w:rPr>
                <w:rFonts w:ascii="Calibri" w:cs="Calibri" w:eastAsia="Calibri" w:hAnsi="Calibri"/>
                <w:sz w:val="14"/>
                <w:szCs w:val="14"/>
                <w:b w:val="1"/>
                <w:bCs w:val="1"/>
                <w:color w:val="FFFFFF"/>
                <w:w w:val="99"/>
              </w:rPr>
              <w:t>NAV</w:t>
            </w:r>
          </w:p>
        </w:tc>
        <w:tc>
          <w:tcPr>
            <w:tcW w:w="680" w:type="dxa"/>
            <w:vAlign w:val="bottom"/>
            <w:shd w:val="clear" w:color="auto" w:fill="0F2F50"/>
          </w:tcPr>
          <w:p>
            <w:pPr>
              <w:spacing w:after="0"/>
              <w:rPr>
                <w:sz w:val="18"/>
                <w:szCs w:val="18"/>
                <w:color w:val="auto"/>
              </w:rPr>
            </w:pPr>
          </w:p>
        </w:tc>
      </w:tr>
      <w:tr>
        <w:trPr>
          <w:trHeight w:val="74"/>
        </w:trPr>
        <w:tc>
          <w:tcPr>
            <w:tcW w:w="220" w:type="dxa"/>
            <w:vAlign w:val="bottom"/>
            <w:shd w:val="clear" w:color="auto" w:fill="0F2F50"/>
          </w:tcPr>
          <w:p>
            <w:pPr>
              <w:spacing w:after="0"/>
              <w:rPr>
                <w:sz w:val="6"/>
                <w:szCs w:val="6"/>
                <w:color w:val="auto"/>
              </w:rPr>
            </w:pPr>
          </w:p>
        </w:tc>
        <w:tc>
          <w:tcPr>
            <w:tcW w:w="320" w:type="dxa"/>
            <w:vAlign w:val="bottom"/>
            <w:gridSpan w:val="2"/>
            <w:shd w:val="clear" w:color="auto" w:fill="0F2F50"/>
          </w:tcPr>
          <w:p>
            <w:pPr>
              <w:spacing w:after="0"/>
              <w:rPr>
                <w:sz w:val="6"/>
                <w:szCs w:val="6"/>
                <w:color w:val="auto"/>
              </w:rPr>
            </w:pPr>
          </w:p>
        </w:tc>
        <w:tc>
          <w:tcPr>
            <w:tcW w:w="1460" w:type="dxa"/>
            <w:vAlign w:val="bottom"/>
            <w:shd w:val="clear" w:color="auto" w:fill="0F2F50"/>
          </w:tcPr>
          <w:p>
            <w:pPr>
              <w:spacing w:after="0"/>
              <w:rPr>
                <w:sz w:val="6"/>
                <w:szCs w:val="6"/>
                <w:color w:val="auto"/>
              </w:rPr>
            </w:pPr>
          </w:p>
        </w:tc>
        <w:tc>
          <w:tcPr>
            <w:tcW w:w="680" w:type="dxa"/>
            <w:vAlign w:val="bottom"/>
            <w:shd w:val="clear" w:color="auto" w:fill="0F2F50"/>
          </w:tcPr>
          <w:p>
            <w:pPr>
              <w:spacing w:after="0"/>
              <w:rPr>
                <w:sz w:val="6"/>
                <w:szCs w:val="6"/>
                <w:color w:val="auto"/>
              </w:rPr>
            </w:pPr>
          </w:p>
        </w:tc>
      </w:tr>
      <w:tr>
        <w:trPr>
          <w:trHeight w:val="21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($MM):</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$1,607.5</w:t>
            </w:r>
          </w:p>
        </w:tc>
      </w:tr>
      <w:tr>
        <w:trPr>
          <w:trHeight w:val="74"/>
        </w:trPr>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(per share):</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$17.16</w:t>
            </w:r>
          </w:p>
        </w:tc>
      </w:tr>
      <w:tr>
        <w:trPr>
          <w:trHeight w:val="74"/>
        </w:trPr>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(per share, adj):</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$17.09</w:t>
            </w:r>
          </w:p>
        </w:tc>
      </w:tr>
      <w:tr>
        <w:trPr>
          <w:trHeight w:val="249"/>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3"/>
          </w:tcPr>
          <w:p>
            <w:pPr>
              <w:spacing w:after="0"/>
              <w:rPr>
                <w:sz w:val="21"/>
                <w:szCs w:val="21"/>
                <w:color w:val="auto"/>
              </w:rPr>
            </w:pPr>
          </w:p>
        </w:tc>
      </w:tr>
      <w:tr>
        <w:trPr>
          <w:trHeight w:val="210"/>
        </w:trPr>
        <w:tc>
          <w:tcPr>
            <w:tcW w:w="220" w:type="dxa"/>
            <w:vAlign w:val="bottom"/>
            <w:shd w:val="clear" w:color="auto" w:fill="0F2F50"/>
          </w:tcPr>
          <w:p>
            <w:pPr>
              <w:spacing w:after="0"/>
              <w:rPr>
                <w:sz w:val="18"/>
                <w:szCs w:val="18"/>
                <w:color w:val="auto"/>
              </w:rPr>
            </w:pPr>
          </w:p>
        </w:tc>
        <w:tc>
          <w:tcPr>
            <w:tcW w:w="120" w:type="dxa"/>
            <w:vAlign w:val="bottom"/>
            <w:shd w:val="clear" w:color="auto" w:fill="0F2F50"/>
          </w:tcPr>
          <w:p>
            <w:pPr>
              <w:spacing w:after="0"/>
              <w:rPr>
                <w:sz w:val="18"/>
                <w:szCs w:val="18"/>
                <w:color w:val="auto"/>
              </w:rPr>
            </w:pPr>
          </w:p>
        </w:tc>
        <w:tc>
          <w:tcPr>
            <w:tcW w:w="2340" w:type="dxa"/>
            <w:vAlign w:val="bottom"/>
            <w:gridSpan w:val="3"/>
            <w:shd w:val="clear" w:color="auto" w:fill="0F2F50"/>
          </w:tcPr>
          <w:p>
            <w:pPr>
              <w:jc w:val="center"/>
              <w:ind w:right="268"/>
              <w:spacing w:after="0"/>
              <w:rPr>
                <w:sz w:val="20"/>
                <w:szCs w:val="20"/>
                <w:color w:val="auto"/>
              </w:rPr>
            </w:pPr>
            <w:r>
              <w:rPr>
                <w:rFonts w:ascii="Calibri" w:cs="Calibri" w:eastAsia="Calibri" w:hAnsi="Calibri"/>
                <w:sz w:val="14"/>
                <w:szCs w:val="14"/>
                <w:b w:val="1"/>
                <w:bCs w:val="1"/>
                <w:color w:val="FFFFFF"/>
              </w:rPr>
              <w:t>Dividends Declared (per share)</w:t>
            </w:r>
          </w:p>
        </w:tc>
      </w:tr>
      <w:tr>
        <w:trPr>
          <w:trHeight w:val="74"/>
        </w:trPr>
        <w:tc>
          <w:tcPr>
            <w:tcW w:w="220" w:type="dxa"/>
            <w:vAlign w:val="bottom"/>
            <w:shd w:val="clear" w:color="auto" w:fill="0F2F50"/>
          </w:tcPr>
          <w:p>
            <w:pPr>
              <w:spacing w:after="0"/>
              <w:rPr>
                <w:sz w:val="6"/>
                <w:szCs w:val="6"/>
                <w:color w:val="auto"/>
              </w:rPr>
            </w:pPr>
          </w:p>
        </w:tc>
        <w:tc>
          <w:tcPr>
            <w:tcW w:w="320" w:type="dxa"/>
            <w:vAlign w:val="bottom"/>
            <w:gridSpan w:val="2"/>
            <w:shd w:val="clear" w:color="auto" w:fill="0F2F50"/>
          </w:tcPr>
          <w:p>
            <w:pPr>
              <w:spacing w:after="0"/>
              <w:rPr>
                <w:sz w:val="6"/>
                <w:szCs w:val="6"/>
                <w:color w:val="auto"/>
              </w:rPr>
            </w:pPr>
          </w:p>
        </w:tc>
        <w:tc>
          <w:tcPr>
            <w:tcW w:w="1460" w:type="dxa"/>
            <w:vAlign w:val="bottom"/>
            <w:shd w:val="clear" w:color="auto" w:fill="0F2F50"/>
          </w:tcPr>
          <w:p>
            <w:pPr>
              <w:spacing w:after="0"/>
              <w:rPr>
                <w:sz w:val="6"/>
                <w:szCs w:val="6"/>
                <w:color w:val="auto"/>
              </w:rPr>
            </w:pPr>
          </w:p>
        </w:tc>
        <w:tc>
          <w:tcPr>
            <w:tcW w:w="680" w:type="dxa"/>
            <w:vAlign w:val="bottom"/>
            <w:shd w:val="clear" w:color="auto" w:fill="0F2F50"/>
          </w:tcPr>
          <w:p>
            <w:pPr>
              <w:spacing w:after="0"/>
              <w:rPr>
                <w:sz w:val="6"/>
                <w:szCs w:val="6"/>
                <w:color w:val="auto"/>
              </w:rPr>
            </w:pPr>
          </w:p>
        </w:tc>
      </w:tr>
      <w:tr>
        <w:trPr>
          <w:trHeight w:val="210"/>
        </w:trPr>
        <w:tc>
          <w:tcPr>
            <w:tcW w:w="220" w:type="dxa"/>
            <w:vAlign w:val="bottom"/>
          </w:tcPr>
          <w:p>
            <w:pPr>
              <w:ind w:left="4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2024</w:t>
            </w:r>
          </w:p>
        </w:tc>
        <w:tc>
          <w:tcPr>
            <w:tcW w:w="1460" w:type="dxa"/>
            <w:vAlign w:val="bottom"/>
          </w:tcPr>
          <w:p>
            <w:pPr>
              <w:ind w:left="20"/>
              <w:spacing w:after="0"/>
              <w:rPr>
                <w:sz w:val="20"/>
                <w:szCs w:val="20"/>
                <w:color w:val="auto"/>
              </w:rPr>
            </w:pPr>
            <w:r>
              <w:rPr>
                <w:rFonts w:ascii="Calibri" w:cs="Calibri" w:eastAsia="Calibri" w:hAnsi="Calibri"/>
                <w:sz w:val="14"/>
                <w:szCs w:val="14"/>
                <w:b w:val="1"/>
                <w:bCs w:val="1"/>
                <w:color w:val="auto"/>
              </w:rPr>
              <w:t>(Base):</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$0.46</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(Base):</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$1.84</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(Supplemental):</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$0.25</w:t>
            </w:r>
          </w:p>
        </w:tc>
      </w:tr>
      <w:tr>
        <w:trPr>
          <w:trHeight w:val="74"/>
        </w:trPr>
        <w:tc>
          <w:tcPr>
            <w:tcW w:w="340" w:type="dxa"/>
            <w:vAlign w:val="bottom"/>
            <w:tcBorders>
              <w:bottom w:val="single" w:sz="8" w:color="auto"/>
            </w:tcBorders>
            <w:gridSpan w:val="2"/>
          </w:tcPr>
          <w:p>
            <w:pPr>
              <w:spacing w:after="0"/>
              <w:rPr>
                <w:sz w:val="6"/>
                <w:szCs w:val="6"/>
                <w:color w:val="auto"/>
              </w:rPr>
            </w:pPr>
          </w:p>
        </w:tc>
        <w:tc>
          <w:tcPr>
            <w:tcW w:w="1660" w:type="dxa"/>
            <w:vAlign w:val="bottom"/>
            <w:tcBorders>
              <w:bottom w:val="single" w:sz="8" w:color="auto"/>
            </w:tcBorders>
            <w:gridSpan w:val="2"/>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03"/>
        </w:trPr>
        <w:tc>
          <w:tcPr>
            <w:tcW w:w="340" w:type="dxa"/>
            <w:vAlign w:val="bottom"/>
            <w:gridSpan w:val="2"/>
          </w:tcPr>
          <w:p>
            <w:pPr>
              <w:ind w:left="40"/>
              <w:spacing w:after="0"/>
              <w:rPr>
                <w:sz w:val="20"/>
                <w:szCs w:val="20"/>
                <w:color w:val="auto"/>
              </w:rPr>
            </w:pPr>
            <w:r>
              <w:rPr>
                <w:rFonts w:ascii="Calibri" w:cs="Calibri" w:eastAsia="Calibri" w:hAnsi="Calibri"/>
                <w:sz w:val="14"/>
                <w:szCs w:val="14"/>
                <w:b w:val="1"/>
                <w:bCs w:val="1"/>
                <w:color w:val="auto"/>
                <w:w w:val="98"/>
              </w:rPr>
              <w:t>2024</w:t>
            </w:r>
          </w:p>
        </w:tc>
        <w:tc>
          <w:tcPr>
            <w:tcW w:w="166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(Total):</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-3792855</wp:posOffset>
            </wp:positionV>
            <wp:extent cx="16973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120"/>
            <w:col w:w="2680"/>
          </w:cols>
          <w:pgMar w:left="320" w:top="760" w:right="339" w:bottom="1440" w:gutter="0" w:footer="0" w:header="0"/>
          <w:type w:val="continuous"/>
        </w:sectPr>
      </w:pPr>
    </w:p>
    <w:p>
      <w:pPr>
        <w:spacing w:after="0" w:line="3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1"/>
          <w:szCs w:val="21"/>
          <w:b w:val="1"/>
          <w:bCs w:val="1"/>
          <w:color w:val="auto"/>
        </w:rPr>
        <w:t>PORTFOLIO AND INVESTMENT ACTIVITY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year ended December 31, 2024, new investment commitments totaled $1,242.9 million. This compares to $958.6 million for the year ended December 31, 2023.</w:t>
      </w:r>
    </w:p>
    <w:p>
      <w:pPr>
        <w:spacing w:after="0" w:line="110"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year ended December 31, 2024, the principal amount of new investments funded was $838.9 million in 34 new portolio companies and 21 existng portolio companies. For this period, the Company had $793.7 million aggregate principal amount in exits and repayments.</w:t>
      </w:r>
    </w:p>
    <w:p>
      <w:pPr>
        <w:spacing w:after="0" w:line="219"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year ended December 31, 2023, the principal amount of new investments funded was $808.4 million in 29 new portolio companies, 16 existng portolio companies and 1 structured credit investments. For this period, the Company had $469.1 million aggregate principal amount in exits and repayments.</w:t>
      </w:r>
    </w:p>
    <w:p>
      <w:pPr>
        <w:spacing w:after="0" w:line="214"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Fourth Quarter</w:t>
      </w:r>
    </w:p>
    <w:p>
      <w:pPr>
        <w:spacing w:after="0" w:line="217"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December 31, 2024, new investment commitments totaled $479.0 million. This compares to $269.3 million for the quarter ended September 30, 2024</w:t>
      </w:r>
    </w:p>
    <w:p>
      <w:pPr>
        <w:spacing w:after="0" w:line="218"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quarter ended December 31, 2024, the principal amount of new investments funded was $323.5 million across nine new portolio companies and seven upsizes to existng portolio companies. For this period, the Company had $304.7 million aggregate principal amount in exits and repayments. For the quarter ended September 30, 2024, the principal amount of new investments funded was $189.0 million across eight new portolio companies and four upsizes to existng portolio companies. For this period, the Company had $90.2 million aggregate principal amount in exits and repayments.</w:t>
      </w:r>
    </w:p>
    <w:p>
      <w:pPr>
        <w:spacing w:after="0" w:line="197" w:lineRule="exact"/>
        <w:rPr>
          <w:sz w:val="20"/>
          <w:szCs w:val="20"/>
          <w:color w:val="auto"/>
        </w:rPr>
      </w:pPr>
    </w:p>
    <w:p>
      <w:pPr>
        <w:jc w:val="both"/>
        <w:ind w:left="20"/>
        <w:spacing w:after="0" w:line="222" w:lineRule="auto"/>
        <w:rPr>
          <w:sz w:val="20"/>
          <w:szCs w:val="20"/>
          <w:color w:val="auto"/>
        </w:rPr>
      </w:pPr>
      <w:r>
        <w:rPr>
          <w:rFonts w:ascii="Calibri" w:cs="Calibri" w:eastAsia="Calibri" w:hAnsi="Calibri"/>
          <w:sz w:val="17"/>
          <w:szCs w:val="17"/>
          <w:color w:val="auto"/>
        </w:rPr>
        <w:t>As of December 31, 2024 and September 30, 2024, the Company had investments in 115</w:t>
      </w:r>
      <w:r>
        <w:rPr>
          <w:rFonts w:ascii="Calibri" w:cs="Calibri" w:eastAsia="Calibri" w:hAnsi="Calibri"/>
          <w:sz w:val="23"/>
          <w:szCs w:val="23"/>
          <w:color w:val="auto"/>
          <w:vertAlign w:val="superscript"/>
        </w:rPr>
        <w:t>1</w:t>
      </w:r>
      <w:r>
        <w:rPr>
          <w:rFonts w:ascii="Calibri" w:cs="Calibri" w:eastAsia="Calibri" w:hAnsi="Calibri"/>
          <w:sz w:val="17"/>
          <w:szCs w:val="17"/>
          <w:color w:val="auto"/>
        </w:rPr>
        <w:t xml:space="preserve"> and 112</w:t>
      </w:r>
      <w:r>
        <w:rPr>
          <w:rFonts w:ascii="Calibri" w:cs="Calibri" w:eastAsia="Calibri" w:hAnsi="Calibri"/>
          <w:sz w:val="23"/>
          <w:szCs w:val="23"/>
          <w:color w:val="auto"/>
          <w:vertAlign w:val="superscript"/>
        </w:rPr>
        <w:t>2</w:t>
      </w:r>
      <w:r>
        <w:rPr>
          <w:rFonts w:ascii="Calibri" w:cs="Calibri" w:eastAsia="Calibri" w:hAnsi="Calibri"/>
          <w:sz w:val="17"/>
          <w:szCs w:val="17"/>
          <w:color w:val="auto"/>
        </w:rPr>
        <w:t xml:space="preserve"> portolio companies, respectvely, with an aggregate fair value of $3,518.4 million and $3,441.1 million, respectvely. As of December 31, 2024, the average investment size in each portolio company was $30.6</w:t>
      </w:r>
      <w:r>
        <w:rPr>
          <w:rFonts w:ascii="Calibri" w:cs="Calibri" w:eastAsia="Calibri" w:hAnsi="Calibri"/>
          <w:sz w:val="23"/>
          <w:szCs w:val="23"/>
          <w:color w:val="auto"/>
          <w:vertAlign w:val="superscript"/>
        </w:rPr>
        <w:t>1</w:t>
      </w:r>
      <w:r>
        <w:rPr>
          <w:rFonts w:ascii="Calibri" w:cs="Calibri" w:eastAsia="Calibri" w:hAnsi="Calibri"/>
          <w:sz w:val="17"/>
          <w:szCs w:val="17"/>
          <w:color w:val="auto"/>
        </w:rPr>
        <w:t xml:space="preserve"> million based on fair value.</w:t>
      </w:r>
    </w:p>
    <w:p>
      <w:pPr>
        <w:spacing w:after="0" w:line="177"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As of December 31, 2024, the Company’s portolio based on fair value consisted of 93.9% frst-lien debt investments, 0.6% second-lien debt investments, 0.1% structured credit investments, 1.1% mezzanine debt investments, and 4.4% equity and other investments. As of September 30, 2024, the Company’s portolio based on fair value consisted of 93.2% frst-lien debt investments, 0.8% second-lien debt investments, 0.1% structured credit investments, 1.1% mezzanine debt investments, and 4.8% equity and other investments.</w:t>
      </w:r>
    </w:p>
    <w:p>
      <w:pPr>
        <w:spacing w:after="0" w:line="196" w:lineRule="exact"/>
        <w:rPr>
          <w:sz w:val="20"/>
          <w:szCs w:val="20"/>
          <w:color w:val="auto"/>
        </w:rPr>
      </w:pPr>
    </w:p>
    <w:p>
      <w:pPr>
        <w:jc w:val="both"/>
        <w:ind w:left="20"/>
        <w:spacing w:after="0" w:line="225" w:lineRule="auto"/>
        <w:rPr>
          <w:sz w:val="20"/>
          <w:szCs w:val="20"/>
          <w:color w:val="auto"/>
        </w:rPr>
      </w:pPr>
      <w:r>
        <w:rPr>
          <w:rFonts w:ascii="Calibri" w:cs="Calibri" w:eastAsia="Calibri" w:hAnsi="Calibri"/>
          <w:sz w:val="18"/>
          <w:szCs w:val="18"/>
          <w:color w:val="auto"/>
        </w:rPr>
        <w:t>As of December 31, 2024, 97.2% of debt investments</w:t>
      </w:r>
      <w:r>
        <w:rPr>
          <w:rFonts w:ascii="Calibri" w:cs="Calibri" w:eastAsia="Calibri" w:hAnsi="Calibri"/>
          <w:sz w:val="24"/>
          <w:szCs w:val="24"/>
          <w:color w:val="auto"/>
          <w:vertAlign w:val="superscript"/>
        </w:rPr>
        <w:t>3</w:t>
      </w:r>
      <w:r>
        <w:rPr>
          <w:rFonts w:ascii="Calibri" w:cs="Calibri" w:eastAsia="Calibri" w:hAnsi="Calibri"/>
          <w:sz w:val="18"/>
          <w:szCs w:val="18"/>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222"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For the period ended December 31, 2024 and September 30, 2024, the weighted average total yield of debt and income-producing securites at fair value (which includes interest income and amortzaton of fees and discounts) was 12.3% and 13.1%, respectvely, and the weighted average total yield of debt and income-producing securites at amortzed cost (which includes interest income and amortzaton of fees and discounts) was 12.5% and 13.4%, respectvely.</w:t>
      </w:r>
    </w:p>
    <w:p>
      <w:pPr>
        <w:spacing w:after="0" w:line="220" w:lineRule="exact"/>
        <w:rPr>
          <w:sz w:val="20"/>
          <w:szCs w:val="20"/>
          <w:color w:val="auto"/>
        </w:rPr>
      </w:pPr>
    </w:p>
    <w:p>
      <w:pPr>
        <w:jc w:val="both"/>
        <w:ind w:left="20"/>
        <w:spacing w:after="0" w:line="235" w:lineRule="auto"/>
        <w:rPr>
          <w:sz w:val="20"/>
          <w:szCs w:val="20"/>
          <w:color w:val="auto"/>
        </w:rPr>
      </w:pPr>
      <w:r>
        <w:rPr>
          <w:rFonts w:ascii="Calibri" w:cs="Calibri" w:eastAsia="Calibri" w:hAnsi="Calibri"/>
          <w:sz w:val="18"/>
          <w:szCs w:val="18"/>
          <w:color w:val="auto"/>
        </w:rPr>
        <w:t>As of December 31, 2024, non-accrual investments represented 1.4% of the portolio at fair value. No new investments were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945515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680"/>
        <w:spacing w:after="0"/>
        <w:rPr>
          <w:sz w:val="20"/>
          <w:szCs w:val="20"/>
          <w:color w:val="auto"/>
        </w:rPr>
      </w:pPr>
      <w:r>
        <w:rPr>
          <w:rFonts w:ascii="Calibri" w:cs="Calibri" w:eastAsia="Calibri" w:hAnsi="Calibri"/>
          <w:sz w:val="15"/>
          <w:szCs w:val="15"/>
          <w:b w:val="1"/>
          <w:bCs w:val="1"/>
          <w:color w:val="FFFFFF"/>
        </w:rPr>
        <w:t>2024 Originaton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18516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Commitments: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rPr>
              <w:t>$1,242.9MM</w:t>
            </w:r>
          </w:p>
        </w:tc>
      </w:tr>
      <w:tr>
        <w:trPr>
          <w:trHeight w:val="216"/>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Fundings: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w w:val="99"/>
              </w:rPr>
              <w:t>$838.9MM</w:t>
            </w:r>
          </w:p>
        </w:tc>
      </w:tr>
      <w:tr>
        <w:trPr>
          <w:trHeight w:val="216"/>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Net Fundings: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w w:val="98"/>
              </w:rPr>
              <w:t>$45.2MM</w:t>
            </w:r>
          </w:p>
        </w:tc>
      </w:tr>
      <w:tr>
        <w:trPr>
          <w:trHeight w:val="43"/>
        </w:trPr>
        <w:tc>
          <w:tcPr>
            <w:tcW w:w="2920" w:type="dxa"/>
            <w:vAlign w:val="bottom"/>
            <w:gridSpan w:val="2"/>
          </w:tcPr>
          <w:p>
            <w:pPr>
              <w:spacing w:after="0"/>
              <w:rPr>
                <w:sz w:val="3"/>
                <w:szCs w:val="3"/>
                <w:color w:val="auto"/>
              </w:rPr>
            </w:pPr>
          </w:p>
        </w:tc>
      </w:tr>
      <w:tr>
        <w:trPr>
          <w:trHeight w:val="196"/>
        </w:trPr>
        <w:tc>
          <w:tcPr>
            <w:tcW w:w="2920" w:type="dxa"/>
            <w:vAlign w:val="bottom"/>
            <w:tcBorders>
              <w:bottom w:val="single" w:sz="8" w:color="0F2F50"/>
            </w:tcBorders>
            <w:gridSpan w:val="2"/>
            <w:shd w:val="clear" w:color="auto" w:fill="0F2F50"/>
          </w:tcPr>
          <w:p>
            <w:pPr>
              <w:ind w:left="560"/>
              <w:spacing w:after="0"/>
              <w:rPr>
                <w:sz w:val="20"/>
                <w:szCs w:val="20"/>
                <w:color w:val="auto"/>
              </w:rPr>
            </w:pPr>
            <w:r>
              <w:rPr>
                <w:rFonts w:ascii="Calibri" w:cs="Calibri" w:eastAsia="Calibri" w:hAnsi="Calibri"/>
                <w:sz w:val="15"/>
                <w:szCs w:val="15"/>
                <w:b w:val="1"/>
                <w:bCs w:val="1"/>
                <w:color w:val="FFFFFF"/>
              </w:rPr>
              <w:t>Q4 2024 Originaton Actvity</w:t>
            </w:r>
          </w:p>
        </w:tc>
      </w:tr>
      <w:tr>
        <w:trPr>
          <w:trHeight w:val="183"/>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Commitments: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w w:val="99"/>
              </w:rPr>
              <w:t>$479.0MM</w:t>
            </w:r>
          </w:p>
        </w:tc>
      </w:tr>
      <w:tr>
        <w:trPr>
          <w:trHeight w:val="206"/>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Fundings: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w w:val="99"/>
              </w:rPr>
              <w:t>$323.5MM</w:t>
            </w:r>
          </w:p>
        </w:tc>
      </w:tr>
      <w:tr>
        <w:trPr>
          <w:trHeight w:val="216"/>
        </w:trPr>
        <w:tc>
          <w:tcPr>
            <w:tcW w:w="1460" w:type="dxa"/>
            <w:vAlign w:val="bottom"/>
          </w:tcPr>
          <w:p>
            <w:pPr>
              <w:ind w:left="20"/>
              <w:spacing w:after="0"/>
              <w:rPr>
                <w:sz w:val="20"/>
                <w:szCs w:val="20"/>
                <w:color w:val="auto"/>
              </w:rPr>
            </w:pPr>
            <w:r>
              <w:rPr>
                <w:rFonts w:ascii="Calibri" w:cs="Calibri" w:eastAsia="Calibri" w:hAnsi="Calibri"/>
                <w:sz w:val="15"/>
                <w:szCs w:val="15"/>
                <w:b w:val="1"/>
                <w:bCs w:val="1"/>
                <w:color w:val="auto"/>
              </w:rPr>
              <w:t>Net Fundings:</w:t>
            </w:r>
          </w:p>
        </w:tc>
        <w:tc>
          <w:tcPr>
            <w:tcW w:w="1460" w:type="dxa"/>
            <w:vAlign w:val="bottom"/>
          </w:tcPr>
          <w:p>
            <w:pPr>
              <w:jc w:val="center"/>
              <w:ind w:left="264"/>
              <w:spacing w:after="0"/>
              <w:rPr>
                <w:sz w:val="20"/>
                <w:szCs w:val="20"/>
                <w:color w:val="auto"/>
              </w:rPr>
            </w:pPr>
            <w:r>
              <w:rPr>
                <w:rFonts w:ascii="Calibri" w:cs="Calibri" w:eastAsia="Calibri" w:hAnsi="Calibri"/>
                <w:sz w:val="15"/>
                <w:szCs w:val="15"/>
                <w:b w:val="1"/>
                <w:bCs w:val="1"/>
                <w:color w:val="auto"/>
                <w:w w:val="98"/>
              </w:rPr>
              <w:t>$18.8MM</w:t>
            </w:r>
          </w:p>
        </w:tc>
      </w:tr>
    </w:tbl>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Average Investment Size</w:t>
      </w:r>
      <w:r>
        <w:rPr>
          <w:rFonts w:ascii="Calibri" w:cs="Calibri" w:eastAsia="Calibri" w:hAnsi="Calibri"/>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8516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15"/>
          <w:szCs w:val="15"/>
          <w:b w:val="1"/>
          <w:bCs w:val="1"/>
          <w:color w:val="auto"/>
        </w:rPr>
        <w:t>$30.6MM</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15"/>
          <w:szCs w:val="15"/>
          <w:i w:val="1"/>
          <w:iCs w:val="1"/>
          <w:color w:val="auto"/>
        </w:rPr>
        <w:t>(0.9%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18516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858520</wp:posOffset>
            </wp:positionV>
            <wp:extent cx="185166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b w:val="1"/>
          <w:bCs w:val="1"/>
          <w:color w:val="FFFFFF"/>
        </w:rPr>
        <w:t>Floatng Rate Debt Investments</w:t>
      </w:r>
      <w:r>
        <w:rPr>
          <w:rFonts w:ascii="Calibri" w:cs="Calibri" w:eastAsia="Calibri" w:hAnsi="Calibri"/>
          <w:sz w:val="20"/>
          <w:szCs w:val="20"/>
          <w:b w:val="1"/>
          <w:bCs w:val="1"/>
          <w:color w:val="FFFFFF"/>
          <w:vertAlign w:val="superscript"/>
        </w:rPr>
        <w:t>3</w:t>
      </w:r>
    </w:p>
    <w:p>
      <w:pPr>
        <w:jc w:val="center"/>
        <w:spacing w:after="0" w:line="203" w:lineRule="auto"/>
        <w:rPr>
          <w:sz w:val="20"/>
          <w:szCs w:val="20"/>
          <w:color w:val="auto"/>
        </w:rPr>
      </w:pPr>
      <w:r>
        <w:rPr>
          <w:rFonts w:ascii="Calibri" w:cs="Calibri" w:eastAsia="Calibri" w:hAnsi="Calibri"/>
          <w:sz w:val="15"/>
          <w:szCs w:val="15"/>
          <w:b w:val="1"/>
          <w:bCs w:val="1"/>
          <w:color w:val="FFFFFF"/>
        </w:rPr>
        <w:t>(% FV)</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97.2%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right="320" w:hanging="209"/>
        <w:spacing w:after="0" w:line="247" w:lineRule="auto"/>
        <w:rPr>
          <w:sz w:val="20"/>
          <w:szCs w:val="20"/>
          <w:color w:val="auto"/>
        </w:rPr>
      </w:pPr>
      <w:r>
        <w:rPr>
          <w:rFonts w:ascii="Calibri" w:cs="Calibri" w:eastAsia="Calibri" w:hAnsi="Calibri"/>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185166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1860" w:type="dxa"/>
            <w:vAlign w:val="bottom"/>
          </w:tcPr>
          <w:p>
            <w:pPr>
              <w:ind w:left="20"/>
              <w:spacing w:after="0"/>
              <w:rPr>
                <w:sz w:val="20"/>
                <w:szCs w:val="20"/>
                <w:color w:val="auto"/>
              </w:rPr>
            </w:pPr>
            <w:r>
              <w:rPr>
                <w:rFonts w:ascii="Calibri" w:cs="Calibri" w:eastAsia="Calibri" w:hAnsi="Calibri"/>
                <w:sz w:val="15"/>
                <w:szCs w:val="15"/>
                <w:b w:val="1"/>
                <w:bCs w:val="1"/>
                <w:color w:val="auto"/>
              </w:rPr>
              <w:t>Yield at Fair Value:</w:t>
            </w:r>
          </w:p>
        </w:tc>
        <w:tc>
          <w:tcPr>
            <w:tcW w:w="1060" w:type="dxa"/>
            <w:vAlign w:val="bottom"/>
          </w:tcPr>
          <w:p>
            <w:pPr>
              <w:jc w:val="right"/>
              <w:ind w:right="284"/>
              <w:spacing w:after="0"/>
              <w:rPr>
                <w:sz w:val="20"/>
                <w:szCs w:val="20"/>
                <w:color w:val="auto"/>
              </w:rPr>
            </w:pPr>
            <w:r>
              <w:rPr>
                <w:rFonts w:ascii="Calibri" w:cs="Calibri" w:eastAsia="Calibri" w:hAnsi="Calibri"/>
                <w:sz w:val="15"/>
                <w:szCs w:val="15"/>
                <w:b w:val="1"/>
                <w:bCs w:val="1"/>
                <w:color w:val="auto"/>
              </w:rPr>
              <w:t>12.3%</w:t>
            </w:r>
          </w:p>
        </w:tc>
      </w:tr>
      <w:tr>
        <w:trPr>
          <w:trHeight w:val="43"/>
        </w:trPr>
        <w:tc>
          <w:tcPr>
            <w:tcW w:w="1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6"/>
        </w:trPr>
        <w:tc>
          <w:tcPr>
            <w:tcW w:w="1860" w:type="dxa"/>
            <w:vAlign w:val="bottom"/>
          </w:tcPr>
          <w:p>
            <w:pPr>
              <w:ind w:left="20"/>
              <w:spacing w:after="0" w:line="176" w:lineRule="exact"/>
              <w:rPr>
                <w:sz w:val="20"/>
                <w:szCs w:val="20"/>
                <w:color w:val="auto"/>
              </w:rPr>
            </w:pPr>
            <w:r>
              <w:rPr>
                <w:rFonts w:ascii="Calibri" w:cs="Calibri" w:eastAsia="Calibri" w:hAnsi="Calibri"/>
                <w:sz w:val="15"/>
                <w:szCs w:val="15"/>
                <w:b w:val="1"/>
                <w:bCs w:val="1"/>
                <w:color w:val="auto"/>
              </w:rPr>
              <w:t>Yield at Amortzed Cost:</w:t>
            </w:r>
          </w:p>
        </w:tc>
        <w:tc>
          <w:tcPr>
            <w:tcW w:w="1060" w:type="dxa"/>
            <w:vAlign w:val="bottom"/>
          </w:tcPr>
          <w:p>
            <w:pPr>
              <w:jc w:val="right"/>
              <w:ind w:right="284"/>
              <w:spacing w:after="0" w:line="176" w:lineRule="exact"/>
              <w:rPr>
                <w:sz w:val="20"/>
                <w:szCs w:val="20"/>
                <w:color w:val="auto"/>
              </w:rPr>
            </w:pPr>
            <w:r>
              <w:rPr>
                <w:rFonts w:ascii="Calibri" w:cs="Calibri" w:eastAsia="Calibri" w:hAnsi="Calibri"/>
                <w:sz w:val="15"/>
                <w:szCs w:val="15"/>
                <w:b w:val="1"/>
                <w:bCs w:val="1"/>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120" w:right="20" w:hanging="103"/>
        <w:spacing w:after="0" w:line="245" w:lineRule="auto"/>
        <w:rPr>
          <w:sz w:val="20"/>
          <w:szCs w:val="20"/>
          <w:color w:val="auto"/>
        </w:rPr>
      </w:pPr>
      <w:r>
        <w:rPr>
          <w:rFonts w:ascii="Times New Roman" w:cs="Times New Roman" w:eastAsia="Times New Roman" w:hAnsi="Times New Roman"/>
          <w:sz w:val="14"/>
          <w:szCs w:val="14"/>
          <w:color w:val="auto"/>
        </w:rPr>
        <w:t>1.</w:t>
      </w:r>
      <w:r>
        <w:rPr>
          <w:rFonts w:ascii="Calibri" w:cs="Calibri" w:eastAsia="Calibri" w:hAnsi="Calibri"/>
          <w:sz w:val="14"/>
          <w:szCs w:val="14"/>
          <w:color w:val="auto"/>
        </w:rPr>
        <w:t>As</w:t>
      </w:r>
      <w:r>
        <w:rPr>
          <w:sz w:val="20"/>
          <w:szCs w:val="20"/>
          <w:color w:val="auto"/>
        </w:rPr>
        <w:t xml:space="preserve"> </w:t>
      </w:r>
      <w:r>
        <w:rPr>
          <w:rFonts w:ascii="Calibri" w:cs="Calibri" w:eastAsia="Calibri" w:hAnsi="Calibri"/>
          <w:sz w:val="14"/>
          <w:szCs w:val="14"/>
          <w:color w:val="auto"/>
        </w:rPr>
        <w:t>of December 31, 2024, excludes one structured credit investments with a total fair value of $1.5 million.</w:t>
      </w:r>
    </w:p>
    <w:p>
      <w:pPr>
        <w:spacing w:after="0" w:line="119" w:lineRule="exact"/>
        <w:rPr>
          <w:sz w:val="20"/>
          <w:szCs w:val="20"/>
          <w:color w:val="auto"/>
        </w:rPr>
      </w:pPr>
    </w:p>
    <w:p>
      <w:pPr>
        <w:jc w:val="both"/>
        <w:ind w:left="120" w:right="20" w:hanging="104"/>
        <w:spacing w:after="0" w:line="245" w:lineRule="auto"/>
        <w:rPr>
          <w:sz w:val="20"/>
          <w:szCs w:val="20"/>
          <w:color w:val="auto"/>
        </w:rPr>
      </w:pPr>
      <w:r>
        <w:rPr>
          <w:rFonts w:ascii="Calibri" w:cs="Calibri" w:eastAsia="Calibri" w:hAnsi="Calibri"/>
          <w:sz w:val="14"/>
          <w:szCs w:val="14"/>
          <w:color w:val="auto"/>
        </w:rPr>
        <w:t>2.As of September 30, 2024, excludes three structured credit investments with a total fair value of $5.0 million.</w:t>
      </w:r>
    </w:p>
    <w:p>
      <w:pPr>
        <w:spacing w:after="0" w:line="111" w:lineRule="exact"/>
        <w:rPr>
          <w:sz w:val="20"/>
          <w:szCs w:val="20"/>
          <w:color w:val="auto"/>
        </w:rPr>
      </w:pPr>
    </w:p>
    <w:p>
      <w:pPr>
        <w:jc w:val="both"/>
        <w:ind w:left="120" w:right="20" w:hanging="104"/>
        <w:spacing w:after="0" w:line="242" w:lineRule="auto"/>
        <w:rPr>
          <w:sz w:val="20"/>
          <w:szCs w:val="20"/>
          <w:color w:val="auto"/>
        </w:rPr>
      </w:pPr>
      <w:r>
        <w:rPr>
          <w:rFonts w:ascii="Calibri" w:cs="Calibri" w:eastAsia="Calibri" w:hAnsi="Calibri"/>
          <w:sz w:val="14"/>
          <w:szCs w:val="14"/>
          <w:color w:val="auto"/>
        </w:rPr>
        <w:t>3.Calculaton</w:t>
      </w:r>
      <w:r>
        <w:rPr>
          <w:sz w:val="20"/>
          <w:szCs w:val="20"/>
          <w:color w:val="auto"/>
        </w:rPr>
        <w:t xml:space="preserve"> </w:t>
      </w:r>
      <w:r>
        <w:rPr>
          <w:rFonts w:ascii="Calibri" w:cs="Calibri" w:eastAsia="Calibri" w:hAnsi="Calibri"/>
          <w:sz w:val="14"/>
          <w:szCs w:val="14"/>
          <w:color w:val="auto"/>
        </w:rPr>
        <w:t>includes income earning debt investments only.</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8200" w:space="120"/>
            <w:col w:w="2920"/>
          </w:cols>
          <w:pgMar w:left="320" w:top="1440" w:right="339" w:bottom="1440" w:gutter="0" w:footer="0" w:header="0"/>
          <w:type w:val="continuous"/>
        </w:sectPr>
      </w:pPr>
    </w:p>
    <w:bookmarkStart w:id="5" w:name="page6"/>
    <w:bookmarkEnd w:id="5"/>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RESULTS OF OPERATIONS FOR THE FULL YEAR AND THREE MONTHS ENDED DECEMBER 31, 2024</w:t>
      </w:r>
    </w:p>
    <w:p>
      <w:pPr>
        <w:spacing w:after="0" w:line="266"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Full Year</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860" w:type="dxa"/>
            <w:vAlign w:val="bottom"/>
            <w:vMerge w:val="restart"/>
          </w:tcPr>
          <w:p>
            <w:pPr>
              <w:spacing w:after="0"/>
              <w:rPr>
                <w:sz w:val="20"/>
                <w:szCs w:val="20"/>
                <w:color w:val="auto"/>
              </w:rPr>
            </w:pPr>
            <w:r>
              <w:rPr>
                <w:rFonts w:ascii="Calibri" w:cs="Calibri" w:eastAsia="Calibri" w:hAnsi="Calibri"/>
                <w:sz w:val="18"/>
                <w:szCs w:val="18"/>
                <w:color w:val="auto"/>
              </w:rPr>
              <w:t>For the years ended December 31, 2024 and 2023, investment income totaled $482.5 million and $438.1</w:t>
            </w:r>
          </w:p>
        </w:tc>
        <w:tc>
          <w:tcPr>
            <w:tcW w:w="2280" w:type="dxa"/>
            <w:vAlign w:val="bottom"/>
            <w:shd w:val="clear" w:color="auto" w:fill="0F2F50"/>
          </w:tcPr>
          <w:p>
            <w:pPr>
              <w:jc w:val="center"/>
              <w:ind w:left="1004"/>
              <w:spacing w:after="0"/>
              <w:rPr>
                <w:sz w:val="20"/>
                <w:szCs w:val="20"/>
                <w:color w:val="auto"/>
              </w:rPr>
            </w:pPr>
            <w:r>
              <w:rPr>
                <w:rFonts w:ascii="Calibri" w:cs="Calibri" w:eastAsia="Calibri" w:hAnsi="Calibri"/>
                <w:sz w:val="15"/>
                <w:szCs w:val="15"/>
                <w:b w:val="1"/>
                <w:bCs w:val="1"/>
                <w:color w:val="FFFFFF"/>
              </w:rPr>
              <w:t>2024</w:t>
            </w:r>
          </w:p>
        </w:tc>
        <w:tc>
          <w:tcPr>
            <w:tcW w:w="1080" w:type="dxa"/>
            <w:vAlign w:val="bottom"/>
            <w:shd w:val="clear" w:color="auto" w:fill="0F2F50"/>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860" w:type="dxa"/>
            <w:vAlign w:val="bottom"/>
            <w:vMerge w:val="continue"/>
          </w:tcPr>
          <w:p>
            <w:pPr>
              <w:spacing w:after="0"/>
              <w:rPr>
                <w:sz w:val="11"/>
                <w:szCs w:val="11"/>
                <w:color w:val="auto"/>
              </w:rPr>
            </w:pPr>
          </w:p>
        </w:tc>
        <w:tc>
          <w:tcPr>
            <w:tcW w:w="2280" w:type="dxa"/>
            <w:vAlign w:val="bottom"/>
            <w:tcBorders>
              <w:bottom w:val="single" w:sz="8" w:color="0F2F50"/>
            </w:tcBorders>
            <w:shd w:val="clear" w:color="auto" w:fill="0F2F50"/>
          </w:tcPr>
          <w:p>
            <w:pPr>
              <w:spacing w:after="0"/>
              <w:rPr>
                <w:sz w:val="11"/>
                <w:szCs w:val="11"/>
                <w:color w:val="auto"/>
              </w:rPr>
            </w:pPr>
          </w:p>
        </w:tc>
        <w:tc>
          <w:tcPr>
            <w:tcW w:w="1080" w:type="dxa"/>
            <w:vAlign w:val="bottom"/>
            <w:tcBorders>
              <w:bottom w:val="single" w:sz="8" w:color="0F2F50"/>
            </w:tcBorders>
            <w:shd w:val="clear" w:color="auto" w:fill="0F2F50"/>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860" w:type="dxa"/>
            <w:vAlign w:val="bottom"/>
          </w:tcPr>
          <w:p>
            <w:pPr>
              <w:spacing w:after="0" w:line="193" w:lineRule="exact"/>
              <w:rPr>
                <w:sz w:val="20"/>
                <w:szCs w:val="20"/>
                <w:color w:val="auto"/>
              </w:rPr>
            </w:pPr>
            <w:r>
              <w:rPr>
                <w:rFonts w:ascii="Calibri" w:cs="Calibri" w:eastAsia="Calibri" w:hAnsi="Calibri"/>
                <w:sz w:val="18"/>
                <w:szCs w:val="18"/>
                <w:color w:val="auto"/>
              </w:rPr>
              <w:t>million, respectvely. The increase in investment income was primarily the result of net funding actvity.</w:t>
            </w:r>
          </w:p>
        </w:tc>
        <w:tc>
          <w:tcPr>
            <w:tcW w:w="2280" w:type="dxa"/>
            <w:vAlign w:val="bottom"/>
          </w:tcPr>
          <w:p>
            <w:pPr>
              <w:ind w:left="20"/>
              <w:spacing w:after="0"/>
              <w:rPr>
                <w:sz w:val="20"/>
                <w:szCs w:val="20"/>
                <w:color w:val="auto"/>
              </w:rPr>
            </w:pPr>
            <w:r>
              <w:rPr>
                <w:rFonts w:ascii="Calibri" w:cs="Calibri" w:eastAsia="Calibri" w:hAnsi="Calibri"/>
                <w:sz w:val="15"/>
                <w:szCs w:val="15"/>
                <w:b w:val="1"/>
                <w:bCs w:val="1"/>
                <w:color w:val="auto"/>
              </w:rPr>
              <w:t>Investment Income:</w:t>
            </w:r>
          </w:p>
        </w:tc>
        <w:tc>
          <w:tcPr>
            <w:tcW w:w="1080" w:type="dxa"/>
            <w:vAlign w:val="bottom"/>
          </w:tcPr>
          <w:p>
            <w:pPr>
              <w:ind w:left="280"/>
              <w:spacing w:after="0"/>
              <w:rPr>
                <w:sz w:val="20"/>
                <w:szCs w:val="20"/>
                <w:color w:val="auto"/>
              </w:rPr>
            </w:pPr>
            <w:r>
              <w:rPr>
                <w:rFonts w:ascii="Calibri" w:cs="Calibri" w:eastAsia="Calibri" w:hAnsi="Calibri"/>
                <w:sz w:val="15"/>
                <w:szCs w:val="15"/>
                <w:b w:val="1"/>
                <w:bCs w:val="1"/>
                <w:color w:val="auto"/>
              </w:rPr>
              <w:t>$482.5MM</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Calibri" w:cs="Calibri" w:eastAsia="Calibri" w:hAnsi="Calibri"/>
                <w:sz w:val="15"/>
                <w:szCs w:val="15"/>
                <w:b w:val="1"/>
                <w:bCs w:val="1"/>
                <w:color w:val="auto"/>
              </w:rPr>
              <w:t>Net Expenses:</w:t>
            </w:r>
          </w:p>
        </w:tc>
        <w:tc>
          <w:tcPr>
            <w:tcW w:w="1080" w:type="dxa"/>
            <w:vAlign w:val="bottom"/>
          </w:tcPr>
          <w:p>
            <w:pPr>
              <w:ind w:left="280"/>
              <w:spacing w:after="0"/>
              <w:rPr>
                <w:sz w:val="20"/>
                <w:szCs w:val="20"/>
                <w:color w:val="auto"/>
              </w:rPr>
            </w:pPr>
            <w:r>
              <w:rPr>
                <w:rFonts w:ascii="Calibri" w:cs="Calibri" w:eastAsia="Calibri" w:hAnsi="Calibri"/>
                <w:sz w:val="15"/>
                <w:szCs w:val="15"/>
                <w:b w:val="1"/>
                <w:bCs w:val="1"/>
                <w:color w:val="auto"/>
              </w:rPr>
              <w:t>$258.6MM</w:t>
            </w:r>
          </w:p>
        </w:tc>
        <w:tc>
          <w:tcPr>
            <w:tcW w:w="0" w:type="dxa"/>
            <w:vAlign w:val="bottom"/>
          </w:tcPr>
          <w:p>
            <w:pPr>
              <w:spacing w:after="0"/>
              <w:rPr>
                <w:sz w:val="1"/>
                <w:szCs w:val="1"/>
                <w:color w:val="auto"/>
              </w:rPr>
            </w:pPr>
          </w:p>
        </w:tc>
      </w:tr>
      <w:tr>
        <w:trPr>
          <w:trHeight w:val="232"/>
        </w:trPr>
        <w:tc>
          <w:tcPr>
            <w:tcW w:w="7860" w:type="dxa"/>
            <w:vAlign w:val="bottom"/>
          </w:tcPr>
          <w:p>
            <w:pPr>
              <w:spacing w:after="0"/>
              <w:rPr>
                <w:sz w:val="20"/>
                <w:szCs w:val="20"/>
                <w:color w:val="auto"/>
              </w:rPr>
            </w:pPr>
            <w:r>
              <w:rPr>
                <w:rFonts w:ascii="Calibri" w:cs="Calibri" w:eastAsia="Calibri" w:hAnsi="Calibri"/>
                <w:sz w:val="17"/>
                <w:szCs w:val="17"/>
                <w:color w:val="auto"/>
              </w:rPr>
              <w:t>Net expenses totaled $258.6 million and $239.3 million for the years ended December 31, 2024 and 2023,</w:t>
            </w: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Calibri" w:cs="Calibri" w:eastAsia="Calibri" w:hAnsi="Calibri"/>
                <w:sz w:val="17"/>
                <w:szCs w:val="17"/>
                <w:color w:val="auto"/>
              </w:rPr>
              <w:t>respectvely. The increase in net expenses was primarily due to higher reference rates which increased the</w:t>
            </w: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line="205" w:lineRule="exact"/>
              <w:rPr>
                <w:sz w:val="20"/>
                <w:szCs w:val="20"/>
                <w:color w:val="auto"/>
              </w:rPr>
            </w:pPr>
            <w:r>
              <w:rPr>
                <w:rFonts w:ascii="Calibri" w:cs="Calibri" w:eastAsia="Calibri" w:hAnsi="Calibri"/>
                <w:sz w:val="17"/>
                <w:szCs w:val="17"/>
                <w:color w:val="auto"/>
              </w:rPr>
              <w:t>Company’s weighted average interest rate on average debt outstanding.</w:t>
            </w: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Calibri" w:cs="Calibri" w:eastAsia="Calibri" w:hAnsi="Calibri"/>
                <w:sz w:val="17"/>
                <w:szCs w:val="17"/>
                <w:b w:val="1"/>
                <w:bCs w:val="1"/>
                <w:color w:val="auto"/>
              </w:rPr>
              <w:t>Fourth Quarter</w:t>
            </w: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4"/>
        </w:trPr>
        <w:tc>
          <w:tcPr>
            <w:tcW w:w="7860" w:type="dxa"/>
            <w:vAlign w:val="bottom"/>
            <w:vMerge w:val="restart"/>
          </w:tcPr>
          <w:p>
            <w:pPr>
              <w:spacing w:after="0"/>
              <w:rPr>
                <w:sz w:val="20"/>
                <w:szCs w:val="20"/>
                <w:color w:val="auto"/>
              </w:rPr>
            </w:pPr>
            <w:r>
              <w:rPr>
                <w:rFonts w:ascii="Calibri" w:cs="Calibri" w:eastAsia="Calibri" w:hAnsi="Calibri"/>
                <w:sz w:val="17"/>
                <w:szCs w:val="17"/>
                <w:color w:val="auto"/>
              </w:rPr>
              <w:t>For the three months ended December 31, 2024 and 2023, total investment income was $123.7 million and</w:t>
            </w:r>
          </w:p>
        </w:tc>
        <w:tc>
          <w:tcPr>
            <w:tcW w:w="2280" w:type="dxa"/>
            <w:vAlign w:val="bottom"/>
            <w:shd w:val="clear" w:color="auto" w:fill="0F2F50"/>
          </w:tcPr>
          <w:p>
            <w:pPr>
              <w:jc w:val="center"/>
              <w:ind w:left="1004"/>
              <w:spacing w:after="0"/>
              <w:rPr>
                <w:sz w:val="20"/>
                <w:szCs w:val="20"/>
                <w:color w:val="auto"/>
              </w:rPr>
            </w:pPr>
            <w:r>
              <w:rPr>
                <w:rFonts w:ascii="Calibri" w:cs="Calibri" w:eastAsia="Calibri" w:hAnsi="Calibri"/>
                <w:sz w:val="15"/>
                <w:szCs w:val="15"/>
                <w:b w:val="1"/>
                <w:bCs w:val="1"/>
                <w:color w:val="FFFFFF"/>
              </w:rPr>
              <w:t>Q4 2024</w:t>
            </w:r>
          </w:p>
        </w:tc>
        <w:tc>
          <w:tcPr>
            <w:tcW w:w="1080" w:type="dxa"/>
            <w:vAlign w:val="bottom"/>
            <w:shd w:val="clear" w:color="auto" w:fill="0F2F50"/>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860" w:type="dxa"/>
            <w:vAlign w:val="bottom"/>
            <w:vMerge w:val="continue"/>
          </w:tcPr>
          <w:p>
            <w:pPr>
              <w:spacing w:after="0"/>
              <w:rPr>
                <w:sz w:val="13"/>
                <w:szCs w:val="13"/>
                <w:color w:val="auto"/>
              </w:rPr>
            </w:pPr>
          </w:p>
        </w:tc>
        <w:tc>
          <w:tcPr>
            <w:tcW w:w="2280" w:type="dxa"/>
            <w:vAlign w:val="bottom"/>
            <w:tcBorders>
              <w:bottom w:val="single" w:sz="8" w:color="0F2F50"/>
            </w:tcBorders>
            <w:shd w:val="clear" w:color="auto" w:fill="0F2F50"/>
          </w:tcPr>
          <w:p>
            <w:pPr>
              <w:spacing w:after="0"/>
              <w:rPr>
                <w:sz w:val="13"/>
                <w:szCs w:val="13"/>
                <w:color w:val="auto"/>
              </w:rPr>
            </w:pPr>
          </w:p>
        </w:tc>
        <w:tc>
          <w:tcPr>
            <w:tcW w:w="1080" w:type="dxa"/>
            <w:vAlign w:val="bottom"/>
            <w:tcBorders>
              <w:bottom w:val="single" w:sz="8" w:color="0F2F50"/>
            </w:tcBorders>
            <w:shd w:val="clear" w:color="auto" w:fill="0F2F50"/>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60" w:type="dxa"/>
            <w:vAlign w:val="bottom"/>
          </w:tcPr>
          <w:p>
            <w:pPr>
              <w:spacing w:after="0" w:line="175" w:lineRule="exact"/>
              <w:rPr>
                <w:sz w:val="20"/>
                <w:szCs w:val="20"/>
                <w:color w:val="auto"/>
              </w:rPr>
            </w:pPr>
            <w:r>
              <w:rPr>
                <w:rFonts w:ascii="Calibri" w:cs="Calibri" w:eastAsia="Calibri" w:hAnsi="Calibri"/>
                <w:sz w:val="17"/>
                <w:szCs w:val="17"/>
                <w:color w:val="auto"/>
              </w:rPr>
              <w:t>$119.5 million, respectvely. The increase in total investment income was primarily from an increase in total</w:t>
            </w:r>
          </w:p>
        </w:tc>
        <w:tc>
          <w:tcPr>
            <w:tcW w:w="2280" w:type="dxa"/>
            <w:vAlign w:val="bottom"/>
          </w:tcPr>
          <w:p>
            <w:pPr>
              <w:ind w:left="20"/>
              <w:spacing w:after="0" w:line="175" w:lineRule="exact"/>
              <w:rPr>
                <w:sz w:val="20"/>
                <w:szCs w:val="20"/>
                <w:color w:val="auto"/>
              </w:rPr>
            </w:pPr>
            <w:r>
              <w:rPr>
                <w:rFonts w:ascii="Calibri" w:cs="Calibri" w:eastAsia="Calibri" w:hAnsi="Calibri"/>
                <w:sz w:val="15"/>
                <w:szCs w:val="15"/>
                <w:b w:val="1"/>
                <w:bCs w:val="1"/>
                <w:color w:val="auto"/>
              </w:rPr>
              <w:t>Investment Income:</w:t>
            </w:r>
          </w:p>
        </w:tc>
        <w:tc>
          <w:tcPr>
            <w:tcW w:w="1080" w:type="dxa"/>
            <w:vAlign w:val="bottom"/>
          </w:tcPr>
          <w:p>
            <w:pPr>
              <w:ind w:left="380"/>
              <w:spacing w:after="0" w:line="175" w:lineRule="exact"/>
              <w:rPr>
                <w:sz w:val="20"/>
                <w:szCs w:val="20"/>
                <w:color w:val="auto"/>
              </w:rPr>
            </w:pPr>
            <w:r>
              <w:rPr>
                <w:rFonts w:ascii="Calibri" w:cs="Calibri" w:eastAsia="Calibri" w:hAnsi="Calibri"/>
                <w:sz w:val="15"/>
                <w:szCs w:val="15"/>
                <w:b w:val="1"/>
                <w:bCs w:val="1"/>
                <w:color w:val="auto"/>
                <w:w w:val="99"/>
              </w:rPr>
              <w:t>$123.7MM</w:t>
            </w:r>
          </w:p>
        </w:tc>
        <w:tc>
          <w:tcPr>
            <w:tcW w:w="0" w:type="dxa"/>
            <w:vAlign w:val="bottom"/>
          </w:tcPr>
          <w:p>
            <w:pPr>
              <w:spacing w:after="0"/>
              <w:rPr>
                <w:sz w:val="1"/>
                <w:szCs w:val="1"/>
                <w:color w:val="auto"/>
              </w:rPr>
            </w:pPr>
          </w:p>
        </w:tc>
      </w:tr>
      <w:tr>
        <w:trPr>
          <w:trHeight w:val="204"/>
        </w:trPr>
        <w:tc>
          <w:tcPr>
            <w:tcW w:w="7860" w:type="dxa"/>
            <w:vAlign w:val="bottom"/>
          </w:tcPr>
          <w:p>
            <w:pPr>
              <w:spacing w:after="0" w:line="205" w:lineRule="exact"/>
              <w:rPr>
                <w:sz w:val="20"/>
                <w:szCs w:val="20"/>
                <w:color w:val="auto"/>
              </w:rPr>
            </w:pPr>
            <w:r>
              <w:rPr>
                <w:rFonts w:ascii="Calibri" w:cs="Calibri" w:eastAsia="Calibri" w:hAnsi="Calibri"/>
                <w:sz w:val="17"/>
                <w:szCs w:val="17"/>
                <w:color w:val="auto"/>
              </w:rPr>
              <w:t>interest from investments and other income.</w:t>
            </w:r>
          </w:p>
        </w:tc>
        <w:tc>
          <w:tcPr>
            <w:tcW w:w="2280" w:type="dxa"/>
            <w:vAlign w:val="bottom"/>
          </w:tcPr>
          <w:p>
            <w:pPr>
              <w:ind w:left="20"/>
              <w:spacing w:after="0"/>
              <w:rPr>
                <w:sz w:val="20"/>
                <w:szCs w:val="20"/>
                <w:color w:val="auto"/>
              </w:rPr>
            </w:pPr>
            <w:r>
              <w:rPr>
                <w:rFonts w:ascii="Calibri" w:cs="Calibri" w:eastAsia="Calibri" w:hAnsi="Calibri"/>
                <w:sz w:val="15"/>
                <w:szCs w:val="15"/>
                <w:b w:val="1"/>
                <w:bCs w:val="1"/>
                <w:color w:val="auto"/>
              </w:rPr>
              <w:t>Net Expenses:</w:t>
            </w:r>
          </w:p>
        </w:tc>
        <w:tc>
          <w:tcPr>
            <w:tcW w:w="1080" w:type="dxa"/>
            <w:vAlign w:val="bottom"/>
          </w:tcPr>
          <w:p>
            <w:pPr>
              <w:ind w:left="200"/>
              <w:spacing w:after="0"/>
              <w:rPr>
                <w:sz w:val="20"/>
                <w:szCs w:val="20"/>
                <w:color w:val="auto"/>
              </w:rPr>
            </w:pPr>
            <w:r>
              <w:rPr>
                <w:rFonts w:ascii="Calibri" w:cs="Calibri" w:eastAsia="Calibri" w:hAnsi="Calibri"/>
                <w:sz w:val="15"/>
                <w:szCs w:val="15"/>
                <w:b w:val="1"/>
                <w:bCs w:val="1"/>
                <w:color w:val="auto"/>
              </w:rPr>
              <w:t>$64.9MM</w:t>
            </w:r>
          </w:p>
        </w:tc>
        <w:tc>
          <w:tcPr>
            <w:tcW w:w="0" w:type="dxa"/>
            <w:vAlign w:val="bottom"/>
          </w:tcPr>
          <w:p>
            <w:pPr>
              <w:spacing w:after="0"/>
              <w:rPr>
                <w:sz w:val="1"/>
                <w:szCs w:val="1"/>
                <w:color w:val="auto"/>
              </w:rPr>
            </w:pPr>
          </w:p>
        </w:tc>
      </w:tr>
      <w:tr>
        <w:trPr>
          <w:trHeight w:val="309"/>
        </w:trPr>
        <w:tc>
          <w:tcPr>
            <w:tcW w:w="7860" w:type="dxa"/>
            <w:vAlign w:val="bottom"/>
          </w:tcPr>
          <w:p>
            <w:pPr>
              <w:spacing w:after="0"/>
              <w:rPr>
                <w:sz w:val="20"/>
                <w:szCs w:val="20"/>
                <w:color w:val="auto"/>
              </w:rPr>
            </w:pPr>
            <w:r>
              <w:rPr>
                <w:rFonts w:ascii="Calibri" w:cs="Calibri" w:eastAsia="Calibri" w:hAnsi="Calibri"/>
                <w:sz w:val="17"/>
                <w:szCs w:val="17"/>
                <w:color w:val="auto"/>
              </w:rPr>
              <w:t>Net expenses totaled $64.9 million and $64.3 million for the three months ended December 31, 2024 and</w:t>
            </w: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Calibri" w:cs="Calibri" w:eastAsia="Calibri" w:hAnsi="Calibri"/>
                <w:sz w:val="17"/>
                <w:szCs w:val="17"/>
                <w:color w:val="auto"/>
              </w:rPr>
              <w:t>2023, respectvely. The increase in expenses was primarily driven by higher management fees due to an</w:t>
            </w: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line="203" w:lineRule="exact"/>
              <w:rPr>
                <w:sz w:val="20"/>
                <w:szCs w:val="20"/>
                <w:color w:val="auto"/>
              </w:rPr>
            </w:pPr>
            <w:r>
              <w:rPr>
                <w:rFonts w:ascii="Calibri" w:cs="Calibri" w:eastAsia="Calibri" w:hAnsi="Calibri"/>
                <w:sz w:val="17"/>
                <w:szCs w:val="17"/>
                <w:color w:val="auto"/>
              </w:rPr>
              <w:t>increase in average assets and higher incentve fees due to an increase in pre-incentve fee net investment</w:t>
            </w: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60" w:type="dxa"/>
            <w:vAlign w:val="bottom"/>
          </w:tcPr>
          <w:p>
            <w:pPr>
              <w:spacing w:after="0" w:line="205" w:lineRule="exact"/>
              <w:rPr>
                <w:sz w:val="20"/>
                <w:szCs w:val="20"/>
                <w:color w:val="auto"/>
              </w:rPr>
            </w:pPr>
            <w:r>
              <w:rPr>
                <w:rFonts w:ascii="Calibri" w:cs="Calibri" w:eastAsia="Calibri" w:hAnsi="Calibri"/>
                <w:sz w:val="17"/>
                <w:szCs w:val="17"/>
                <w:color w:val="auto"/>
              </w:rPr>
              <w:t>income.</w:t>
            </w: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7860" w:type="dxa"/>
            <w:vAlign w:val="bottom"/>
          </w:tcPr>
          <w:p>
            <w:pPr>
              <w:spacing w:after="0"/>
              <w:rPr>
                <w:sz w:val="20"/>
                <w:szCs w:val="20"/>
                <w:color w:val="auto"/>
              </w:rPr>
            </w:pPr>
            <w:r>
              <w:rPr>
                <w:rFonts w:ascii="Calibri" w:cs="Calibri" w:eastAsia="Calibri" w:hAnsi="Calibri"/>
                <w:sz w:val="17"/>
                <w:szCs w:val="17"/>
                <w:b w:val="1"/>
                <w:bCs w:val="1"/>
                <w:color w:val="auto"/>
              </w:rPr>
              <w:t>Debt and Capital Resources</w:t>
            </w: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860" w:type="dxa"/>
            <w:vAlign w:val="bottom"/>
            <w:vMerge w:val="restart"/>
          </w:tcPr>
          <w:p>
            <w:pPr>
              <w:spacing w:after="0"/>
              <w:rPr>
                <w:sz w:val="20"/>
                <w:szCs w:val="20"/>
                <w:color w:val="auto"/>
              </w:rPr>
            </w:pPr>
            <w:r>
              <w:rPr>
                <w:rFonts w:ascii="Calibri" w:cs="Calibri" w:eastAsia="Calibri" w:hAnsi="Calibri"/>
                <w:sz w:val="18"/>
                <w:szCs w:val="18"/>
                <w:color w:val="auto"/>
              </w:rPr>
              <w:t>As of December 31, 2024, the Company had $27.3 million in cash and cash equivalents (including $22.4</w:t>
            </w:r>
          </w:p>
        </w:tc>
        <w:tc>
          <w:tcPr>
            <w:tcW w:w="3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3360" w:type="dxa"/>
            <w:vAlign w:val="bottom"/>
            <w:tcBorders>
              <w:bottom w:val="single" w:sz="8" w:color="0F2F50"/>
            </w:tcBorders>
            <w:gridSpan w:val="2"/>
            <w:shd w:val="clear" w:color="auto" w:fill="0F2F50"/>
          </w:tcPr>
          <w:p>
            <w:pPr>
              <w:ind w:left="640"/>
              <w:spacing w:after="0"/>
              <w:rPr>
                <w:sz w:val="20"/>
                <w:szCs w:val="20"/>
                <w:color w:val="auto"/>
              </w:rPr>
            </w:pPr>
            <w:r>
              <w:rPr>
                <w:rFonts w:ascii="Calibri" w:cs="Calibri" w:eastAsia="Calibri" w:hAnsi="Calibri"/>
                <w:sz w:val="15"/>
                <w:szCs w:val="15"/>
                <w:b w:val="1"/>
                <w:bCs w:val="1"/>
                <w:color w:val="FFFFFF"/>
              </w:rPr>
              <w:t>Total Principal Debt Outstanding</w:t>
            </w:r>
          </w:p>
        </w:tc>
        <w:tc>
          <w:tcPr>
            <w:tcW w:w="0" w:type="dxa"/>
            <w:vAlign w:val="bottom"/>
          </w:tcPr>
          <w:p>
            <w:pPr>
              <w:spacing w:after="0"/>
              <w:rPr>
                <w:sz w:val="1"/>
                <w:szCs w:val="1"/>
                <w:color w:val="auto"/>
              </w:rPr>
            </w:pPr>
          </w:p>
        </w:tc>
      </w:tr>
      <w:tr>
        <w:trPr>
          <w:trHeight w:val="193"/>
        </w:trPr>
        <w:tc>
          <w:tcPr>
            <w:tcW w:w="7860" w:type="dxa"/>
            <w:vAlign w:val="bottom"/>
          </w:tcPr>
          <w:p>
            <w:pPr>
              <w:spacing w:after="0" w:line="193" w:lineRule="exact"/>
              <w:rPr>
                <w:sz w:val="20"/>
                <w:szCs w:val="20"/>
                <w:color w:val="auto"/>
              </w:rPr>
            </w:pPr>
            <w:r>
              <w:rPr>
                <w:rFonts w:ascii="Calibri" w:cs="Calibri" w:eastAsia="Calibri" w:hAnsi="Calibri"/>
                <w:sz w:val="18"/>
                <w:szCs w:val="18"/>
                <w:color w:val="auto"/>
                <w:w w:val="98"/>
              </w:rPr>
              <w:t>million of restricted cash), total principal value of debt outstanding of $1,954.1 million, and $674.2 million of</w:t>
            </w:r>
          </w:p>
        </w:tc>
        <w:tc>
          <w:tcPr>
            <w:tcW w:w="2280" w:type="dxa"/>
            <w:vAlign w:val="bottom"/>
          </w:tcPr>
          <w:p>
            <w:pPr>
              <w:jc w:val="center"/>
              <w:ind w:left="1004"/>
              <w:spacing w:after="0"/>
              <w:rPr>
                <w:sz w:val="20"/>
                <w:szCs w:val="20"/>
                <w:color w:val="auto"/>
              </w:rPr>
            </w:pPr>
            <w:r>
              <w:rPr>
                <w:rFonts w:ascii="Calibri" w:cs="Calibri" w:eastAsia="Calibri" w:hAnsi="Calibri"/>
                <w:sz w:val="15"/>
                <w:szCs w:val="15"/>
                <w:b w:val="1"/>
                <w:bCs w:val="1"/>
                <w:color w:val="auto"/>
              </w:rPr>
              <w:t>$1,954.1MM</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line="216" w:lineRule="exact"/>
              <w:rPr>
                <w:sz w:val="20"/>
                <w:szCs w:val="20"/>
                <w:color w:val="auto"/>
              </w:rPr>
            </w:pPr>
            <w:r>
              <w:rPr>
                <w:rFonts w:ascii="Calibri" w:cs="Calibri" w:eastAsia="Calibri" w:hAnsi="Calibri"/>
                <w:sz w:val="18"/>
                <w:szCs w:val="18"/>
                <w:color w:val="auto"/>
              </w:rPr>
              <w:t>undrawn capacity on its revolving credit facility, subject to borrowing base and other limitatons. At year</w:t>
            </w: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right="4220"/>
        <w:spacing w:after="0" w:line="235" w:lineRule="auto"/>
        <w:rPr>
          <w:sz w:val="20"/>
          <w:szCs w:val="20"/>
          <w:color w:val="auto"/>
        </w:rPr>
      </w:pPr>
      <w:r>
        <w:rPr>
          <w:rFonts w:ascii="Calibri" w:cs="Calibri" w:eastAsia="Calibri" w:hAnsi="Calibri"/>
          <w:sz w:val="18"/>
          <w:szCs w:val="18"/>
          <w:color w:val="auto"/>
        </w:rPr>
        <w:t>end, aggregate commitments under the Company’s revolving credit facility were $1,700 million, in accordance with the accordion feature.</w:t>
      </w:r>
    </w:p>
    <w:p>
      <w:pPr>
        <w:sectPr>
          <w:pgSz w:w="11900" w:h="16838" w:orient="portrait"/>
          <w:cols w:equalWidth="0" w:num="1">
            <w:col w:w="11240"/>
          </w:cols>
          <w:pgMar w:left="320" w:top="1440" w:right="339" w:bottom="1440" w:gutter="0" w:footer="0" w:header="0"/>
        </w:sectPr>
      </w:pPr>
    </w:p>
    <w:p>
      <w:pPr>
        <w:spacing w:after="0" w:line="218" w:lineRule="exact"/>
        <w:rPr>
          <w:sz w:val="20"/>
          <w:szCs w:val="20"/>
          <w:color w:val="auto"/>
        </w:rPr>
      </w:pPr>
    </w:p>
    <w:p>
      <w:pPr>
        <w:ind w:left="20"/>
        <w:spacing w:after="0" w:line="235" w:lineRule="auto"/>
        <w:rPr>
          <w:sz w:val="20"/>
          <w:szCs w:val="20"/>
          <w:color w:val="auto"/>
        </w:rPr>
      </w:pPr>
      <w:r>
        <w:rPr>
          <w:rFonts w:ascii="Calibri" w:cs="Calibri" w:eastAsia="Calibri" w:hAnsi="Calibri"/>
          <w:sz w:val="18"/>
          <w:szCs w:val="18"/>
          <w:color w:val="auto"/>
        </w:rPr>
        <w:t>The Company’s weighted average interest rate on debt outstanding was 7.0% and 7.7% for the three months ended December 31, 2024 and September 30, 2024, respectvely. At December 31, 2024, the Company’s debt to equity rato was 1.22x, compared to 1.19x at September 30, 2024. Average debt to equity was 1.23x and 1.14x during the three months ended December 31, 2024 and September 30, 2024, respectvely.</w:t>
      </w:r>
    </w:p>
    <w:p>
      <w:pPr>
        <w:spacing w:after="0" w:line="120" w:lineRule="exact"/>
        <w:rPr>
          <w:sz w:val="20"/>
          <w:szCs w:val="20"/>
          <w:color w:val="auto"/>
        </w:rPr>
      </w:pPr>
    </w:p>
    <w:p>
      <w:pPr>
        <w:ind w:left="180" w:right="20" w:hanging="159"/>
        <w:spacing w:after="0" w:line="245" w:lineRule="auto"/>
        <w:tabs>
          <w:tab w:leader="none" w:pos="1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Daily average debt outstanding during the quarter divided by the average net assets during the quarter.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shd w:val="clear" w:color="auto" w:fill="0F2F50"/>
          </w:tcPr>
          <w:p>
            <w:pPr>
              <w:spacing w:after="0"/>
              <w:rPr>
                <w:sz w:val="18"/>
                <w:szCs w:val="18"/>
                <w:color w:val="auto"/>
              </w:rPr>
            </w:pPr>
          </w:p>
        </w:tc>
        <w:tc>
          <w:tcPr>
            <w:tcW w:w="2440" w:type="dxa"/>
            <w:vAlign w:val="bottom"/>
            <w:shd w:val="clear" w:color="auto" w:fill="0F2F50"/>
          </w:tcPr>
          <w:p>
            <w:pPr>
              <w:ind w:left="800"/>
              <w:spacing w:after="0"/>
              <w:rPr>
                <w:sz w:val="20"/>
                <w:szCs w:val="20"/>
                <w:color w:val="auto"/>
              </w:rPr>
            </w:pPr>
            <w:r>
              <w:rPr>
                <w:rFonts w:ascii="Calibri" w:cs="Calibri" w:eastAsia="Calibri" w:hAnsi="Calibri"/>
                <w:sz w:val="15"/>
                <w:szCs w:val="15"/>
                <w:b w:val="1"/>
                <w:bCs w:val="1"/>
                <w:color w:val="FFFFFF"/>
              </w:rPr>
              <w:t>Debt-to-Equity Rato</w:t>
            </w:r>
          </w:p>
        </w:tc>
        <w:tc>
          <w:tcPr>
            <w:tcW w:w="700" w:type="dxa"/>
            <w:vAlign w:val="bottom"/>
            <w:shd w:val="clear" w:color="auto" w:fill="0F2F50"/>
          </w:tcPr>
          <w:p>
            <w:pPr>
              <w:spacing w:after="0"/>
              <w:rPr>
                <w:sz w:val="18"/>
                <w:szCs w:val="18"/>
                <w:color w:val="auto"/>
              </w:rPr>
            </w:pPr>
          </w:p>
        </w:tc>
      </w:tr>
      <w:tr>
        <w:trPr>
          <w:trHeight w:val="183"/>
        </w:trPr>
        <w:tc>
          <w:tcPr>
            <w:tcW w:w="220" w:type="dxa"/>
            <w:vAlign w:val="bottom"/>
          </w:tcPr>
          <w:p>
            <w:pPr>
              <w:ind w:left="20"/>
              <w:spacing w:after="0"/>
              <w:rPr>
                <w:sz w:val="20"/>
                <w:szCs w:val="20"/>
                <w:color w:val="auto"/>
              </w:rPr>
            </w:pPr>
            <w:r>
              <w:rPr>
                <w:rFonts w:ascii="Calibri" w:cs="Calibri" w:eastAsia="Calibri" w:hAnsi="Calibri"/>
                <w:sz w:val="15"/>
                <w:szCs w:val="15"/>
                <w:b w:val="1"/>
                <w:bCs w:val="1"/>
                <w:color w:val="auto"/>
              </w:rPr>
              <w:t>Q4</w:t>
            </w:r>
          </w:p>
        </w:tc>
        <w:tc>
          <w:tcPr>
            <w:tcW w:w="2440" w:type="dxa"/>
            <w:vAlign w:val="bottom"/>
          </w:tcPr>
          <w:p>
            <w:pPr>
              <w:ind w:left="20"/>
              <w:spacing w:after="0"/>
              <w:rPr>
                <w:sz w:val="20"/>
                <w:szCs w:val="20"/>
                <w:color w:val="auto"/>
              </w:rPr>
            </w:pPr>
            <w:r>
              <w:rPr>
                <w:rFonts w:ascii="Calibri" w:cs="Calibri" w:eastAsia="Calibri" w:hAnsi="Calibri"/>
                <w:sz w:val="15"/>
                <w:szCs w:val="15"/>
                <w:b w:val="1"/>
                <w:bCs w:val="1"/>
                <w:color w:val="auto"/>
              </w:rPr>
              <w:t>2024 Quarter End:</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1.22x</w:t>
            </w:r>
          </w:p>
        </w:tc>
      </w:tr>
      <w:tr>
        <w:trPr>
          <w:trHeight w:val="206"/>
        </w:trPr>
        <w:tc>
          <w:tcPr>
            <w:tcW w:w="2660" w:type="dxa"/>
            <w:vAlign w:val="bottom"/>
            <w:gridSpan w:val="2"/>
          </w:tcPr>
          <w:p>
            <w:pPr>
              <w:ind w:left="20"/>
              <w:spacing w:after="0" w:line="206" w:lineRule="exact"/>
              <w:rPr>
                <w:sz w:val="20"/>
                <w:szCs w:val="20"/>
                <w:color w:val="auto"/>
              </w:rPr>
            </w:pPr>
            <w:r>
              <w:rPr>
                <w:rFonts w:ascii="Calibri" w:cs="Calibri" w:eastAsia="Calibri" w:hAnsi="Calibri"/>
                <w:sz w:val="15"/>
                <w:szCs w:val="15"/>
                <w:b w:val="1"/>
                <w:bCs w:val="1"/>
                <w:color w:val="auto"/>
              </w:rPr>
              <w:t>2024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1.19x</w:t>
            </w:r>
          </w:p>
        </w:tc>
      </w:tr>
      <w:tr>
        <w:trPr>
          <w:trHeight w:val="236"/>
        </w:trPr>
        <w:tc>
          <w:tcPr>
            <w:tcW w:w="220" w:type="dxa"/>
            <w:vAlign w:val="bottom"/>
          </w:tcPr>
          <w:p>
            <w:pPr>
              <w:ind w:left="20"/>
              <w:spacing w:after="0"/>
              <w:rPr>
                <w:sz w:val="20"/>
                <w:szCs w:val="20"/>
                <w:color w:val="auto"/>
              </w:rPr>
            </w:pPr>
            <w:r>
              <w:rPr>
                <w:rFonts w:ascii="Calibri" w:cs="Calibri" w:eastAsia="Calibri" w:hAnsi="Calibri"/>
                <w:sz w:val="15"/>
                <w:szCs w:val="15"/>
                <w:b w:val="1"/>
                <w:bCs w:val="1"/>
                <w:color w:val="auto"/>
              </w:rPr>
              <w:t>Q4</w:t>
            </w:r>
          </w:p>
        </w:tc>
        <w:tc>
          <w:tcPr>
            <w:tcW w:w="2440" w:type="dxa"/>
            <w:vAlign w:val="bottom"/>
          </w:tcPr>
          <w:p>
            <w:pPr>
              <w:ind w:left="20"/>
              <w:spacing w:after="0" w:line="236" w:lineRule="exact"/>
              <w:rPr>
                <w:sz w:val="20"/>
                <w:szCs w:val="20"/>
                <w:color w:val="auto"/>
              </w:rPr>
            </w:pPr>
            <w:r>
              <w:rPr>
                <w:rFonts w:ascii="Calibri" w:cs="Calibri" w:eastAsia="Calibri" w:hAnsi="Calibri"/>
                <w:sz w:val="15"/>
                <w:szCs w:val="15"/>
                <w:b w:val="1"/>
                <w:bCs w:val="1"/>
                <w:color w:val="auto"/>
              </w:rPr>
              <w:t>2024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1.23x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500" w:space="380"/>
            <w:col w:w="3360"/>
          </w:cols>
          <w:pgMar w:left="320" w:top="1440" w:right="339" w:bottom="1440" w:gutter="0" w:footer="0" w:header="0"/>
          <w:type w:val="continuous"/>
        </w:sectPr>
      </w:pPr>
    </w:p>
    <w:bookmarkStart w:id="6" w:name="page7"/>
    <w:bookmarkEnd w:id="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LIQUIDITY AND FUNDING PROFILE</w:t>
      </w:r>
    </w:p>
    <w:p>
      <w:pPr>
        <w:spacing w:after="0" w:line="13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Liquidity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summarize the Company’s liquidity at December 31, 2024 and changes to unfunded commitments since September 30,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Calibri" w:cs="Calibri" w:eastAsia="Calibri" w:hAnsi="Calibri"/>
                <w:sz w:val="14"/>
                <w:szCs w:val="14"/>
                <w:color w:val="auto"/>
              </w:rPr>
              <w:t>$ Millions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0"/>
        </w:trPr>
        <w:tc>
          <w:tcPr>
            <w:tcW w:w="4400" w:type="dxa"/>
            <w:vAlign w:val="bottom"/>
            <w:shd w:val="clear" w:color="auto" w:fill="0F2F50"/>
          </w:tcPr>
          <w:p>
            <w:pPr>
              <w:ind w:left="1880"/>
              <w:spacing w:after="0" w:line="270" w:lineRule="exact"/>
              <w:rPr>
                <w:sz w:val="20"/>
                <w:szCs w:val="20"/>
                <w:color w:val="auto"/>
              </w:rPr>
            </w:pPr>
            <w:r>
              <w:rPr>
                <w:rFonts w:ascii="Calibri" w:cs="Calibri" w:eastAsia="Calibri" w:hAnsi="Calibri"/>
                <w:sz w:val="18"/>
                <w:szCs w:val="18"/>
                <w:b w:val="1"/>
                <w:bCs w:val="1"/>
                <w:color w:val="FFFFFF"/>
              </w:rPr>
              <w:t>Revolving Credit Facility</w:t>
            </w:r>
            <w:r>
              <w:rPr>
                <w:rFonts w:ascii="Calibri" w:cs="Calibri" w:eastAsia="Calibri" w:hAnsi="Calibri"/>
                <w:sz w:val="24"/>
                <w:szCs w:val="24"/>
                <w:b w:val="1"/>
                <w:bCs w:val="1"/>
                <w:color w:val="FFFFFF"/>
                <w:vertAlign w:val="superscript"/>
              </w:rPr>
              <w:t>1</w:t>
            </w:r>
          </w:p>
        </w:tc>
        <w:tc>
          <w:tcPr>
            <w:tcW w:w="1160" w:type="dxa"/>
            <w:vAlign w:val="bottom"/>
            <w:shd w:val="clear" w:color="auto" w:fill="0F2F50"/>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shd w:val="clear" w:color="auto" w:fill="0F2F50"/>
          </w:tcPr>
          <w:p>
            <w:pPr>
              <w:ind w:left="1560"/>
              <w:spacing w:after="0"/>
              <w:rPr>
                <w:sz w:val="20"/>
                <w:szCs w:val="20"/>
                <w:color w:val="auto"/>
              </w:rPr>
            </w:pPr>
            <w:r>
              <w:rPr>
                <w:rFonts w:ascii="Calibri" w:cs="Calibri" w:eastAsia="Calibri" w:hAnsi="Calibri"/>
                <w:sz w:val="18"/>
                <w:szCs w:val="18"/>
                <w:b w:val="1"/>
                <w:bCs w:val="1"/>
                <w:color w:val="FFFFFF"/>
              </w:rPr>
              <w:t>Unfunded Commitment Actvity</w:t>
            </w:r>
          </w:p>
        </w:tc>
        <w:tc>
          <w:tcPr>
            <w:tcW w:w="940" w:type="dxa"/>
            <w:vAlign w:val="bottom"/>
            <w:shd w:val="clear" w:color="auto" w:fill="0F2F50"/>
          </w:tcPr>
          <w:p>
            <w:pPr>
              <w:spacing w:after="0"/>
              <w:rPr>
                <w:sz w:val="23"/>
                <w:szCs w:val="23"/>
                <w:color w:val="auto"/>
              </w:rPr>
            </w:pPr>
          </w:p>
        </w:tc>
      </w:tr>
      <w:tr>
        <w:trPr>
          <w:trHeight w:val="193"/>
        </w:trPr>
        <w:tc>
          <w:tcPr>
            <w:tcW w:w="44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Revolver Capacity</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$1,675</w:t>
            </w:r>
          </w:p>
        </w:tc>
        <w:tc>
          <w:tcPr>
            <w:tcW w:w="240" w:type="dxa"/>
            <w:vAlign w:val="bottom"/>
          </w:tcPr>
          <w:p>
            <w:pPr>
              <w:spacing w:after="0"/>
              <w:rPr>
                <w:sz w:val="16"/>
                <w:szCs w:val="16"/>
                <w:color w:val="auto"/>
              </w:rPr>
            </w:pPr>
          </w:p>
        </w:tc>
        <w:tc>
          <w:tcPr>
            <w:tcW w:w="45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Unfunded Commitments (See Note 8 in 9/30/24 10-Q)</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$351</w:t>
            </w: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01"/>
        </w:trPr>
        <w:tc>
          <w:tcPr>
            <w:tcW w:w="4360" w:type="dxa"/>
            <w:vAlign w:val="bottom"/>
            <w:tcBorders>
              <w:top w:val="single" w:sz="8" w:color="ECEEF0"/>
              <w:bottom w:val="single" w:sz="8" w:color="ECEEF0"/>
            </w:tcBorders>
          </w:tcPr>
          <w:p>
            <w:pPr>
              <w:ind w:left="20"/>
              <w:spacing w:after="0"/>
              <w:rPr>
                <w:sz w:val="20"/>
                <w:szCs w:val="20"/>
                <w:color w:val="auto"/>
              </w:rPr>
            </w:pPr>
            <w:r>
              <w:rPr>
                <w:rFonts w:ascii="Calibri" w:cs="Calibri" w:eastAsia="Calibri" w:hAnsi="Calibri"/>
                <w:sz w:val="16"/>
                <w:szCs w:val="16"/>
                <w:color w:val="auto"/>
              </w:rPr>
              <w:t>Drawn on Revolver</w:t>
            </w:r>
          </w:p>
        </w:tc>
        <w:tc>
          <w:tcPr>
            <w:tcW w:w="1200" w:type="dxa"/>
            <w:vAlign w:val="bottom"/>
            <w:tcBorders>
              <w:top w:val="single" w:sz="8" w:color="ECEEF0"/>
              <w:bottom w:val="single" w:sz="8" w:color="ECEEF0"/>
            </w:tcBorders>
          </w:tcPr>
          <w:p>
            <w:pPr>
              <w:jc w:val="right"/>
              <w:spacing w:after="0"/>
              <w:rPr>
                <w:sz w:val="20"/>
                <w:szCs w:val="20"/>
                <w:color w:val="auto"/>
              </w:rPr>
            </w:pPr>
            <w:r>
              <w:rPr>
                <w:rFonts w:ascii="Calibri" w:cs="Calibri" w:eastAsia="Calibri" w:hAnsi="Calibri"/>
                <w:sz w:val="16"/>
                <w:szCs w:val="16"/>
                <w:color w:val="auto"/>
              </w:rPr>
              <w:t>($1,004)</w:t>
            </w:r>
          </w:p>
        </w:tc>
      </w:tr>
      <w:tr>
        <w:trPr>
          <w:trHeight w:val="196"/>
        </w:trPr>
        <w:tc>
          <w:tcPr>
            <w:tcW w:w="4360" w:type="dxa"/>
            <w:vAlign w:val="bottom"/>
            <w:tcBorders>
              <w:bottom w:val="single" w:sz="8" w:color="ECEEF0"/>
            </w:tcBorders>
          </w:tcPr>
          <w:p>
            <w:pPr>
              <w:ind w:left="20"/>
              <w:spacing w:after="0" w:line="193" w:lineRule="exact"/>
              <w:rPr>
                <w:sz w:val="20"/>
                <w:szCs w:val="20"/>
                <w:color w:val="auto"/>
              </w:rPr>
            </w:pPr>
            <w:r>
              <w:rPr>
                <w:rFonts w:ascii="Calibri" w:cs="Calibri" w:eastAsia="Calibri" w:hAnsi="Calibri"/>
                <w:sz w:val="16"/>
                <w:szCs w:val="16"/>
                <w:color w:val="auto"/>
              </w:rPr>
              <w:t>Unrestricted Cash Balance</w:t>
            </w:r>
          </w:p>
        </w:tc>
        <w:tc>
          <w:tcPr>
            <w:tcW w:w="120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$5</w:t>
            </w:r>
          </w:p>
        </w:tc>
      </w:tr>
      <w:tr>
        <w:trPr>
          <w:trHeight w:val="196"/>
        </w:trPr>
        <w:tc>
          <w:tcPr>
            <w:tcW w:w="4360" w:type="dxa"/>
            <w:vAlign w:val="bottom"/>
            <w:tcBorders>
              <w:bottom w:val="single" w:sz="8" w:color="ECEEF0"/>
            </w:tcBorders>
          </w:tcPr>
          <w:p>
            <w:pPr>
              <w:ind w:left="20"/>
              <w:spacing w:after="0" w:line="193" w:lineRule="exact"/>
              <w:rPr>
                <w:sz w:val="20"/>
                <w:szCs w:val="20"/>
                <w:color w:val="auto"/>
              </w:rPr>
            </w:pPr>
            <w:r>
              <w:rPr>
                <w:rFonts w:ascii="Calibri" w:cs="Calibri" w:eastAsia="Calibri" w:hAnsi="Calibri"/>
                <w:sz w:val="16"/>
                <w:szCs w:val="16"/>
                <w:color w:val="auto"/>
              </w:rPr>
              <w:t>Issued Leters of Credit</w:t>
            </w:r>
          </w:p>
        </w:tc>
        <w:tc>
          <w:tcPr>
            <w:tcW w:w="120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($22)</w:t>
            </w:r>
          </w:p>
        </w:tc>
      </w:tr>
      <w:tr>
        <w:trPr>
          <w:trHeight w:val="167"/>
        </w:trPr>
        <w:tc>
          <w:tcPr>
            <w:tcW w:w="4360" w:type="dxa"/>
            <w:vAlign w:val="bottom"/>
          </w:tcPr>
          <w:p>
            <w:pPr>
              <w:ind w:left="20"/>
              <w:spacing w:after="0" w:line="167" w:lineRule="exact"/>
              <w:rPr>
                <w:sz w:val="20"/>
                <w:szCs w:val="20"/>
                <w:color w:val="auto"/>
              </w:rPr>
            </w:pPr>
            <w:r>
              <w:rPr>
                <w:rFonts w:ascii="Calibri" w:cs="Calibri" w:eastAsia="Calibri" w:hAnsi="Calibri"/>
                <w:sz w:val="16"/>
                <w:szCs w:val="16"/>
                <w:b w:val="1"/>
                <w:bCs w:val="1"/>
                <w:color w:val="auto"/>
              </w:rPr>
              <w:t>Total Liquidity (Pre-Unfunded Commitments)</w:t>
            </w:r>
          </w:p>
        </w:tc>
        <w:tc>
          <w:tcPr>
            <w:tcW w:w="1200" w:type="dxa"/>
            <w:vAlign w:val="bottom"/>
          </w:tcPr>
          <w:p>
            <w:pPr>
              <w:jc w:val="right"/>
              <w:spacing w:after="0" w:line="167" w:lineRule="exact"/>
              <w:rPr>
                <w:sz w:val="20"/>
                <w:szCs w:val="20"/>
                <w:color w:val="auto"/>
              </w:rPr>
            </w:pPr>
            <w:r>
              <w:rPr>
                <w:rFonts w:ascii="Calibri" w:cs="Calibri" w:eastAsia="Calibri" w:hAnsi="Calibri"/>
                <w:sz w:val="16"/>
                <w:szCs w:val="16"/>
                <w:b w:val="1"/>
                <w:bCs w:val="1"/>
                <w:color w:val="auto"/>
              </w:rPr>
              <w:t>$654</w:t>
            </w:r>
          </w:p>
        </w:tc>
      </w:tr>
      <w:tr>
        <w:trPr>
          <w:trHeight w:val="250"/>
        </w:trPr>
        <w:tc>
          <w:tcPr>
            <w:tcW w:w="4360" w:type="dxa"/>
            <w:vAlign w:val="bottom"/>
            <w:tcBorders>
              <w:bottom w:val="single" w:sz="8" w:color="ECEEF0"/>
            </w:tcBorders>
          </w:tcPr>
          <w:p>
            <w:pPr>
              <w:ind w:left="20"/>
              <w:spacing w:after="0" w:line="249" w:lineRule="exact"/>
              <w:rPr>
                <w:sz w:val="20"/>
                <w:szCs w:val="20"/>
                <w:color w:val="auto"/>
              </w:rPr>
            </w:pPr>
            <w:r>
              <w:rPr>
                <w:rFonts w:ascii="Calibri" w:cs="Calibri" w:eastAsia="Calibri" w:hAnsi="Calibri"/>
                <w:sz w:val="16"/>
                <w:szCs w:val="16"/>
                <w:color w:val="auto"/>
              </w:rPr>
              <w:t>Available Unfunded Commitments</w:t>
            </w:r>
            <w:r>
              <w:rPr>
                <w:rFonts w:ascii="Calibri" w:cs="Calibri" w:eastAsia="Calibri" w:hAnsi="Calibri"/>
                <w:sz w:val="21"/>
                <w:szCs w:val="21"/>
                <w:color w:val="auto"/>
                <w:vertAlign w:val="superscript"/>
              </w:rPr>
              <w:t>2</w:t>
            </w:r>
          </w:p>
        </w:tc>
        <w:tc>
          <w:tcPr>
            <w:tcW w:w="1200" w:type="dxa"/>
            <w:vAlign w:val="bottom"/>
            <w:tcBorders>
              <w:bottom w:val="single" w:sz="8" w:color="ECEEF0"/>
            </w:tcBorders>
          </w:tcPr>
          <w:p>
            <w:pPr>
              <w:jc w:val="right"/>
              <w:spacing w:after="0"/>
              <w:rPr>
                <w:sz w:val="20"/>
                <w:szCs w:val="20"/>
                <w:color w:val="auto"/>
              </w:rPr>
            </w:pPr>
            <w:r>
              <w:rPr>
                <w:rFonts w:ascii="Calibri" w:cs="Calibri" w:eastAsia="Calibri" w:hAnsi="Calibri"/>
                <w:sz w:val="16"/>
                <w:szCs w:val="16"/>
                <w:color w:val="auto"/>
              </w:rPr>
              <w:t>($205)</w:t>
            </w:r>
          </w:p>
        </w:tc>
      </w:tr>
      <w:tr>
        <w:trPr>
          <w:trHeight w:val="192"/>
        </w:trPr>
        <w:tc>
          <w:tcPr>
            <w:tcW w:w="4360" w:type="dxa"/>
            <w:vAlign w:val="bottom"/>
            <w:tcBorders>
              <w:bottom w:val="single" w:sz="8" w:color="ECEEF0"/>
            </w:tcBorders>
          </w:tcPr>
          <w:p>
            <w:pPr>
              <w:ind w:left="20"/>
              <w:spacing w:after="0" w:line="192" w:lineRule="exact"/>
              <w:rPr>
                <w:sz w:val="20"/>
                <w:szCs w:val="20"/>
                <w:color w:val="auto"/>
              </w:rPr>
            </w:pPr>
            <w:r>
              <w:rPr>
                <w:rFonts w:ascii="Calibri" w:cs="Calibri" w:eastAsia="Calibri" w:hAnsi="Calibri"/>
                <w:sz w:val="16"/>
                <w:szCs w:val="16"/>
                <w:b w:val="1"/>
                <w:bCs w:val="1"/>
                <w:color w:val="auto"/>
              </w:rPr>
              <w:t>Total Liquidity (Burdened for Unfunded Commitments)</w:t>
            </w:r>
          </w:p>
        </w:tc>
        <w:tc>
          <w:tcPr>
            <w:tcW w:w="1200" w:type="dxa"/>
            <w:vAlign w:val="bottom"/>
            <w:tcBorders>
              <w:bottom w:val="single" w:sz="8" w:color="ECEEF0"/>
            </w:tcBorders>
          </w:tcPr>
          <w:p>
            <w:pPr>
              <w:jc w:val="right"/>
              <w:spacing w:after="0" w:line="192" w:lineRule="exact"/>
              <w:rPr>
                <w:sz w:val="20"/>
                <w:szCs w:val="20"/>
                <w:color w:val="auto"/>
              </w:rPr>
            </w:pPr>
            <w:r>
              <w:rPr>
                <w:rFonts w:ascii="Calibri" w:cs="Calibri" w:eastAsia="Calibri" w:hAnsi="Calibri"/>
                <w:sz w:val="16"/>
                <w:szCs w:val="16"/>
                <w:b w:val="1"/>
                <w:bCs w:val="1"/>
                <w:color w:val="auto"/>
              </w:rPr>
              <w:t>$449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3531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3920" w:type="dxa"/>
            <w:vAlign w:val="bottom"/>
            <w:tcBorders>
              <w:top w:val="single" w:sz="8" w:color="ECEEF0"/>
              <w:bottom w:val="single" w:sz="8" w:color="ECEEF0"/>
            </w:tcBorders>
          </w:tcPr>
          <w:p>
            <w:pPr>
              <w:ind w:left="20"/>
              <w:spacing w:after="0"/>
              <w:rPr>
                <w:sz w:val="20"/>
                <w:szCs w:val="20"/>
                <w:color w:val="auto"/>
              </w:rPr>
            </w:pPr>
            <w:r>
              <w:rPr>
                <w:rFonts w:ascii="Calibri" w:cs="Calibri" w:eastAsia="Calibri" w:hAnsi="Calibri"/>
                <w:sz w:val="16"/>
                <w:szCs w:val="16"/>
                <w:color w:val="auto"/>
              </w:rPr>
              <w:t>Extnguished Unfunded Commitments</w:t>
            </w:r>
          </w:p>
        </w:tc>
        <w:tc>
          <w:tcPr>
            <w:tcW w:w="1520" w:type="dxa"/>
            <w:vAlign w:val="bottom"/>
            <w:tcBorders>
              <w:top w:val="single" w:sz="8" w:color="ECEEF0"/>
              <w:bottom w:val="single" w:sz="8" w:color="ECEEF0"/>
            </w:tcBorders>
          </w:tcPr>
          <w:p>
            <w:pPr>
              <w:jc w:val="right"/>
              <w:spacing w:after="0"/>
              <w:rPr>
                <w:sz w:val="20"/>
                <w:szCs w:val="20"/>
                <w:color w:val="auto"/>
              </w:rPr>
            </w:pPr>
            <w:r>
              <w:rPr>
                <w:rFonts w:ascii="Calibri" w:cs="Calibri" w:eastAsia="Calibri" w:hAnsi="Calibri"/>
                <w:sz w:val="16"/>
                <w:szCs w:val="16"/>
                <w:color w:val="auto"/>
              </w:rPr>
              <w:t>($15)</w:t>
            </w:r>
          </w:p>
        </w:tc>
      </w:tr>
      <w:tr>
        <w:trPr>
          <w:trHeight w:val="196"/>
        </w:trPr>
        <w:tc>
          <w:tcPr>
            <w:tcW w:w="3920" w:type="dxa"/>
            <w:vAlign w:val="bottom"/>
            <w:tcBorders>
              <w:bottom w:val="single" w:sz="8" w:color="ECEEF0"/>
            </w:tcBorders>
          </w:tcPr>
          <w:p>
            <w:pPr>
              <w:ind w:left="20"/>
              <w:spacing w:after="0" w:line="193" w:lineRule="exact"/>
              <w:rPr>
                <w:sz w:val="20"/>
                <w:szCs w:val="20"/>
                <w:color w:val="auto"/>
              </w:rPr>
            </w:pPr>
            <w:r>
              <w:rPr>
                <w:rFonts w:ascii="Calibri" w:cs="Calibri" w:eastAsia="Calibri" w:hAnsi="Calibri"/>
                <w:sz w:val="16"/>
                <w:szCs w:val="16"/>
                <w:color w:val="auto"/>
              </w:rPr>
              <w:t>New Unfunded Commitments</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$111</w:t>
            </w:r>
          </w:p>
        </w:tc>
      </w:tr>
      <w:tr>
        <w:trPr>
          <w:trHeight w:val="196"/>
        </w:trPr>
        <w:tc>
          <w:tcPr>
            <w:tcW w:w="3920" w:type="dxa"/>
            <w:vAlign w:val="bottom"/>
            <w:tcBorders>
              <w:bottom w:val="single" w:sz="8" w:color="ECEEF0"/>
            </w:tcBorders>
          </w:tcPr>
          <w:p>
            <w:pPr>
              <w:ind w:left="20"/>
              <w:spacing w:after="0" w:line="193" w:lineRule="exact"/>
              <w:rPr>
                <w:sz w:val="20"/>
                <w:szCs w:val="20"/>
                <w:color w:val="auto"/>
              </w:rPr>
            </w:pPr>
            <w:r>
              <w:rPr>
                <w:rFonts w:ascii="Calibri" w:cs="Calibri" w:eastAsia="Calibri" w:hAnsi="Calibri"/>
                <w:sz w:val="16"/>
                <w:szCs w:val="16"/>
                <w:color w:val="auto"/>
              </w:rPr>
              <w:t>Net Drawdown of Unfunded Commitments</w:t>
            </w:r>
          </w:p>
        </w:tc>
        <w:tc>
          <w:tcPr>
            <w:tcW w:w="152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($81)</w:t>
            </w:r>
          </w:p>
        </w:tc>
      </w:tr>
      <w:tr>
        <w:trPr>
          <w:trHeight w:val="167"/>
        </w:trPr>
        <w:tc>
          <w:tcPr>
            <w:tcW w:w="3920" w:type="dxa"/>
            <w:vAlign w:val="bottom"/>
          </w:tcPr>
          <w:p>
            <w:pPr>
              <w:ind w:left="20"/>
              <w:spacing w:after="0" w:line="167" w:lineRule="exact"/>
              <w:rPr>
                <w:sz w:val="20"/>
                <w:szCs w:val="20"/>
                <w:color w:val="auto"/>
              </w:rPr>
            </w:pPr>
            <w:r>
              <w:rPr>
                <w:rFonts w:ascii="Calibri" w:cs="Calibri" w:eastAsia="Calibri" w:hAnsi="Calibri"/>
                <w:sz w:val="16"/>
                <w:szCs w:val="16"/>
                <w:b w:val="1"/>
                <w:bCs w:val="1"/>
                <w:color w:val="auto"/>
              </w:rPr>
              <w:t>Total Unfunded Commitments</w:t>
            </w:r>
          </w:p>
        </w:tc>
        <w:tc>
          <w:tcPr>
            <w:tcW w:w="1520" w:type="dxa"/>
            <w:vAlign w:val="bottom"/>
          </w:tcPr>
          <w:p>
            <w:pPr>
              <w:jc w:val="right"/>
              <w:spacing w:after="0" w:line="167" w:lineRule="exact"/>
              <w:rPr>
                <w:sz w:val="20"/>
                <w:szCs w:val="20"/>
                <w:color w:val="auto"/>
              </w:rPr>
            </w:pPr>
            <w:r>
              <w:rPr>
                <w:rFonts w:ascii="Calibri" w:cs="Calibri" w:eastAsia="Calibri" w:hAnsi="Calibri"/>
                <w:sz w:val="16"/>
                <w:szCs w:val="16"/>
                <w:b w:val="1"/>
                <w:bCs w:val="1"/>
                <w:color w:val="auto"/>
              </w:rPr>
              <w:t>$367</w:t>
            </w:r>
          </w:p>
        </w:tc>
      </w:tr>
      <w:tr>
        <w:trPr>
          <w:trHeight w:val="216"/>
        </w:trPr>
        <w:tc>
          <w:tcPr>
            <w:tcW w:w="3920" w:type="dxa"/>
            <w:vAlign w:val="bottom"/>
          </w:tcPr>
          <w:p>
            <w:pPr>
              <w:ind w:left="20"/>
              <w:spacing w:after="0" w:line="216" w:lineRule="exact"/>
              <w:rPr>
                <w:sz w:val="20"/>
                <w:szCs w:val="20"/>
                <w:color w:val="auto"/>
              </w:rPr>
            </w:pPr>
            <w:r>
              <w:rPr>
                <w:rFonts w:ascii="Calibri" w:cs="Calibri" w:eastAsia="Calibri" w:hAnsi="Calibri"/>
                <w:sz w:val="16"/>
                <w:szCs w:val="16"/>
                <w:color w:val="auto"/>
              </w:rPr>
              <w:t>Unavailable Unfunded Commitments</w:t>
            </w:r>
            <w:r>
              <w:rPr>
                <w:rFonts w:ascii="Calibri" w:cs="Calibri" w:eastAsia="Calibri" w:hAnsi="Calibri"/>
                <w:sz w:val="21"/>
                <w:szCs w:val="21"/>
                <w:color w:val="auto"/>
                <w:vertAlign w:val="superscript"/>
              </w:rPr>
              <w:t>2</w:t>
            </w:r>
          </w:p>
        </w:tc>
        <w:tc>
          <w:tcPr>
            <w:tcW w:w="1520" w:type="dxa"/>
            <w:vAlign w:val="bottom"/>
          </w:tcPr>
          <w:p>
            <w:pPr>
              <w:jc w:val="right"/>
              <w:spacing w:after="0"/>
              <w:rPr>
                <w:sz w:val="20"/>
                <w:szCs w:val="20"/>
                <w:color w:val="auto"/>
              </w:rPr>
            </w:pPr>
            <w:r>
              <w:rPr>
                <w:rFonts w:ascii="Calibri" w:cs="Calibri" w:eastAsia="Calibri" w:hAnsi="Calibri"/>
                <w:sz w:val="16"/>
                <w:szCs w:val="16"/>
                <w:color w:val="auto"/>
              </w:rPr>
              <w:t>($161)</w:t>
            </w:r>
          </w:p>
        </w:tc>
      </w:tr>
      <w:tr>
        <w:trPr>
          <w:trHeight w:val="250"/>
        </w:trPr>
        <w:tc>
          <w:tcPr>
            <w:tcW w:w="3920" w:type="dxa"/>
            <w:vAlign w:val="bottom"/>
            <w:tcBorders>
              <w:bottom w:val="single" w:sz="8" w:color="ECEEF0"/>
            </w:tcBorders>
          </w:tcPr>
          <w:p>
            <w:pPr>
              <w:ind w:left="20"/>
              <w:spacing w:after="0" w:line="249" w:lineRule="exact"/>
              <w:rPr>
                <w:sz w:val="20"/>
                <w:szCs w:val="20"/>
                <w:color w:val="auto"/>
              </w:rPr>
            </w:pPr>
            <w:r>
              <w:rPr>
                <w:rFonts w:ascii="Calibri" w:cs="Calibri" w:eastAsia="Calibri" w:hAnsi="Calibri"/>
                <w:sz w:val="16"/>
                <w:szCs w:val="16"/>
                <w:b w:val="1"/>
                <w:bCs w:val="1"/>
                <w:color w:val="auto"/>
              </w:rPr>
              <w:t>Available Unfunded Commitments</w:t>
            </w:r>
            <w:r>
              <w:rPr>
                <w:rFonts w:ascii="Calibri" w:cs="Calibri" w:eastAsia="Calibri" w:hAnsi="Calibri"/>
                <w:sz w:val="21"/>
                <w:szCs w:val="21"/>
                <w:color w:val="auto"/>
                <w:vertAlign w:val="superscript"/>
              </w:rPr>
              <w:t>2</w:t>
            </w:r>
          </w:p>
        </w:tc>
        <w:tc>
          <w:tcPr>
            <w:tcW w:w="1520" w:type="dxa"/>
            <w:vAlign w:val="bottom"/>
            <w:tcBorders>
              <w:bottom w:val="single" w:sz="8" w:color="ECEEF0"/>
            </w:tcBorders>
          </w:tcPr>
          <w:p>
            <w:pPr>
              <w:jc w:val="right"/>
              <w:spacing w:after="0"/>
              <w:rPr>
                <w:sz w:val="20"/>
                <w:szCs w:val="20"/>
                <w:color w:val="auto"/>
              </w:rPr>
            </w:pPr>
            <w:r>
              <w:rPr>
                <w:rFonts w:ascii="Calibri" w:cs="Calibri" w:eastAsia="Calibri" w:hAnsi="Calibri"/>
                <w:sz w:val="16"/>
                <w:szCs w:val="16"/>
                <w:b w:val="1"/>
                <w:bCs w:val="1"/>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345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-145415</wp:posOffset>
            </wp:positionV>
            <wp:extent cx="3454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right="20" w:hanging="372"/>
        <w:spacing w:after="0" w:line="224" w:lineRule="auto"/>
        <w:tabs>
          <w:tab w:leader="none" w:pos="38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Adjusted for 16th amendment and extension antcipated to close during February 2025. As part of the transacton, $25 million of non-extending commitments with a maturity of February 4, 2026 and a revolving period ending February 4, 2025 were terminated. Includes $150 million of non-extending commitments with a maturity of April 23, 2027 and a revolving period ending April 24, 2026.</w:t>
      </w:r>
    </w:p>
    <w:p>
      <w:pPr>
        <w:ind w:left="380" w:right="20" w:hanging="372"/>
        <w:spacing w:after="0" w:line="224" w:lineRule="auto"/>
        <w:tabs>
          <w:tab w:leader="none" w:pos="38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line="225" w:lineRule="auto"/>
        <w:rPr>
          <w:sz w:val="20"/>
          <w:szCs w:val="20"/>
          <w:color w:val="auto"/>
        </w:rPr>
      </w:pPr>
      <w:r>
        <w:rPr>
          <w:rFonts w:ascii="Calibri" w:cs="Calibri" w:eastAsia="Calibri" w:hAnsi="Calibri"/>
          <w:sz w:val="13"/>
          <w:szCs w:val="13"/>
          <w:color w:val="auto"/>
        </w:rPr>
        <w:t>Note: May not sum due to rounding.</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Profle</w:t>
      </w:r>
    </w:p>
    <w:p>
      <w:pPr>
        <w:spacing w:after="0" w:line="109"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At December 31, 2024, the Company’s funding mix was comprised of 49% unsecured and 51% secured debt. As illustrated below, the Company’s nearest debt maturity is in August 2026 at $300 million. In February, the Company antcipates closing on its 16</w:t>
      </w:r>
      <w:r>
        <w:rPr>
          <w:rFonts w:ascii="Calibri" w:cs="Calibri" w:eastAsia="Calibri" w:hAnsi="Calibri"/>
          <w:sz w:val="24"/>
          <w:szCs w:val="24"/>
          <w:color w:val="auto"/>
          <w:vertAlign w:val="superscript"/>
        </w:rPr>
        <w:t>th</w:t>
      </w:r>
      <w:r>
        <w:rPr>
          <w:rFonts w:ascii="Calibri" w:cs="Calibri" w:eastAsia="Calibri" w:hAnsi="Calibri"/>
          <w:sz w:val="18"/>
          <w:szCs w:val="18"/>
          <w:color w:val="auto"/>
        </w:rPr>
        <w:t xml:space="preserve"> amendment and extension of its revolving credit facility. Adjusted for the transacton, the weighted average remaining life of investments funded with debt is ~2.6 years, compared to a weighted average remaining maturity on debt of ~4.3</w:t>
      </w:r>
      <w:r>
        <w:rPr>
          <w:rFonts w:ascii="Calibri" w:cs="Calibri" w:eastAsia="Calibri" w:hAnsi="Calibri"/>
          <w:sz w:val="24"/>
          <w:szCs w:val="24"/>
          <w:color w:val="auto"/>
          <w:vertAlign w:val="superscript"/>
        </w:rPr>
        <w:t>2</w:t>
      </w:r>
      <w:r>
        <w:rPr>
          <w:rFonts w:ascii="Calibri" w:cs="Calibri" w:eastAsia="Calibri" w:hAnsi="Calibri"/>
          <w:sz w:val="18"/>
          <w:szCs w:val="18"/>
          <w:color w:val="auto"/>
        </w:rPr>
        <w:t xml:space="preser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795010" cy="1680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00" w:hanging="292"/>
        <w:spacing w:after="0" w:line="224" w:lineRule="auto"/>
        <w:tabs>
          <w:tab w:leader="none" w:pos="30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Adjusted for the revolving credit facility amendment and extension antcipated to close in February 2025. As part of the transacton, $25 million of non-extending commitments with a maturity of February 4, 2026 and a revolving period ending February 4, 2025 were terminated and one legacy $20 million non-extending lender was extended. Includes $150 million of remaining non-extending commitments with a maturity of April 23, 2027 and a revolving period ending April 24, 2026. The amount available may be subject to limitatons related to the borrowing base under the Revolving Credit Facility, outstanding leters of credit and asset coverage requirements.</w:t>
      </w:r>
    </w:p>
    <w:p>
      <w:pPr>
        <w:spacing w:after="0" w:line="1" w:lineRule="exact"/>
        <w:rPr>
          <w:rFonts w:ascii="Calibri" w:cs="Calibri" w:eastAsia="Calibri" w:hAnsi="Calibri"/>
          <w:sz w:val="13"/>
          <w:szCs w:val="13"/>
          <w:color w:val="auto"/>
        </w:rPr>
      </w:pPr>
    </w:p>
    <w:p>
      <w:pPr>
        <w:ind w:left="300" w:hanging="292"/>
        <w:spacing w:after="0" w:line="224" w:lineRule="auto"/>
        <w:tabs>
          <w:tab w:leader="none" w:pos="30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Weighted by gross commitment amount.</w:t>
      </w:r>
    </w:p>
    <w:p>
      <w:pPr>
        <w:spacing w:after="0" w:line="98" w:lineRule="exact"/>
        <w:rPr>
          <w:sz w:val="20"/>
          <w:szCs w:val="20"/>
          <w:color w:val="auto"/>
        </w:rPr>
      </w:pPr>
    </w:p>
    <w:p>
      <w:pPr>
        <w:spacing w:after="0"/>
        <w:rPr>
          <w:sz w:val="20"/>
          <w:szCs w:val="20"/>
          <w:color w:val="auto"/>
        </w:rPr>
      </w:pPr>
      <w:r>
        <w:rPr>
          <w:rFonts w:ascii="Calibri" w:cs="Calibri" w:eastAsia="Calibri" w:hAnsi="Calibri"/>
          <w:sz w:val="13"/>
          <w:szCs w:val="13"/>
          <w:color w:val="auto"/>
        </w:rPr>
        <w:t>Note: Numbers may not sum due to rounding.</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3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conference call to discuss the Company’s fnancial results will be held at 8:30 a.m. Eastern Time on February 14, 2025.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219" w:lineRule="exact"/>
        <w:rPr>
          <w:sz w:val="20"/>
          <w:szCs w:val="20"/>
          <w:color w:val="auto"/>
        </w:rPr>
      </w:pPr>
    </w:p>
    <w:p>
      <w:pPr>
        <w:jc w:val="both"/>
        <w:spacing w:after="0" w:line="270" w:lineRule="auto"/>
        <w:rPr>
          <w:sz w:val="20"/>
          <w:szCs w:val="20"/>
          <w:color w:val="auto"/>
        </w:rPr>
      </w:pPr>
      <w:r>
        <w:rPr>
          <w:rFonts w:ascii="Calibri" w:cs="Calibri" w:eastAsia="Calibri" w:hAnsi="Calibri"/>
          <w:sz w:val="17"/>
          <w:szCs w:val="17"/>
          <w:color w:val="auto"/>
        </w:rPr>
        <w:t>Research analysts who wish to partcipate in the conference call must frst register at htps://register.vevent.com/register/BId4da19d376e74d5e9bc3ec09781e87fc. Upon registraton, all telephone partcipants will receive a confrmaton email detailing how to join the conference call, including the dial-in number along with a unique passcode and registrant ID that can be used to access the cal</w:t>
      </w:r>
      <w:r>
        <w:rPr>
          <w:rFonts w:ascii="Arial" w:cs="Arial" w:eastAsia="Arial" w:hAnsi="Arial"/>
          <w:sz w:val="17"/>
          <w:szCs w:val="17"/>
          <w:color w:val="auto"/>
        </w:rPr>
        <w:t>l.</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Replay Informaton:</w:t>
      </w:r>
    </w:p>
    <w:p>
      <w:pPr>
        <w:spacing w:after="0" w:line="35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recorded version will be available under the same webcast link (</w:t>
      </w:r>
      <w:r>
        <w:rPr>
          <w:rFonts w:ascii="Calibri" w:cs="Calibri" w:eastAsia="Calibri" w:hAnsi="Calibri"/>
          <w:sz w:val="18"/>
          <w:szCs w:val="18"/>
          <w:color w:val="0563C1"/>
        </w:rPr>
        <w:t>htps://sixthstreetspecialtylending.gcs-web.com/events-and-presentatons</w:t>
      </w:r>
      <w:r>
        <w:rPr>
          <w:rFonts w:ascii="Calibri" w:cs="Calibri" w:eastAsia="Calibri" w:hAnsi="Calibri"/>
          <w:sz w:val="18"/>
          <w:szCs w:val="18"/>
          <w:color w:val="auto"/>
        </w:rPr>
        <w:t>) following the conclusion of the conference call.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in millions, except per share amounts)</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3"/>
                <w:szCs w:val="13"/>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c>
          <w:tcPr>
            <w:tcW w:w="15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14.4 %</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12.8 %</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Investment Income) </w:t>
            </w:r>
            <w:r>
              <w:rPr>
                <w:rFonts w:ascii="Times New Roman" w:cs="Times New Roman" w:eastAsia="Times New Roman" w:hAnsi="Times New Roman"/>
                <w:sz w:val="24"/>
                <w:szCs w:val="24"/>
                <w:color w:val="auto"/>
                <w:vertAlign w:val="superscript"/>
              </w:rPr>
              <w:t>(2)(3)</w:t>
            </w:r>
          </w:p>
        </w:tc>
        <w:tc>
          <w:tcPr>
            <w:tcW w:w="14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14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 at Fair</w:t>
            </w:r>
          </w:p>
        </w:tc>
        <w:tc>
          <w:tcPr>
            <w:tcW w:w="140" w:type="dxa"/>
            <w:vAlign w:val="bottom"/>
            <w:shd w:val="clear" w:color="auto" w:fill="CFF0FC"/>
          </w:tcPr>
          <w:p>
            <w:pPr>
              <w:spacing w:after="0"/>
              <w:rPr>
                <w:sz w:val="17"/>
                <w:szCs w:val="17"/>
                <w:color w:val="auto"/>
              </w:rPr>
            </w:pPr>
          </w:p>
        </w:tc>
        <w:tc>
          <w:tcPr>
            <w:tcW w:w="1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shd w:val="clear" w:color="auto" w:fill="CFF0FC"/>
          </w:tcPr>
          <w:p>
            <w:pPr>
              <w:spacing w:after="0"/>
              <w:rPr>
                <w:sz w:val="17"/>
                <w:szCs w:val="17"/>
                <w:color w:val="auto"/>
              </w:rPr>
            </w:pPr>
          </w:p>
        </w:tc>
        <w:tc>
          <w:tcPr>
            <w:tcW w:w="17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126"/>
        </w:trPr>
        <w:tc>
          <w:tcPr>
            <w:tcW w:w="5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shd w:val="clear" w:color="auto" w:fill="CFF0FC"/>
          </w:tcPr>
          <w:p>
            <w:pPr>
              <w:spacing w:after="0"/>
              <w:rPr>
                <w:sz w:val="10"/>
                <w:szCs w:val="10"/>
                <w:color w:val="auto"/>
              </w:rPr>
            </w:pPr>
          </w:p>
        </w:tc>
        <w:tc>
          <w:tcPr>
            <w:tcW w:w="170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7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 Producing Securities at</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140" w:type="dxa"/>
            <w:vAlign w:val="bottom"/>
          </w:tcPr>
          <w:p>
            <w:pPr>
              <w:spacing w:after="0"/>
              <w:rPr>
                <w:sz w:val="17"/>
                <w:szCs w:val="17"/>
                <w:color w:val="auto"/>
              </w:rPr>
            </w:pPr>
          </w:p>
        </w:tc>
        <w:tc>
          <w:tcPr>
            <w:tcW w:w="1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7"/>
                <w:szCs w:val="17"/>
                <w:color w:val="auto"/>
              </w:rPr>
            </w:pPr>
          </w:p>
        </w:tc>
        <w:tc>
          <w:tcPr>
            <w:tcW w:w="1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126"/>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Debt Investment Commitments at Floating Rates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97.2 %</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98.8 %</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Adjusted net asset value per share gives efect to the supplemental dividend declared related to earnings or special dividend in the applicable period.</w:t>
      </w:r>
    </w:p>
    <w:p>
      <w:pPr>
        <w:spacing w:after="0" w:line="5" w:lineRule="exact"/>
        <w:rPr>
          <w:rFonts w:ascii="Calibri" w:cs="Calibri" w:eastAsia="Calibri" w:hAnsi="Calibri"/>
          <w:sz w:val="14"/>
          <w:szCs w:val="14"/>
          <w:color w:val="auto"/>
        </w:rPr>
      </w:pPr>
    </w:p>
    <w:p>
      <w:pPr>
        <w:ind w:left="760" w:right="20" w:hanging="378"/>
        <w:spacing w:after="0" w:line="245" w:lineRule="auto"/>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spacing w:after="0" w:line="1" w:lineRule="exact"/>
        <w:rPr>
          <w:rFonts w:ascii="Calibri" w:cs="Calibri" w:eastAsia="Calibri" w:hAnsi="Calibri"/>
          <w:sz w:val="14"/>
          <w:szCs w:val="14"/>
          <w:color w:val="auto"/>
        </w:rPr>
      </w:pPr>
    </w:p>
    <w:p>
      <w:pPr>
        <w:ind w:left="760" w:hanging="378"/>
        <w:spacing w:after="0"/>
        <w:tabs>
          <w:tab w:leader="none" w:pos="76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Return on equity is calculated using prior period’s ending net asset value per share.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$3,450,644 and $3,172,853, respectively)</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3,453,317</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3,223,152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$88,509 and $78,159, respectively)</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65,095</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$3,539,153 and $3,251,012, respectively)</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3,518,412</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3,283,065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$22,362 and $23,979, respectively)</w:t>
            </w:r>
          </w:p>
        </w:tc>
        <w:tc>
          <w:tcPr>
            <w:tcW w:w="2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30,518</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5,967</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3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3,343,808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0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$23,837 and $21,930, respectively)</w:t>
            </w: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1,901,142</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1,780,307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2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12,013</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2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3,635</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39,882</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1,974,696</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1,847,433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280" w:type="dxa"/>
            <w:vAlign w:val="bottom"/>
          </w:tcPr>
          <w:p>
            <w:pPr>
              <w:spacing w:after="0"/>
              <w:rPr>
                <w:sz w:val="10"/>
                <w:szCs w:val="10"/>
                <w:color w:val="auto"/>
              </w:rPr>
            </w:pPr>
          </w:p>
        </w:tc>
        <w:tc>
          <w:tcPr>
            <w:tcW w:w="1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28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94,325,686</w:t>
            </w:r>
          </w:p>
        </w:tc>
        <w:tc>
          <w:tcPr>
            <w:tcW w:w="28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88,493,749 shares issued, respectively; and 93,661,436 and 87,829,499</w:t>
            </w:r>
          </w:p>
        </w:tc>
        <w:tc>
          <w:tcPr>
            <w:tcW w:w="28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280" w:type="dxa"/>
            <w:vAlign w:val="bottom"/>
            <w:shd w:val="clear" w:color="auto" w:fill="CFF0FC"/>
          </w:tcPr>
          <w:p>
            <w:pPr>
              <w:spacing w:after="0"/>
              <w:rPr>
                <w:sz w:val="14"/>
                <w:szCs w:val="14"/>
                <w:color w:val="auto"/>
              </w:rPr>
            </w:pPr>
          </w:p>
        </w:tc>
        <w:tc>
          <w:tcPr>
            <w:tcW w:w="150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1,519,337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at cost; 664,250 and 664,250 shares held, respectively</w:t>
            </w:r>
          </w:p>
        </w:tc>
        <w:tc>
          <w:tcPr>
            <w:tcW w:w="2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(10,459 )</w:t>
            </w:r>
          </w:p>
        </w:tc>
        <w:tc>
          <w:tcPr>
            <w:tcW w:w="26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(10,459 )</w:t>
            </w:r>
          </w:p>
        </w:tc>
        <w:tc>
          <w:tcPr>
            <w:tcW w:w="0" w:type="dxa"/>
            <w:vAlign w:val="bottom"/>
          </w:tcPr>
          <w:p>
            <w:pPr>
              <w:spacing w:after="0"/>
              <w:rPr>
                <w:sz w:val="1"/>
                <w:szCs w:val="1"/>
                <w:color w:val="auto"/>
              </w:rPr>
            </w:pPr>
          </w:p>
        </w:tc>
      </w:tr>
      <w:tr>
        <w:trPr>
          <w:trHeight w:val="148"/>
        </w:trPr>
        <w:tc>
          <w:tcPr>
            <w:tcW w:w="73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97,708</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1,607,529</w:t>
            </w:r>
          </w:p>
        </w:tc>
        <w:tc>
          <w:tcPr>
            <w:tcW w:w="3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1,496,375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3,582,225</w:t>
            </w:r>
          </w:p>
        </w:tc>
        <w:tc>
          <w:tcPr>
            <w:tcW w:w="30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3,343,808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tcBorders>
              <w:bottom w:val="single" w:sz="8" w:color="CFF0FC"/>
            </w:tcBorders>
            <w:shd w:val="clear" w:color="auto" w:fill="CFF0FC"/>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tcBorders>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17.16</w:t>
            </w: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7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48"/>
        </w:trPr>
        <w:tc>
          <w:tcPr>
            <w:tcW w:w="7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-2982595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-2965450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-916940</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-899795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6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413,547</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391,343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279,857</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12,585</w:t>
            </w:r>
          </w:p>
        </w:tc>
        <w:tc>
          <w:tcPr>
            <w:tcW w:w="100" w:type="dxa"/>
            <w:vAlign w:val="bottom"/>
          </w:tcPr>
          <w:p>
            <w:pPr>
              <w:spacing w:after="0"/>
              <w:rPr>
                <w:sz w:val="12"/>
                <w:szCs w:val="12"/>
                <w:color w:val="auto"/>
              </w:rPr>
            </w:pPr>
          </w:p>
        </w:tc>
      </w:tr>
      <w:tr>
        <w:trPr>
          <w:trHeight w:val="149"/>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2,159</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9,502</w:t>
            </w:r>
          </w:p>
        </w:tc>
        <w:tc>
          <w:tcPr>
            <w:tcW w:w="100" w:type="dxa"/>
            <w:vAlign w:val="bottom"/>
          </w:tcPr>
          <w:p>
            <w:pPr>
              <w:spacing w:after="0"/>
              <w:rPr>
                <w:sz w:val="12"/>
                <w:szCs w:val="12"/>
                <w:color w:val="auto"/>
              </w:rPr>
            </w:pPr>
          </w:p>
        </w:tc>
      </w:tr>
      <w:tr>
        <w:trPr>
          <w:trHeight w:val="142"/>
        </w:trPr>
        <w:tc>
          <w:tcPr>
            <w:tcW w:w="6120" w:type="dxa"/>
            <w:vAlign w:val="bottom"/>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473,085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430,325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304,103</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140" w:type="dxa"/>
            <w:vAlign w:val="bottom"/>
          </w:tcPr>
          <w:p>
            <w:pPr>
              <w:spacing w:after="0"/>
              <w:rPr>
                <w:sz w:val="12"/>
                <w:szCs w:val="12"/>
                <w:color w:val="auto"/>
              </w:rPr>
            </w:pPr>
          </w:p>
        </w:tc>
        <w:tc>
          <w:tcPr>
            <w:tcW w:w="15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100" w:type="dxa"/>
            <w:vAlign w:val="bottom"/>
          </w:tcPr>
          <w:p>
            <w:pPr>
              <w:spacing w:after="0"/>
              <w:rPr>
                <w:sz w:val="12"/>
                <w:szCs w:val="12"/>
                <w:color w:val="auto"/>
              </w:rPr>
            </w:pPr>
          </w:p>
        </w:tc>
      </w:tr>
      <w:tr>
        <w:trPr>
          <w:trHeight w:val="149"/>
        </w:trPr>
        <w:tc>
          <w:tcPr>
            <w:tcW w:w="61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5,069</w:t>
            </w:r>
          </w:p>
        </w:tc>
        <w:tc>
          <w:tcPr>
            <w:tcW w:w="100" w:type="dxa"/>
            <w:vAlign w:val="bottom"/>
          </w:tcPr>
          <w:p>
            <w:pPr>
              <w:spacing w:after="0"/>
              <w:rPr>
                <w:sz w:val="12"/>
                <w:szCs w:val="12"/>
                <w:color w:val="auto"/>
              </w:rPr>
            </w:pPr>
          </w:p>
        </w:tc>
      </w:tr>
      <w:tr>
        <w:trPr>
          <w:trHeight w:val="142"/>
        </w:trPr>
        <w:tc>
          <w:tcPr>
            <w:tcW w:w="612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482,526</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438,087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309,305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154,145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133,731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62,991</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39,900</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42,590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33,401</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(5,375 )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(8,864 )</w:t>
            </w:r>
          </w:p>
        </w:tc>
      </w:tr>
      <w:tr>
        <w:trPr>
          <w:trHeight w:val="149"/>
        </w:trPr>
        <w:tc>
          <w:tcPr>
            <w:tcW w:w="6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7,192</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2"/>
                <w:szCs w:val="12"/>
                <w:color w:val="auto"/>
              </w:rPr>
            </w:pPr>
          </w:p>
        </w:tc>
      </w:tr>
      <w:tr>
        <w:trPr>
          <w:trHeight w:val="148"/>
        </w:trPr>
        <w:tc>
          <w:tcPr>
            <w:tcW w:w="612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5,522</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5,280</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5,427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260,031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240,494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140,783</w:t>
            </w:r>
          </w:p>
        </w:tc>
        <w:tc>
          <w:tcPr>
            <w:tcW w:w="100" w:type="dxa"/>
            <w:vAlign w:val="bottom"/>
          </w:tcPr>
          <w:p>
            <w:pPr>
              <w:spacing w:after="0"/>
              <w:rPr>
                <w:sz w:val="12"/>
                <w:szCs w:val="12"/>
                <w:color w:val="auto"/>
              </w:rPr>
            </w:pPr>
          </w:p>
        </w:tc>
      </w:tr>
      <w:tr>
        <w:trPr>
          <w:trHeight w:val="142"/>
        </w:trPr>
        <w:tc>
          <w:tcPr>
            <w:tcW w:w="6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(1,466 )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(1,171 )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(427 )</w:t>
            </w:r>
          </w:p>
        </w:tc>
      </w:tr>
      <w:tr>
        <w:trPr>
          <w:trHeight w:val="142"/>
        </w:trPr>
        <w:tc>
          <w:tcPr>
            <w:tcW w:w="6120" w:type="dxa"/>
            <w:vAlign w:val="bottom"/>
            <w:tcBorders>
              <w:top w:val="single" w:sz="8" w:color="CFF0FC"/>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1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258,565</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239,323</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140,356</w:t>
            </w:r>
          </w:p>
        </w:tc>
        <w:tc>
          <w:tcPr>
            <w:tcW w:w="100" w:type="dxa"/>
            <w:vAlign w:val="bottom"/>
            <w:tcBorders>
              <w:top w:val="single" w:sz="8" w:color="CFF0FC"/>
            </w:tcBorders>
          </w:tcPr>
          <w:p>
            <w:pPr>
              <w:spacing w:after="0"/>
              <w:rPr>
                <w:sz w:val="12"/>
                <w:szCs w:val="12"/>
                <w:color w:val="auto"/>
              </w:rPr>
            </w:pPr>
          </w:p>
        </w:tc>
      </w:tr>
      <w:tr>
        <w:trPr>
          <w:trHeight w:val="142"/>
        </w:trPr>
        <w:tc>
          <w:tcPr>
            <w:tcW w:w="6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223,961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198,764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168,949</w:t>
            </w: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3,944</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2"/>
                <w:szCs w:val="12"/>
                <w:color w:val="auto"/>
              </w:rPr>
            </w:pPr>
          </w:p>
        </w:tc>
      </w:tr>
      <w:tr>
        <w:trPr>
          <w:trHeight w:val="142"/>
        </w:trPr>
        <w:tc>
          <w:tcPr>
            <w:tcW w:w="6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220,017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196,399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166,327</w:t>
            </w:r>
          </w:p>
        </w:tc>
        <w:tc>
          <w:tcPr>
            <w:tcW w:w="100" w:type="dxa"/>
            <w:vAlign w:val="bottom"/>
            <w:shd w:val="clear" w:color="auto" w:fill="CFF0FC"/>
          </w:tcPr>
          <w:p>
            <w:pPr>
              <w:spacing w:after="0"/>
              <w:rPr>
                <w:sz w:val="12"/>
                <w:szCs w:val="12"/>
                <w:color w:val="auto"/>
              </w:rPr>
            </w:pPr>
          </w:p>
        </w:tc>
      </w:tr>
      <w:tr>
        <w:trPr>
          <w:trHeight w:val="149"/>
        </w:trPr>
        <w:tc>
          <w:tcPr>
            <w:tcW w:w="6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(47,625 )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(70,085 )</w:t>
            </w:r>
          </w:p>
        </w:tc>
      </w:tr>
      <w:tr>
        <w:trPr>
          <w:trHeight w:val="149"/>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(14,350 )</w:t>
            </w: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(5,169 )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(21,717 )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8,054</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(6,393 )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8,721</w:t>
            </w:r>
          </w:p>
        </w:tc>
        <w:tc>
          <w:tcPr>
            <w:tcW w:w="100" w:type="dxa"/>
            <w:vAlign w:val="bottom"/>
            <w:shd w:val="clear" w:color="auto" w:fill="CFF0FC"/>
          </w:tcPr>
          <w:p>
            <w:pPr>
              <w:spacing w:after="0"/>
              <w:rPr>
                <w:sz w:val="12"/>
                <w:szCs w:val="12"/>
                <w:color w:val="auto"/>
              </w:rPr>
            </w:pPr>
          </w:p>
        </w:tc>
      </w:tr>
      <w:tr>
        <w:trPr>
          <w:trHeight w:val="149"/>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(6,748 )</w:t>
            </w: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(2,609 )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(561 )</w:t>
            </w:r>
          </w:p>
        </w:tc>
      </w:tr>
      <w:tr>
        <w:trPr>
          <w:trHeight w:val="20"/>
        </w:trPr>
        <w:tc>
          <w:tcPr>
            <w:tcW w:w="6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12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(42,024 )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13,191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(74,969 )</w:t>
            </w:r>
          </w:p>
        </w:tc>
      </w:tr>
      <w:tr>
        <w:trPr>
          <w:trHeight w:val="142"/>
        </w:trPr>
        <w:tc>
          <w:tcPr>
            <w:tcW w:w="6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14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13,608</w:t>
            </w:r>
          </w:p>
        </w:tc>
        <w:tc>
          <w:tcPr>
            <w:tcW w:w="100" w:type="dxa"/>
            <w:vAlign w:val="bottom"/>
            <w:shd w:val="clear" w:color="auto" w:fill="CFF0FC"/>
          </w:tcPr>
          <w:p>
            <w:pPr>
              <w:spacing w:after="0"/>
              <w:rPr>
                <w:sz w:val="12"/>
                <w:szCs w:val="12"/>
                <w:color w:val="auto"/>
              </w:rPr>
            </w:pPr>
          </w:p>
        </w:tc>
      </w:tr>
      <w:tr>
        <w:trPr>
          <w:trHeight w:val="149"/>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140" w:type="dxa"/>
            <w:vAlign w:val="bottom"/>
          </w:tcPr>
          <w:p>
            <w:pPr>
              <w:spacing w:after="0"/>
              <w:rPr>
                <w:sz w:val="12"/>
                <w:szCs w:val="12"/>
                <w:color w:val="auto"/>
              </w:rPr>
            </w:pPr>
          </w:p>
        </w:tc>
        <w:tc>
          <w:tcPr>
            <w:tcW w:w="1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r>
      <w:tr>
        <w:trPr>
          <w:trHeight w:val="148"/>
        </w:trPr>
        <w:tc>
          <w:tcPr>
            <w:tcW w:w="61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0" w:type="dxa"/>
            <w:vAlign w:val="bottom"/>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FF0FC"/>
          </w:tcPr>
          <w:p>
            <w:pPr>
              <w:spacing w:after="0"/>
              <w:rPr>
                <w:sz w:val="12"/>
                <w:szCs w:val="12"/>
                <w:color w:val="auto"/>
              </w:rPr>
            </w:pPr>
          </w:p>
        </w:tc>
      </w:tr>
      <w:tr>
        <w:trPr>
          <w:trHeight w:val="149"/>
        </w:trPr>
        <w:tc>
          <w:tcPr>
            <w:tcW w:w="61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(291 )</w:t>
            </w:r>
          </w:p>
        </w:tc>
      </w:tr>
      <w:tr>
        <w:trPr>
          <w:trHeight w:val="142"/>
        </w:trPr>
        <w:tc>
          <w:tcPr>
            <w:tcW w:w="6120" w:type="dxa"/>
            <w:vAlign w:val="bottom"/>
            <w:tcBorders>
              <w:bottom w:val="single" w:sz="8" w:color="CFF0FC"/>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8,573</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12,433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16,695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20" w:type="dxa"/>
            <w:vAlign w:val="bottom"/>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40" w:type="dxa"/>
            <w:vAlign w:val="bottom"/>
          </w:tcPr>
          <w:p>
            <w:pPr>
              <w:spacing w:after="0"/>
              <w:rPr>
                <w:sz w:val="12"/>
                <w:szCs w:val="12"/>
                <w:color w:val="auto"/>
              </w:rPr>
            </w:pPr>
          </w:p>
        </w:tc>
        <w:tc>
          <w:tcPr>
            <w:tcW w:w="15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(33,451 )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25,624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(58,274 )</w:t>
            </w:r>
          </w:p>
        </w:tc>
      </w:tr>
      <w:tr>
        <w:trPr>
          <w:trHeight w:val="182"/>
        </w:trPr>
        <w:tc>
          <w:tcPr>
            <w:tcW w:w="6120" w:type="dxa"/>
            <w:vAlign w:val="bottom"/>
            <w:tcBorders>
              <w:bottom w:val="single" w:sz="8" w:color="CFF0FC"/>
            </w:tcBorders>
            <w:shd w:val="clear" w:color="auto" w:fill="CFF0FC"/>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186,566</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222,023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61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1"/>
                <w:szCs w:val="11"/>
                <w:color w:val="auto"/>
              </w:rPr>
            </w:pPr>
          </w:p>
        </w:tc>
        <w:tc>
          <w:tcPr>
            <w:tcW w:w="260" w:type="dxa"/>
            <w:vAlign w:val="bottom"/>
            <w:tcBorders>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1"/>
                <w:szCs w:val="11"/>
                <w:color w:val="auto"/>
              </w:rPr>
            </w:pPr>
          </w:p>
        </w:tc>
      </w:tr>
      <w:tr>
        <w:trPr>
          <w:trHeight w:val="142"/>
        </w:trPr>
        <w:tc>
          <w:tcPr>
            <w:tcW w:w="61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14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92,035,165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85,131,264</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78,197,826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430"/>
        </w:trPr>
        <w:tc>
          <w:tcPr>
            <w:tcW w:w="6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6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-4825365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-4825365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-4825365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-4439920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-4439920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-4234180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-4234180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-3470910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-3470910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-3265170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-3265170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-2108200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-2108200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-1328420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-1328420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-1122045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-1104900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-1122045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-1104900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-899795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-899795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35" w:lineRule="auto"/>
        <w:rPr>
          <w:sz w:val="20"/>
          <w:szCs w:val="20"/>
          <w:color w:val="auto"/>
        </w:rPr>
      </w:pPr>
      <w:r>
        <w:rPr>
          <w:rFonts w:ascii="Calibri" w:cs="Calibri" w:eastAsia="Calibri" w:hAnsi="Calibri"/>
          <w:sz w:val="18"/>
          <w:szCs w:val="18"/>
          <w:color w:val="auto"/>
        </w:rPr>
        <w:t>The Company’s investment actvity for the years ended December 31, 2024, 2023 and 2022 is presented below (informaton presented herein is at par value unless otherwise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160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2"/>
                <w:szCs w:val="12"/>
                <w:color w:val="auto"/>
              </w:rPr>
            </w:pPr>
          </w:p>
        </w:tc>
        <w:tc>
          <w:tcPr>
            <w:tcW w:w="15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2"/>
                <w:szCs w:val="12"/>
                <w:color w:val="auto"/>
              </w:rPr>
            </w:pPr>
          </w:p>
        </w:tc>
        <w:tc>
          <w:tcPr>
            <w:tcW w:w="134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3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15,354.7</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6,516.6</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14,111.8</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Equity and other</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First-lien</w:t>
            </w:r>
          </w:p>
        </w:tc>
        <w:tc>
          <w:tcPr>
            <w:tcW w:w="3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Second-lien</w:t>
            </w: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Mezzanine</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and other</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Structured Credit</w:t>
            </w: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2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99.5 %</w:t>
            </w: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194"/>
        </w:trPr>
        <w:tc>
          <w:tcPr>
            <w:tcW w:w="62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12.4 %</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194"/>
        </w:trPr>
        <w:tc>
          <w:tcPr>
            <w:tcW w:w="6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12.9 %</w:t>
            </w: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194"/>
        </w:trPr>
        <w:tc>
          <w:tcPr>
            <w:tcW w:w="62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3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3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194"/>
        </w:trPr>
        <w:tc>
          <w:tcPr>
            <w:tcW w:w="6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13.7 %</w:t>
            </w:r>
          </w:p>
        </w:tc>
        <w:tc>
          <w:tcPr>
            <w:tcW w:w="2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-4422775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-4422775</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-4422775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-2485390</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-2485390</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-2485390</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0" w:lineRule="exact"/>
        <w:rPr>
          <w:sz w:val="20"/>
          <w:szCs w:val="20"/>
          <w:color w:val="auto"/>
        </w:rPr>
      </w:pPr>
    </w:p>
    <w:p>
      <w:pPr>
        <w:ind w:left="380"/>
        <w:spacing w:after="0"/>
        <w:tabs>
          <w:tab w:leader="none" w:pos="74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Calibri" w:cs="Calibri" w:eastAsia="Calibri" w:hAnsi="Calibri"/>
          <w:sz w:val="14"/>
          <w:szCs w:val="14"/>
          <w:color w:val="auto"/>
        </w:rPr>
        <w:t>Includes afliates of Sixth Street.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About Sixth Street Specialty Lending</w:t>
      </w:r>
    </w:p>
    <w:p>
      <w:pPr>
        <w:spacing w:after="0" w:line="217" w:lineRule="exact"/>
        <w:rPr>
          <w:sz w:val="20"/>
          <w:szCs w:val="20"/>
          <w:color w:val="auto"/>
        </w:rPr>
      </w:pPr>
    </w:p>
    <w:p>
      <w:pPr>
        <w:ind w:right="180"/>
        <w:spacing w:after="0" w:line="251" w:lineRule="auto"/>
        <w:rPr>
          <w:sz w:val="20"/>
          <w:szCs w:val="20"/>
          <w:color w:val="auto"/>
        </w:rPr>
      </w:pPr>
      <w:r>
        <w:rPr>
          <w:rFonts w:ascii="Calibri" w:cs="Calibri" w:eastAsia="Calibri" w:hAnsi="Calibri"/>
          <w:sz w:val="17"/>
          <w:szCs w:val="17"/>
          <w:color w:val="auto"/>
        </w:rPr>
        <w:t xml:space="preserve">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$100 billion in assets under management and commited capital. For more informaton, visit the Company’s website at </w:t>
      </w:r>
      <w:r>
        <w:rPr>
          <w:rFonts w:ascii="Calibri" w:cs="Calibri" w:eastAsia="Calibri" w:hAnsi="Calibri"/>
          <w:sz w:val="17"/>
          <w:szCs w:val="17"/>
          <w:color w:val="0563C1"/>
        </w:rPr>
        <w:t>htps://sixthstreetspecialtylending.com</w:t>
      </w:r>
      <w:r>
        <w:rPr>
          <w:rFonts w:ascii="Calibri" w:cs="Calibri" w:eastAsia="Calibri" w:hAnsi="Calibri"/>
          <w:sz w:val="17"/>
          <w:szCs w:val="17"/>
          <w:color w:val="auto"/>
        </w:rPr>
        <w:t>.</w:t>
      </w:r>
    </w:p>
    <w:p>
      <w:pPr>
        <w:spacing w:after="0" w:line="1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Sixth Street</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Sixth Street is a global investment frm with over $100 billion in assets under management and commited capital. The frm uses its long-term fexible capital, data-enabled capabilites, and One Team culture to develop themes and ofer solutons to companies across all stages of growth. Founded in 2009, Sixth Street has more than 650 team members including over 250 investment professionals around the world. For more informaton, visit htps://sixthstreet.com or follow Sixth Street on LinkedIn.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Statements included herein may consttute “forward-looking statements,” within the meaning of the federal securites laws and the Private Securites Litgaton Reform Act of 1995, which relate to future events or the Company’s future performance or fnancial conditon. These forward-looking statements can be identfed by the use of forward-looking terminology, such as “outlook,” “indicator,” “believes,” “expects,” “potental,” “contnues,” “may,” “can,” “will,” “should,” “seeks,” “approximately,” “predicts,” “intends,” “plans,” “estmates,” “antcipates”, “confdent,” “convicton,” “identfed” or the negatve versions of these words or other comparable words thereof.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 which are accessible on the SEC’s website at www.sec.gov. Except as otherwise required by federal securites laws, the Company assumes no obligaton to update any such forward-looking statements, whether as a result of new informaton, future developments or otherwise.</w:t>
      </w:r>
    </w:p>
    <w:p>
      <w:pPr>
        <w:spacing w:after="0" w:line="1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Measures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Cami VanHorn, 469-621-2033</w:t>
      </w:r>
    </w:p>
    <w:p>
      <w:pPr>
        <w:spacing w:after="0" w:line="235" w:lineRule="auto"/>
        <w:rPr>
          <w:sz w:val="20"/>
          <w:szCs w:val="20"/>
          <w:color w:val="auto"/>
        </w:rPr>
      </w:pPr>
      <w:r>
        <w:rPr>
          <w:rFonts w:ascii="Calibri" w:cs="Calibri" w:eastAsia="Calibri" w:hAnsi="Calibri"/>
          <w:sz w:val="18"/>
          <w:szCs w:val="18"/>
          <w:color w:val="auto"/>
        </w:rPr>
        <w:t>Sixth Street Specialty Lending</w:t>
      </w:r>
    </w:p>
    <w:p>
      <w:pPr>
        <w:spacing w:after="0" w:line="236" w:lineRule="auto"/>
        <w:rPr>
          <w:sz w:val="20"/>
          <w:szCs w:val="20"/>
          <w:color w:val="auto"/>
        </w:rPr>
      </w:pPr>
      <w:r>
        <w:rPr>
          <w:rFonts w:ascii="Calibri" w:cs="Calibri" w:eastAsia="Calibri" w:hAnsi="Calibri"/>
          <w:sz w:val="18"/>
          <w:szCs w:val="18"/>
          <w:color w:val="auto"/>
        </w:rPr>
        <w:t>IRTSLX@sixthstreet.com</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Patrick Cliford, 617-793-2004</w:t>
      </w:r>
    </w:p>
    <w:p>
      <w:pPr>
        <w:spacing w:after="0" w:line="235" w:lineRule="auto"/>
        <w:rPr>
          <w:sz w:val="20"/>
          <w:szCs w:val="20"/>
          <w:color w:val="auto"/>
        </w:rPr>
      </w:pPr>
      <w:r>
        <w:rPr>
          <w:rFonts w:ascii="Calibri" w:cs="Calibri" w:eastAsia="Calibri" w:hAnsi="Calibri"/>
          <w:sz w:val="18"/>
          <w:szCs w:val="18"/>
          <w:color w:val="auto"/>
        </w:rPr>
        <w:t>Sixth Street</w:t>
      </w:r>
    </w:p>
    <w:p>
      <w:pPr>
        <w:spacing w:after="0" w:line="236" w:lineRule="auto"/>
        <w:rPr>
          <w:sz w:val="20"/>
          <w:szCs w:val="20"/>
          <w:color w:val="auto"/>
        </w:rPr>
      </w:pPr>
      <w:r>
        <w:rPr>
          <w:rFonts w:ascii="Calibri" w:cs="Calibri" w:eastAsia="Calibri" w:hAnsi="Calibri"/>
          <w:sz w:val="18"/>
          <w:szCs w:val="18"/>
          <w:color w:val="auto"/>
        </w:rPr>
        <w:t>PCliford@sixthstreet.com</w:t>
      </w:r>
    </w:p>
    <w:p>
      <w:pPr>
        <w:spacing w:after="0" w:line="5"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2025-02-13T15:21:36Z</dcterms:created>
  <dcterms:modified xsi:type="dcterms:W3CDTF">2025-02-13T15:21:36Z</dcterms:modified>
</cp:coreProperties>
</file>