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9"/>
          <w:szCs w:val="19"/>
          <w:b w:val="1"/>
          <w:bCs w:val="1"/>
          <w:color w:val="auto"/>
        </w:rPr>
        <w:t>UNITED STATES</w:t>
      </w:r>
    </w:p>
    <w:p>
      <w:pPr>
        <w:spacing w:after="0" w:line="20" w:lineRule="exact"/>
        <w:rPr>
          <w:sz w:val="24"/>
          <w:szCs w:val="24"/>
          <w:color w:val="auto"/>
        </w:rPr>
      </w:pPr>
    </w:p>
    <w:p>
      <w:pPr>
        <w:jc w:val="center"/>
        <w:ind w:right="-83"/>
        <w:spacing w:after="0"/>
        <w:rPr>
          <w:sz w:val="20"/>
          <w:szCs w:val="20"/>
          <w:color w:val="auto"/>
        </w:rPr>
      </w:pPr>
      <w:r>
        <w:rPr>
          <w:rFonts w:ascii="Arial" w:cs="Arial" w:eastAsia="Arial" w:hAnsi="Arial"/>
          <w:sz w:val="19"/>
          <w:szCs w:val="19"/>
          <w:b w:val="1"/>
          <w:bCs w:val="1"/>
          <w:color w:val="auto"/>
        </w:rPr>
        <w:t>SECURITIES AND EXCHANGE COMMISSION</w:t>
      </w:r>
    </w:p>
    <w:p>
      <w:pPr>
        <w:spacing w:after="0" w:line="2"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83"/>
        <w:spacing w:after="0"/>
        <w:rPr>
          <w:sz w:val="20"/>
          <w:szCs w:val="20"/>
          <w:color w:val="auto"/>
        </w:rPr>
      </w:pPr>
      <w:r>
        <w:rPr>
          <w:rFonts w:ascii="Arial" w:cs="Arial" w:eastAsia="Arial" w:hAnsi="Arial"/>
          <w:sz w:val="19"/>
          <w:szCs w:val="19"/>
          <w:b w:val="1"/>
          <w:bCs w:val="1"/>
          <w:color w:val="auto"/>
        </w:rPr>
        <w:t>SCHEDULE 14A</w:t>
      </w:r>
    </w:p>
    <w:p>
      <w:pPr>
        <w:spacing w:after="0" w:line="24"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(RULE 14a-101)</w:t>
      </w:r>
    </w:p>
    <w:p>
      <w:pPr>
        <w:spacing w:after="0" w:line="182"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25"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SCHEDULE 14A INFORMATION</w:t>
      </w:r>
    </w:p>
    <w:p>
      <w:pPr>
        <w:spacing w:after="0" w:line="184"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Securities Exchange Act of 1934</w:t>
      </w:r>
    </w:p>
    <w:p>
      <w:pPr>
        <w:spacing w:after="0" w:line="158" w:lineRule="exact"/>
        <w:rPr>
          <w:sz w:val="24"/>
          <w:szCs w:val="24"/>
          <w:color w:val="auto"/>
        </w:rPr>
      </w:pPr>
    </w:p>
    <w:p>
      <w:pPr>
        <w:ind w:left="4"/>
        <w:spacing w:after="0" w:line="184" w:lineRule="exact"/>
        <w:tabs>
          <w:tab w:leader="none" w:pos="1724"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4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Filed by a Party other than the Registrant</w:t>
      </w:r>
      <w:r>
        <w:rPr>
          <w:rFonts w:ascii="MS PGothic" w:cs="MS PGothic" w:eastAsia="MS PGothic" w:hAnsi="MS PGothic"/>
          <w:sz w:val="16"/>
          <w:szCs w:val="16"/>
          <w:color w:val="auto"/>
        </w:rPr>
        <w:t>☐</w:t>
      </w:r>
    </w:p>
    <w:p>
      <w:pPr>
        <w:spacing w:after="0" w:line="192"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70" w:lineRule="exact"/>
        <w:rPr>
          <w:sz w:val="24"/>
          <w:szCs w:val="24"/>
          <w:color w:val="auto"/>
        </w:rPr>
      </w:pPr>
    </w:p>
    <w:p>
      <w:pPr>
        <w:ind w:left="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Preliminary Proxy Statement</w:t>
      </w:r>
    </w:p>
    <w:p>
      <w:pPr>
        <w:spacing w:after="0" w:line="46" w:lineRule="exact"/>
        <w:rPr>
          <w:sz w:val="24"/>
          <w:szCs w:val="24"/>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 w:lineRule="exact"/>
        <w:rPr>
          <w:rFonts w:ascii="MS PGothic" w:cs="MS PGothic" w:eastAsia="MS PGothic" w:hAnsi="MS PGothic"/>
          <w:sz w:val="16"/>
          <w:szCs w:val="16"/>
          <w:color w:val="auto"/>
        </w:rPr>
      </w:pPr>
    </w:p>
    <w:p>
      <w:pPr>
        <w:ind w:left="184" w:hanging="184"/>
        <w:spacing w:after="0"/>
        <w:tabs>
          <w:tab w:leader="none" w:pos="1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 w:lineRule="exact"/>
        <w:rPr>
          <w:sz w:val="24"/>
          <w:szCs w:val="24"/>
          <w:color w:val="auto"/>
        </w:rPr>
      </w:pPr>
    </w:p>
    <w:p>
      <w:pPr>
        <w:ind w:left="184" w:hanging="184"/>
        <w:spacing w:after="0"/>
        <w:tabs>
          <w:tab w:leader="none" w:pos="1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 w:lineRule="exact"/>
        <w:rPr>
          <w:sz w:val="24"/>
          <w:szCs w:val="24"/>
          <w:color w:val="auto"/>
        </w:rPr>
      </w:pPr>
    </w:p>
    <w:p>
      <w:pPr>
        <w:ind w:left="184" w:hanging="184"/>
        <w:spacing w:after="0"/>
        <w:tabs>
          <w:tab w:leader="none" w:pos="18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88" w:lineRule="exact"/>
        <w:rPr>
          <w:sz w:val="24"/>
          <w:szCs w:val="24"/>
          <w:color w:val="auto"/>
        </w:rPr>
      </w:pPr>
    </w:p>
    <w:p>
      <w:pPr>
        <w:jc w:val="center"/>
        <w:ind w:right="-83"/>
        <w:spacing w:after="0"/>
        <w:rPr>
          <w:sz w:val="20"/>
          <w:szCs w:val="20"/>
          <w:color w:val="auto"/>
        </w:rPr>
      </w:pPr>
      <w:r>
        <w:rPr>
          <w:rFonts w:ascii="Arial" w:cs="Arial" w:eastAsia="Arial" w:hAnsi="Arial"/>
          <w:sz w:val="16"/>
          <w:szCs w:val="16"/>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52" w:lineRule="exact"/>
        <w:rPr>
          <w:sz w:val="24"/>
          <w:szCs w:val="24"/>
          <w:color w:val="auto"/>
        </w:rPr>
      </w:pPr>
    </w:p>
    <w:p>
      <w:pPr>
        <w:jc w:val="center"/>
        <w:ind w:right="-83"/>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37" w:lineRule="exact"/>
        <w:rPr>
          <w:sz w:val="24"/>
          <w:szCs w:val="24"/>
          <w:color w:val="auto"/>
        </w:rPr>
      </w:pPr>
    </w:p>
    <w:p>
      <w:pPr>
        <w:jc w:val="center"/>
        <w:ind w:right="-83"/>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0"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00" w:lineRule="exact"/>
        <w:rPr>
          <w:sz w:val="24"/>
          <w:szCs w:val="24"/>
          <w:color w:val="auto"/>
        </w:rPr>
      </w:pPr>
    </w:p>
    <w:p>
      <w:pPr>
        <w:ind w:left="504" w:hanging="504"/>
        <w:spacing w:after="0"/>
        <w:tabs>
          <w:tab w:leader="none" w:pos="50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00" w:lineRule="exact"/>
        <w:rPr>
          <w:sz w:val="24"/>
          <w:szCs w:val="24"/>
          <w:color w:val="auto"/>
        </w:rPr>
      </w:pPr>
    </w:p>
    <w:p>
      <w:pPr>
        <w:ind w:left="504" w:hanging="504"/>
        <w:spacing w:after="0"/>
        <w:tabs>
          <w:tab w:leader="none" w:pos="50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24" w:lineRule="exact"/>
        <w:rPr>
          <w:rFonts w:ascii="MS PGothic" w:cs="MS PGothic" w:eastAsia="MS PGothic" w:hAnsi="MS PGothic"/>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right="360" w:hanging="787"/>
        <w:spacing w:after="0" w:line="277" w:lineRule="auto"/>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56"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704" w:hanging="704"/>
        <w:spacing w:after="0"/>
        <w:tabs>
          <w:tab w:leader="none" w:pos="70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0" w:lineRule="exact"/>
        <w:rPr>
          <w:rFonts w:ascii="MS PGothic" w:cs="MS PGothic" w:eastAsia="MS PGothic" w:hAnsi="MS PGothic"/>
          <w:sz w:val="16"/>
          <w:szCs w:val="16"/>
          <w:color w:val="auto"/>
        </w:rPr>
      </w:pPr>
    </w:p>
    <w:p>
      <w:pPr>
        <w:ind w:left="864" w:hanging="864"/>
        <w:spacing w:after="0" w:line="277" w:lineRule="auto"/>
        <w:tabs>
          <w:tab w:leader="none" w:pos="70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1" w:lineRule="exact"/>
        <w:rPr>
          <w:rFonts w:ascii="MS PGothic" w:cs="MS PGothic" w:eastAsia="MS PGothic" w:hAnsi="MS PGothic"/>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484" w:hanging="787"/>
        <w:spacing w:after="0"/>
        <w:tabs>
          <w:tab w:leader="none" w:pos="148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72618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-489585</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-863600</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-1847215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-2221230</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-2595245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-3090545</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-3464560</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4"/>
          </w:cols>
          <w:pgMar w:left="236" w:top="211"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April 17, 2018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200"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TPG Specialty Lending, Inc. (“TSLX”) will be holding a Special Meeting of Stockholders on May 17, 2018 and filed a proxy statement related to the Special Meeting on April 3, 2018. Consistent with last year, at the Special Meeting we are asking stockholders to vote on a proposal authorizing the Company, with the approval of our board of directors, to issue shares of our common stock at a price below our then-current NAV per share, subject to certain conditions set forth in the proxy statement. As you know, last year the same proposal was approved with overwhelming support (94.3% of all shareholders who voted and 88.9% of all non-affiliate shareholders who voted, i.e., after excluding votes from insiders and those holding 5% or more of TSLX common stock). We were humbled and will continue to take our duties and responsibilities to our shareholders regarding capital allocation with the upmost seriousness — one of the most important decisions we make.</w:t>
      </w:r>
    </w:p>
    <w:p>
      <w:pPr>
        <w:spacing w:after="0" w:line="15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As we have expressed to our stockholders in the past, while we have no intention to do so in the near term, we are seeking the flexibility to sell common stock at a price below NAV because we believe there could be moments in time when doing so would be in the best interest of our stockholders. Ironically, sometimes the best investment opportunities exist during periods of elevated volatility and credit market dislocation – when it is more likely that our stock could trade below NAV. We believe that having the flexibility to access the capital markets in these types of environments is an important tool that can help us drive stockholder value during periods of market distress, and we are committed to doing so should we be given the opportunity.</w:t>
      </w:r>
    </w:p>
    <w:p>
      <w:pPr>
        <w:spacing w:after="0" w:line="168"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It’s our hope that we’ve built, over time, a reputation with our stockholders as long-term oriented, disciplined capital allocators. Our framework is simple: we don’t intend to issue common stock when our stock is trading above NAV unless we expect it will be ROE-accretive, and we don’t necessarily believe that one should never issue common stock below NAV if market opportunities allow for sufficiently high risk-adjusted returns that will ultimately be accretive to NAV through over-earning one’s cost of capital.</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Attached is a presentation that walks through our thought process and financial framework for this proposal. For assistance voting your TSLX shares, please call D.F. King toll-free at (800) 347-4750 or collect at (212) 269-5550. We’d also welcome the opportunity to discuss at your convenience.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Best,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Josh Easterly, Bo Stanley, Ian Simmonds and the TSLX team</w:t>
      </w:r>
    </w:p>
    <w:p>
      <w:pPr>
        <w:sectPr>
          <w:pgSz w:w="11900" w:h="16838" w:orient="portrait"/>
          <w:cols w:equalWidth="0" w:num="1">
            <w:col w:w="11440"/>
          </w:cols>
          <w:pgMar w:left="240" w:top="259" w:right="2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74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74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575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575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2019-12-07T21:16:15Z</dcterms:created>
  <dcterms:modified xsi:type="dcterms:W3CDTF">2019-12-07T21:16:15Z</dcterms:modified>
</cp:coreProperties>
</file>