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9320"/>
        <w:spacing w:after="0"/>
        <w:rPr>
          <w:sz w:val="20"/>
          <w:szCs w:val="20"/>
          <w:color w:val="auto"/>
        </w:rPr>
      </w:pPr>
      <w:r>
        <w:rPr>
          <w:rFonts w:ascii="Arial" w:cs="Arial" w:eastAsia="Arial" w:hAnsi="Arial"/>
          <w:sz w:val="16"/>
          <w:szCs w:val="16"/>
          <w:b w:val="1"/>
          <w:bCs w:val="1"/>
          <w:color w:val="auto"/>
        </w:rPr>
        <w:t>Filed Pursuant to Rule 497</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333-196969</w:t>
      </w:r>
    </w:p>
    <w:p>
      <w:pPr>
        <w:spacing w:after="0" w:line="202" w:lineRule="exact"/>
        <w:rPr>
          <w:sz w:val="24"/>
          <w:szCs w:val="24"/>
          <w:color w:val="auto"/>
        </w:rPr>
      </w:pPr>
    </w:p>
    <w:p>
      <w:pPr>
        <w:ind w:right="40"/>
        <w:spacing w:after="0"/>
        <w:rPr>
          <w:sz w:val="20"/>
          <w:szCs w:val="20"/>
          <w:color w:val="auto"/>
        </w:rPr>
      </w:pPr>
      <w:r>
        <w:rPr>
          <w:rFonts w:ascii="Arial" w:cs="Arial" w:eastAsia="Arial" w:hAnsi="Arial"/>
          <w:sz w:val="14"/>
          <w:szCs w:val="14"/>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DE1A1E"/>
        </w:rPr>
        <w:t>Subject to Completion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DE1A1E"/>
        </w:rPr>
        <w:t>Preliminary Prospectus Supplement dated August 5, 2014</w:t>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b w:val="1"/>
          <w:bCs w:val="1"/>
          <w:u w:val="single" w:color="auto"/>
          <w:color w:val="auto"/>
        </w:rPr>
        <w:t>PROSPECTUS SUPPLEMENT</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August 1, 2014)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177165</wp:posOffset>
            </wp:positionV>
            <wp:extent cx="1346200"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TPG Specialty Lending, Inc.</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8" w:lineRule="exact"/>
        <w:rPr>
          <w:sz w:val="24"/>
          <w:szCs w:val="24"/>
          <w:color w:val="auto"/>
        </w:rPr>
      </w:pPr>
    </w:p>
    <w:p>
      <w:pPr>
        <w:jc w:val="both"/>
        <w:ind w:right="20" w:firstLine="342"/>
        <w:spacing w:after="0" w:line="230" w:lineRule="auto"/>
        <w:rPr>
          <w:sz w:val="20"/>
          <w:szCs w:val="20"/>
          <w:color w:val="auto"/>
        </w:rPr>
      </w:pPr>
      <w:r>
        <w:rPr>
          <w:rFonts w:ascii="Arial" w:cs="Arial" w:eastAsia="Arial" w:hAnsi="Arial"/>
          <w:sz w:val="13"/>
          <w:szCs w:val="13"/>
          <w:color w:val="auto"/>
        </w:rPr>
        <w:t>This is an offering of 5,000,000 shares of our common stock by the selling stockholders named in this prospectus supplement. See “Selling Stockholders.” The selling stockholders have granted the underwriters a 30-day option to purchase up to 750,000 additional shares of our common stock. We will not receive any proceeds from the sale of shares of our common stock offered by the selling stockholders, including pursuant to any exercise by the underwriters of their option to purchase additional shares.</w:t>
      </w:r>
    </w:p>
    <w:p>
      <w:pPr>
        <w:spacing w:after="0" w:line="83" w:lineRule="exact"/>
        <w:rPr>
          <w:sz w:val="24"/>
          <w:szCs w:val="24"/>
          <w:color w:val="auto"/>
        </w:rPr>
      </w:pPr>
    </w:p>
    <w:p>
      <w:pPr>
        <w:ind w:right="460" w:firstLine="342"/>
        <w:spacing w:after="0" w:line="237" w:lineRule="auto"/>
        <w:rPr>
          <w:sz w:val="20"/>
          <w:szCs w:val="20"/>
          <w:color w:val="auto"/>
        </w:rPr>
      </w:pPr>
      <w:r>
        <w:rPr>
          <w:rFonts w:ascii="Arial" w:cs="Arial" w:eastAsia="Arial" w:hAnsi="Arial"/>
          <w:sz w:val="13"/>
          <w:szCs w:val="13"/>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83" w:lineRule="exact"/>
        <w:rPr>
          <w:sz w:val="24"/>
          <w:szCs w:val="24"/>
          <w:color w:val="auto"/>
        </w:rPr>
      </w:pPr>
    </w:p>
    <w:p>
      <w:pPr>
        <w:ind w:right="320" w:firstLine="342"/>
        <w:spacing w:after="0" w:line="237" w:lineRule="auto"/>
        <w:rPr>
          <w:sz w:val="20"/>
          <w:szCs w:val="20"/>
          <w:color w:val="auto"/>
        </w:rPr>
      </w:pPr>
      <w:r>
        <w:rPr>
          <w:rFonts w:ascii="Arial" w:cs="Arial" w:eastAsia="Arial" w:hAnsi="Arial"/>
          <w:sz w:val="13"/>
          <w:szCs w:val="13"/>
          <w:color w:val="auto"/>
        </w:rPr>
        <w:t>As of June 30, 2014, our investment portfolio consisted of investments in 31 portfolio companies with an aggregate fair value of $1,129.2 million. We intend to continue to pursue an investment strategy focused on direct origination of loans to middle-market companies principally domiciled in the United States.</w:t>
      </w:r>
    </w:p>
    <w:p>
      <w:pPr>
        <w:spacing w:after="0" w:line="83" w:lineRule="exact"/>
        <w:rPr>
          <w:sz w:val="24"/>
          <w:szCs w:val="24"/>
          <w:color w:val="auto"/>
        </w:rPr>
      </w:pPr>
    </w:p>
    <w:p>
      <w:pPr>
        <w:jc w:val="both"/>
        <w:ind w:right="260" w:firstLine="342"/>
        <w:spacing w:after="0" w:line="230" w:lineRule="auto"/>
        <w:rPr>
          <w:sz w:val="20"/>
          <w:szCs w:val="20"/>
          <w:color w:val="auto"/>
        </w:rPr>
      </w:pPr>
      <w:r>
        <w:rPr>
          <w:rFonts w:ascii="Arial" w:cs="Arial" w:eastAsia="Arial" w:hAnsi="Arial"/>
          <w:sz w:val="13"/>
          <w:szCs w:val="13"/>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$10 billion of assets under management as of June 30, 2014. TPG Special Situations Partners is the special situations and credit platform of TPG, a leading global private investment firm founded in 1992 with over $59 billion of assets under management.</w:t>
      </w:r>
    </w:p>
    <w:p>
      <w:pPr>
        <w:spacing w:after="0" w:line="83" w:lineRule="exact"/>
        <w:rPr>
          <w:sz w:val="24"/>
          <w:szCs w:val="24"/>
          <w:color w:val="auto"/>
        </w:rPr>
      </w:pPr>
    </w:p>
    <w:p>
      <w:pPr>
        <w:ind w:right="40" w:firstLine="342"/>
        <w:spacing w:after="0" w:line="226" w:lineRule="auto"/>
        <w:rPr>
          <w:sz w:val="20"/>
          <w:szCs w:val="20"/>
          <w:color w:val="auto"/>
        </w:rPr>
      </w:pPr>
      <w:r>
        <w:rPr>
          <w:rFonts w:ascii="Arial" w:cs="Arial" w:eastAsia="Arial" w:hAnsi="Arial"/>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85" w:lineRule="exact"/>
        <w:rPr>
          <w:sz w:val="24"/>
          <w:szCs w:val="24"/>
          <w:color w:val="auto"/>
        </w:rPr>
      </w:pPr>
    </w:p>
    <w:p>
      <w:pPr>
        <w:ind w:left="360"/>
        <w:spacing w:after="0"/>
        <w:rPr>
          <w:sz w:val="20"/>
          <w:szCs w:val="20"/>
          <w:color w:val="auto"/>
        </w:rPr>
      </w:pPr>
      <w:r>
        <w:rPr>
          <w:rFonts w:ascii="Arial" w:cs="Arial" w:eastAsia="Arial" w:hAnsi="Arial"/>
          <w:sz w:val="11"/>
          <w:szCs w:val="11"/>
          <w:color w:val="auto"/>
        </w:rPr>
        <w:t>Substantially all of our debt investments have variable interest rates that reset periodically based on interest rate benchmarks such as London Interbank Offered Rate, the Federal Funds Effective Rate or the Prime Rate.</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As a result, significant increases in such interest rate benchmarks in the future would make it more difficult for these borrowers to service their obligations under the debt investments that we hold.</w:t>
      </w:r>
    </w:p>
    <w:p>
      <w:pPr>
        <w:spacing w:after="0" w:line="84" w:lineRule="exact"/>
        <w:rPr>
          <w:sz w:val="24"/>
          <w:szCs w:val="24"/>
          <w:color w:val="auto"/>
        </w:rPr>
      </w:pPr>
    </w:p>
    <w:p>
      <w:pPr>
        <w:ind w:right="180" w:firstLine="342"/>
        <w:spacing w:after="0" w:line="273" w:lineRule="auto"/>
        <w:rPr>
          <w:sz w:val="20"/>
          <w:szCs w:val="20"/>
          <w:color w:val="auto"/>
        </w:rPr>
      </w:pPr>
      <w:r>
        <w:rPr>
          <w:rFonts w:ascii="Arial" w:cs="Arial" w:eastAsia="Arial" w:hAnsi="Arial"/>
          <w:sz w:val="12"/>
          <w:szCs w:val="12"/>
          <w:color w:val="auto"/>
        </w:rPr>
        <w:t>Our common stock is traded on the New York Stock Exchange, or NYSE, under the symbol “TSLX.” On August 4, 2014, the last reported sales price of our common stock on the NYSE was $19.29 per share. The net asset value per share of our common stock at June 30, 2014 (the last date prior to the date of this prospectus supplement on which we determined net asset value) was $15.70.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Investing in our common stock involves risks that are described in the “Risk Factors” section beginning on page 22 of the accompanying prospectus, including the risk of leverage.</w:t>
      </w:r>
    </w:p>
    <w:p>
      <w:pPr>
        <w:spacing w:after="0" w:line="56" w:lineRule="exact"/>
        <w:rPr>
          <w:sz w:val="24"/>
          <w:szCs w:val="24"/>
          <w:color w:val="auto"/>
        </w:rPr>
      </w:pPr>
    </w:p>
    <w:p>
      <w:pPr>
        <w:ind w:right="40" w:firstLine="342"/>
        <w:spacing w:after="0" w:line="272" w:lineRule="auto"/>
        <w:rPr>
          <w:sz w:val="20"/>
          <w:szCs w:val="20"/>
          <w:color w:val="auto"/>
        </w:rPr>
      </w:pPr>
      <w:r>
        <w:rPr>
          <w:rFonts w:ascii="Arial" w:cs="Arial" w:eastAsia="Arial" w:hAnsi="Arial"/>
          <w:sz w:val="11"/>
          <w:szCs w:val="11"/>
          <w:color w:val="auto"/>
        </w:rPr>
        <w:t xml:space="preserve">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by emailing us at </w:t>
      </w:r>
      <w:r>
        <w:rPr>
          <w:rFonts w:ascii="Arial" w:cs="Arial" w:eastAsia="Arial" w:hAnsi="Arial"/>
          <w:sz w:val="11"/>
          <w:szCs w:val="11"/>
          <w:i w:val="1"/>
          <w:iCs w:val="1"/>
          <w:color w:val="auto"/>
        </w:rPr>
        <w:t>IRTSL@tpg.com</w:t>
      </w:r>
      <w:r>
        <w:rPr>
          <w:rFonts w:ascii="Arial" w:cs="Arial" w:eastAsia="Arial" w:hAnsi="Arial"/>
          <w:sz w:val="11"/>
          <w:szCs w:val="11"/>
          <w:color w:val="auto"/>
        </w:rPr>
        <w:t xml:space="preserve">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tbl>
      <w:tblPr>
        <w:tblLayout w:type="fixed"/>
        <w:tblInd w:w="138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60" w:type="dxa"/>
            <w:vAlign w:val="bottom"/>
          </w:tcPr>
          <w:p>
            <w:pPr>
              <w:jc w:val="right"/>
              <w:ind w:right="109"/>
              <w:spacing w:after="0"/>
              <w:rPr>
                <w:sz w:val="20"/>
                <w:szCs w:val="20"/>
                <w:color w:val="auto"/>
              </w:rPr>
            </w:pPr>
            <w:r>
              <w:rPr>
                <w:rFonts w:ascii="Arial" w:cs="Arial" w:eastAsia="Arial" w:hAnsi="Arial"/>
                <w:sz w:val="13"/>
                <w:szCs w:val="13"/>
                <w:b w:val="1"/>
                <w:bCs w:val="1"/>
                <w:color w:val="auto"/>
              </w:rPr>
              <w:t>Per</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5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60" w:type="dxa"/>
            <w:vAlign w:val="bottom"/>
          </w:tcPr>
          <w:p>
            <w:pPr>
              <w:jc w:val="right"/>
              <w:ind w:right="29"/>
              <w:spacing w:after="0"/>
              <w:rPr>
                <w:sz w:val="20"/>
                <w:szCs w:val="20"/>
                <w:color w:val="auto"/>
              </w:rPr>
            </w:pPr>
            <w:r>
              <w:rPr>
                <w:rFonts w:ascii="Arial" w:cs="Arial" w:eastAsia="Arial" w:hAnsi="Arial"/>
                <w:sz w:val="13"/>
                <w:szCs w:val="13"/>
                <w:b w:val="1"/>
                <w:bCs w:val="1"/>
                <w:color w:val="auto"/>
                <w:w w:val="99"/>
              </w:rPr>
              <w:t>Share</w:t>
            </w:r>
          </w:p>
        </w:tc>
        <w:tc>
          <w:tcPr>
            <w:tcW w:w="40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0"/>
                <w:szCs w:val="10"/>
                <w:b w:val="1"/>
                <w:bCs w:val="1"/>
                <w:color w:val="auto"/>
              </w:rPr>
              <w:t>(1)</w:t>
            </w:r>
          </w:p>
        </w:tc>
      </w:tr>
      <w:tr>
        <w:trPr>
          <w:trHeight w:val="129"/>
        </w:trPr>
        <w:tc>
          <w:tcPr>
            <w:tcW w:w="5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Public offering price</w:t>
            </w:r>
          </w:p>
        </w:tc>
        <w:tc>
          <w:tcPr>
            <w:tcW w:w="18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9"/>
                <w:szCs w:val="9"/>
                <w:color w:val="auto"/>
                <w:w w:val="78"/>
              </w:rPr>
              <w:t>$</w:t>
            </w: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5440" w:type="dxa"/>
            <w:vAlign w:val="bottom"/>
          </w:tcPr>
          <w:p>
            <w:pPr>
              <w:spacing w:after="0"/>
              <w:rPr>
                <w:sz w:val="20"/>
                <w:szCs w:val="20"/>
                <w:color w:val="auto"/>
              </w:rPr>
            </w:pPr>
            <w:r>
              <w:rPr>
                <w:rFonts w:ascii="Arial" w:cs="Arial" w:eastAsia="Arial" w:hAnsi="Arial"/>
                <w:sz w:val="13"/>
                <w:szCs w:val="13"/>
                <w:color w:val="auto"/>
              </w:rPr>
              <w:t>Sales load paid by the selling stockholders (underwriting discount)</w:t>
            </w:r>
            <w:r>
              <w:rPr>
                <w:rFonts w:ascii="Arial" w:cs="Arial" w:eastAsia="Arial" w:hAnsi="Arial"/>
                <w:sz w:val="10"/>
                <w:szCs w:val="10"/>
                <w:color w:val="auto"/>
              </w:rPr>
              <w:t>(1)(2)</w:t>
            </w:r>
          </w:p>
        </w:tc>
        <w:tc>
          <w:tcPr>
            <w:tcW w:w="2300" w:type="dxa"/>
            <w:vAlign w:val="bottom"/>
            <w:gridSpan w:val="2"/>
          </w:tcPr>
          <w:p>
            <w:pPr>
              <w:jc w:val="right"/>
              <w:ind w:right="369"/>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4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r>
      <w:tr>
        <w:trPr>
          <w:trHeight w:val="149"/>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Proceeds to the selling stockholders, before expenses</w:t>
            </w:r>
            <w:r>
              <w:rPr>
                <w:rFonts w:ascii="Arial" w:cs="Arial" w:eastAsia="Arial" w:hAnsi="Arial"/>
                <w:sz w:val="10"/>
                <w:szCs w:val="10"/>
                <w:color w:val="auto"/>
              </w:rPr>
              <w:t>(1)(3)</w:t>
            </w:r>
          </w:p>
        </w:tc>
        <w:tc>
          <w:tcPr>
            <w:tcW w:w="2300" w:type="dxa"/>
            <w:vAlign w:val="bottom"/>
            <w:gridSpan w:val="2"/>
            <w:shd w:val="clear" w:color="auto" w:fill="CCEEFF"/>
          </w:tcPr>
          <w:p>
            <w:pPr>
              <w:jc w:val="right"/>
              <w:ind w:right="369"/>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45"/>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 selling stockholders named herein have granted the underwriters a 30-day option to purchase up to an additional 750,000 shares from the selling stockholders at the public offering price, less the sales load. If the</w:t>
      </w:r>
    </w:p>
    <w:p>
      <w:pPr>
        <w:spacing w:after="0" w:line="4" w:lineRule="exact"/>
        <w:rPr>
          <w:sz w:val="24"/>
          <w:szCs w:val="24"/>
          <w:color w:val="auto"/>
        </w:rPr>
      </w:pPr>
    </w:p>
    <w:p>
      <w:pPr>
        <w:ind w:left="340"/>
        <w:spacing w:after="0"/>
        <w:tabs>
          <w:tab w:leader="none" w:pos="4720" w:val="left"/>
          <w:tab w:leader="none" w:pos="7840" w:val="left"/>
        </w:tabs>
        <w:rPr>
          <w:sz w:val="20"/>
          <w:szCs w:val="20"/>
          <w:color w:val="auto"/>
        </w:rPr>
      </w:pPr>
      <w:r>
        <w:rPr>
          <w:rFonts w:ascii="Arial" w:cs="Arial" w:eastAsia="Arial" w:hAnsi="Arial"/>
          <w:sz w:val="13"/>
          <w:szCs w:val="13"/>
          <w:color w:val="auto"/>
        </w:rPr>
        <w:t>underwriters exercise this option in full, the total public offering price will be $</w:t>
      </w:r>
      <w:r>
        <w:rPr>
          <w:sz w:val="20"/>
          <w:szCs w:val="20"/>
          <w:color w:val="auto"/>
        </w:rPr>
        <w:tab/>
      </w:r>
      <w:r>
        <w:rPr>
          <w:rFonts w:ascii="Arial" w:cs="Arial" w:eastAsia="Arial" w:hAnsi="Arial"/>
          <w:sz w:val="13"/>
          <w:szCs w:val="13"/>
          <w:color w:val="auto"/>
        </w:rPr>
        <w:t>and total proceeds to the selling stockholders will be $</w:t>
      </w:r>
      <w:r>
        <w:rPr>
          <w:sz w:val="20"/>
          <w:szCs w:val="20"/>
          <w:color w:val="auto"/>
        </w:rPr>
        <w:tab/>
      </w:r>
      <w:r>
        <w:rPr>
          <w:rFonts w:ascii="Arial" w:cs="Arial" w:eastAsia="Arial" w:hAnsi="Arial"/>
          <w:sz w:val="11"/>
          <w:szCs w:val="11"/>
          <w:color w:val="auto"/>
        </w:rPr>
        <w:t>. See “Underwriting.”</w:t>
      </w:r>
    </w:p>
    <w:p>
      <w:pPr>
        <w:ind w:left="3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for a more complete description of underwriting compensation.</w:t>
      </w: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estimate that we will incur offering expenses of approximately $0.4 million, or approximately $0.08 per share, in connection with this offering. We, and not the selling stockholders, will bear these expenses.</w:t>
      </w:r>
    </w:p>
    <w:p>
      <w:pPr>
        <w:spacing w:after="0" w:line="199"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The Securities and Exchange Commission, or SEC, has not approved or disapproved of these securities or determined if this prospectus supplement or the accompanying prospectus is truthful or complete.</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Any representation to the contrary is a criminal offense.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5440" w:type="dxa"/>
            <w:vAlign w:val="bottom"/>
            <w:gridSpan w:val="4"/>
          </w:tcPr>
          <w:p>
            <w:pPr>
              <w:jc w:val="center"/>
              <w:ind w:left="568"/>
              <w:spacing w:after="0"/>
              <w:rPr>
                <w:sz w:val="20"/>
                <w:szCs w:val="20"/>
                <w:color w:val="auto"/>
              </w:rPr>
            </w:pPr>
            <w:r>
              <w:rPr>
                <w:rFonts w:ascii="Arial" w:cs="Arial" w:eastAsia="Arial" w:hAnsi="Arial"/>
                <w:sz w:val="13"/>
                <w:szCs w:val="13"/>
                <w:color w:val="auto"/>
                <w:w w:val="90"/>
              </w:rPr>
              <w:t>The shares will be ready for delivery on or about August   , 2014.</w:t>
            </w:r>
          </w:p>
        </w:tc>
        <w:tc>
          <w:tcPr>
            <w:tcW w:w="18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19"/>
        </w:trPr>
        <w:tc>
          <w:tcPr>
            <w:tcW w:w="2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65"/>
        </w:trPr>
        <w:tc>
          <w:tcPr>
            <w:tcW w:w="26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120" w:type="dxa"/>
            <w:vAlign w:val="bottom"/>
          </w:tcPr>
          <w:p>
            <w:pPr>
              <w:jc w:val="center"/>
              <w:ind w:left="170"/>
              <w:spacing w:after="0"/>
              <w:rPr>
                <w:sz w:val="20"/>
                <w:szCs w:val="20"/>
                <w:color w:val="auto"/>
              </w:rPr>
            </w:pPr>
            <w:r>
              <w:rPr>
                <w:rFonts w:ascii="Arial" w:cs="Arial" w:eastAsia="Arial" w:hAnsi="Arial"/>
                <w:sz w:val="14"/>
                <w:szCs w:val="14"/>
                <w:i w:val="1"/>
                <w:iCs w:val="1"/>
                <w:color w:val="auto"/>
                <w:w w:val="94"/>
              </w:rPr>
              <w:t>Joint Book-Running Managers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412"/>
        </w:trPr>
        <w:tc>
          <w:tcPr>
            <w:tcW w:w="2680" w:type="dxa"/>
            <w:vAlign w:val="bottom"/>
          </w:tcPr>
          <w:p>
            <w:pPr>
              <w:spacing w:after="0"/>
              <w:rPr>
                <w:sz w:val="20"/>
                <w:szCs w:val="20"/>
                <w:color w:val="auto"/>
              </w:rPr>
            </w:pPr>
            <w:r>
              <w:rPr>
                <w:rFonts w:ascii="Arial" w:cs="Arial" w:eastAsia="Arial" w:hAnsi="Arial"/>
                <w:sz w:val="25"/>
                <w:szCs w:val="25"/>
                <w:b w:val="1"/>
                <w:bCs w:val="1"/>
                <w:color w:val="auto"/>
              </w:rPr>
              <w:t>BofA Merrill Lynch</w:t>
            </w:r>
          </w:p>
        </w:tc>
        <w:tc>
          <w:tcPr>
            <w:tcW w:w="184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25"/>
                <w:szCs w:val="25"/>
                <w:b w:val="1"/>
                <w:bCs w:val="1"/>
                <w:color w:val="auto"/>
              </w:rPr>
              <w:t>J.P. Morgan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gridSpan w:val="2"/>
          </w:tcPr>
          <w:p>
            <w:pPr>
              <w:ind w:left="240"/>
              <w:spacing w:after="0"/>
              <w:rPr>
                <w:sz w:val="20"/>
                <w:szCs w:val="20"/>
                <w:color w:val="auto"/>
              </w:rPr>
            </w:pPr>
            <w:r>
              <w:rPr>
                <w:rFonts w:ascii="Arial" w:cs="Arial" w:eastAsia="Arial" w:hAnsi="Arial"/>
                <w:sz w:val="25"/>
                <w:szCs w:val="25"/>
                <w:b w:val="1"/>
                <w:bCs w:val="1"/>
                <w:color w:val="auto"/>
              </w:rPr>
              <w:t>Goldman, Sachs &amp; Co.</w:t>
            </w:r>
          </w:p>
        </w:tc>
      </w:tr>
      <w:tr>
        <w:trPr>
          <w:trHeight w:val="366"/>
        </w:trPr>
        <w:tc>
          <w:tcPr>
            <w:tcW w:w="6640" w:type="dxa"/>
            <w:vAlign w:val="bottom"/>
            <w:gridSpan w:val="3"/>
          </w:tcPr>
          <w:p>
            <w:pPr>
              <w:ind w:left="2120"/>
              <w:spacing w:after="0"/>
              <w:rPr>
                <w:sz w:val="20"/>
                <w:szCs w:val="20"/>
                <w:color w:val="auto"/>
              </w:rPr>
            </w:pPr>
            <w:r>
              <w:rPr>
                <w:rFonts w:ascii="Arial" w:cs="Arial" w:eastAsia="Arial" w:hAnsi="Arial"/>
                <w:sz w:val="22"/>
                <w:szCs w:val="22"/>
                <w:b w:val="1"/>
                <w:bCs w:val="1"/>
                <w:color w:val="auto"/>
              </w:rPr>
              <w:t>Morgan Stanley</w:t>
            </w:r>
          </w:p>
        </w:tc>
        <w:tc>
          <w:tcPr>
            <w:tcW w:w="260" w:type="dxa"/>
            <w:vAlign w:val="bottom"/>
          </w:tcPr>
          <w:p>
            <w:pPr>
              <w:spacing w:after="0"/>
              <w:rPr>
                <w:sz w:val="24"/>
                <w:szCs w:val="24"/>
                <w:color w:val="auto"/>
              </w:rPr>
            </w:pPr>
          </w:p>
        </w:tc>
        <w:tc>
          <w:tcPr>
            <w:tcW w:w="3020" w:type="dxa"/>
            <w:vAlign w:val="bottom"/>
            <w:gridSpan w:val="2"/>
          </w:tcPr>
          <w:p>
            <w:pPr>
              <w:ind w:left="700"/>
              <w:spacing w:after="0"/>
              <w:rPr>
                <w:sz w:val="20"/>
                <w:szCs w:val="20"/>
                <w:color w:val="auto"/>
              </w:rPr>
            </w:pPr>
            <w:r>
              <w:rPr>
                <w:rFonts w:ascii="Arial" w:cs="Arial" w:eastAsia="Arial" w:hAnsi="Arial"/>
                <w:sz w:val="22"/>
                <w:szCs w:val="22"/>
                <w:b w:val="1"/>
                <w:bCs w:val="1"/>
                <w:color w:val="auto"/>
                <w:w w:val="97"/>
              </w:rPr>
              <w:t>Wells Fargo Securities</w:t>
            </w:r>
          </w:p>
        </w:tc>
        <w:tc>
          <w:tcPr>
            <w:tcW w:w="1500" w:type="dxa"/>
            <w:vAlign w:val="bottom"/>
          </w:tcPr>
          <w:p>
            <w:pPr>
              <w:spacing w:after="0"/>
              <w:rPr>
                <w:sz w:val="24"/>
                <w:szCs w:val="24"/>
                <w:color w:val="auto"/>
              </w:rPr>
            </w:pPr>
          </w:p>
        </w:tc>
      </w:tr>
      <w:tr>
        <w:trPr>
          <w:trHeight w:val="262"/>
        </w:trPr>
        <w:tc>
          <w:tcPr>
            <w:tcW w:w="2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120" w:type="dxa"/>
            <w:vAlign w:val="bottom"/>
          </w:tcPr>
          <w:p>
            <w:pPr>
              <w:jc w:val="center"/>
              <w:ind w:left="190"/>
              <w:spacing w:after="0"/>
              <w:rPr>
                <w:sz w:val="20"/>
                <w:szCs w:val="20"/>
                <w:color w:val="auto"/>
              </w:rPr>
            </w:pPr>
            <w:r>
              <w:rPr>
                <w:rFonts w:ascii="Arial" w:cs="Arial" w:eastAsia="Arial" w:hAnsi="Arial"/>
                <w:sz w:val="14"/>
                <w:szCs w:val="14"/>
                <w:i w:val="1"/>
                <w:iCs w:val="1"/>
                <w:color w:val="auto"/>
                <w:w w:val="94"/>
              </w:rPr>
              <w:t>Co-Managers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303"/>
        </w:trPr>
        <w:tc>
          <w:tcPr>
            <w:tcW w:w="2680" w:type="dxa"/>
            <w:vAlign w:val="bottom"/>
          </w:tcPr>
          <w:p>
            <w:pPr>
              <w:spacing w:after="0"/>
              <w:rPr>
                <w:sz w:val="20"/>
                <w:szCs w:val="20"/>
                <w:color w:val="auto"/>
              </w:rPr>
            </w:pPr>
            <w:r>
              <w:rPr>
                <w:rFonts w:ascii="Arial" w:cs="Arial" w:eastAsia="Arial" w:hAnsi="Arial"/>
                <w:sz w:val="16"/>
                <w:szCs w:val="16"/>
                <w:b w:val="1"/>
                <w:bCs w:val="1"/>
                <w:color w:val="auto"/>
              </w:rPr>
              <w:t>TPG Capital BD, LLC</w:t>
            </w:r>
          </w:p>
        </w:tc>
        <w:tc>
          <w:tcPr>
            <w:tcW w:w="3960" w:type="dxa"/>
            <w:vAlign w:val="bottom"/>
            <w:gridSpan w:val="2"/>
          </w:tcPr>
          <w:p>
            <w:pPr>
              <w:ind w:left="560"/>
              <w:spacing w:after="0"/>
              <w:rPr>
                <w:sz w:val="20"/>
                <w:szCs w:val="20"/>
                <w:color w:val="auto"/>
              </w:rPr>
            </w:pPr>
            <w:r>
              <w:rPr>
                <w:rFonts w:ascii="Arial" w:cs="Arial" w:eastAsia="Arial" w:hAnsi="Arial"/>
                <w:sz w:val="16"/>
                <w:szCs w:val="16"/>
                <w:b w:val="1"/>
                <w:bCs w:val="1"/>
                <w:color w:val="auto"/>
              </w:rPr>
              <w:t>SunTrust Robinson Humphrey</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Imperial Capital</w:t>
            </w:r>
          </w:p>
        </w:tc>
        <w:tc>
          <w:tcPr>
            <w:tcW w:w="1800" w:type="dxa"/>
            <w:vAlign w:val="bottom"/>
          </w:tcPr>
          <w:p>
            <w:pPr>
              <w:ind w:left="680"/>
              <w:spacing w:after="0"/>
              <w:rPr>
                <w:sz w:val="20"/>
                <w:szCs w:val="20"/>
                <w:color w:val="auto"/>
              </w:rPr>
            </w:pPr>
            <w:r>
              <w:rPr>
                <w:rFonts w:ascii="Arial" w:cs="Arial" w:eastAsia="Arial" w:hAnsi="Arial"/>
                <w:sz w:val="16"/>
                <w:szCs w:val="16"/>
                <w:b w:val="1"/>
                <w:bCs w:val="1"/>
                <w:color w:val="auto"/>
              </w:rPr>
              <w:t>HSBC</w:t>
            </w:r>
          </w:p>
        </w:tc>
        <w:tc>
          <w:tcPr>
            <w:tcW w:w="1500" w:type="dxa"/>
            <w:vAlign w:val="bottom"/>
          </w:tcPr>
          <w:p>
            <w:pPr>
              <w:ind w:left="260"/>
              <w:spacing w:after="0"/>
              <w:rPr>
                <w:sz w:val="20"/>
                <w:szCs w:val="20"/>
                <w:color w:val="auto"/>
              </w:rPr>
            </w:pPr>
            <w:r>
              <w:rPr>
                <w:rFonts w:ascii="Arial" w:cs="Arial" w:eastAsia="Arial" w:hAnsi="Arial"/>
                <w:sz w:val="16"/>
                <w:szCs w:val="16"/>
                <w:b w:val="1"/>
                <w:bCs w:val="1"/>
                <w:color w:val="auto"/>
                <w:w w:val="89"/>
              </w:rPr>
              <w:t>Mizuho Securities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730" w:gutter="0" w:footer="0" w:header="0"/>
        </w:sectPr>
      </w:pPr>
    </w:p>
    <w:p>
      <w:pPr>
        <w:spacing w:after="0" w:line="357"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16"/>
          <w:szCs w:val="16"/>
          <w:b w:val="1"/>
          <w:bCs w:val="1"/>
          <w:color w:val="auto"/>
        </w:rPr>
        <w:t>The date of this prospectus supplement is August</w:t>
      </w:r>
      <w:r>
        <w:rPr>
          <w:sz w:val="20"/>
          <w:szCs w:val="20"/>
          <w:color w:val="auto"/>
        </w:rPr>
        <w:tab/>
      </w:r>
      <w:r>
        <w:rPr>
          <w:rFonts w:ascii="Arial" w:cs="Arial" w:eastAsia="Arial" w:hAnsi="Arial"/>
          <w:sz w:val="15"/>
          <w:szCs w:val="15"/>
          <w:b w:val="1"/>
          <w:bCs w:val="1"/>
          <w:color w:val="auto"/>
        </w:rPr>
        <w:t>, 2014.</w:t>
      </w:r>
    </w:p>
    <w:p>
      <w:pPr>
        <w:sectPr>
          <w:pgSz w:w="11900" w:h="16838" w:orient="portrait"/>
          <w:cols w:equalWidth="0" w:num="1">
            <w:col w:w="11420"/>
          </w:cols>
          <w:pgMar w:left="240" w:top="230" w:right="239" w:bottom="73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2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820" w:type="dxa"/>
            <w:vAlign w:val="bottom"/>
            <w:gridSpan w:val="20"/>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5480" w:type="dxa"/>
            <w:vAlign w:val="bottom"/>
            <w:gridSpan w:val="2"/>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FEES AND EXPENSES</w:t>
              </w:r>
            </w:hyperlink>
          </w:p>
        </w:tc>
        <w:tc>
          <w:tcPr>
            <w:tcW w:w="9020" w:type="dxa"/>
            <w:vAlign w:val="bottom"/>
            <w:gridSpan w:val="1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SELECTED FINANCIAL DATA AND OTHER INFORMATION</w:t>
              </w:r>
            </w:hyperlink>
          </w:p>
        </w:tc>
        <w:tc>
          <w:tcPr>
            <w:tcW w:w="6020" w:type="dxa"/>
            <w:vAlign w:val="bottom"/>
            <w:gridSpan w:val="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SELECTED QUARTERLY FINANCIAL DATA</w:t>
              </w:r>
            </w:hyperlink>
          </w:p>
        </w:tc>
        <w:tc>
          <w:tcPr>
            <w:tcW w:w="7280" w:type="dxa"/>
            <w:vAlign w:val="bottom"/>
            <w:gridSpan w:val="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PRICE RANGE OF COMMON STOCK AND DISTRIBUTIONS</w:t>
              </w:r>
            </w:hyperlink>
          </w:p>
        </w:tc>
        <w:tc>
          <w:tcPr>
            <w:tcW w:w="6000" w:type="dxa"/>
            <w:vAlign w:val="bottom"/>
            <w:gridSpan w:val="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S-19</w:t>
            </w: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SENIOR SECURITIES</w:t>
              </w:r>
            </w:hyperlink>
          </w:p>
        </w:tc>
        <w:tc>
          <w:tcPr>
            <w:tcW w:w="7180" w:type="dxa"/>
            <w:vAlign w:val="bottom"/>
            <w:tcBorders>
              <w:top w:val="single" w:sz="8" w:color="0000EE"/>
            </w:tcBorders>
            <w:gridSpan w:val="12"/>
          </w:tcPr>
          <w:p>
            <w:pPr>
              <w:spacing w:after="0"/>
              <w:rPr>
                <w:sz w:val="17"/>
                <w:szCs w:val="17"/>
                <w:color w:val="auto"/>
              </w:rPr>
            </w:pPr>
          </w:p>
        </w:tc>
        <w:tc>
          <w:tcPr>
            <w:tcW w:w="1900" w:type="dxa"/>
            <w:vAlign w:val="bottom"/>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SELLING STOCKHOLDERS</w:t>
            </w:r>
          </w:p>
        </w:tc>
        <w:tc>
          <w:tcPr>
            <w:tcW w:w="8600" w:type="dxa"/>
            <w:vAlign w:val="bottom"/>
            <w:gridSpan w:val="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S-44</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SHARES ELIGIBLE FOR FUTURE SALE</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UNDERWRITING</w:t>
              </w:r>
            </w:hyperlink>
          </w:p>
        </w:tc>
        <w:tc>
          <w:tcPr>
            <w:tcW w:w="1780" w:type="dxa"/>
            <w:vAlign w:val="bottom"/>
            <w:tcBorders>
              <w:top w:val="single" w:sz="8" w:color="0000EE"/>
            </w:tcBorders>
            <w:gridSpan w:val="10"/>
          </w:tcPr>
          <w:p>
            <w:pPr>
              <w:spacing w:after="0"/>
              <w:rPr>
                <w:sz w:val="17"/>
                <w:szCs w:val="17"/>
                <w:color w:val="auto"/>
              </w:rPr>
            </w:pPr>
          </w:p>
        </w:tc>
        <w:tc>
          <w:tcPr>
            <w:tcW w:w="7640" w:type="dxa"/>
            <w:vAlign w:val="bottom"/>
            <w:gridSpan w:val="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S-47</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INDEX TO CONSOLIDATED FINANCIAL STATEMENTS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S-F-1</w:t>
            </w: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3"/>
          </w:tcPr>
          <w:p>
            <w:pPr>
              <w:jc w:val="center"/>
              <w:ind w:right="4200"/>
              <w:spacing w:after="0"/>
              <w:rPr>
                <w:sz w:val="20"/>
                <w:szCs w:val="20"/>
                <w:color w:val="auto"/>
              </w:rPr>
            </w:pPr>
            <w:r>
              <w:rPr>
                <w:rFonts w:ascii="Arial" w:cs="Arial" w:eastAsia="Arial" w:hAnsi="Arial"/>
                <w:sz w:val="18"/>
                <w:szCs w:val="18"/>
                <w:b w:val="1"/>
                <w:bCs w:val="1"/>
                <w:color w:val="auto"/>
                <w:w w:val="85"/>
              </w:rPr>
              <w:t>Prospectus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360" w:type="dxa"/>
            <w:vAlign w:val="bottom"/>
            <w:gridSpan w:val="5"/>
          </w:tcPr>
          <w:p>
            <w:pPr>
              <w:jc w:val="center"/>
              <w:ind w:right="384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2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3"/>
              </w:rPr>
              <w:t>ABOUT THIS PROSPECTUS</w:t>
            </w:r>
          </w:p>
        </w:tc>
        <w:tc>
          <w:tcPr>
            <w:tcW w:w="8580" w:type="dxa"/>
            <w:vAlign w:val="bottom"/>
            <w:gridSpan w:val="8"/>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PROSPECTUS SUMMARY</w:t>
            </w:r>
          </w:p>
        </w:tc>
        <w:tc>
          <w:tcPr>
            <w:tcW w:w="8720" w:type="dxa"/>
            <w:vAlign w:val="bottom"/>
            <w:gridSpan w:val="1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THE OFFERING</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760" w:type="dxa"/>
            <w:vAlign w:val="bottom"/>
            <w:gridSpan w:val="1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FEES AND EXPENSES</w:t>
            </w:r>
          </w:p>
        </w:tc>
        <w:tc>
          <w:tcPr>
            <w:tcW w:w="9020" w:type="dxa"/>
            <w:vAlign w:val="bottom"/>
            <w:gridSpan w:val="1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7"/>
              </w:rPr>
              <w:t>SELECTED FINANCIAL DATA AND OTHER INFORMATION</w:t>
            </w:r>
          </w:p>
        </w:tc>
        <w:tc>
          <w:tcPr>
            <w:tcW w:w="6020" w:type="dxa"/>
            <w:vAlign w:val="bottom"/>
            <w:gridSpan w:val="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7"/>
              </w:rPr>
              <w:t>SELECTED QUARTERLY FINANCIAL DATA</w:t>
            </w:r>
          </w:p>
        </w:tc>
        <w:tc>
          <w:tcPr>
            <w:tcW w:w="7280" w:type="dxa"/>
            <w:vAlign w:val="bottom"/>
            <w:gridSpan w:val="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RISK FACTORS</w:t>
            </w:r>
          </w:p>
        </w:tc>
        <w:tc>
          <w:tcPr>
            <w:tcW w:w="9540" w:type="dxa"/>
            <w:vAlign w:val="bottom"/>
            <w:gridSpan w:val="1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USE OF PROCEEDS</w:t>
            </w:r>
          </w:p>
        </w:tc>
        <w:tc>
          <w:tcPr>
            <w:tcW w:w="5480" w:type="dxa"/>
            <w:vAlign w:val="bottom"/>
            <w:gridSpan w:val="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760" w:type="dxa"/>
            <w:vAlign w:val="bottom"/>
            <w:gridSpan w:val="1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6"/>
              </w:rPr>
              <w:t>PRICE RANGE OF COMMON STOCK AND DISTRIBUTIONS</w:t>
            </w:r>
          </w:p>
        </w:tc>
        <w:tc>
          <w:tcPr>
            <w:tcW w:w="6000" w:type="dxa"/>
            <w:vAlign w:val="bottom"/>
            <w:gridSpan w:val="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SENIOR SECURITIES</w:t>
            </w:r>
          </w:p>
        </w:tc>
        <w:tc>
          <w:tcPr>
            <w:tcW w:w="1900" w:type="dxa"/>
            <w:vAlign w:val="bottom"/>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THE COMPANY</w:t>
            </w:r>
          </w:p>
        </w:tc>
        <w:tc>
          <w:tcPr>
            <w:tcW w:w="9100" w:type="dxa"/>
            <w:vAlign w:val="bottom"/>
            <w:gridSpan w:val="1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760" w:type="dxa"/>
            <w:vAlign w:val="bottom"/>
            <w:gridSpan w:val="1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PORTFOLIO COMPANIES</w:t>
            </w:r>
          </w:p>
        </w:tc>
        <w:tc>
          <w:tcPr>
            <w:tcW w:w="8760" w:type="dxa"/>
            <w:vAlign w:val="bottom"/>
            <w:gridSpan w:val="11"/>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MANAGEMENT</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80" w:type="dxa"/>
            <w:vAlign w:val="bottom"/>
            <w:gridSpan w:val="2"/>
          </w:tcPr>
          <w:p>
            <w:pPr>
              <w:jc w:val="center"/>
              <w:ind w:right="4740"/>
              <w:spacing w:after="0"/>
              <w:rPr>
                <w:sz w:val="20"/>
                <w:szCs w:val="20"/>
                <w:color w:val="auto"/>
              </w:rPr>
            </w:pPr>
            <w:r>
              <w:rPr>
                <w:rFonts w:ascii="Arial" w:cs="Arial" w:eastAsia="Arial" w:hAnsi="Arial"/>
                <w:sz w:val="18"/>
                <w:szCs w:val="18"/>
                <w:color w:val="auto"/>
                <w:w w:val="92"/>
              </w:rPr>
              <w:t>S-1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280" w:type="dxa"/>
            <w:vAlign w:val="bottom"/>
            <w:gridSpan w:val="19"/>
          </w:tcPr>
          <w:p>
            <w:pPr>
              <w:spacing w:after="0"/>
              <w:rPr>
                <w:sz w:val="17"/>
                <w:szCs w:val="17"/>
                <w:color w:val="auto"/>
              </w:rPr>
            </w:pPr>
          </w:p>
        </w:tc>
        <w:tc>
          <w:tcPr>
            <w:tcW w:w="2680" w:type="dxa"/>
            <w:vAlign w:val="bottom"/>
          </w:tcPr>
          <w:p>
            <w:pPr>
              <w:spacing w:after="0"/>
              <w:rPr>
                <w:sz w:val="17"/>
                <w:szCs w:val="17"/>
                <w:color w:val="auto"/>
              </w:rPr>
            </w:pPr>
          </w:p>
        </w:tc>
      </w:tr>
      <w:tr>
        <w:trPr>
          <w:trHeight w:val="493"/>
        </w:trPr>
        <w:tc>
          <w:tcPr>
            <w:tcW w:w="8640" w:type="dxa"/>
            <w:vAlign w:val="bottom"/>
            <w:gridSpan w:val="22"/>
          </w:tcPr>
          <w:p>
            <w:pPr>
              <w:spacing w:after="0"/>
              <w:rPr>
                <w:sz w:val="20"/>
                <w:szCs w:val="20"/>
                <w:color w:val="auto"/>
              </w:rPr>
            </w:pPr>
            <w:r>
              <w:rPr>
                <w:rFonts w:ascii="Arial" w:cs="Arial" w:eastAsia="Arial" w:hAnsi="Arial"/>
                <w:sz w:val="18"/>
                <w:szCs w:val="18"/>
                <w:color w:val="0000EE"/>
              </w:rPr>
              <w:t>MANAGEMENT AND OTHER AGREEMENTS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5"/>
              </w:rPr>
              <w:t>RELATED-PARTY TRANSACTIONS AND CERTAIN RELATIONSHIPS</w:t>
            </w:r>
          </w:p>
        </w:tc>
        <w:tc>
          <w:tcPr>
            <w:tcW w:w="3140" w:type="dxa"/>
            <w:vAlign w:val="bottom"/>
            <w:gridSpan w:val="2"/>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CONTROL PERSONS AND PRINCIPAL STOCKHOLDERS</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22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5"/>
              </w:rPr>
              <w:t>SELLING STOCKHOLDERS</w:t>
            </w:r>
          </w:p>
        </w:tc>
        <w:tc>
          <w:tcPr>
            <w:tcW w:w="2320" w:type="dxa"/>
            <w:vAlign w:val="bottom"/>
            <w:tcBorders>
              <w:top w:val="single" w:sz="8" w:color="0000EE"/>
            </w:tcBorders>
            <w:gridSpan w:val="12"/>
          </w:tcPr>
          <w:p>
            <w:pPr>
              <w:spacing w:after="0"/>
              <w:rPr>
                <w:sz w:val="17"/>
                <w:szCs w:val="17"/>
                <w:color w:val="auto"/>
              </w:rPr>
            </w:pPr>
          </w:p>
        </w:tc>
        <w:tc>
          <w:tcPr>
            <w:tcW w:w="4100" w:type="dxa"/>
            <w:vAlign w:val="bottom"/>
            <w:gridSpan w:val="4"/>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3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6"/>
              </w:rPr>
              <w:t>DETERMINATION OF NET ASSET VALUE</w:t>
            </w:r>
          </w:p>
        </w:tc>
        <w:tc>
          <w:tcPr>
            <w:tcW w:w="5260" w:type="dxa"/>
            <w:vAlign w:val="bottom"/>
            <w:gridSpan w:val="10"/>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DIVIDEND REINVESTMENT PLAN</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6"/>
              </w:rPr>
              <w:t>MATERIAL U.S. FEDERAL INCOME TAX CONSIDERATIONS</w:t>
            </w:r>
          </w:p>
        </w:tc>
        <w:tc>
          <w:tcPr>
            <w:tcW w:w="3760" w:type="dxa"/>
            <w:vAlign w:val="bottom"/>
            <w:gridSpan w:val="3"/>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DESCRIPTION OF OUR SECURITIES</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DESCRIPTION OF OUR CAPITAL STOCK</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4"/>
              </w:rPr>
              <w:t>DESCRIPTION OF OUR PREFERRED STOCK</w:t>
            </w:r>
          </w:p>
        </w:tc>
        <w:tc>
          <w:tcPr>
            <w:tcW w:w="5000" w:type="dxa"/>
            <w:vAlign w:val="bottom"/>
            <w:gridSpan w:val="8"/>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39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4"/>
              </w:rPr>
              <w:t>DESCRIPTION OF OUR SUBSCRIPTION RIGHTS</w:t>
            </w:r>
          </w:p>
        </w:tc>
        <w:tc>
          <w:tcPr>
            <w:tcW w:w="4740" w:type="dxa"/>
            <w:vAlign w:val="bottom"/>
            <w:gridSpan w:val="7"/>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29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OUR WARRANTS</w:t>
            </w:r>
          </w:p>
        </w:tc>
        <w:tc>
          <w:tcPr>
            <w:tcW w:w="5700" w:type="dxa"/>
            <w:vAlign w:val="bottom"/>
            <w:gridSpan w:val="13"/>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4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OUR DEBT SECURITIES</w:t>
            </w:r>
          </w:p>
        </w:tc>
        <w:tc>
          <w:tcPr>
            <w:tcW w:w="5180" w:type="dxa"/>
            <w:vAlign w:val="bottom"/>
            <w:gridSpan w:val="9"/>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SHARES ELIGIBLE FOR FUTURE SALE</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196"/>
        </w:trPr>
        <w:tc>
          <w:tcPr>
            <w:tcW w:w="318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REGULATION</w:t>
            </w:r>
          </w:p>
        </w:tc>
        <w:tc>
          <w:tcPr>
            <w:tcW w:w="5460" w:type="dxa"/>
            <w:vAlign w:val="bottom"/>
            <w:gridSpan w:val="12"/>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CUSTODIAN, TRANSFER AND DIVIDEND PAYING AGENT AND REGISTRAR</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624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BROKERAGE ALLOCATION AND OTHER PRACTICES</w:t>
            </w:r>
          </w:p>
        </w:tc>
        <w:tc>
          <w:tcPr>
            <w:tcW w:w="2400" w:type="dxa"/>
            <w:vAlign w:val="bottom"/>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20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7"/>
              </w:rPr>
              <w:t>PLAN OF DISTRIBUTION</w:t>
            </w:r>
          </w:p>
        </w:tc>
        <w:tc>
          <w:tcPr>
            <w:tcW w:w="2320" w:type="dxa"/>
            <w:vAlign w:val="bottom"/>
            <w:tcBorders>
              <w:top w:val="single" w:sz="8" w:color="0000EE"/>
            </w:tcBorders>
            <w:gridSpan w:val="11"/>
          </w:tcPr>
          <w:p>
            <w:pPr>
              <w:spacing w:after="0"/>
              <w:rPr>
                <w:sz w:val="17"/>
                <w:szCs w:val="17"/>
                <w:color w:val="auto"/>
              </w:rPr>
            </w:pPr>
          </w:p>
        </w:tc>
        <w:tc>
          <w:tcPr>
            <w:tcW w:w="4260" w:type="dxa"/>
            <w:vAlign w:val="bottom"/>
            <w:gridSpan w:val="6"/>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LEGAL MATTERS</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EXPERTS</w:t>
            </w:r>
          </w:p>
        </w:tc>
        <w:tc>
          <w:tcPr>
            <w:tcW w:w="680" w:type="dxa"/>
            <w:vAlign w:val="bottom"/>
            <w:tcBorders>
              <w:top w:val="single" w:sz="8" w:color="0000EE"/>
            </w:tcBorders>
            <w:gridSpan w:val="3"/>
          </w:tcPr>
          <w:p>
            <w:pPr>
              <w:spacing w:after="0"/>
              <w:rPr>
                <w:sz w:val="17"/>
                <w:szCs w:val="17"/>
                <w:color w:val="auto"/>
              </w:rPr>
            </w:pPr>
          </w:p>
        </w:tc>
        <w:tc>
          <w:tcPr>
            <w:tcW w:w="7180" w:type="dxa"/>
            <w:vAlign w:val="bottom"/>
            <w:gridSpan w:val="18"/>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22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AVAILABLE INFORMATION</w:t>
            </w:r>
          </w:p>
        </w:tc>
        <w:tc>
          <w:tcPr>
            <w:tcW w:w="6360" w:type="dxa"/>
            <w:vAlign w:val="bottom"/>
            <w:gridSpan w:val="15"/>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INDEX TO CONSOLIDATED FINANCIAL STATEMENTS</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385"/>
        </w:trPr>
        <w:tc>
          <w:tcPr>
            <w:tcW w:w="7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gridSpan w:val="2"/>
          </w:tcPr>
          <w:p>
            <w:pPr>
              <w:ind w:left="80"/>
              <w:spacing w:after="0"/>
              <w:rPr>
                <w:sz w:val="20"/>
                <w:szCs w:val="20"/>
                <w:color w:val="auto"/>
              </w:rPr>
            </w:pPr>
            <w:r>
              <w:rPr>
                <w:rFonts w:ascii="Arial" w:cs="Arial" w:eastAsia="Arial" w:hAnsi="Arial"/>
                <w:sz w:val="18"/>
                <w:szCs w:val="18"/>
                <w:color w:val="auto"/>
              </w:rPr>
              <w:t>S-2</w:t>
            </w:r>
          </w:p>
        </w:tc>
        <w:tc>
          <w:tcPr>
            <w:tcW w:w="2680" w:type="dxa"/>
            <w:vAlign w:val="bottom"/>
          </w:tcPr>
          <w:p>
            <w:pPr>
              <w:spacing w:after="0"/>
              <w:rPr>
                <w:sz w:val="24"/>
                <w:szCs w:val="24"/>
                <w:color w:val="auto"/>
              </w:rPr>
            </w:pPr>
          </w:p>
        </w:tc>
      </w:tr>
    </w:tbl>
    <w:p>
      <w:pPr>
        <w:sectPr>
          <w:pgSz w:w="11900" w:h="16838" w:orient="portrait"/>
          <w:cols w:equalWidth="0" w:num="1">
            <w:col w:w="11320"/>
          </w:cols>
          <w:pgMar w:left="240" w:top="446"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the accompanying prospectus.</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the accompanying prospectus and the consolidated financial statements and the related notes included elsewhere in this prospectus supplement and the accompanying prospectus.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June 30, 2014 we have originated $2.8 billion aggregate principal amount of investments and retained approximately $1.9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8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June 30, 2014, our portfolio consisted of 85.9% first-lien debt investments, 12.7% second-lien debt investments, 0.4% mezzanine debt investments and 1.0% equity investments. Approximately 98.3% of our debt investments as of June 30, 2014 are floating rate in nature, subject to interest rate floors, which we believe helps act as a portfolio-wide hedge against inflation.</w:t>
      </w:r>
    </w:p>
    <w:p>
      <w:pPr>
        <w:spacing w:after="0" w:line="179"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As of June 30, 2014, our portfolio was invested across 19 different industries. The largest industries in our portfolio, based on fair value as of June 30, 2014, were healthcare and pharmaceuticals, business services, and financial services, which represented, as a percentage of our portfolio, 14.8%, 13.7%, and 9.6%, respectively. We expect that no single investment will represent more than 15% of our total investment portfolio, based on fair value.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2014, we had investments in 31 portfolio companies with an aggregate fair value of $1,129.2 million. For the three months ended June 30, 2014, we made new investment commitments of $116.4 million, $114.0 million in four new portfolio companies and $2.4 million in two existing portfolio companies. For this period, we had $159.2 million aggregate principal amount in exits and repayments, resulting in a net portfolio decrease of $54.8 million aggregate principal amount.</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2013, we had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8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Since we began investing in 2011 through June 30, 2014, our exited investments have resulted in an aggregate cash flow realized gross internal rate of return to us of approximately 16.4% (based on cash invested of approximately $619 million and total proceeds from these exited investments of approximately $718 million). Eighty one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$10 billion of assets under management as of June 30, 2014. TSSP has extensive experience with highly complex, global public and private investments executed through primary originations, secondary market purchases and restructurings, and has a team of over 80 investment and operating professionals. Twenty three of these personnel are dedicated to our business, including 17 investment professionals. The TSSP members of the Investment Review Committee are Joshua Easterly, Michael Fishman, Alan Waxman and David Stiepleman.</w:t>
      </w:r>
    </w:p>
    <w:p>
      <w:pPr>
        <w:spacing w:after="0" w:line="18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jc w:val="center"/>
        <w:ind w:right="400"/>
        <w:spacing w:after="0" w:line="291"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June 30, 2014, our Adviser owned</w:t>
      </w:r>
    </w:p>
    <w:p>
      <w:pPr>
        <w:ind w:right="20"/>
        <w:spacing w:after="0" w:line="261" w:lineRule="auto"/>
        <w:rPr>
          <w:sz w:val="20"/>
          <w:szCs w:val="20"/>
          <w:color w:val="auto"/>
        </w:rPr>
      </w:pPr>
      <w:r>
        <w:rPr>
          <w:rFonts w:ascii="Arial" w:cs="Arial" w:eastAsia="Arial" w:hAnsi="Arial"/>
          <w:sz w:val="18"/>
          <w:szCs w:val="18"/>
          <w:color w:val="auto"/>
        </w:rPr>
        <w:t>5.2% of our common stock. See “Management,” “Related-Party Transactions and Certain Relationships” and “Control Persons and Principal Stockholders” in the accompanying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60"/>
          </w:cols>
          <w:pgMar w:left="240" w:top="459"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2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86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w w:val="93"/>
              </w:rPr>
              <w:t>Common Stock Offered by the Selling Stockholders</w:t>
            </w: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5,000,000 shares, or 5,750,000 shares if the underwriters exercise their option to purchase</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additional shares in full.</w:t>
            </w:r>
          </w:p>
        </w:tc>
      </w:tr>
      <w:tr>
        <w:trPr>
          <w:trHeight w:val="338"/>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Common Stock Outstanding</w:t>
            </w:r>
          </w:p>
        </w:tc>
        <w:tc>
          <w:tcPr>
            <w:tcW w:w="7260" w:type="dxa"/>
            <w:vAlign w:val="bottom"/>
          </w:tcPr>
          <w:p>
            <w:pPr>
              <w:ind w:left="180"/>
              <w:spacing w:after="0"/>
              <w:rPr>
                <w:sz w:val="20"/>
                <w:szCs w:val="20"/>
                <w:color w:val="auto"/>
              </w:rPr>
            </w:pPr>
            <w:r>
              <w:rPr>
                <w:rFonts w:ascii="Arial" w:cs="Arial" w:eastAsia="Arial" w:hAnsi="Arial"/>
                <w:sz w:val="18"/>
                <w:szCs w:val="18"/>
                <w:color w:val="auto"/>
              </w:rPr>
              <w:t>53,566,783 shares as of August 4, 2014</w:t>
            </w:r>
          </w:p>
        </w:tc>
      </w:tr>
      <w:tr>
        <w:trPr>
          <w:trHeight w:val="35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Use of Proceeds</w:t>
            </w:r>
          </w:p>
        </w:tc>
        <w:tc>
          <w:tcPr>
            <w:tcW w:w="7260" w:type="dxa"/>
            <w:vAlign w:val="bottom"/>
          </w:tcPr>
          <w:p>
            <w:pPr>
              <w:ind w:left="180"/>
              <w:spacing w:after="0"/>
              <w:rPr>
                <w:sz w:val="20"/>
                <w:szCs w:val="20"/>
                <w:color w:val="auto"/>
              </w:rPr>
            </w:pPr>
            <w:r>
              <w:rPr>
                <w:rFonts w:ascii="Arial" w:cs="Arial" w:eastAsia="Arial" w:hAnsi="Arial"/>
                <w:sz w:val="18"/>
                <w:szCs w:val="18"/>
                <w:color w:val="auto"/>
              </w:rPr>
              <w:t>We will not receive any proceeds from any sale of common stock in this offering.</w:t>
            </w:r>
          </w:p>
        </w:tc>
      </w:tr>
      <w:tr>
        <w:trPr>
          <w:trHeight w:val="337"/>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Distributions</w:t>
            </w: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4"/>
              </w:rPr>
              <w:t>quarterly dividends to our stockholders. The specific tax characteristics of our distributions will</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2"/>
              </w:rPr>
              <w:t>be reported to stockholders after the end of the calendar year. Future quarterly dividends, if any,</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4"/>
              </w:rPr>
              <w:t>will be determined by our Board. See “Price Range of Common Stock and Distributions” in this</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prospectus supplement.</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On August 4, 2014, our Board declared a dividend of $0.38 per share for the quarter ending</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89"/>
              </w:rPr>
              <w:t>September 30, 2014 to stockholders of record at the close of business on September 30, 2014. The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4"/>
              </w:rPr>
              <w:t>dividend is expected to be paid on or about October 31, 2014. We anticipate that this dividend</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will be paid from income generated primarily by interest earned on our investment portfolio.</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Federal Income Tax Considerations—Regulated Investment Company Classification” in the</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accompanying prospectus.</w:t>
            </w:r>
          </w:p>
        </w:tc>
      </w:tr>
      <w:tr>
        <w:trPr>
          <w:trHeight w:val="3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Lock-up Agreements</w:t>
            </w:r>
          </w:p>
        </w:tc>
        <w:tc>
          <w:tcPr>
            <w:tcW w:w="7260" w:type="dxa"/>
            <w:vAlign w:val="bottom"/>
          </w:tcPr>
          <w:p>
            <w:pPr>
              <w:ind w:left="180"/>
              <w:spacing w:after="0"/>
              <w:rPr>
                <w:sz w:val="20"/>
                <w:szCs w:val="20"/>
                <w:color w:val="auto"/>
              </w:rPr>
            </w:pPr>
            <w:r>
              <w:rPr>
                <w:rFonts w:ascii="Arial" w:cs="Arial" w:eastAsia="Arial" w:hAnsi="Arial"/>
                <w:sz w:val="18"/>
                <w:szCs w:val="18"/>
                <w:color w:val="auto"/>
                <w:w w:val="93"/>
              </w:rPr>
              <w:t>We, the Adviser, our directors, executive officers and all of our pre-IPO stockholders (including</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3"/>
              </w:rPr>
              <w:t>the selling stockholders) entered into lock-up agreements in connection with our IPO, which we</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refer to as the IPO Lock-up Agreements.</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In connection with this offering, we, the Adviser, our directors, executive officers, the selling</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1"/>
              </w:rPr>
              <w:t>stockholders and certain other pre-IPO stockholders have agreed with the underwriters to extend</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and modify the IPO Lock-up Agreements with respect to certain shares. As a result of these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extensions and modifications to the IPO Lock-up Agreements, only 4,279,946 shares will be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2"/>
              </w:rPr>
              <w:t>released from lock-up on various dates in September of this year, as compared with 21,044,096</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shares that otherwise would have been released.</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9"/>
              </w:rPr>
              <w:t>For a description of the terms of the lock-up agreements that will be in place following this</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2"/>
              </w:rPr>
              <w:t>offering, see “Shares Eligible for Future Sale” and “Underwriting” in this prospectus supplement.</w:t>
            </w:r>
          </w:p>
        </w:tc>
      </w:tr>
      <w:tr>
        <w:trPr>
          <w:trHeight w:val="58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Symbol on the New York Stock Exchange</w:t>
            </w:r>
          </w:p>
        </w:tc>
        <w:tc>
          <w:tcPr>
            <w:tcW w:w="7260" w:type="dxa"/>
            <w:vAlign w:val="bottom"/>
          </w:tcPr>
          <w:p>
            <w:pPr>
              <w:ind w:left="180"/>
              <w:spacing w:after="0"/>
              <w:rPr>
                <w:sz w:val="20"/>
                <w:szCs w:val="20"/>
                <w:color w:val="auto"/>
              </w:rPr>
            </w:pPr>
            <w:r>
              <w:rPr>
                <w:rFonts w:ascii="Arial" w:cs="Arial" w:eastAsia="Arial" w:hAnsi="Arial"/>
                <w:sz w:val="18"/>
                <w:szCs w:val="18"/>
                <w:color w:val="auto"/>
              </w:rPr>
              <w:t>TSLX</w:t>
            </w:r>
          </w:p>
        </w:tc>
      </w:tr>
      <w:tr>
        <w:trPr>
          <w:trHeight w:val="378"/>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420"/>
              <w:spacing w:after="0"/>
              <w:rPr>
                <w:sz w:val="20"/>
                <w:szCs w:val="20"/>
                <w:color w:val="auto"/>
              </w:rPr>
            </w:pPr>
            <w:r>
              <w:rPr>
                <w:rFonts w:ascii="Arial" w:cs="Arial" w:eastAsia="Arial" w:hAnsi="Arial"/>
                <w:sz w:val="18"/>
                <w:szCs w:val="18"/>
                <w:color w:val="auto"/>
              </w:rPr>
              <w:t>S-8</w:t>
            </w:r>
          </w:p>
        </w:tc>
      </w:tr>
    </w:tbl>
    <w:p>
      <w:pPr>
        <w:ind w:left="142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 in an amount so that our total borrowings are 0.7x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supplement or the accompanying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August 4, 2014 closing price of $19.29):</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Sales load</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0.41%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Dividend reinvestment plan fees</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2.16%</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 (17.5% of net investment income and capital gains)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2.80%</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1.80%</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1.03%</w:t>
            </w:r>
            <w:r>
              <w:rPr>
                <w:rFonts w:ascii="Arial" w:cs="Arial" w:eastAsia="Arial" w:hAnsi="Arial"/>
                <w:sz w:val="15"/>
                <w:szCs w:val="15"/>
                <w:color w:val="auto"/>
                <w:w w:val="95"/>
              </w:rPr>
              <w:t>(8)(9)</w:t>
            </w:r>
          </w:p>
        </w:tc>
        <w:tc>
          <w:tcPr>
            <w:tcW w:w="0" w:type="dxa"/>
            <w:vAlign w:val="bottom"/>
          </w:tcPr>
          <w:p>
            <w:pPr>
              <w:spacing w:after="0"/>
              <w:rPr>
                <w:sz w:val="1"/>
                <w:szCs w:val="1"/>
                <w:color w:val="auto"/>
              </w:rPr>
            </w:pPr>
          </w:p>
        </w:tc>
      </w:tr>
      <w:tr>
        <w:trPr>
          <w:trHeight w:val="20"/>
        </w:trPr>
        <w:tc>
          <w:tcPr>
            <w:tcW w:w="10420" w:type="dxa"/>
            <w:vAlign w:val="bottom"/>
            <w:vMerge w:val="restart"/>
          </w:tcPr>
          <w:p>
            <w:pPr>
              <w:spacing w:after="0"/>
              <w:rPr>
                <w:sz w:val="20"/>
                <w:szCs w:val="20"/>
                <w:color w:val="auto"/>
              </w:rPr>
            </w:pPr>
            <w:r>
              <w:rPr>
                <w:rFonts w:ascii="Arial" w:cs="Arial" w:eastAsia="Arial" w:hAnsi="Arial"/>
                <w:sz w:val="18"/>
                <w:szCs w:val="18"/>
                <w:color w:val="auto"/>
              </w:rPr>
              <w:t>Total annual expenses</w:t>
            </w: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20" w:type="dxa"/>
            <w:vAlign w:val="bottom"/>
            <w:vMerge w:val="continue"/>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7.79%</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sales load will be borne by the selling stockholders.</w:t>
      </w:r>
    </w:p>
    <w:p>
      <w:pPr>
        <w:spacing w:after="0" w:line="23"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$0.4 million payable by us. All offering expenses other than the sales load will be payable by us.</w:t>
      </w:r>
    </w:p>
    <w:p>
      <w:pPr>
        <w:ind w:left="460" w:right="6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 in the accompanying prospectus.</w:t>
      </w: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net assets attributable to common stock used to calculate the percentages in this table reflect our net assets of $837.4 million as of June 30, 2014.</w:t>
      </w:r>
    </w:p>
    <w:p>
      <w:pPr>
        <w:spacing w:after="0" w:line="32" w:lineRule="exact"/>
        <w:rPr>
          <w:rFonts w:ascii="Arial" w:cs="Arial" w:eastAsia="Arial" w:hAnsi="Arial"/>
          <w:sz w:val="16"/>
          <w:szCs w:val="16"/>
          <w:color w:val="auto"/>
        </w:rPr>
      </w:pPr>
    </w:p>
    <w:p>
      <w:pPr>
        <w:ind w:left="460" w:right="20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(as defined in the accompanying prospectus) must be submitted to stockholders for approval. See “Management and Other Agreements—Investment Advisory Agreement; Administration Agreement; License Agreement” in the accompanying prospectus.</w:t>
      </w:r>
    </w:p>
    <w:p>
      <w:pPr>
        <w:spacing w:after="0" w:line="86" w:lineRule="exact"/>
        <w:rPr>
          <w:rFonts w:ascii="Arial" w:cs="Arial" w:eastAsia="Arial" w:hAnsi="Arial"/>
          <w:sz w:val="18"/>
          <w:szCs w:val="18"/>
          <w:color w:val="auto"/>
        </w:rPr>
      </w:pPr>
    </w:p>
    <w:p>
      <w:pPr>
        <w:ind w:left="460" w:right="180"/>
        <w:spacing w:after="0" w:line="286" w:lineRule="auto"/>
        <w:rPr>
          <w:rFonts w:ascii="Arial" w:cs="Arial" w:eastAsia="Arial" w:hAnsi="Arial"/>
          <w:sz w:val="18"/>
          <w:szCs w:val="18"/>
          <w:color w:val="auto"/>
        </w:rPr>
      </w:pPr>
      <w:r>
        <w:rPr>
          <w:rFonts w:ascii="Arial" w:cs="Arial" w:eastAsia="Arial" w:hAnsi="Arial"/>
          <w:sz w:val="17"/>
          <w:szCs w:val="17"/>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amounts) as of March 31, 2014 and June 30, 2014.</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supplement. The Incentive Fee payable in the example below is based upon our actual results for the quarter ended June 30, 2014,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460" w:right="80"/>
        <w:spacing w:after="0" w:line="312" w:lineRule="auto"/>
        <w:rPr>
          <w:rFonts w:ascii="Arial" w:cs="Arial" w:eastAsia="Arial" w:hAnsi="Arial"/>
          <w:sz w:val="18"/>
          <w:szCs w:val="18"/>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38" w:lineRule="exact"/>
        <w:rPr>
          <w:rFonts w:ascii="Arial" w:cs="Arial" w:eastAsia="Arial" w:hAnsi="Arial"/>
          <w:sz w:val="18"/>
          <w:szCs w:val="18"/>
          <w:color w:val="auto"/>
        </w:rPr>
      </w:pPr>
    </w:p>
    <w:p>
      <w:pPr>
        <w:ind w:left="460" w:right="40"/>
        <w:spacing w:after="0" w:line="297" w:lineRule="auto"/>
        <w:rPr>
          <w:rFonts w:ascii="Arial" w:cs="Arial" w:eastAsia="Arial" w:hAnsi="Arial"/>
          <w:sz w:val="18"/>
          <w:szCs w:val="18"/>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50" w:lineRule="exact"/>
        <w:rPr>
          <w:rFonts w:ascii="Arial" w:cs="Arial" w:eastAsia="Arial" w:hAnsi="Arial"/>
          <w:sz w:val="18"/>
          <w:szCs w:val="18"/>
          <w:color w:val="auto"/>
        </w:rPr>
      </w:pPr>
    </w:p>
    <w:p>
      <w:pPr>
        <w:ind w:left="460" w:right="260"/>
        <w:spacing w:after="0" w:line="277" w:lineRule="auto"/>
        <w:rPr>
          <w:rFonts w:ascii="Arial" w:cs="Arial" w:eastAsia="Arial" w:hAnsi="Arial"/>
          <w:sz w:val="18"/>
          <w:szCs w:val="18"/>
          <w:color w:val="auto"/>
        </w:rPr>
      </w:pPr>
      <w:r>
        <w:rPr>
          <w:rFonts w:ascii="Arial" w:cs="Arial" w:eastAsia="Arial" w:hAnsi="Arial"/>
          <w:sz w:val="18"/>
          <w:szCs w:val="18"/>
          <w:color w:val="auto"/>
        </w:rPr>
        <w:t>See “Management and Other Agreements—Investment Advisory Agreement; Administration Agreement; License Agreement” in the accompanying prospectus.</w:t>
      </w:r>
    </w:p>
    <w:p>
      <w:pPr>
        <w:spacing w:after="0" w:line="75" w:lineRule="exact"/>
        <w:rPr>
          <w:rFonts w:ascii="Arial" w:cs="Arial" w:eastAsia="Arial" w:hAnsi="Arial"/>
          <w:sz w:val="18"/>
          <w:szCs w:val="18"/>
          <w:color w:val="auto"/>
        </w:rPr>
      </w:pPr>
    </w:p>
    <w:p>
      <w:pPr>
        <w:ind w:left="460" w:right="260" w:hanging="452"/>
        <w:spacing w:after="0" w:line="28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based on our interest expense for the quarter ended June 30, 2014, under our credit facilities and debt securities based on assumed total borrowings outstanding equal to 0.7x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our overhead expenses, such as payments under the Administration Agreement (as defined in the accompanying prospectus) for certain expenses incurred by the Adviser. See “Management and Other Agreements—Investment Advisory Agreement; Administration Agreement; License Agreement” in the accompanying prospectus. We based these expenses on estimated amounts for the current fiscal year by annualizing expenses from the six months ended June 30, 2014.</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1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10 years</w:t>
            </w:r>
          </w:p>
        </w:tc>
      </w:tr>
      <w:tr>
        <w:trPr>
          <w:trHeight w:val="182"/>
        </w:trPr>
        <w:tc>
          <w:tcPr>
            <w:tcW w:w="8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You would pay the following expenses on a $1,000 common stock investment, assuming a 5% annual return from</w:t>
            </w: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capital gains</w:t>
            </w:r>
          </w:p>
        </w:tc>
        <w:tc>
          <w:tcPr>
            <w:tcW w:w="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82</w:t>
            </w: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$ 230</w:t>
            </w: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$ 371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690</w:t>
            </w:r>
          </w:p>
        </w:tc>
      </w:tr>
      <w:tr>
        <w:trPr>
          <w:trHeight w:val="365"/>
        </w:trPr>
        <w:tc>
          <w:tcPr>
            <w:tcW w:w="8420" w:type="dxa"/>
            <w:vAlign w:val="bottom"/>
          </w:tcPr>
          <w:p>
            <w:pPr>
              <w:ind w:left="5540"/>
              <w:spacing w:after="0"/>
              <w:rPr>
                <w:sz w:val="20"/>
                <w:szCs w:val="20"/>
                <w:color w:val="auto"/>
              </w:rPr>
            </w:pPr>
            <w:r>
              <w:rPr>
                <w:rFonts w:ascii="Arial" w:cs="Arial" w:eastAsia="Arial" w:hAnsi="Arial"/>
                <w:sz w:val="18"/>
                <w:szCs w:val="18"/>
                <w:color w:val="auto"/>
              </w:rPr>
              <w:t>S-10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79"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derived the selected consolidated financial data for the years ended December 31, 2013, December 31, 2012 and December 31, 2011 from our audited consolidated financial statements and related notes, which are included elsewhere in this prospectus supplement or the accompanying prospectus. We derived the selected consolidated financial data for the six months ended June 30, 2014 and June 30, 2013 from our unaudited interim consolidated financial statements and related notes, which are included elsewhere in this prospectus supplement or the accompanying prospectus.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w w:val="92"/>
              </w:rPr>
              <w:t>June 30,</w:t>
            </w:r>
          </w:p>
        </w:tc>
        <w:tc>
          <w:tcPr>
            <w:tcW w:w="5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June 30,</w:t>
            </w:r>
          </w:p>
        </w:tc>
        <w:tc>
          <w:tcPr>
            <w:tcW w:w="68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5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gridSpan w:val="3"/>
          </w:tcPr>
          <w:p>
            <w:pPr>
              <w:spacing w:after="0"/>
              <w:rPr>
                <w:sz w:val="20"/>
                <w:szCs w:val="20"/>
                <w:color w:val="auto"/>
              </w:rPr>
            </w:pPr>
            <w:r>
              <w:rPr>
                <w:rFonts w:ascii="Arial" w:cs="Arial" w:eastAsia="Arial" w:hAnsi="Arial"/>
                <w:sz w:val="14"/>
                <w:szCs w:val="14"/>
                <w:color w:val="auto"/>
              </w:rPr>
              <w:t>($ in millions)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2013</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Income</w:t>
            </w:r>
          </w:p>
        </w:tc>
        <w:tc>
          <w:tcPr>
            <w:tcW w:w="9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Net Investment Income (Loss) Before Income Taxes</w:t>
            </w: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50.9</w:t>
            </w:r>
          </w:p>
        </w:tc>
        <w:tc>
          <w:tcPr>
            <w:tcW w:w="7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25.9</w:t>
            </w:r>
          </w:p>
        </w:tc>
        <w:tc>
          <w:tcPr>
            <w:tcW w:w="68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57.7</w:t>
            </w:r>
          </w:p>
        </w:tc>
        <w:tc>
          <w:tcPr>
            <w:tcW w:w="7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7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Net Change in Unrealized Gains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Gains (Losses)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52.6</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6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67.0</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39.6</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740" w:type="dxa"/>
            <w:vAlign w:val="bottom"/>
          </w:tcPr>
          <w:p>
            <w:pPr>
              <w:spacing w:after="0"/>
              <w:rPr>
                <w:sz w:val="10"/>
                <w:szCs w:val="10"/>
                <w:color w:val="auto"/>
              </w:rPr>
            </w:pPr>
          </w:p>
        </w:tc>
        <w:tc>
          <w:tcPr>
            <w:tcW w:w="15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5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gridSpan w:val="3"/>
          </w:tcPr>
          <w:p>
            <w:pPr>
              <w:spacing w:after="0"/>
              <w:rPr>
                <w:sz w:val="20"/>
                <w:szCs w:val="20"/>
                <w:color w:val="auto"/>
              </w:rPr>
            </w:pPr>
            <w:r>
              <w:rPr>
                <w:rFonts w:ascii="Arial" w:cs="Arial" w:eastAsia="Arial" w:hAnsi="Arial"/>
                <w:sz w:val="14"/>
                <w:szCs w:val="14"/>
                <w:color w:val="auto"/>
              </w:rPr>
              <w:t>($ in millions, except per share amounts)</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Consolidated Balance Sheet Data:</w:t>
            </w:r>
          </w:p>
        </w:tc>
        <w:tc>
          <w:tcPr>
            <w:tcW w:w="2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161.8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1,129.2</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1,178.8</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1,039.2</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833.1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341.4</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464.5</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353.3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479.8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15.70</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15.52</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S-12</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Six Months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w w:val="96"/>
              </w:rPr>
              <w:t>June 30,</w:t>
            </w: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38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 except per share amounts)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Data:</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Number of portfolio companies at period end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w:t>
            </w:r>
          </w:p>
        </w:tc>
        <w:tc>
          <w:tcPr>
            <w:tcW w:w="5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 at fair value</w:t>
            </w:r>
            <w:r>
              <w:rPr>
                <w:rFonts w:ascii="Arial" w:cs="Arial" w:eastAsia="Arial" w:hAnsi="Arial"/>
                <w:sz w:val="15"/>
                <w:szCs w:val="15"/>
                <w:color w:val="auto"/>
              </w:rPr>
              <w:t>(4)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426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producing securities at amortized cost</w:t>
            </w: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debt investments as a percentage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principal</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99.8%</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98.9%</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2"/>
        </w:trPr>
        <w:tc>
          <w:tcPr>
            <w:tcW w:w="4260" w:type="dxa"/>
            <w:vAlign w:val="bottom"/>
          </w:tcPr>
          <w:p>
            <w:pPr>
              <w:spacing w:after="0" w:line="201" w:lineRule="exact"/>
              <w:rPr>
                <w:sz w:val="20"/>
                <w:szCs w:val="20"/>
                <w:color w:val="auto"/>
              </w:rPr>
            </w:pPr>
            <w:r>
              <w:rPr>
                <w:rFonts w:ascii="Arial" w:cs="Arial" w:eastAsia="Arial" w:hAnsi="Arial"/>
                <w:sz w:val="18"/>
                <w:szCs w:val="18"/>
                <w:color w:val="auto"/>
              </w:rPr>
              <w:t>Weighted average fair value of debt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investments as a percentage of call price</w:t>
            </w:r>
          </w:p>
        </w:tc>
        <w:tc>
          <w:tcPr>
            <w:tcW w:w="1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94.6%</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93.9%</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2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the accompanying prospectus.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w:t>
      </w:r>
    </w:p>
    <w:p>
      <w:pPr>
        <w:spacing w:after="0" w:line="9"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2013, December 31, 2012 and December 31,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$8.8 million for the six months ended June 30, 2014 and $13.4 million, $8.9 million and $1.6 million for the years ended December 31, 2013, December 31, 2012 and December 31, 2011, respectively.</w:t>
      </w:r>
    </w:p>
    <w:p>
      <w:pPr>
        <w:spacing w:after="0" w:line="2" w:lineRule="exact"/>
        <w:rPr>
          <w:rFonts w:ascii="Arial" w:cs="Arial" w:eastAsia="Arial" w:hAnsi="Arial"/>
          <w:sz w:val="17"/>
          <w:szCs w:val="17"/>
          <w:color w:val="auto"/>
        </w:rPr>
      </w:pPr>
    </w:p>
    <w:p>
      <w:pPr>
        <w:ind w:left="460" w:right="80" w:hanging="452"/>
        <w:spacing w:after="0" w:line="25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45,657</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80"/>
              <w:spacing w:after="0"/>
              <w:rPr>
                <w:sz w:val="20"/>
                <w:szCs w:val="20"/>
                <w:color w:val="auto"/>
              </w:rPr>
            </w:pPr>
            <w:r>
              <w:rPr>
                <w:rFonts w:ascii="Arial" w:cs="Arial" w:eastAsia="Arial" w:hAnsi="Arial"/>
                <w:sz w:val="18"/>
                <w:szCs w:val="18"/>
                <w:color w:val="auto"/>
                <w:w w:val="87"/>
              </w:rPr>
              <w:t>15,999</w:t>
            </w:r>
          </w:p>
        </w:tc>
        <w:tc>
          <w:tcPr>
            <w:tcW w:w="80" w:type="dxa"/>
            <w:vAlign w:val="bottom"/>
          </w:tcPr>
          <w:p>
            <w:pPr>
              <w:spacing w:after="0"/>
              <w:rPr>
                <w:sz w:val="18"/>
                <w:szCs w:val="18"/>
                <w:color w:val="auto"/>
              </w:rPr>
            </w:pPr>
          </w:p>
        </w:tc>
        <w:tc>
          <w:tcPr>
            <w:tcW w:w="740" w:type="dxa"/>
            <w:vAlign w:val="bottom"/>
            <w:gridSpan w:val="5"/>
          </w:tcPr>
          <w:p>
            <w:pPr>
              <w:jc w:val="center"/>
              <w:ind w:right="40"/>
              <w:spacing w:after="0"/>
              <w:rPr>
                <w:sz w:val="20"/>
                <w:szCs w:val="20"/>
                <w:color w:val="auto"/>
              </w:rPr>
            </w:pPr>
            <w:r>
              <w:rPr>
                <w:rFonts w:ascii="Arial" w:cs="Arial" w:eastAsia="Arial" w:hAnsi="Arial"/>
                <w:sz w:val="18"/>
                <w:szCs w:val="18"/>
                <w:color w:val="auto"/>
                <w:w w:val="89"/>
              </w:rPr>
              <w:t>$12,230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87"/>
              </w:rPr>
              <w:t>29,433</w:t>
            </w: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color w:val="auto"/>
                <w:w w:val="89"/>
              </w:rPr>
              <w:t>$21,242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Gains (Losses) on Investments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20"/>
              <w:spacing w:after="0"/>
              <w:rPr>
                <w:sz w:val="20"/>
                <w:szCs w:val="20"/>
                <w:color w:val="auto"/>
              </w:rPr>
            </w:pPr>
            <w:r>
              <w:rPr>
                <w:rFonts w:ascii="Arial" w:cs="Arial" w:eastAsia="Arial" w:hAnsi="Arial"/>
                <w:sz w:val="18"/>
                <w:szCs w:val="18"/>
                <w:color w:val="auto"/>
                <w:w w:val="94"/>
              </w:rPr>
              <w:t>(2,139)</w:t>
            </w:r>
          </w:p>
        </w:tc>
        <w:tc>
          <w:tcPr>
            <w:tcW w:w="80" w:type="dxa"/>
            <w:vAlign w:val="bottom"/>
          </w:tcPr>
          <w:p>
            <w:pPr>
              <w:spacing w:after="0"/>
              <w:rPr>
                <w:sz w:val="18"/>
                <w:szCs w:val="18"/>
                <w:color w:val="auto"/>
              </w:rPr>
            </w:pPr>
          </w:p>
        </w:tc>
        <w:tc>
          <w:tcPr>
            <w:tcW w:w="740" w:type="dxa"/>
            <w:vAlign w:val="bottom"/>
            <w:gridSpan w:val="5"/>
          </w:tcPr>
          <w:p>
            <w:pPr>
              <w:jc w:val="center"/>
              <w:ind w:right="40"/>
              <w:spacing w:after="0"/>
              <w:rPr>
                <w:sz w:val="20"/>
                <w:szCs w:val="20"/>
                <w:color w:val="auto"/>
              </w:rPr>
            </w:pPr>
            <w:r>
              <w:rPr>
                <w:rFonts w:ascii="Arial" w:cs="Arial" w:eastAsia="Arial" w:hAnsi="Arial"/>
                <w:sz w:val="18"/>
                <w:szCs w:val="18"/>
                <w:color w:val="auto"/>
                <w:w w:val="96"/>
              </w:rPr>
              <w:t>$ 4,106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87"/>
              </w:rPr>
              <w:t>27,294</w:t>
            </w: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color w:val="auto"/>
                <w:w w:val="89"/>
              </w:rPr>
              <w:t>$25,348</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80"/>
              <w:spacing w:after="0"/>
              <w:rPr>
                <w:sz w:val="20"/>
                <w:szCs w:val="20"/>
                <w:color w:val="auto"/>
              </w:rPr>
            </w:pPr>
            <w:r>
              <w:rPr>
                <w:rFonts w:ascii="Arial" w:cs="Arial" w:eastAsia="Arial" w:hAnsi="Arial"/>
                <w:sz w:val="18"/>
                <w:szCs w:val="18"/>
                <w:color w:val="auto"/>
              </w:rPr>
              <w:t>15.70</w:t>
            </w:r>
          </w:p>
        </w:tc>
        <w:tc>
          <w:tcPr>
            <w:tcW w:w="80" w:type="dxa"/>
            <w:vAlign w:val="bottom"/>
          </w:tcPr>
          <w:p>
            <w:pPr>
              <w:spacing w:after="0"/>
              <w:rPr>
                <w:sz w:val="20"/>
                <w:szCs w:val="20"/>
                <w:color w:val="auto"/>
              </w:rPr>
            </w:pPr>
          </w:p>
        </w:tc>
        <w:tc>
          <w:tcPr>
            <w:tcW w:w="740" w:type="dxa"/>
            <w:vAlign w:val="bottom"/>
            <w:gridSpan w:val="5"/>
          </w:tcPr>
          <w:p>
            <w:pPr>
              <w:jc w:val="center"/>
              <w:ind w:right="40"/>
              <w:spacing w:after="0"/>
              <w:rPr>
                <w:sz w:val="20"/>
                <w:szCs w:val="20"/>
                <w:color w:val="auto"/>
              </w:rPr>
            </w:pPr>
            <w:r>
              <w:rPr>
                <w:rFonts w:ascii="Arial" w:cs="Arial" w:eastAsia="Arial" w:hAnsi="Arial"/>
                <w:sz w:val="18"/>
                <w:szCs w:val="18"/>
                <w:color w:val="auto"/>
                <w:w w:val="96"/>
              </w:rPr>
              <w:t>$ 15.51</w:t>
            </w:r>
          </w:p>
        </w:tc>
      </w:tr>
      <w:tr>
        <w:trPr>
          <w:trHeight w:val="377"/>
        </w:trPr>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273"/>
              <w:spacing w:after="0" w:line="142" w:lineRule="exact"/>
              <w:rPr>
                <w:sz w:val="20"/>
                <w:szCs w:val="20"/>
                <w:color w:val="auto"/>
              </w:rPr>
            </w:pPr>
            <w:r>
              <w:rPr>
                <w:rFonts w:ascii="Arial" w:cs="Arial" w:eastAsia="Arial" w:hAnsi="Arial"/>
                <w:sz w:val="14"/>
                <w:szCs w:val="14"/>
                <w:b w:val="1"/>
                <w:bCs w:val="1"/>
                <w:color w:val="auto"/>
                <w:w w:val="96"/>
              </w:rPr>
              <w:t>Q4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144"/>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gridSpan w:val="2"/>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$27,569</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$23,298</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9"/>
              </w:rPr>
              <w:t>$20,940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$20,802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$10,576</w:t>
            </w: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8,123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7,696</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2"/>
              </w:rPr>
              <w:t>$16,993</w:t>
            </w:r>
          </w:p>
        </w:tc>
        <w:tc>
          <w:tcPr>
            <w:tcW w:w="32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$14,585</w:t>
            </w:r>
          </w:p>
        </w:tc>
        <w:tc>
          <w:tcPr>
            <w:tcW w:w="38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$12,817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9"/>
              </w:rPr>
              <w:t>$13,106</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9"/>
              </w:rPr>
              <w:t>$ 4,063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1,391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2"/>
              </w:rPr>
              <w:t>$21,056</w:t>
            </w:r>
          </w:p>
        </w:tc>
        <w:tc>
          <w:tcPr>
            <w:tcW w:w="32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$16,259</w:t>
            </w:r>
          </w:p>
        </w:tc>
        <w:tc>
          <w:tcPr>
            <w:tcW w:w="38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$14,208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9"/>
              </w:rPr>
              <w:t>$15,461</w:t>
            </w:r>
          </w:p>
        </w:tc>
        <w:tc>
          <w:tcPr>
            <w:tcW w:w="10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9"/>
              </w:rPr>
              <w:t>$ 15.52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36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20"/>
              <w:spacing w:after="0"/>
              <w:rPr>
                <w:sz w:val="20"/>
                <w:szCs w:val="20"/>
                <w:color w:val="auto"/>
              </w:rPr>
            </w:pPr>
            <w:r>
              <w:rPr>
                <w:rFonts w:ascii="Arial" w:cs="Arial" w:eastAsia="Arial" w:hAnsi="Arial"/>
                <w:sz w:val="18"/>
                <w:szCs w:val="18"/>
                <w:color w:val="auto"/>
                <w:w w:val="94"/>
              </w:rPr>
              <w:t>15.29</w:t>
            </w:r>
            <w:r>
              <w:rPr>
                <w:rFonts w:ascii="Arial" w:cs="Arial" w:eastAsia="Arial" w:hAnsi="Arial"/>
                <w:sz w:val="15"/>
                <w:szCs w:val="15"/>
                <w:color w:val="auto"/>
                <w:w w:val="94"/>
              </w:rPr>
              <w:t>(1)</w:t>
            </w:r>
          </w:p>
        </w:tc>
        <w:tc>
          <w:tcPr>
            <w:tcW w:w="4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r>
        <w:trPr>
          <w:trHeight w:val="377"/>
        </w:trPr>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jc w:val="right"/>
              <w:ind w:right="800"/>
              <w:spacing w:after="0" w:line="142" w:lineRule="exact"/>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tcPr>
          <w:p>
            <w:pPr>
              <w:jc w:val="right"/>
              <w:ind w:right="860"/>
              <w:spacing w:after="0" w:line="142" w:lineRule="exact"/>
              <w:rPr>
                <w:sz w:val="20"/>
                <w:szCs w:val="20"/>
                <w:color w:val="auto"/>
              </w:rPr>
            </w:pPr>
            <w:r>
              <w:rPr>
                <w:rFonts w:ascii="Arial" w:cs="Arial" w:eastAsia="Arial" w:hAnsi="Arial"/>
                <w:sz w:val="14"/>
                <w:szCs w:val="14"/>
                <w:b w:val="1"/>
                <w:bCs w:val="1"/>
                <w:color w:val="auto"/>
                <w:w w:val="96"/>
              </w:rPr>
              <w:t>Q2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gridSpan w:val="2"/>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$18,169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$14,554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6"/>
              </w:rPr>
              <w:t>$11,314</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$6,974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Expenses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7,277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6,637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5"/>
          </w:tcPr>
          <w:p>
            <w:pPr>
              <w:ind w:left="80"/>
              <w:spacing w:after="0"/>
              <w:rPr>
                <w:sz w:val="20"/>
                <w:szCs w:val="20"/>
                <w:color w:val="auto"/>
              </w:rPr>
            </w:pPr>
            <w:r>
              <w:rPr>
                <w:rFonts w:ascii="Arial" w:cs="Arial" w:eastAsia="Arial" w:hAnsi="Arial"/>
                <w:sz w:val="18"/>
                <w:szCs w:val="18"/>
                <w:color w:val="auto"/>
              </w:rPr>
              <w:t>4,711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w w:val="90"/>
              </w:rPr>
              <w:t>$4,357</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$10,892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7,917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6,603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0"/>
              </w:rPr>
              <w:t>$2,617</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1,568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5,664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5"/>
          </w:tcPr>
          <w:p>
            <w:pPr>
              <w:ind w:left="60"/>
              <w:spacing w:after="0"/>
              <w:rPr>
                <w:sz w:val="20"/>
                <w:szCs w:val="20"/>
                <w:color w:val="auto"/>
              </w:rPr>
            </w:pPr>
            <w:r>
              <w:rPr>
                <w:rFonts w:ascii="Arial" w:cs="Arial" w:eastAsia="Arial" w:hAnsi="Arial"/>
                <w:sz w:val="18"/>
                <w:szCs w:val="18"/>
                <w:color w:val="auto"/>
              </w:rPr>
              <w:t>1,165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w w:val="90"/>
              </w:rPr>
              <w:t>$3,169</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$12,460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$13,581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7,768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0"/>
              </w:rPr>
              <w:t>$5,786</w:t>
            </w:r>
          </w:p>
        </w:tc>
        <w:tc>
          <w:tcPr>
            <w:tcW w:w="10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15.19</w:t>
            </w:r>
            <w:r>
              <w:rPr>
                <w:rFonts w:ascii="Arial" w:cs="Arial" w:eastAsia="Arial" w:hAnsi="Arial"/>
                <w:sz w:val="15"/>
                <w:szCs w:val="15"/>
                <w:color w:val="auto"/>
              </w:rPr>
              <w:t>(1)</w:t>
            </w:r>
          </w:p>
        </w:tc>
        <w:tc>
          <w:tcPr>
            <w:tcW w:w="3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94"/>
              </w:rPr>
              <w:t>15.12</w:t>
            </w:r>
            <w:r>
              <w:rPr>
                <w:rFonts w:ascii="Arial" w:cs="Arial" w:eastAsia="Arial" w:hAnsi="Arial"/>
                <w:sz w:val="15"/>
                <w:szCs w:val="15"/>
                <w:color w:val="auto"/>
                <w:w w:val="94"/>
              </w:rPr>
              <w:t>(1)</w:t>
            </w:r>
          </w:p>
        </w:tc>
        <w:tc>
          <w:tcPr>
            <w:tcW w:w="380" w:type="dxa"/>
            <w:vAlign w:val="bottom"/>
          </w:tcPr>
          <w:p>
            <w:pPr>
              <w:spacing w:after="0"/>
              <w:rPr>
                <w:sz w:val="20"/>
                <w:szCs w:val="20"/>
                <w:color w:val="auto"/>
              </w:rPr>
            </w:pP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120" w:type="dxa"/>
            <w:vAlign w:val="bottom"/>
            <w:gridSpan w:val="6"/>
          </w:tcPr>
          <w:p>
            <w:pPr>
              <w:ind w:left="60"/>
              <w:spacing w:after="0"/>
              <w:rPr>
                <w:sz w:val="20"/>
                <w:szCs w:val="20"/>
                <w:color w:val="auto"/>
              </w:rPr>
            </w:pPr>
            <w:r>
              <w:rPr>
                <w:rFonts w:ascii="Arial" w:cs="Arial" w:eastAsia="Arial" w:hAnsi="Arial"/>
                <w:sz w:val="18"/>
                <w:szCs w:val="18"/>
                <w:color w:val="auto"/>
              </w:rPr>
              <w:t>14.92</w:t>
            </w: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$14.88</w:t>
            </w:r>
            <w:r>
              <w:rPr>
                <w:rFonts w:ascii="Arial" w:cs="Arial" w:eastAsia="Arial" w:hAnsi="Arial"/>
                <w:sz w:val="15"/>
                <w:szCs w:val="15"/>
                <w:color w:val="auto"/>
                <w:w w:val="89"/>
              </w:rPr>
              <w:t>(1)</w:t>
            </w:r>
          </w:p>
        </w:tc>
      </w:tr>
    </w:tbl>
    <w:p>
      <w:pPr>
        <w:spacing w:after="0" w:line="214" w:lineRule="exact"/>
        <w:rPr>
          <w:sz w:val="20"/>
          <w:szCs w:val="20"/>
          <w:color w:val="auto"/>
        </w:rPr>
      </w:pPr>
    </w:p>
    <w:p>
      <w:pPr>
        <w:ind w:left="46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further described in Note 9 to our audited financial statements included in the accompanying prospectus, the indicated amounts for periods prior to December 3, 2013 have been retroactively adjusted for the stock split which was effected in the form of a stock dividend.</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not receive any proceeds from the sale of shares of our common stock offered by the selling stockholders pursuant to this prospectus supplement.</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600"/>
          </w:cols>
          <w:pgMar w:left="240" w:top="45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Our common stock is traded on the NYSE under the symbol “TSLX.” It is not possible to predict whether our common stock offered hereby will trade at, above or below net asset value. See “Risk Factors—Risks Related to Offerings Pursuant to This Prospectus” in the accompanying prospectus.</w:t>
      </w:r>
    </w:p>
    <w:p>
      <w:pPr>
        <w:spacing w:after="0" w:line="124"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following table sets forth, for each fiscal quarter since our initial public offering, the net asset value per share of our common stock, the range of high and low closing sales prices of our common stock, the closing sales price as a premium (discount) to net asset value and the dividends or distributions declared by us. On August 4, 2014, the last reported closing sales price of our common stock on the NYSE was $19.29 per share, which represented a premium of approximately 22.9% to the net asset value per share reported by us as of June 30, 2014.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High</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Price Range</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Sales</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Sales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4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940" w:type="dxa"/>
            <w:vAlign w:val="bottom"/>
            <w:gridSpan w:val="5"/>
            <w:vMerge w:val="continue"/>
          </w:tcPr>
          <w:p>
            <w:pPr>
              <w:spacing w:after="0"/>
              <w:rPr>
                <w:sz w:val="6"/>
                <w:szCs w:val="6"/>
                <w:color w:val="auto"/>
              </w:rPr>
            </w:pPr>
          </w:p>
        </w:tc>
        <w:tc>
          <w:tcPr>
            <w:tcW w:w="116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Price to</w:t>
            </w:r>
          </w:p>
        </w:tc>
        <w:tc>
          <w:tcPr>
            <w:tcW w:w="9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to</w:t>
            </w:r>
          </w:p>
        </w:tc>
        <w:tc>
          <w:tcPr>
            <w:tcW w:w="220" w:type="dxa"/>
            <w:vAlign w:val="bottom"/>
          </w:tcPr>
          <w:p>
            <w:pPr>
              <w:spacing w:after="0"/>
              <w:rPr>
                <w:sz w:val="6"/>
                <w:szCs w:val="6"/>
                <w:color w:val="auto"/>
              </w:rPr>
            </w:pPr>
          </w:p>
        </w:tc>
        <w:tc>
          <w:tcPr>
            <w:tcW w:w="7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52"/>
        </w:trPr>
        <w:tc>
          <w:tcPr>
            <w:tcW w:w="4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Asset</w:t>
            </w:r>
          </w:p>
        </w:tc>
        <w:tc>
          <w:tcPr>
            <w:tcW w:w="2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2"/>
                <w:szCs w:val="12"/>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Low</w:t>
            </w: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Net Asset</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Net Asset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2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First Quarter (beginning March 21, 2014)</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15.51</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7"/>
              </w:rPr>
              <w:t>$16.70</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$16.00</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15.70</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$23.90</w:t>
            </w:r>
          </w:p>
        </w:tc>
        <w:tc>
          <w:tcPr>
            <w:tcW w:w="12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$16.60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Third Quarter (through August 4, 2014 )</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7"/>
              </w:rPr>
              <w:t>$22.36</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$19.05</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 w:hanging="452"/>
        <w:spacing w:after="0" w:line="274"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asset value has not yet been calculated for this period.</w:t>
      </w:r>
    </w:p>
    <w:p>
      <w:pPr>
        <w:spacing w:after="0" w:line="9" w:lineRule="exact"/>
        <w:rPr>
          <w:sz w:val="20"/>
          <w:szCs w:val="20"/>
          <w:color w:val="auto"/>
        </w:rPr>
      </w:pPr>
    </w:p>
    <w:p>
      <w:pPr>
        <w:ind w:left="460" w:right="18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4, 2014, our Board declared a dividend of $0.38 per share for the quarter ending September 30, 2014 to stockholders of record at the close of business on September 30, 2014. The dividend is expected to be paid on or about October 31, 2014. We anticipate that this dividend will be paid from income generated primarily by interest earned on our investment portfolio.</w:t>
      </w:r>
    </w:p>
    <w:p>
      <w:pPr>
        <w:spacing w:after="0" w:line="190"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six months ended June 30, 2014 and the years ended December 31, 2013 and 2012:</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2"/>
              </w:rPr>
              <w:t>June 30, 2014</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8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3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Record Date</w:t>
            </w:r>
          </w:p>
        </w:tc>
        <w:tc>
          <w:tcPr>
            <w:tcW w:w="480" w:type="dxa"/>
            <w:vAlign w:val="bottom"/>
          </w:tcPr>
          <w:p>
            <w:pPr>
              <w:spacing w:after="0"/>
              <w:rPr>
                <w:sz w:val="10"/>
                <w:szCs w:val="10"/>
                <w:color w:val="auto"/>
              </w:rPr>
            </w:pPr>
          </w:p>
        </w:tc>
        <w:tc>
          <w:tcPr>
            <w:tcW w:w="12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Payment Date</w:t>
            </w:r>
          </w:p>
        </w:tc>
        <w:tc>
          <w:tcPr>
            <w:tcW w:w="480" w:type="dxa"/>
            <w:vAlign w:val="bottom"/>
            <w:vMerge w:val="restart"/>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Dividend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580" w:type="dxa"/>
            <w:vAlign w:val="bottom"/>
            <w:tcBorders>
              <w:bottom w:val="single" w:sz="8" w:color="CCEEFF"/>
            </w:tcBorders>
            <w:vMerge w:val="continue"/>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per Share</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3"/>
              </w:rPr>
              <w:t>April 30, 2014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May 6, 2014</w:t>
            </w:r>
          </w:p>
        </w:tc>
        <w:tc>
          <w:tcPr>
            <w:tcW w:w="18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June 30, 2014</w:t>
            </w:r>
          </w:p>
        </w:tc>
        <w:tc>
          <w:tcPr>
            <w:tcW w:w="4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July 31, 2014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120" w:type="dxa"/>
            <w:vAlign w:val="bottom"/>
            <w:gridSpan w:val="2"/>
            <w:vMerge w:val="restart"/>
          </w:tcPr>
          <w:p>
            <w:pPr>
              <w:ind w:left="1160"/>
              <w:spacing w:after="0"/>
              <w:rPr>
                <w:sz w:val="20"/>
                <w:szCs w:val="20"/>
                <w:color w:val="auto"/>
              </w:rPr>
            </w:pPr>
            <w:r>
              <w:rPr>
                <w:rFonts w:ascii="Arial" w:cs="Arial" w:eastAsia="Arial" w:hAnsi="Arial"/>
                <w:sz w:val="18"/>
                <w:szCs w:val="18"/>
                <w:color w:val="auto"/>
              </w:rPr>
              <w:t>S-16</w:t>
            </w: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1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20" w:type="dxa"/>
            <w:vAlign w:val="bottom"/>
            <w:vMerge w:val="restart"/>
          </w:tcPr>
          <w:p>
            <w:pPr>
              <w:spacing w:after="0"/>
              <w:rPr>
                <w:sz w:val="10"/>
                <w:szCs w:val="10"/>
                <w:color w:val="auto"/>
              </w:rPr>
            </w:pPr>
          </w:p>
        </w:tc>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Record Date</w:t>
            </w:r>
          </w:p>
        </w:tc>
        <w:tc>
          <w:tcPr>
            <w:tcW w:w="380" w:type="dxa"/>
            <w:vAlign w:val="bottom"/>
          </w:tcPr>
          <w:p>
            <w:pPr>
              <w:spacing w:after="0"/>
              <w:rPr>
                <w:sz w:val="10"/>
                <w:szCs w:val="10"/>
                <w:color w:val="auto"/>
              </w:rPr>
            </w:pPr>
          </w:p>
        </w:tc>
        <w:tc>
          <w:tcPr>
            <w:tcW w:w="14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Payment Date</w:t>
            </w:r>
          </w:p>
        </w:tc>
        <w:tc>
          <w:tcPr>
            <w:tcW w:w="3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Dividend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82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2"/>
                <w:szCs w:val="12"/>
                <w:b w:val="1"/>
                <w:bCs w:val="1"/>
                <w:color w:val="auto"/>
                <w:w w:val="98"/>
              </w:rPr>
              <w:t>(2)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May 6, 2013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660" w:type="dxa"/>
            <w:vAlign w:val="bottom"/>
          </w:tcPr>
          <w:p>
            <w:pPr>
              <w:spacing w:after="0"/>
              <w:rPr>
                <w:sz w:val="20"/>
                <w:szCs w:val="20"/>
                <w:color w:val="auto"/>
              </w:rPr>
            </w:pPr>
            <w:r>
              <w:rPr>
                <w:rFonts w:ascii="Arial" w:cs="Arial" w:eastAsia="Arial" w:hAnsi="Arial"/>
                <w:sz w:val="18"/>
                <w:szCs w:val="18"/>
                <w:color w:val="auto"/>
              </w:rPr>
              <w:t>June 30, 2013</w:t>
            </w:r>
          </w:p>
        </w:tc>
        <w:tc>
          <w:tcPr>
            <w:tcW w:w="38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July 31, 2013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31, 2013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tc>
        <w:tc>
          <w:tcPr>
            <w:tcW w:w="1660" w:type="dxa"/>
            <w:vAlign w:val="bottom"/>
          </w:tcPr>
          <w:p>
            <w:pPr>
              <w:spacing w:after="0"/>
              <w:rPr>
                <w:sz w:val="20"/>
                <w:szCs w:val="20"/>
                <w:color w:val="auto"/>
              </w:rPr>
            </w:pPr>
            <w:r>
              <w:rPr>
                <w:rFonts w:ascii="Arial" w:cs="Arial" w:eastAsia="Arial" w:hAnsi="Arial"/>
                <w:sz w:val="18"/>
                <w:szCs w:val="18"/>
                <w:color w:val="auto"/>
              </w:rPr>
              <w:t>December 31, 2013</w:t>
            </w:r>
          </w:p>
        </w:tc>
        <w:tc>
          <w:tcPr>
            <w:tcW w:w="38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January 30, 2014</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right="320" w:hanging="452"/>
        <w:spacing w:after="0" w:line="32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further described in Note 9 to our audited consolidated financial statements included in the accompanying prospectus, the indicated amounts for dates prior to December 3, 2013 have been retroactively adjusted for the stock split which was effected in the form of a stock dividend.</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20" w:type="dxa"/>
            <w:vAlign w:val="bottom"/>
            <w:vMerge w:val="restart"/>
          </w:tcPr>
          <w:p>
            <w:pPr>
              <w:spacing w:after="0"/>
              <w:rPr>
                <w:sz w:val="10"/>
                <w:szCs w:val="10"/>
                <w:color w:val="auto"/>
              </w:rPr>
            </w:pPr>
          </w:p>
        </w:tc>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Record Date</w:t>
            </w:r>
          </w:p>
        </w:tc>
        <w:tc>
          <w:tcPr>
            <w:tcW w:w="380" w:type="dxa"/>
            <w:vAlign w:val="bottom"/>
          </w:tcPr>
          <w:p>
            <w:pPr>
              <w:spacing w:after="0"/>
              <w:rPr>
                <w:sz w:val="10"/>
                <w:szCs w:val="10"/>
                <w:color w:val="auto"/>
              </w:rPr>
            </w:pPr>
          </w:p>
        </w:tc>
        <w:tc>
          <w:tcPr>
            <w:tcW w:w="14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Payment Date</w:t>
            </w:r>
          </w:p>
        </w:tc>
        <w:tc>
          <w:tcPr>
            <w:tcW w:w="3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Dividend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82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2"/>
                <w:szCs w:val="12"/>
                <w:b w:val="1"/>
                <w:bCs w:val="1"/>
                <w:color w:val="auto"/>
                <w:w w:val="98"/>
              </w:rPr>
              <w:t>(2)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May 7, 2012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660" w:type="dxa"/>
            <w:vAlign w:val="bottom"/>
          </w:tcPr>
          <w:p>
            <w:pPr>
              <w:spacing w:after="0"/>
              <w:rPr>
                <w:sz w:val="20"/>
                <w:szCs w:val="20"/>
                <w:color w:val="auto"/>
              </w:rPr>
            </w:pPr>
            <w:r>
              <w:rPr>
                <w:rFonts w:ascii="Arial" w:cs="Arial" w:eastAsia="Arial" w:hAnsi="Arial"/>
                <w:sz w:val="18"/>
                <w:szCs w:val="18"/>
                <w:color w:val="auto"/>
              </w:rPr>
              <w:t>June 30, 2012</w:t>
            </w:r>
          </w:p>
        </w:tc>
        <w:tc>
          <w:tcPr>
            <w:tcW w:w="38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August 3, 2012</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30, 2012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December 31, 2012</w:t>
            </w:r>
            <w:r>
              <w:rPr>
                <w:rFonts w:ascii="Arial" w:cs="Arial" w:eastAsia="Arial" w:hAnsi="Arial"/>
                <w:sz w:val="15"/>
                <w:szCs w:val="15"/>
                <w:color w:val="auto"/>
              </w:rPr>
              <w:t>(1)</w:t>
            </w:r>
          </w:p>
        </w:tc>
        <w:tc>
          <w:tcPr>
            <w:tcW w:w="1660" w:type="dxa"/>
            <w:vAlign w:val="bottom"/>
          </w:tcPr>
          <w:p>
            <w:pPr>
              <w:spacing w:after="0"/>
              <w:rPr>
                <w:sz w:val="20"/>
                <w:szCs w:val="20"/>
                <w:color w:val="auto"/>
              </w:rPr>
            </w:pPr>
            <w:r>
              <w:rPr>
                <w:rFonts w:ascii="Arial" w:cs="Arial" w:eastAsia="Arial" w:hAnsi="Arial"/>
                <w:sz w:val="18"/>
                <w:szCs w:val="18"/>
                <w:color w:val="auto"/>
              </w:rPr>
              <w:t>December 31, 2012</w:t>
            </w:r>
          </w:p>
        </w:tc>
        <w:tc>
          <w:tcPr>
            <w:tcW w:w="38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January 31, 2013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23"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included in the accompanying prospectus, the indicated amounts have been retroactively adjusted for the stock split which was effected in the form of a stock dividend.</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dividends declared during the six months ended June 30, 2014 were derived from net investment income determined on a tax basis. The dividends declared during the years ended December 31, 2013 and December 31, 2012, were derived from net investment income and long-term capital gains, determined on a tax basis.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treated as a regulated investment company under Subchapter M of the Internal Revenue Code of 1986, as amended,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78" w:lineRule="exact"/>
        <w:rPr>
          <w:sz w:val="20"/>
          <w:szCs w:val="20"/>
          <w:color w:val="auto"/>
        </w:rPr>
      </w:pPr>
    </w:p>
    <w:p>
      <w:pPr>
        <w:ind w:left="5540" w:right="2160" w:hanging="4965"/>
        <w:spacing w:after="0" w:line="449"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 S-17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and the six months ended June 30, 2014 for purposes of additional liquidity and we recorded a net expense of $0.2 million, $0.1 million and $0.2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the accompanying prospectus.</w:t>
      </w:r>
    </w:p>
    <w:p>
      <w:pPr>
        <w:spacing w:after="0" w:line="17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in the accompanying prospectus.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w:t>
      </w:r>
    </w:p>
    <w:p>
      <w:pPr>
        <w:ind w:right="20"/>
        <w:spacing w:after="0" w:line="270" w:lineRule="auto"/>
        <w:rPr>
          <w:sz w:val="20"/>
          <w:szCs w:val="20"/>
          <w:color w:val="auto"/>
        </w:rPr>
      </w:pPr>
      <w:r>
        <w:rPr>
          <w:rFonts w:ascii="Arial" w:cs="Arial" w:eastAsia="Arial" w:hAnsi="Arial"/>
          <w:sz w:val="17"/>
          <w:szCs w:val="17"/>
          <w:color w:val="auto"/>
        </w:rPr>
        <w:t>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 in the accompanying 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the accompanying prospectus for a discussion of the uncertainties, risks and assumptions associated with these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On March 21, 2014, we completed our IPO, issuing 7,000,000 shares at $16.00 per share, and our concurrent private placement, issuing 3,124,984 shares at $16.00 per share. Net of underwriting fees and offering costs, we received total cash proceeds of $151.6 million.</w:t>
      </w:r>
    </w:p>
    <w:p>
      <w:pPr>
        <w:spacing w:after="0" w:line="14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June 30, 2014 we have originated more than $2.8 billion aggregate principal amount of investments and retained approximately $1.9 billion aggregate principal amount of these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June 30, 2014, our borrowers had weighted average annual revenue of $165 million and weighted average annual EBITDA of $30 million.</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our average investment size in our portfolio companies was $36 million.</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no industry represented more than 14.8% of our total investment portfolio.</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June 30, 2014, approximately 98.6%</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portfolio at fair value was invested in secured debt, including 85.9%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2014, the weighted average term on new investment commitments in new portfolio companies was 4.7 years.</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As of June 30, 2014, we had call protection on 98.9% of our debt investments, with weighted average call prices of 107.1% for the first year, 104.2% for the second year and 101.8% for the third year, in each case from the date of the initial investment. As of June 30, 2014, 98.3% of our debt investments bore interest at floating rates, subject to interest rate floors, which we believe helps act as a portfolio-wide hedge against inflation.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with our Adviser, TSSP and TPG</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which encompasses TPG Specialty Lending, TPG Opportunities Partners, which invests in special situations and distressed investments across the credit cycle, and TPG Institutional Credit Partners, which is a “public-side” credit investment platform focused on investment opportunities in broadly syndicated leveraged loan markets, is TPG’s special situations and credit platform. TSSP had over $10 billion of assets under management as of June 30, 2014. TSSP has extensive experience with highly complex, global public and private investments executed through primary originations, secondary market purchases and restructurings, and has a team of over 80 investment and operating professionals. Twenty three of these personnel are dedicated to our business, including 17 investment professionals.</w:t>
      </w:r>
    </w:p>
    <w:p>
      <w:pPr>
        <w:spacing w:after="0" w:line="19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93"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June 30, 2014, 98.3% bear interest at a floating rate, subject to interest rate floors. Interest on debt securities is generally payable quarterly or semiannually. Some of our investments provide for deferred interest payments or PIK interest. For the six months ended June 30, 2014, approximately 1.7% of our total investment income was comprised of PIK interest income.</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2"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Amended and Restated Revolving Credit and Security Agreement between our wholly owned subsidiary, TPG SL SPV, LLC and Natixis, which we refer to as the SPV Asset Facility.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of June 30, 2014, our portfolio at fair value consisted of 85.9% first-lien debt investments, 12.7% second-lien debt investments, 0.4% mezzanine debt investments, and 1.0% equity investments. As of December 31, 2013, our portfolio at fair value consisted of 86.3% first-lien debt investments, 13.5% second-lien debt investments, and 0.2% equity investments.</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As of June 30, 2014 and December 31, 2013, our weighted average total yield of debt and income producing securities at fair value (which includes interest income and amortization of fees and discounts) was 10.3% and 10.4%, respectively, and our weighted average total yield of debt and income producing securities at amortized cost (which includes interest income and amortization of fees and discounts) was 10.5% and 10.6%, respectively.</w:t>
      </w:r>
    </w:p>
    <w:p>
      <w:pPr>
        <w:spacing w:after="0" w:line="14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As of June 30, 2014 and December 31, 2013, we had investments in 31 and 27 portfolio companies, respectively, with an aggregate fair value of $1,129.2 million and $1,016.5 million, respectively.</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three months ended June 30, 2014, we made new investment commitments of $116.4 million, $114.0 million in four new portfolio companies and $2.4 million in two existing portfolio companies. For this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period, we had $159.2 million aggregate principal amount in exits and repayments, resulting in a net portfolio decrease of $54.8 million aggregate principal amount.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three months ended June 30, 2013, we made new investment commitments of $176.1 million, $171.6 million in four new portfolio companies and $4.5 million in one existing portfolio company. For this period, we had $11.4 million aggregate principal amount in exits and repayments, resulting in a net portfolio increase of $169.9 million aggregate principal amount.</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investment activity for the three months ended June 30, 2014 and 2013 is presented below (information presented herein is at par value unless otherwise indicated).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19"/>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536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w w:val="99"/>
              </w:rPr>
              <w:t>June 30,</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w w:val="96"/>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536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Gross originations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6220" w:type="dxa"/>
            <w:vAlign w:val="bottom"/>
            <w:gridSpan w:val="2"/>
          </w:tcPr>
          <w:p>
            <w:pPr>
              <w:ind w:left="720"/>
              <w:spacing w:after="0"/>
              <w:rPr>
                <w:sz w:val="20"/>
                <w:szCs w:val="20"/>
                <w:color w:val="auto"/>
              </w:rPr>
            </w:pPr>
            <w:r>
              <w:rPr>
                <w:rFonts w:ascii="Arial" w:cs="Arial" w:eastAsia="Arial" w:hAnsi="Arial"/>
                <w:sz w:val="18"/>
                <w:szCs w:val="18"/>
                <w:color w:val="auto"/>
              </w:rPr>
              <w:t>Total new investment commitments</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center"/>
              <w:ind w:left="132"/>
              <w:spacing w:after="0"/>
              <w:rPr>
                <w:sz w:val="20"/>
                <w:szCs w:val="20"/>
                <w:color w:val="auto"/>
              </w:rPr>
            </w:pPr>
            <w:r>
              <w:rPr>
                <w:rFonts w:ascii="Arial" w:cs="Arial" w:eastAsia="Arial" w:hAnsi="Arial"/>
                <w:sz w:val="18"/>
                <w:szCs w:val="18"/>
                <w:color w:val="auto"/>
                <w:w w:val="84"/>
              </w:rPr>
              <w:t>116.4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First-lien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89.0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Mezzanine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center"/>
              <w:ind w:left="112"/>
              <w:spacing w:after="0"/>
              <w:rPr>
                <w:sz w:val="20"/>
                <w:szCs w:val="20"/>
                <w:color w:val="auto"/>
              </w:rPr>
            </w:pPr>
            <w:r>
              <w:rPr>
                <w:rFonts w:ascii="Arial" w:cs="Arial" w:eastAsia="Arial" w:hAnsi="Arial"/>
                <w:sz w:val="18"/>
                <w:szCs w:val="18"/>
                <w:color w:val="auto"/>
                <w:w w:val="88"/>
              </w:rPr>
              <w:t>104.4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First-lien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94.4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Mezzanine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112"/>
              <w:spacing w:after="0"/>
              <w:rPr>
                <w:sz w:val="20"/>
                <w:szCs w:val="20"/>
                <w:color w:val="auto"/>
              </w:rPr>
            </w:pPr>
            <w:r>
              <w:rPr>
                <w:rFonts w:ascii="Arial" w:cs="Arial" w:eastAsia="Arial" w:hAnsi="Arial"/>
                <w:sz w:val="18"/>
                <w:szCs w:val="18"/>
                <w:color w:val="auto"/>
                <w:w w:val="88"/>
              </w:rPr>
              <w:t>159.2</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w w:val="98"/>
              </w:rPr>
              <w:t>Average new investment commitment amount in new portfolio companies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28.5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98"/>
        </w:trPr>
        <w:tc>
          <w:tcPr>
            <w:tcW w:w="62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Weighted average term for new investment commitments in new portfolio</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companies (in years)</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Percentage of new debt investment commitments at floating rates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8"/>
        </w:trPr>
        <w:tc>
          <w:tcPr>
            <w:tcW w:w="62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46"/>
        </w:trPr>
        <w:tc>
          <w:tcPr>
            <w:tcW w:w="860" w:type="dxa"/>
            <w:vAlign w:val="bottom"/>
          </w:tcPr>
          <w:p>
            <w:pPr>
              <w:spacing w:after="0"/>
              <w:rPr>
                <w:sz w:val="24"/>
                <w:szCs w:val="24"/>
                <w:color w:val="auto"/>
              </w:rPr>
            </w:pPr>
          </w:p>
        </w:tc>
        <w:tc>
          <w:tcPr>
            <w:tcW w:w="5360" w:type="dxa"/>
            <w:vAlign w:val="bottom"/>
          </w:tcPr>
          <w:p>
            <w:pPr>
              <w:ind w:left="3760"/>
              <w:spacing w:after="0"/>
              <w:rPr>
                <w:sz w:val="20"/>
                <w:szCs w:val="20"/>
                <w:color w:val="auto"/>
              </w:rPr>
            </w:pPr>
            <w:r>
              <w:rPr>
                <w:rFonts w:ascii="Arial" w:cs="Arial" w:eastAsia="Arial" w:hAnsi="Arial"/>
                <w:sz w:val="18"/>
                <w:szCs w:val="18"/>
                <w:color w:val="auto"/>
              </w:rPr>
              <w:t>S-25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and December 31, 2013, our investments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422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2013</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Borders>
              <w:bottom w:val="single" w:sz="8" w:color="auto"/>
            </w:tcBorders>
            <w:vMerge w:val="continue"/>
          </w:tcPr>
          <w:p>
            <w:pPr>
              <w:spacing w:after="0"/>
              <w:rPr>
                <w:sz w:val="12"/>
                <w:szCs w:val="12"/>
                <w:color w:val="auto"/>
              </w:rPr>
            </w:pPr>
          </w:p>
        </w:tc>
        <w:tc>
          <w:tcPr>
            <w:tcW w:w="422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3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863.4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143.1</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137.5</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131.1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1,129.2</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1,016.5</w:t>
            </w:r>
          </w:p>
        </w:tc>
        <w:tc>
          <w:tcPr>
            <w:tcW w:w="76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997.3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amortized cost of our performing and non-accrual investments as of June 30, 2014 and December 31, 2013: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vMerge w:val="restart"/>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6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ind w:left="600"/>
              <w:spacing w:after="0"/>
              <w:rPr>
                <w:sz w:val="20"/>
                <w:szCs w:val="20"/>
                <w:color w:val="auto"/>
              </w:rPr>
            </w:pPr>
            <w:r>
              <w:rPr>
                <w:rFonts w:ascii="Arial" w:cs="Arial" w:eastAsia="Arial" w:hAnsi="Arial"/>
                <w:sz w:val="14"/>
                <w:szCs w:val="14"/>
                <w:b w:val="1"/>
                <w:bCs w:val="1"/>
                <w:color w:val="auto"/>
              </w:rPr>
              <w:t>June 30, 2014</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3600" w:type="dxa"/>
            <w:vAlign w:val="bottom"/>
            <w:tcBorders>
              <w:bottom w:val="single" w:sz="8" w:color="CCEEFF"/>
            </w:tcBorders>
            <w:vMerge w:val="continue"/>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9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4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4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Performing</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9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Non-accrual (1)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1,110.0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997.3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4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and interest rates of our debt investments at fair value as of June 30, 2014 and December 31, 2013 were as follows: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2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r>
      <w:tr>
        <w:trPr>
          <w:trHeight w:val="182"/>
        </w:trPr>
        <w:tc>
          <w:tcPr>
            <w:tcW w:w="4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 income</w:t>
            </w:r>
          </w:p>
        </w:tc>
        <w:tc>
          <w:tcPr>
            <w:tcW w:w="7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w:t>
            </w:r>
          </w:p>
        </w:tc>
        <w:tc>
          <w:tcPr>
            <w:tcW w:w="2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 income</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producing securities</w:t>
            </w:r>
          </w:p>
        </w:tc>
        <w:tc>
          <w:tcPr>
            <w:tcW w:w="2260" w:type="dxa"/>
            <w:vAlign w:val="bottom"/>
            <w:gridSpan w:val="3"/>
          </w:tcPr>
          <w:p>
            <w:pPr>
              <w:jc w:val="right"/>
              <w:ind w:right="560"/>
              <w:spacing w:after="0"/>
              <w:rPr>
                <w:sz w:val="20"/>
                <w:szCs w:val="20"/>
                <w:color w:val="auto"/>
              </w:rPr>
            </w:pPr>
            <w:r>
              <w:rPr>
                <w:rFonts w:ascii="Arial" w:cs="Arial" w:eastAsia="Arial" w:hAnsi="Arial"/>
                <w:sz w:val="18"/>
                <w:szCs w:val="18"/>
                <w:color w:val="auto"/>
              </w:rPr>
              <w:t>9.8%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 floating</w:t>
            </w: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investments</w:t>
            </w:r>
          </w:p>
        </w:tc>
        <w:tc>
          <w:tcPr>
            <w:tcW w:w="2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4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80" w:hanging="325"/>
        <w:spacing w:after="0" w:line="297"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June 30,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580" w:type="dxa"/>
            <w:vAlign w:val="bottom"/>
            <w:gridSpan w:val="2"/>
            <w:vMerge w:val="restart"/>
          </w:tcPr>
          <w:p>
            <w:pPr>
              <w:jc w:val="center"/>
              <w:ind w:right="102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June 30, 2014</w:t>
            </w:r>
          </w:p>
        </w:tc>
        <w:tc>
          <w:tcPr>
            <w:tcW w:w="9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 2013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580" w:type="dxa"/>
            <w:vAlign w:val="bottom"/>
            <w:gridSpan w:val="2"/>
            <w:vMerge w:val="continue"/>
          </w:tcPr>
          <w:p>
            <w:pPr>
              <w:spacing w:after="0"/>
              <w:rPr>
                <w:sz w:val="10"/>
                <w:szCs w:val="10"/>
                <w:color w:val="auto"/>
              </w:rPr>
            </w:pPr>
          </w:p>
        </w:tc>
        <w:tc>
          <w:tcPr>
            <w:tcW w:w="20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2060" w:type="dxa"/>
            <w:vAlign w:val="bottom"/>
            <w:gridSpan w:val="2"/>
            <w:vMerge w:val="restart"/>
          </w:tcPr>
          <w:p>
            <w:pPr>
              <w:jc w:val="right"/>
              <w:ind w:right="1200"/>
              <w:spacing w:after="0"/>
              <w:rPr>
                <w:sz w:val="20"/>
                <w:szCs w:val="20"/>
                <w:color w:val="auto"/>
              </w:rPr>
            </w:pPr>
            <w:r>
              <w:rPr>
                <w:rFonts w:ascii="Arial" w:cs="Arial" w:eastAsia="Arial" w:hAnsi="Arial"/>
                <w:sz w:val="14"/>
                <w:szCs w:val="14"/>
                <w:b w:val="1"/>
                <w:bCs w:val="1"/>
                <w:color w:val="auto"/>
                <w:w w:val="90"/>
              </w:rPr>
              <w:t>Percentage of</w:t>
            </w:r>
          </w:p>
        </w:tc>
        <w:tc>
          <w:tcPr>
            <w:tcW w:w="150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5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1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2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10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 in millions)</w:t>
            </w:r>
          </w:p>
        </w:tc>
        <w:tc>
          <w:tcPr>
            <w:tcW w:w="1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Total Portfolio</w:t>
            </w:r>
          </w:p>
        </w:tc>
        <w:tc>
          <w:tcPr>
            <w:tcW w:w="1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 in millions)</w:t>
            </w:r>
          </w:p>
        </w:tc>
        <w:tc>
          <w:tcPr>
            <w:tcW w:w="6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Total Portfolio</w:t>
            </w:r>
          </w:p>
        </w:tc>
        <w:tc>
          <w:tcPr>
            <w:tcW w:w="5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048"/>
              <w:spacing w:after="0"/>
              <w:rPr>
                <w:sz w:val="20"/>
                <w:szCs w:val="20"/>
                <w:color w:val="auto"/>
              </w:rPr>
            </w:pPr>
            <w:r>
              <w:rPr>
                <w:rFonts w:ascii="Arial" w:cs="Arial" w:eastAsia="Arial" w:hAnsi="Arial"/>
                <w:sz w:val="18"/>
                <w:szCs w:val="18"/>
                <w:color w:val="auto"/>
              </w:rPr>
              <w:t>85.4</w:t>
            </w: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116.4</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100.8</w:t>
            </w: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40.7</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jc w:val="center"/>
              <w:ind w:right="102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1,129.2</w:t>
            </w:r>
          </w:p>
        </w:tc>
        <w:tc>
          <w:tcPr>
            <w:tcW w:w="1120" w:type="dxa"/>
            <w:vAlign w:val="bottom"/>
          </w:tcPr>
          <w:p>
            <w:pPr>
              <w:spacing w:after="0"/>
              <w:rPr>
                <w:sz w:val="19"/>
                <w:szCs w:val="19"/>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1,016.5</w:t>
            </w:r>
          </w:p>
        </w:tc>
        <w:tc>
          <w:tcPr>
            <w:tcW w:w="60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60" w:type="dxa"/>
            <w:vAlign w:val="bottom"/>
            <w:gridSpan w:val="2"/>
          </w:tcPr>
          <w:p>
            <w:pPr>
              <w:jc w:val="right"/>
              <w:ind w:right="1700"/>
              <w:spacing w:after="0"/>
              <w:rPr>
                <w:sz w:val="20"/>
                <w:szCs w:val="20"/>
                <w:color w:val="auto"/>
              </w:rPr>
            </w:pPr>
            <w:r>
              <w:rPr>
                <w:rFonts w:ascii="Arial" w:cs="Arial" w:eastAsia="Arial" w:hAnsi="Arial"/>
                <w:sz w:val="18"/>
                <w:szCs w:val="18"/>
                <w:color w:val="auto"/>
                <w:w w:val="89"/>
              </w:rPr>
              <w:t>S-27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and six months ended June 30, 2014 and 2013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8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w:t>
            </w:r>
          </w:p>
        </w:tc>
        <w:tc>
          <w:tcPr>
            <w:tcW w:w="64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3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Ended June 30,</w:t>
            </w:r>
          </w:p>
        </w:tc>
        <w:tc>
          <w:tcPr>
            <w:tcW w:w="64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43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$45.7</w:t>
            </w:r>
          </w:p>
        </w:tc>
        <w:tc>
          <w:tcPr>
            <w:tcW w:w="3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w:t>
            </w:r>
          </w:p>
        </w:tc>
        <w:tc>
          <w:tcPr>
            <w:tcW w:w="6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$79.1</w:t>
            </w:r>
          </w:p>
        </w:tc>
        <w:tc>
          <w:tcPr>
            <w:tcW w:w="2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$41.7</w:t>
            </w:r>
          </w:p>
        </w:tc>
        <w:tc>
          <w:tcPr>
            <w:tcW w:w="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6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360"/>
              <w:spacing w:after="0"/>
              <w:rPr>
                <w:sz w:val="20"/>
                <w:szCs w:val="20"/>
                <w:color w:val="auto"/>
              </w:rPr>
            </w:pPr>
            <w:r>
              <w:rPr>
                <w:rFonts w:ascii="Arial" w:cs="Arial" w:eastAsia="Arial" w:hAnsi="Arial"/>
                <w:sz w:val="18"/>
                <w:szCs w:val="18"/>
                <w:color w:val="auto"/>
              </w:rPr>
              <w:t>Income taxes, including excise taxes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Net realized gains (losses) on investments (1)</w:t>
            </w: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(losses) on investments (2)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14.2</w:t>
            </w:r>
          </w:p>
        </w:tc>
        <w:tc>
          <w:tcPr>
            <w:tcW w:w="6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foreign exchange forward contracts.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foreign exchange forward contracts, foreign currency debt and interest rate swaps.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2"/>
              </w:rPr>
              <w:t>Three Months Ended June 30,</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7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from investments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44.8</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19.9</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75.9</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7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Interest from investments, which includes amortization of upfront fees and prepayment fees, was $19.9 million for the three months ended June 30, 2013 compared to $44.8 million for the three months ended June 30, 2014, primarily due to the increase in the size of our portfolio. The average size of our total investment portfolio increased from $707 million during the three months ended June 30, 2013 to $1.2 billion during the three months ended June 30, 2014. In addition, accelerated amortization of upfront fees primarily from unscheduled paydowns increased from $0.2 million for the three months ended June 30, 2013 to $3.3 million for the three months ended June 30, 2014; and prepayment fees increased from $0.3 million for the three months ended June 30, 2013 to $11.0 million for the three months ended June 30, 2014. The accelerated amortization and prepayment fees primarily resulted from a partial paydown on one portfolio investment during the three months ended June 30, 2013 and from full paydowns on three portfolio investments during the three months ended June 30, 2014. Other income decreased from $1.0 million for the three months ended June 30, 2013 to $0.9 million for the three months ended June 30, 2014, primarily due to higher syndication, amendment and agency fees earned during the second quarter of 2013.</w:t>
      </w:r>
    </w:p>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Interest from investments, which includes amortization of upfront fees and prepayment fees, was $40.5 million for the six months ended June 30, 2013 compared to $75.9 million for the six months ended June 30, 2014, primarily due to the increase in the size of our portfolio. The average size of our total investment portfolio increased from $689 million during the six months ended June 30, 2013 to $1.1 billion during the six months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2014. In addition, accelerated amortization of upfront fees primarily from unscheduled paydowns increased from $1.6 million for the six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2013 to $4.6 million for the six months ended June 30, 2014; and prepayment fees increased from $1.7 million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2013 to $11.9 million for the six months ended June 30, 2014. The accelerated amortization and prepayment fees primarily resulted from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partial paydown on one portfolio investment and full paydowns on two portfolio investments during the six months ended June 30, 2013 and from full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paydowns on six portfolio investments during the six months ended June 30, 2014. Other income increased from $1.3 million for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2013 to $3.2 million for the six months ended June 30, 2014, primarily due to higher syndication, amendment and agency fees earned during the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of 2014.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and six months ended June 30, 2014 and 2013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Three Months Ended June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Incentive fees related to</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Pre-incentive fee net investment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rPr>
              <w:t>Incentive fees related to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realized/unrealized capital gains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Directors’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w:t>
            </w:r>
          </w:p>
        </w:tc>
        <w:tc>
          <w:tcPr>
            <w:tcW w:w="10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2</w:t>
            </w:r>
          </w:p>
        </w:tc>
        <w:tc>
          <w:tcPr>
            <w:tcW w:w="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including other debt financing expenses, increased from $2.4 million for the three months ended June 30, 2013 to $3.5 million for the three months ended June 30, 2014. This increase was primarily due to an increase in the average debt outstanding from $219 million for the three months ended June 30, 2013 to $328 million for the three months ended June 30, 2014. The average stated interest rate on our debt outstanding decreased from 2.8% for the three months ended June 30, 2013 to 2.7% for the three months ended June 30, 2014.</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including other debt financing expenses, increased from $4.7 million for the six months ended June 30, 2013 to $7.3 million for the six months ended June 30, 2014. This increase was primarily due to an increase in the average debt outstanding from $204 million for the six months ended June 30, 2013 to $399 million for the six months ended June 30, 2014. The average stated interest rate on our debt outstanding decreased from 2.8% for the six months ended June 30, 2013 to 2.6% for the six months ended June 30,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Management Fees (net of waivers) increased from $1.6 million for the three months ended June 30, 2013 to $4.5 million for the three months ended June 30, 2014. Management Fees increased from $3.2 million for the three months ended June 30, 2013 to $4.5 million for the three months ended June 30, 2014 due to the increase in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assets, which increased from an average of $868 million for the three months ended June 30, 2013 to an average of $1.2 billion for the three months ended June 30, 2014. Management Fees waived for the three months ended June 30, 2013 were $1.7 million. There were no management fees waived for the three months ended June 30,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Fees (net of waivers) increased from $3.1 million for the six months ended June 30, 2013 to $6.3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2014. Management Fees increased from $6.3 million for the six months ended June 30, 2013 to $8.8 million for the six months ended June 30,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increase in total assets, which increased from an average of $856 million for the six months ended June 30, 2013 to an average of $1.2 billion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months ended June 30, 2014. Management Fees waived decreased from $3.2 million for the six months ended June 30, 2013 to $2.5 million for the six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2014 as no management fees were waived for the three months ended June 30, 2014.</w:t>
      </w:r>
    </w:p>
    <w:p>
      <w:pPr>
        <w:spacing w:after="0" w:line="21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Incentive Fees related to pre-Incentive Fee net investment income increased from $2.3 million for the three months ended June 30, 2013 to $6.2 million for the three months ended June 30, 2014. This increase resulted from the increase in the size of the portfolio and related increase in pre-Incentive Fee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decreased from $0.2 million for the three months ended June 30, 2013 to ($0.3) million for the three months ended June 30, 2014 due to changes in unrealized gains and losses on our investments, realized gains on our investments, unrealized gains on foreign currency forward contracts and unrealized gains on interest rate swaps.</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Incentive Fees related to pre-Incentive Fee net investment income increased from $4.7 million for the six months ended June 30, 2013 to $10.0 million for the six months ended June 30, 2014. This increase resulted from the increase in the size of the portfolio and related increase in pre-Incentive Fee net investment income. This increase also resulted from an increase in the Incentive Fee rate from 15% through March 31, 2014 to 17.5% beginning April 1, 2014 as a result of the consummation of our IPO. Incentive Fees related to capital gains decreased from $0.6 million for the six months ended June 30, 2013 to $0.3 million for the six months ended June 30, 2014 due to changes in unrealized gains and losses on our investments, realized gains on our investments, unrealized gains on foreign currency forward contracts and unrealized gains on interest rate swaps.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Professional fees increased from $0.9 million for the three months ended June 30, 2013 to $1.1 million for the three months ended June 30, 2014 and other general and administrative fees increased from $0.6 million for the three months ended June 30, 2013 to $0.9 million for the three months ended June 30, 2014, both due to an increase in costs associated with servicing a growing investment portfolio.</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Professional fees increased from $1.5 million for the six months ended June 30, 2013 to $2.3 million for the six months ended June 30, 2014 and other general and administrative fees increased from $1.1 million for the six months ended June 30, 2013 to $1.8 million for the six months ended June 30, 2014, both due to an increase in costs associated with servicing a growing investment portfolio.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 the three months ended June 30, 2014 we recorded a net expense of $225 thousand for U.S. federal excise tax. We did not record any federal excise tax for the three months ended June 30, 2013. For the six months ended June 30, 2014 and 2013 we recorded a net expense of $234 thousand and $4 thousand, respectively, for U.S. federal excise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and Unrealized Gains and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realized and unrealized gains (losses) for the three and six months ended June 30, 2014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Net realized</w:t>
            </w:r>
          </w:p>
        </w:tc>
        <w:tc>
          <w:tcPr>
            <w:tcW w:w="56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gains on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center"/>
              <w:ind w:left="131"/>
              <w:spacing w:after="0"/>
              <w:rPr>
                <w:sz w:val="20"/>
                <w:szCs w:val="20"/>
                <w:color w:val="auto"/>
              </w:rPr>
            </w:pPr>
            <w:r>
              <w:rPr>
                <w:rFonts w:ascii="Arial" w:cs="Arial" w:eastAsia="Arial" w:hAnsi="Arial"/>
                <w:sz w:val="18"/>
                <w:szCs w:val="18"/>
                <w:color w:val="auto"/>
                <w:w w:val="87"/>
              </w:rPr>
              <w:t>0.1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Net realized gains on foreign currency transactions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Net realized gains (losses)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center"/>
              <w:ind w:left="131"/>
              <w:spacing w:after="0"/>
              <w:rPr>
                <w:sz w:val="20"/>
                <w:szCs w:val="20"/>
                <w:color w:val="auto"/>
              </w:rPr>
            </w:pPr>
            <w:r>
              <w:rPr>
                <w:rFonts w:ascii="Arial" w:cs="Arial" w:eastAsia="Arial" w:hAnsi="Arial"/>
                <w:sz w:val="18"/>
                <w:szCs w:val="18"/>
                <w:color w:val="auto"/>
                <w:w w:val="87"/>
              </w:rPr>
              <w:t>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gains on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4.3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Change in unrealized losses on investments</w:t>
            </w:r>
          </w:p>
        </w:tc>
        <w:tc>
          <w:tcPr>
            <w:tcW w:w="10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(7.1)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0.5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forward contracts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Unrealized appreciation on interest rate swaps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Change in Unrealized Gains on Foreign Currency Transactions and</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0.7</w:t>
            </w:r>
          </w:p>
        </w:tc>
        <w:tc>
          <w:tcPr>
            <w:tcW w:w="3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center"/>
              <w:ind w:left="131"/>
              <w:spacing w:after="0"/>
              <w:rPr>
                <w:sz w:val="20"/>
                <w:szCs w:val="20"/>
                <w:color w:val="auto"/>
              </w:rPr>
            </w:pPr>
            <w:r>
              <w:rPr>
                <w:rFonts w:ascii="Arial" w:cs="Arial" w:eastAsia="Arial" w:hAnsi="Arial"/>
                <w:sz w:val="18"/>
                <w:szCs w:val="18"/>
                <w:color w:val="auto"/>
                <w:w w:val="87"/>
              </w:rPr>
              <w:t>1.2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For the three and six months ended June 30, 2014 we had net realized gains on investments of $0.1 million primarily as a result of the partial sale of two of our investments. For the three and six months ended June 30, 2014 we had net realized gains on foreign currency transactions of $0.1 million primarily as a result of two of our non-U.S. denominated investments. For the six months ended June 30, 2014 we had net realized losses on foreign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currency forward contracts of $1.6 million primarily as a result of settling our foreign currency forward contracts related to our investments in Jeeves Information Systems AB and Soho House Bond Ltd.</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the three months ended June 30, 2014 we had $3.1 million in unrealized appreciation on 18 portfolio company investments, which was offset by $7.0 million in unrealized depreciation on 13 portfolio company investments. For the six months ended June 30, 2014 we had $7.2 million in unrealized appreciation on 19 portfolio company investments, which was mostly offset by $7.1 million in unrealized depreciation on 14 portfolio company investments. Unrealized appreciation for the three and six months ended June 30, 2014 resulted from an increase in fair market value, primarily due to a tightening spread environment and positive credit-related adjustments. Unrealized depreciation for the three and six months ended June 30, 2014 primarily resulted from the reversal of prior period unrealized appreciation and in some instances negative credit-related adjustments.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For the three and six months ended June 30, 2014 we had unrealized appreciation on foreign currency borrowings of $0.7 million and $1.2 million, respectively, primarily as a result of fluctuations in the GBP and SEK exchange rates. For the six months ended June 30, 2014 we had unrealized appreciation on foreign currency forward contracts of $1.2 million as a result of the reversal of prior period unrealized depreciation due to settling our foreign currency forward contracts related to our investments in Jeeves Information Systems AB and Soho House Bond Ltd. For the three and six months ended June 30, 2014 we had unrealized appreciation on interest rate swaps of $0.8 million due to fluctuations in interest rates.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three months ended June 30, 2013 we had net realized gains on investments of $0.1 million primarily as a result of the sale of one of our investments and a partial sale of two of our investments. For the six months ended June 30, 2013 we had net realized gains on investments of $0.5 million primarily as a result of the sale of two of our investments and a partial sale of three of our investments. For the three and six months ended June 30, 2013 we had net realized gains on foreign currency forward contracts of $0.1 million as a result of settling and rolling foreign currency forward contracts related to our investment in Jeeves Information Systems AB.</w:t>
      </w:r>
    </w:p>
    <w:p>
      <w:pPr>
        <w:spacing w:after="0" w:line="188"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For the three months ended June 30, 2013 we had $4.3 million in unrealized appreciation on 10 portfolio company investments, which was mostly offset by $3.8 million in unrealized depreciation on 15 portfolio company investments. For the six months ended June 30, 2013 we had $7.7 million in unrealized appreciation on 18 portfolio company investments, which was partially offset by $5.3 million in unrealized depreciation on 9 portfolio company investments. Unrealized appreciation for the three and six months ended June 30, 2013 resulted from an increase in fair market value, primarily due to a tightening spread environment and positive credit-related adjustments. Unrealized depreciation for the three and six months ended June 30, 2013 primarily resulted from the reversal of prior period unrealized appreciation and in some instances negative credit-related adjustments.</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three and six months ended June 30, 2013 we had unrealized appreciation on foreign currency forward contracts of $0.7 million as a result of fluctuations in the SEK exchange rate.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Cash Flow Realized Gross Internal Rate of Return</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Since we began investing in 2011 through June 30, 2014, our exited investments have resulted in an aggregate cash flow realized gross internal rate of return to us of 16.4% (based on cash invested of $619 million and total proceeds from these exited investments of $718 million). Eighty one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six months ended June 30, 2014, we settled our foreign currency forward contracts related to our investments in Jeeves Information Systems AB and Soho House Bond Ltd., which in total generated a realized loss of $1.6 million. We did not have any open foreign currency forward contracts as of June 30, 2014. We bear the costs incurred in connection with entering into, administering and settling derivative contracts. There can be no assurance any hedging strategy we employ will be successful.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and debt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capital commitments of our private phase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if immediately after the borrowing or issuance the ratio of total assets (less total liabilities other than indebtedness) to total indebtedness plus preferred stock, is at least 200%. As of June 30, 2014 and December 31, 2013, our asset coverage ratio was 382.5% and 232.9%, respectively.</w:t>
      </w:r>
    </w:p>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Cash and cash equivalents as of June 30, 2014, taken together with cash available under our credit facilities, is expected to be sufficient for our investing activities and to conduct our operations in the near term. On May 30, 2014, we increased aggregate commitments under the Revolving Credit Facility from $581.3 million to $781.3 million. As of June 30, 2014, we had approximately $771 million of undrawn commitments on our revolving credit facilities.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2014, we had $6.5 million in cash and cash equivalents, an increase of $3.0 million from December 31, 2013. The increase was primarily attributable to cash received on June 30, 2014 from amortization and interest payments. During the six months ended June 30, 2014, we used $72.5 million in cash for operating activities, primarily as a result of funding of portfolio investments of $441.1 million, which was partially offset by proceeds from investments of $55.8 million, repayments on investments of $281.6 million, an increase in net assets resulting from operations of $52.6 million and other operating activity of $21.4 million. Lastly, cash provided by financing activities was $75.5 million during the period, primarily due to proceeds from issuance of common stock of $235.2 million partially offset by net repayments on debt of $134.6 million, debt issuance costs of $5.4 million and dividends paid of $19.7 million.</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2014, we had $2.4 million of restricted cash pledged as collateral under our interest rate swap agreements, which we entered into in June 2014, an increase of $2.4 million from December 31, 2013. As of June 30, 2014, we had $12.2 million of restricted cash in our wholly owned subsidiary TPG SL SPV, an increase of $5.8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Issuances</w:t>
      </w:r>
    </w:p>
    <w:p>
      <w:pPr>
        <w:spacing w:after="0" w:line="117"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June 30,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June 30, 2014 no longer remain in effect.</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During the six months ended June 30, 2014 and 2013, we received fundings from drawdown notices to our investors relating to the issuance of 4,234,501 shares and 2,079,224 shares, respectively, of our common stock for aggregate proceeds of $65 million and $32 million, respectively. Proceeds from the issuances were used in investing activities and for other general corporate purposes.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addition to the drawdowns noted above, during the six months ended June 30, 2014 and 2013, we issued 912,383 and 780,709 shares of our common stock, respectively, to shareholders who have not opted out of our dividend reinvestment plan for proceeds of $14.9 million and $11.9 million, respectively.</w:t>
      </w:r>
    </w:p>
    <w:p>
      <w:pPr>
        <w:spacing w:after="0" w:line="124"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On August 1, 2014, pursuant to our dividend reinvestment plan, we issued 218,892 shares in connection with the dividend that was paid on July 31, 2014 to shareholders who opted out of the dividend reinvestment plan. This dividend was declared on May 6, 2014 for shareholders of record on June 30,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June 30,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3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5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6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Principal</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3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 (2)</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138,725</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$138,725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46,014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503,844</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46,014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115,000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111,653</w:t>
            </w:r>
          </w:p>
        </w:tc>
        <w:tc>
          <w:tcPr>
            <w:tcW w:w="0" w:type="dxa"/>
            <w:vAlign w:val="bottom"/>
          </w:tcPr>
          <w:p>
            <w:pPr>
              <w:spacing w:after="0"/>
              <w:rPr>
                <w:sz w:val="1"/>
                <w:szCs w:val="1"/>
                <w:color w:val="auto"/>
              </w:rPr>
            </w:pP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299,739</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528,391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296,392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w w:val="99"/>
              </w:rPr>
              <w:t>December 31, 2013</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3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5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6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Principal</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3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 (4)</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$ 32,000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SPV Asset Facility (2)</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77,767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322,500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322,500</w:t>
            </w:r>
          </w:p>
        </w:tc>
        <w:tc>
          <w:tcPr>
            <w:tcW w:w="0" w:type="dxa"/>
            <w:vAlign w:val="bottom"/>
          </w:tcPr>
          <w:p>
            <w:pPr>
              <w:spacing w:after="0"/>
              <w:rPr>
                <w:sz w:val="1"/>
                <w:szCs w:val="1"/>
                <w:color w:val="auto"/>
              </w:rPr>
            </w:pP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145,500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432,267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21, 2014, we amended the SPV Asset Facility to increase the size of the facility to $175.0 million.</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to increase the total commitments of the facility to $581.3 million. On May 30, 2014, we further increased the total commitments of the facility to $781.3 million.</w:t>
      </w:r>
    </w:p>
    <w:p>
      <w:pPr>
        <w:ind w:left="460" w:right="58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June 30, 2014 and December 31, 2013,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The second amended and restated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 The Revolving Credit Facility continues to include the accordion feature, which would allow us, under certain circumstances, to increase the size of the Revolving Credit Facility further to a maximum of $956.3 million.</w:t>
      </w:r>
    </w:p>
    <w:p>
      <w:pPr>
        <w:spacing w:after="0" w:line="18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$36.25 million in commitments not previously extended such that the revolving period as it relates to all outstanding commitments will expire on February 27, 2018 and the stated maturity date as it relates to all outstanding commitments will be February 27, 2019.</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Net proceeds received from the exercise of the underwriters’ over-allotment option from our IPO and net proceeds received from the issuance of the Convertible Senior Notes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borrow amounts in U.S. dollars or certain other permitted currencies. In connection with settling our foreign currency forward contracts related to our investments in Jeeves Information Systems AB and Soho House Bond Ltd., during the six months ended June 30, 2014 we borrowed in foreign currencies from our Revolving Credit Facility. As of June 30, 2014, we have outstanding debt denominated in Swedish Krona (SEK) of 218,379,000 and outstanding debt denominated in Pound Sterling (GBP) of 7,807,000 on our Revolving Credit Facility, included in the Outstanding Principal amount in the table above.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Revolving Credit Facility is guaranteed by TC Lending,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9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will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plus a margin, in each case at TPG SL SPV’s option. TPG SL SPV’s ability to borrow at lenders’ cost of funds plus a margin under the amended and restated SPV Asset Facility lowered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June 30, 2014 and December 31, 2013, TPG SL SPV had $364.5 million and $184.3 million, respectively, in investments at fair value and $141.5 million and $78.3 million, respectively, in liabilities, including the outstanding borrowings, on its balance sheet. As of June 30, 2014 and December 31, 2013, TPG SL SPV had $12.2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of TPG SL SPV are considered our borrowings for purposes of complying with the asset coverage requirements of the 1940 Act.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an interest rate swap to continue to align the interest rates of our liabilities with our investment portfolio, which consists of predominately floating rate loans. As a result of the swap, our effective interest rate on the Convertible Senior Notes is three-month LIBOR plus 252.9 basis points.</w:t>
      </w:r>
    </w:p>
    <w:p>
      <w:pPr>
        <w:spacing w:after="0" w:line="16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Holders may convert their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Convertible Senior Notes Indenture)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8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indebtedness (including unsecured indebtedness that we later secures) to the extent of the value of the assets securing such indebtedness; and structurally junior to all existing and future indebtedness (including trade payables) incurred by our subsidiaries, financing vehicles or similar facilities.</w:t>
      </w:r>
    </w:p>
    <w:p>
      <w:pPr>
        <w:spacing w:after="0" w:line="12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June 30, 2014,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us to comply with the requirement under the Investment Company Act that our asset coverage ratio, as defined in the Investment Company Act, equal at least 200% and to provide financial information to the holders of the Convertible Senior Notes under certain circumstances. These covenants are subject to important limitations and exceptions that are described in the Convertible Senior Notes Indenture. As of June 30, 2014, we were in compliance with the terms of the Convertible Senior Notes Indenture.</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the Company has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2014 and December 31, 2013, we had the following commitments to fund investments: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7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2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6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6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1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Senior secured term loan commitments</w:t>
            </w:r>
          </w:p>
        </w:tc>
        <w:tc>
          <w:tcPr>
            <w:tcW w:w="1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gridSpan w:val="2"/>
          </w:tcPr>
          <w:p>
            <w:pPr>
              <w:jc w:val="right"/>
              <w:ind w:right="1110"/>
              <w:spacing w:after="0"/>
              <w:rPr>
                <w:sz w:val="20"/>
                <w:szCs w:val="20"/>
                <w:color w:val="auto"/>
              </w:rPr>
            </w:pPr>
            <w:r>
              <w:rPr>
                <w:rFonts w:ascii="Arial" w:cs="Arial" w:eastAsia="Arial" w:hAnsi="Arial"/>
                <w:sz w:val="18"/>
                <w:szCs w:val="18"/>
                <w:color w:val="auto"/>
              </w:rPr>
              <w:t>S-39</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These unfunded commitments terminated upon the completion of our IPO, and hence as of June 30, 2014 no longer remain in effect.</w:t>
      </w:r>
    </w:p>
    <w:p>
      <w:pPr>
        <w:spacing w:after="0" w:line="17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June 30, 2014 and December 31, 2013, we had outstanding commitments to fund investments totaling $64.8 million and $55.0 million, respectively.</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480" w:firstLine="456"/>
        <w:spacing w:after="0" w:line="273"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June 30, 2014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8"/>
              </w:rPr>
              <w:t>Payments Due by Period</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w:t>
            </w:r>
          </w:p>
        </w:tc>
        <w:tc>
          <w:tcPr>
            <w:tcW w:w="56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1-3 years</w:t>
            </w:r>
          </w:p>
        </w:tc>
        <w:tc>
          <w:tcPr>
            <w:tcW w:w="58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0"/>
                <w:szCs w:val="10"/>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1"/>
              </w:rPr>
              <w:t>After 5 years</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SPV Asset</w:t>
            </w: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$138.7</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60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299.7</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46.0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2013, filed with the SEC on March 4, 2014, and our Form 10-K/A, filed with the SEC on March 14, 2014, and elsewhere in our filings with the SEC.</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280"/>
          </w:cols>
          <w:pgMar w:left="24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Information about our senior securities is shown in the following table as of the end of each fiscal year ended December 31, 2013, 2012 and 2011 and as of June 30, 2014. The report of our independent registered public accounting firm, KPMG LLP, on the senior securities table as of December 31, 2013 is attached as an exhibit to the registration statement of which this prospectus supplement and the accompanying prospectus are a part.</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8"/>
              </w:rPr>
              <w:t>Involuntary</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380" w:type="dxa"/>
            <w:vAlign w:val="bottom"/>
          </w:tcPr>
          <w:p>
            <w:pPr>
              <w:spacing w:after="0"/>
              <w:rPr>
                <w:sz w:val="12"/>
                <w:szCs w:val="12"/>
                <w:color w:val="auto"/>
              </w:rPr>
            </w:pPr>
          </w:p>
        </w:tc>
        <w:tc>
          <w:tcPr>
            <w:tcW w:w="14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83"/>
              </w:rPr>
              <w:t>Asset</w:t>
            </w:r>
          </w:p>
        </w:tc>
        <w:tc>
          <w:tcPr>
            <w:tcW w:w="15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Treasury</w:t>
            </w:r>
          </w:p>
        </w:tc>
        <w:tc>
          <w:tcPr>
            <w:tcW w:w="3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Preference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66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38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Coverage</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7"/>
              </w:rPr>
              <w:t>Per</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80" w:type="dxa"/>
            <w:vAlign w:val="bottom"/>
          </w:tcPr>
          <w:p>
            <w:pPr>
              <w:spacing w:after="0"/>
              <w:rPr>
                <w:sz w:val="14"/>
                <w:szCs w:val="14"/>
                <w:color w:val="auto"/>
              </w:rPr>
            </w:pPr>
          </w:p>
        </w:tc>
        <w:tc>
          <w:tcPr>
            <w:tcW w:w="14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9"/>
              </w:rPr>
              <w:t>Per Unit</w:t>
            </w:r>
            <w:r>
              <w:rPr>
                <w:rFonts w:ascii="Arial" w:cs="Arial" w:eastAsia="Arial" w:hAnsi="Arial"/>
                <w:sz w:val="12"/>
                <w:szCs w:val="12"/>
                <w:b w:val="1"/>
                <w:bCs w:val="1"/>
                <w:color w:val="auto"/>
                <w:w w:val="99"/>
              </w:rPr>
              <w:t>(2)</w:t>
            </w:r>
          </w:p>
        </w:tc>
        <w:tc>
          <w:tcPr>
            <w:tcW w:w="15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(4)</w:t>
            </w: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3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December 31, 2014 (as of June 30, 2014) (Unaudited)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184.7</w:t>
            </w:r>
          </w:p>
        </w:tc>
        <w:tc>
          <w:tcPr>
            <w:tcW w:w="182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$ 2,673.7</w:t>
            </w: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432.3</w:t>
            </w:r>
          </w:p>
        </w:tc>
        <w:tc>
          <w:tcPr>
            <w:tcW w:w="182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$ 2,329.5</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331.8</w:t>
            </w:r>
          </w:p>
        </w:tc>
        <w:tc>
          <w:tcPr>
            <w:tcW w:w="182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$ 2,445.9</w:t>
            </w: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155.0</w:t>
            </w:r>
          </w:p>
        </w:tc>
        <w:tc>
          <w:tcPr>
            <w:tcW w:w="182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$ 2,116.7</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 (as of June 30, 2014) (Unaudited)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111.7</w:t>
            </w:r>
          </w:p>
        </w:tc>
        <w:tc>
          <w:tcPr>
            <w:tcW w:w="182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$ 2,673.7</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at the end of the period presented.</w:t>
      </w:r>
    </w:p>
    <w:p>
      <w:pPr>
        <w:spacing w:after="0" w:line="23"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of the selling stockholders;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percentage of shares of our common stock that the selling stockholders beneficially owned prior to the offering for resale of the shares under this prospectus supplement;</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our common stock that are being offered for resale for the account of the selling stockholders under this prospectus supplement; and</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percentage of shares of our common stock to be beneficially owned by the selling stockholders after the offering of the resale shares under this prospectus supplement.</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table is prepared solely based on information supplied to us by the listed stockholders and any public documents filed with the SEC. The applicable percentages of beneficial ownership are based on an aggregate of 53,347,891 shares of our common stock issued and outstanding on July 28, 2014, adjusted as may be required by rules promulgated by the SEC. Certain selling stockholders have affiliations with broker-dealers, but received the shares in the ordinary course of business and, at the time of receipt, had no agreements or understandings, directly or indirectly, with any person to distribute the shares. No selling stockholder has, or within the past three years has had, any position, office, or other material relationship with us or our affiliates.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Beneficial ownership has been determined in accordance with the rules and regulations of the SEC and includes voting or investment power (including the power to dispose) with respect to the shares of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Shares Beneficially</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4"/>
              </w:rPr>
              <w:t>Number of</w:t>
            </w:r>
          </w:p>
        </w:tc>
        <w:tc>
          <w:tcPr>
            <w:tcW w:w="174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Owned After</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This Offering</w:t>
            </w: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Shares Beneficially</w:t>
            </w:r>
          </w:p>
        </w:tc>
        <w:tc>
          <w:tcPr>
            <w:tcW w:w="11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Subject to</w:t>
            </w:r>
          </w:p>
        </w:tc>
        <w:tc>
          <w:tcPr>
            <w:tcW w:w="17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(Assuming No</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Being</w:t>
            </w: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7"/>
              </w:rPr>
              <w:t>Option</w:t>
            </w:r>
          </w:p>
        </w:tc>
        <w:tc>
          <w:tcPr>
            <w:tcW w:w="17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Exercise of Option</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Owned After This</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1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6"/>
              </w:rPr>
              <w:t>Offered in</w:t>
            </w: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to Purchase</w:t>
            </w:r>
          </w:p>
        </w:tc>
        <w:tc>
          <w:tcPr>
            <w:tcW w:w="17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to Purchase</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Offering (with Full</w:t>
            </w:r>
          </w:p>
        </w:tc>
        <w:tc>
          <w:tcPr>
            <w:tcW w:w="0" w:type="dxa"/>
            <w:vAlign w:val="bottom"/>
          </w:tcPr>
          <w:p>
            <w:pPr>
              <w:spacing w:after="0"/>
              <w:rPr>
                <w:sz w:val="1"/>
                <w:szCs w:val="1"/>
                <w:color w:val="auto"/>
              </w:rPr>
            </w:pPr>
          </w:p>
        </w:tc>
      </w:tr>
      <w:tr>
        <w:trPr>
          <w:trHeight w:val="162"/>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Stockholder</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160" w:type="dxa"/>
            <w:vAlign w:val="bottom"/>
          </w:tcPr>
          <w:p>
            <w:pPr>
              <w:jc w:val="center"/>
              <w:ind w:left="168"/>
              <w:spacing w:after="0"/>
              <w:rPr>
                <w:sz w:val="20"/>
                <w:szCs w:val="20"/>
                <w:color w:val="auto"/>
              </w:rPr>
            </w:pPr>
            <w:r>
              <w:rPr>
                <w:rFonts w:ascii="Arial" w:cs="Arial" w:eastAsia="Arial" w:hAnsi="Arial"/>
                <w:sz w:val="14"/>
                <w:szCs w:val="14"/>
                <w:b w:val="1"/>
                <w:bCs w:val="1"/>
                <w:color w:val="auto"/>
                <w:w w:val="97"/>
              </w:rPr>
              <w:t>This</w:t>
            </w: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Additional</w:t>
            </w:r>
          </w:p>
        </w:tc>
        <w:tc>
          <w:tcPr>
            <w:tcW w:w="1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Additional Shares)</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Option Exercise)</w:t>
            </w:r>
          </w:p>
        </w:tc>
        <w:tc>
          <w:tcPr>
            <w:tcW w:w="0" w:type="dxa"/>
            <w:vAlign w:val="bottom"/>
          </w:tcPr>
          <w:p>
            <w:pPr>
              <w:spacing w:after="0"/>
              <w:rPr>
                <w:sz w:val="1"/>
                <w:szCs w:val="1"/>
                <w:color w:val="auto"/>
              </w:rPr>
            </w:pPr>
          </w:p>
        </w:tc>
      </w:tr>
      <w:tr>
        <w:trPr>
          <w:trHeight w:val="141"/>
        </w:trPr>
        <w:tc>
          <w:tcPr>
            <w:tcW w:w="4440" w:type="dxa"/>
            <w:vAlign w:val="bottom"/>
            <w:vMerge w:val="continue"/>
          </w:tcPr>
          <w:p>
            <w:pPr>
              <w:spacing w:after="0"/>
              <w:rPr>
                <w:sz w:val="12"/>
                <w:szCs w:val="12"/>
                <w:color w:val="auto"/>
              </w:rPr>
            </w:pPr>
          </w:p>
        </w:tc>
        <w:tc>
          <w:tcPr>
            <w:tcW w:w="760" w:type="dxa"/>
            <w:vAlign w:val="bottom"/>
            <w:tcBorders>
              <w:top w:val="single" w:sz="8" w:color="auto"/>
            </w:tcBorders>
          </w:tcPr>
          <w:p>
            <w:pPr>
              <w:ind w:left="80"/>
              <w:spacing w:after="0" w:line="141"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4"/>
                <w:szCs w:val="14"/>
                <w:b w:val="1"/>
                <w:bCs w:val="1"/>
                <w:u w:val="single" w:color="auto"/>
                <w:color w:val="auto"/>
                <w:w w:val="85"/>
              </w:rPr>
              <w:t>Percent</w:t>
            </w:r>
          </w:p>
        </w:tc>
        <w:tc>
          <w:tcPr>
            <w:tcW w:w="1160" w:type="dxa"/>
            <w:vAlign w:val="bottom"/>
          </w:tcPr>
          <w:p>
            <w:pPr>
              <w:jc w:val="center"/>
              <w:ind w:left="168"/>
              <w:spacing w:after="0" w:line="141" w:lineRule="exact"/>
              <w:rPr>
                <w:sz w:val="20"/>
                <w:szCs w:val="20"/>
                <w:color w:val="auto"/>
              </w:rPr>
            </w:pPr>
            <w:r>
              <w:rPr>
                <w:rFonts w:ascii="Arial" w:cs="Arial" w:eastAsia="Arial" w:hAnsi="Arial"/>
                <w:sz w:val="14"/>
                <w:szCs w:val="14"/>
                <w:b w:val="1"/>
                <w:bCs w:val="1"/>
                <w:color w:val="auto"/>
                <w:w w:val="95"/>
              </w:rPr>
              <w:t>Offering</w:t>
            </w:r>
          </w:p>
        </w:tc>
        <w:tc>
          <w:tcPr>
            <w:tcW w:w="1120" w:type="dxa"/>
            <w:vAlign w:val="bottom"/>
          </w:tcPr>
          <w:p>
            <w:pPr>
              <w:jc w:val="center"/>
              <w:ind w:right="68"/>
              <w:spacing w:after="0" w:line="141"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tcBorders>
              <w:top w:val="single" w:sz="8" w:color="auto"/>
            </w:tcBorders>
          </w:tcPr>
          <w:p>
            <w:pPr>
              <w:ind w:left="80"/>
              <w:spacing w:after="0" w:line="141"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4"/>
                <w:szCs w:val="14"/>
                <w:b w:val="1"/>
                <w:bCs w:val="1"/>
                <w:u w:val="single" w:color="auto"/>
                <w:color w:val="auto"/>
                <w:w w:val="85"/>
              </w:rPr>
              <w:t>Percent</w:t>
            </w:r>
          </w:p>
        </w:tc>
        <w:tc>
          <w:tcPr>
            <w:tcW w:w="360" w:type="dxa"/>
            <w:vAlign w:val="bottom"/>
          </w:tcPr>
          <w:p>
            <w:pPr>
              <w:spacing w:after="0"/>
              <w:rPr>
                <w:sz w:val="12"/>
                <w:szCs w:val="12"/>
                <w:color w:val="auto"/>
              </w:rPr>
            </w:pPr>
          </w:p>
        </w:tc>
        <w:tc>
          <w:tcPr>
            <w:tcW w:w="760" w:type="dxa"/>
            <w:vAlign w:val="bottom"/>
            <w:tcBorders>
              <w:top w:val="single" w:sz="8" w:color="auto"/>
            </w:tcBorders>
          </w:tcPr>
          <w:p>
            <w:pPr>
              <w:ind w:left="80"/>
              <w:spacing w:after="0" w:line="141" w:lineRule="exact"/>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ind w:left="180"/>
              <w:spacing w:after="0" w:line="141" w:lineRule="exact"/>
              <w:rPr>
                <w:sz w:val="20"/>
                <w:szCs w:val="20"/>
                <w:color w:val="auto"/>
              </w:rPr>
            </w:pPr>
            <w:r>
              <w:rPr>
                <w:rFonts w:ascii="Arial" w:cs="Arial" w:eastAsia="Arial" w:hAnsi="Arial"/>
                <w:sz w:val="14"/>
                <w:szCs w:val="14"/>
                <w:b w:val="1"/>
                <w:bCs w:val="1"/>
                <w:u w:val="single" w:color="auto"/>
                <w:color w:val="auto"/>
                <w:w w:val="85"/>
              </w:rPr>
              <w:t>Percent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MSSB TPG</w:t>
            </w:r>
          </w:p>
        </w:tc>
        <w:tc>
          <w:tcPr>
            <w:tcW w:w="3680" w:type="dxa"/>
            <w:vAlign w:val="bottom"/>
            <w:shd w:val="clear" w:color="auto" w:fill="CCEEFF"/>
          </w:tcPr>
          <w:p>
            <w:pPr>
              <w:jc w:val="right"/>
              <w:ind w:right="1145"/>
              <w:spacing w:after="0" w:line="7" w:lineRule="exact"/>
              <w:rPr>
                <w:sz w:val="20"/>
                <w:szCs w:val="20"/>
                <w:color w:val="auto"/>
              </w:rPr>
            </w:pPr>
            <w:r>
              <w:rPr>
                <w:rFonts w:ascii="Arial" w:cs="Arial" w:eastAsia="Arial" w:hAnsi="Arial"/>
                <w:sz w:val="1"/>
                <w:szCs w:val="1"/>
                <w:color w:val="auto"/>
              </w:rPr>
              <w:t>Specialty Lending Onshore Feeder Fund</w:t>
            </w: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5,994,646</w:t>
            </w: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right"/>
              <w:ind w:right="154"/>
              <w:spacing w:after="0" w:line="7" w:lineRule="exact"/>
              <w:rPr>
                <w:sz w:val="20"/>
                <w:szCs w:val="20"/>
                <w:color w:val="auto"/>
              </w:rPr>
            </w:pPr>
            <w:r>
              <w:rPr>
                <w:rFonts w:ascii="Arial" w:cs="Arial" w:eastAsia="Arial" w:hAnsi="Arial"/>
                <w:sz w:val="1"/>
                <w:szCs w:val="1"/>
                <w:color w:val="auto"/>
              </w:rPr>
              <w:t>11.2%</w:t>
            </w:r>
          </w:p>
        </w:tc>
        <w:tc>
          <w:tcPr>
            <w:tcW w:w="68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2,593,099</w:t>
            </w: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388,965</w:t>
            </w: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3,401,547</w:t>
            </w: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right"/>
              <w:ind w:right="154"/>
              <w:spacing w:after="0" w:line="7" w:lineRule="exact"/>
              <w:rPr>
                <w:sz w:val="20"/>
                <w:szCs w:val="20"/>
                <w:color w:val="auto"/>
              </w:rPr>
            </w:pPr>
            <w:r>
              <w:rPr>
                <w:rFonts w:ascii="Arial" w:cs="Arial" w:eastAsia="Arial" w:hAnsi="Arial"/>
                <w:sz w:val="1"/>
                <w:szCs w:val="1"/>
                <w:color w:val="auto"/>
              </w:rPr>
              <w:t>6.4%</w:t>
            </w: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3,012,582</w:t>
            </w: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jc w:val="right"/>
              <w:spacing w:after="0" w:line="7" w:lineRule="exact"/>
              <w:rPr>
                <w:sz w:val="20"/>
                <w:szCs w:val="20"/>
                <w:color w:val="auto"/>
              </w:rPr>
            </w:pPr>
            <w:r>
              <w:rPr>
                <w:rFonts w:ascii="Arial" w:cs="Arial" w:eastAsia="Arial" w:hAnsi="Arial"/>
                <w:sz w:val="1"/>
                <w:szCs w:val="1"/>
                <w:color w:val="auto"/>
              </w:rPr>
              <w:t>5.6%</w:t>
            </w:r>
          </w:p>
        </w:tc>
      </w:tr>
      <w:tr>
        <w:trPr>
          <w:trHeight w:val="169"/>
        </w:trPr>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3680" w:type="dxa"/>
            <w:vAlign w:val="bottom"/>
            <w:tcBorders>
              <w:bottom w:val="single" w:sz="8" w:color="CCEEFF"/>
            </w:tcBorders>
            <w:shd w:val="clear" w:color="auto" w:fill="CCEEFF"/>
          </w:tcPr>
          <w:p>
            <w:pPr>
              <w:jc w:val="right"/>
              <w:ind w:right="985"/>
              <w:spacing w:after="0"/>
              <w:rPr>
                <w:sz w:val="20"/>
                <w:szCs w:val="20"/>
                <w:color w:val="auto"/>
              </w:rPr>
            </w:pPr>
            <w:r>
              <w:rPr>
                <w:rFonts w:ascii="Arial" w:cs="Arial" w:eastAsia="Arial" w:hAnsi="Arial"/>
                <w:sz w:val="13"/>
                <w:szCs w:val="13"/>
                <w:color w:val="auto"/>
              </w:rPr>
              <w:t>(1)</w:t>
            </w: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Universities Superannuation Scheme Limited</w:t>
            </w:r>
            <w:r>
              <w:rPr>
                <w:rFonts w:ascii="Arial" w:cs="Arial" w:eastAsia="Arial" w:hAnsi="Arial"/>
                <w:sz w:val="13"/>
                <w:szCs w:val="13"/>
                <w:color w:val="auto"/>
              </w:rPr>
              <w:t>(2)</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3,911,472</w:t>
            </w:r>
          </w:p>
        </w:tc>
        <w:tc>
          <w:tcPr>
            <w:tcW w:w="820" w:type="dxa"/>
            <w:vAlign w:val="bottom"/>
          </w:tcPr>
          <w:p>
            <w:pPr>
              <w:jc w:val="right"/>
              <w:ind w:right="154"/>
              <w:spacing w:after="0"/>
              <w:rPr>
                <w:sz w:val="20"/>
                <w:szCs w:val="20"/>
                <w:color w:val="auto"/>
              </w:rPr>
            </w:pPr>
            <w:r>
              <w:rPr>
                <w:rFonts w:ascii="Arial" w:cs="Arial" w:eastAsia="Arial" w:hAnsi="Arial"/>
                <w:sz w:val="15"/>
                <w:szCs w:val="15"/>
                <w:color w:val="auto"/>
              </w:rPr>
              <w:t>7.3%</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422,996</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63,449</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3,488,476</w:t>
            </w:r>
          </w:p>
        </w:tc>
        <w:tc>
          <w:tcPr>
            <w:tcW w:w="26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5"/>
                <w:szCs w:val="15"/>
                <w:color w:val="auto"/>
              </w:rPr>
              <w:t>6.5%</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3,425,027</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6"/>
        </w:trPr>
        <w:tc>
          <w:tcPr>
            <w:tcW w:w="20" w:type="dxa"/>
            <w:vAlign w:val="bottom"/>
          </w:tcPr>
          <w:p>
            <w:pPr>
              <w:spacing w:after="0" w:line="20" w:lineRule="exact"/>
              <w:rPr>
                <w:sz w:val="1"/>
                <w:szCs w:val="1"/>
                <w:color w:val="auto"/>
              </w:rPr>
            </w:pPr>
          </w:p>
        </w:tc>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Oregon Public Employees Retirement Fund</w:t>
            </w:r>
          </w:p>
        </w:tc>
        <w:tc>
          <w:tcPr>
            <w:tcW w:w="9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3,080,410</w:t>
            </w:r>
          </w:p>
        </w:tc>
        <w:tc>
          <w:tcPr>
            <w:tcW w:w="820" w:type="dxa"/>
            <w:vAlign w:val="bottom"/>
            <w:shd w:val="clear" w:color="auto" w:fill="CCEEFF"/>
          </w:tcPr>
          <w:p>
            <w:pPr>
              <w:jc w:val="right"/>
              <w:ind w:right="154"/>
              <w:spacing w:after="0" w:line="6" w:lineRule="exact"/>
              <w:rPr>
                <w:sz w:val="20"/>
                <w:szCs w:val="20"/>
                <w:color w:val="auto"/>
              </w:rPr>
            </w:pPr>
            <w:r>
              <w:rPr>
                <w:rFonts w:ascii="Arial" w:cs="Arial" w:eastAsia="Arial" w:hAnsi="Arial"/>
                <w:sz w:val="1"/>
                <w:szCs w:val="1"/>
                <w:color w:val="auto"/>
              </w:rPr>
              <w:t>5.8%</w:t>
            </w:r>
          </w:p>
        </w:tc>
        <w:tc>
          <w:tcPr>
            <w:tcW w:w="94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648,854</w:t>
            </w:r>
          </w:p>
        </w:tc>
        <w:tc>
          <w:tcPr>
            <w:tcW w:w="98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97,328</w:t>
            </w:r>
          </w:p>
        </w:tc>
        <w:tc>
          <w:tcPr>
            <w:tcW w:w="66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2,431,556</w:t>
            </w: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right"/>
              <w:ind w:right="154"/>
              <w:spacing w:after="0" w:line="6" w:lineRule="exact"/>
              <w:rPr>
                <w:sz w:val="20"/>
                <w:szCs w:val="20"/>
                <w:color w:val="auto"/>
              </w:rPr>
            </w:pPr>
            <w:r>
              <w:rPr>
                <w:rFonts w:ascii="Arial" w:cs="Arial" w:eastAsia="Arial" w:hAnsi="Arial"/>
                <w:sz w:val="1"/>
                <w:szCs w:val="1"/>
                <w:color w:val="auto"/>
              </w:rPr>
              <w:t>4.6%</w:t>
            </w:r>
          </w:p>
        </w:tc>
        <w:tc>
          <w:tcPr>
            <w:tcW w:w="66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2,334,228</w:t>
            </w: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4.4%</w:t>
            </w:r>
          </w:p>
        </w:tc>
      </w:tr>
      <w:tr>
        <w:trPr>
          <w:trHeight w:val="177"/>
        </w:trPr>
        <w:tc>
          <w:tcPr>
            <w:tcW w:w="20" w:type="dxa"/>
            <w:vAlign w:val="bottom"/>
          </w:tcPr>
          <w:p>
            <w:pPr>
              <w:spacing w:after="0"/>
              <w:rPr>
                <w:sz w:val="15"/>
                <w:szCs w:val="15"/>
                <w:color w:val="auto"/>
              </w:rPr>
            </w:pPr>
          </w:p>
        </w:tc>
        <w:tc>
          <w:tcPr>
            <w:tcW w:w="4420" w:type="dxa"/>
            <w:vAlign w:val="bottom"/>
            <w:tcBorders>
              <w:bottom w:val="single" w:sz="8" w:color="CCEEFF"/>
            </w:tcBorders>
            <w:gridSpan w:val="2"/>
            <w:shd w:val="clear" w:color="auto" w:fill="CCEEFF"/>
          </w:tcPr>
          <w:p>
            <w:pPr>
              <w:jc w:val="right"/>
              <w:ind w:right="1565"/>
              <w:spacing w:after="0"/>
              <w:rPr>
                <w:sz w:val="20"/>
                <w:szCs w:val="20"/>
                <w:color w:val="auto"/>
              </w:rPr>
            </w:pPr>
            <w:r>
              <w:rPr>
                <w:rFonts w:ascii="Arial" w:cs="Arial" w:eastAsia="Arial" w:hAnsi="Arial"/>
                <w:sz w:val="13"/>
                <w:szCs w:val="13"/>
                <w:color w:val="auto"/>
              </w:rPr>
              <w:t>(3)</w:t>
            </w: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Arizona State Retirement System</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2,218,555</w:t>
            </w:r>
          </w:p>
        </w:tc>
        <w:tc>
          <w:tcPr>
            <w:tcW w:w="820" w:type="dxa"/>
            <w:vAlign w:val="bottom"/>
          </w:tcPr>
          <w:p>
            <w:pPr>
              <w:jc w:val="right"/>
              <w:ind w:right="154"/>
              <w:spacing w:after="0"/>
              <w:rPr>
                <w:sz w:val="20"/>
                <w:szCs w:val="20"/>
                <w:color w:val="auto"/>
              </w:rPr>
            </w:pPr>
            <w:r>
              <w:rPr>
                <w:rFonts w:ascii="Arial" w:cs="Arial" w:eastAsia="Arial" w:hAnsi="Arial"/>
                <w:sz w:val="15"/>
                <w:szCs w:val="15"/>
                <w:color w:val="auto"/>
              </w:rPr>
              <w:t>4.2%</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959,678</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143,952</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1,258,877</w:t>
            </w:r>
          </w:p>
        </w:tc>
        <w:tc>
          <w:tcPr>
            <w:tcW w:w="26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5"/>
                <w:szCs w:val="15"/>
                <w:color w:val="auto"/>
              </w:rPr>
              <w:t>2.4%</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1,114,925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Peregrine Multi-Manager Fund, LP</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633,251</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5"/>
                <w:szCs w:val="15"/>
                <w:color w:val="auto"/>
              </w:rPr>
              <w:t>1.2%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136,963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20,544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496,288</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475,744</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Millennium Trust FBO—DCM Investments LP—TPGSL</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275,382</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39,310</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5,897</w:t>
            </w:r>
          </w:p>
        </w:tc>
        <w:tc>
          <w:tcPr>
            <w:tcW w:w="660" w:type="dxa"/>
            <w:vAlign w:val="bottom"/>
          </w:tcPr>
          <w:p>
            <w:pPr>
              <w:jc w:val="right"/>
              <w:spacing w:after="0"/>
              <w:rPr>
                <w:sz w:val="20"/>
                <w:szCs w:val="20"/>
                <w:color w:val="auto"/>
              </w:rPr>
            </w:pPr>
            <w:r>
              <w:rPr>
                <w:rFonts w:ascii="Arial" w:cs="Arial" w:eastAsia="Arial" w:hAnsi="Arial"/>
                <w:sz w:val="15"/>
                <w:szCs w:val="15"/>
                <w:color w:val="auto"/>
              </w:rPr>
              <w:t>236,072</w:t>
            </w:r>
          </w:p>
        </w:tc>
        <w:tc>
          <w:tcPr>
            <w:tcW w:w="26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230,175</w:t>
            </w:r>
          </w:p>
        </w:tc>
        <w:tc>
          <w:tcPr>
            <w:tcW w:w="280" w:type="dxa"/>
            <w:vAlign w:val="bottom"/>
          </w:tcPr>
          <w:p>
            <w:pPr>
              <w:spacing w:after="0"/>
              <w:rPr>
                <w:sz w:val="17"/>
                <w:szCs w:val="17"/>
                <w:color w:val="auto"/>
              </w:rPr>
            </w:pPr>
          </w:p>
        </w:tc>
        <w:tc>
          <w:tcPr>
            <w:tcW w:w="640" w:type="dxa"/>
            <w:vAlign w:val="bottom"/>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DCM TPGSL Fund LLC</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235,204</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33,575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5,036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201,629</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196,593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Pipeline Industry Pension Fund</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192,395</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41,612</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6,242</w:t>
            </w:r>
          </w:p>
        </w:tc>
        <w:tc>
          <w:tcPr>
            <w:tcW w:w="660" w:type="dxa"/>
            <w:vAlign w:val="bottom"/>
          </w:tcPr>
          <w:p>
            <w:pPr>
              <w:jc w:val="right"/>
              <w:spacing w:after="0"/>
              <w:rPr>
                <w:sz w:val="20"/>
                <w:szCs w:val="20"/>
                <w:color w:val="auto"/>
              </w:rPr>
            </w:pPr>
            <w:r>
              <w:rPr>
                <w:rFonts w:ascii="Arial" w:cs="Arial" w:eastAsia="Arial" w:hAnsi="Arial"/>
                <w:sz w:val="15"/>
                <w:szCs w:val="15"/>
                <w:color w:val="auto"/>
              </w:rPr>
              <w:t>150,783</w:t>
            </w:r>
          </w:p>
        </w:tc>
        <w:tc>
          <w:tcPr>
            <w:tcW w:w="26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144,541</w:t>
            </w:r>
          </w:p>
        </w:tc>
        <w:tc>
          <w:tcPr>
            <w:tcW w:w="280" w:type="dxa"/>
            <w:vAlign w:val="bottom"/>
          </w:tcPr>
          <w:p>
            <w:pPr>
              <w:spacing w:after="0"/>
              <w:rPr>
                <w:sz w:val="17"/>
                <w:szCs w:val="17"/>
                <w:color w:val="auto"/>
              </w:rPr>
            </w:pPr>
          </w:p>
        </w:tc>
        <w:tc>
          <w:tcPr>
            <w:tcW w:w="640" w:type="dxa"/>
            <w:vAlign w:val="bottom"/>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International Union, UAW Strike Trust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153,890</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33,284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4,993</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120,606</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115,614</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International Union, UAW Master Pension Trust</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153,890</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33,284</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4,993</w:t>
            </w:r>
          </w:p>
        </w:tc>
        <w:tc>
          <w:tcPr>
            <w:tcW w:w="660" w:type="dxa"/>
            <w:vAlign w:val="bottom"/>
          </w:tcPr>
          <w:p>
            <w:pPr>
              <w:jc w:val="right"/>
              <w:spacing w:after="0"/>
              <w:rPr>
                <w:sz w:val="20"/>
                <w:szCs w:val="20"/>
                <w:color w:val="auto"/>
              </w:rPr>
            </w:pPr>
            <w:r>
              <w:rPr>
                <w:rFonts w:ascii="Arial" w:cs="Arial" w:eastAsia="Arial" w:hAnsi="Arial"/>
                <w:sz w:val="15"/>
                <w:szCs w:val="15"/>
                <w:color w:val="auto"/>
              </w:rPr>
              <w:t>120,606</w:t>
            </w:r>
          </w:p>
        </w:tc>
        <w:tc>
          <w:tcPr>
            <w:tcW w:w="26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115,614</w:t>
            </w:r>
          </w:p>
        </w:tc>
        <w:tc>
          <w:tcPr>
            <w:tcW w:w="280" w:type="dxa"/>
            <w:vAlign w:val="bottom"/>
          </w:tcPr>
          <w:p>
            <w:pPr>
              <w:spacing w:after="0"/>
              <w:rPr>
                <w:sz w:val="17"/>
                <w:szCs w:val="17"/>
                <w:color w:val="auto"/>
              </w:rPr>
            </w:pPr>
          </w:p>
        </w:tc>
        <w:tc>
          <w:tcPr>
            <w:tcW w:w="640" w:type="dxa"/>
            <w:vAlign w:val="bottom"/>
          </w:tcPr>
          <w:p>
            <w:pPr>
              <w:jc w:val="right"/>
              <w:ind w:right="114"/>
              <w:spacing w:after="0"/>
              <w:rPr>
                <w:sz w:val="20"/>
                <w:szCs w:val="20"/>
                <w:color w:val="auto"/>
              </w:rPr>
            </w:pPr>
            <w:r>
              <w:rPr>
                <w:rFonts w:ascii="Arial" w:cs="Arial" w:eastAsia="Arial" w:hAnsi="Arial"/>
                <w:sz w:val="15"/>
                <w:szCs w:val="15"/>
                <w:color w:val="auto"/>
              </w:rPr>
              <w:t>*</w:t>
            </w: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Iron Workers District Council of Southern Ohio &amp; Vicinity Pension</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420" w:type="dxa"/>
            <w:vAlign w:val="bottom"/>
            <w:gridSpan w:val="2"/>
            <w:shd w:val="clear" w:color="auto" w:fill="CCEEFF"/>
          </w:tcPr>
          <w:p>
            <w:pPr>
              <w:jc w:val="right"/>
              <w:ind w:right="3925"/>
              <w:spacing w:after="0"/>
              <w:rPr>
                <w:sz w:val="20"/>
                <w:szCs w:val="20"/>
                <w:color w:val="auto"/>
              </w:rPr>
            </w:pPr>
            <w:r>
              <w:rPr>
                <w:rFonts w:ascii="Arial" w:cs="Arial" w:eastAsia="Arial" w:hAnsi="Arial"/>
                <w:sz w:val="15"/>
                <w:szCs w:val="15"/>
                <w:color w:val="auto"/>
              </w:rPr>
              <w:t>Trust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128,197</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27,727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4,159</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100,470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96,311</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Harold Charles Price</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76,945</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16,642</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2,496</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60,303</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57,807</w:t>
            </w:r>
          </w:p>
        </w:tc>
        <w:tc>
          <w:tcPr>
            <w:tcW w:w="640" w:type="dxa"/>
            <w:vAlign w:val="bottom"/>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Paul Huan Piao Chen &amp; Ann Pao Chen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59,472</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12,977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1,947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46,495</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44,548</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bl>
    <w:p>
      <w:pPr>
        <w:spacing w:after="0" w:line="23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Represents less than 1%.</w:t>
      </w:r>
    </w:p>
    <w:p>
      <w:pPr>
        <w:spacing w:after="0" w:line="2" w:lineRule="exact"/>
        <w:rPr>
          <w:sz w:val="20"/>
          <w:szCs w:val="20"/>
          <w:color w:val="auto"/>
        </w:rPr>
      </w:pPr>
    </w:p>
    <w:p>
      <w:pPr>
        <w:ind w:left="340" w:hanging="332"/>
        <w:spacing w:after="0" w:line="225"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 The General Partner of MSSB TPG Specialty Lending Onshore Feeder Fund LP is an affiliate of each of Morgan Stanley Smith Barney LLC and Morgan Stanley &amp; Co. LLC, each a registered broker-dealer. Morgan Stanley &amp; Co. LLC is acting as an underwriter in this offering.</w:t>
      </w:r>
    </w:p>
    <w:p>
      <w:pPr>
        <w:spacing w:after="0" w:line="3" w:lineRule="exact"/>
        <w:rPr>
          <w:rFonts w:ascii="Arial" w:cs="Arial" w:eastAsia="Arial" w:hAnsi="Arial"/>
          <w:sz w:val="15"/>
          <w:szCs w:val="15"/>
          <w:color w:val="auto"/>
        </w:rPr>
      </w:pPr>
    </w:p>
    <w:p>
      <w:pPr>
        <w:ind w:left="340" w:hanging="332"/>
        <w:spacing w:after="0" w:line="225"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address of the Universities Superannuation Scheme Ltd. is Royal Liver Building Liverpool L3 1PY, United Kingdom.</w:t>
      </w:r>
    </w:p>
    <w:p>
      <w:pPr>
        <w:ind w:left="340" w:hanging="332"/>
        <w:spacing w:after="0"/>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address of the Oregon Public Employees Retirement Fund is c/o Office of the Oregon Treasurer 6650 SW Redwood Lane, Suite 190, Tigard, Oregon 97224-7184.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the Adviser, our directors, executive officers and all of our pre-IPO stockholders (including the selling stockholders) entered into lock-up agreements in connection with our IPO, which we refer to as the IPO Lock-up Agreements. In connection with this offering, we, the Adviser, our directors, executive officers, the selling stockholders and certain other pre-IPO stockholders have agreed with the underwriters to extend and modify the IPO Lock-up Agreements with respect to certain shares. Described below are the terms of the lock-up agreements that will be in place following this offering, reflecting the IPO Lock-up Agreements, as extended and modified in connection with this offering.</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the Adviser, our directors, executive officers, and certain of our pre-IPO stockholders (including the selling stockholders) have agreed with the underwriters that, without the prior written consent of Merrill Lynch, Pierce, Fenner &amp; Smith Incorporated (unless otherwise specified below), we and they will not, subject to certain exceptions and extensions, during the lock-up periods described below, (1) offer, pledge, sell, contract to sell, sell any option or contract to purchase, purchase any option or contract to sell, grant any option, right or warrant to purchase or otherwise transfer or dispose of, directly or indirectly, any shares of our common stock or 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the Company, the lock-up period will end 90 days after the date of this prospectus supplement.</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the case of all common stock held by our Adviser, including shares of common stock beneficially owned by our executive officers through the Adviser, the lock-up period will end on April 30, 2015. Any shares of common stock purchased by the Adviser pursuant to the 10b5-1 Plan will be subject to the lock-up agreement between the Adviser and the underwriters. The prior written consent of J.P. Morgan Securities LLC, Merrill Lynch, Pierce, Fenner &amp; Smith Incorporated and Goldman, Sachs &amp; Co is required to waive the lock-up agreement of our Adviser through March 20, 2015 whereas only the prior written consent of Merrill Lynch, Pierce, Fenner &amp; Smith Incorporated is required from March 21, 2015 through April 30, 2015.</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the case of our directors and executive officers, other than common stock beneficially owned by our executive officers through the Adviser as set forth in the paragraph above, with respect to any shares held by them that would otherwise have been released from lock-up on September 17, 2014 under the IPO Lock-up Agreements, the lock-up period will end 90 days after the date of this prospectus supplement. As a result, the 23,833 shares held by our directors that would otherwise have been released from lock-up on September 17, 2014 under the IPO Lock-up Agreements are subject to the extended lock-up.</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case of the selling stockholders, with respect to 3,518,248 shares held by them (after taking into account the shares being sold in this offering assuming no exercise by the underwriters of their option to purchase additional shares and 2,768,248 shares assuming full exercise of such option) that would otherwise have been released from lock-up on September 17, 2014 under the IPO Lock-up Agreements, the lock-up period will end on December 15, 2014 for 50% of those shares and on March 15, 2015 for the remaining 50% of those shares.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case of certain pre-IPO stockholders that are not selling in this offering, with respect to 9,866,487 shares held by them that would otherwise have been released from lock-up on September 17, 2014 under the IPO Lock-up Agreements, the lock-up periods will end 31, 61, 91, 121, 151, and 181 days after the closing date of this offering, with one-sixth of the shares (or approximately 1,644,414 shares) released from lock-up restrictions at the end of each of the periods.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case of the 23,679,624 remaining shares held by our directors, executive officers and all pre-IPO stockholders (including the selling stockholders), the IPO Lock-up Agreements have not been modified. Of these shares, 2,635,532 shares will become unrestricted on September 17, 2014 and 21,044,092 shares will become unrestricted on December 16, 2014. The prior written consent of J.P. Morgan Securities LLC, Merrill Lynch, Pierce, Fenner &amp; Smith Incorporated and Goldman, Sachs &amp; Co. is required to waive the IPO Lock-up Agreement with respect to these shares.</w:t>
      </w:r>
    </w:p>
    <w:p>
      <w:pPr>
        <w:spacing w:after="0" w:line="17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lock-up agreements do not apply to any shares of our common stock acquired in open market transactions or acquired from us under the dividend reinvestment plan, subject to certain exceptions. Each lock-up period is subject to extension in certain circumstances. See “Underwriting.”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selling stockholders are offering the shares of common stock described in this prospectus supplement through a number of underwriters. Merrill Lynch, Pierce, Fenner &amp; Smith Incorporated, J.P. Morgan Securities LLC and Goldman, Sachs &amp; Co. are acting as representatives of the underwriters. We, our Adviser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sales load set forth on the cover page of this prospectus supplement, the number of shares of common stock listed next to its name in the following table: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w:t>
            </w: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Merrill Lynch, Pierce, Fenner &amp; Smith Incorporated</w:t>
            </w:r>
          </w:p>
        </w:tc>
        <w:tc>
          <w:tcPr>
            <w:tcW w:w="14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TPG Capital BD, LLC</w:t>
            </w: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Imperial Capital, LLC</w:t>
            </w: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Mizuho Securities USA Inc.</w:t>
            </w:r>
          </w:p>
        </w:tc>
        <w:tc>
          <w:tcPr>
            <w:tcW w:w="1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underwriters are committed to purchase all the common shares offered by the selling stockholders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directly to the public at the public offering price set forth</w:t>
      </w:r>
    </w:p>
    <w:p>
      <w:pPr>
        <w:spacing w:after="0" w:line="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on the cover page of this prospectus supplement and to certain dealers at that price less a concession not in excess of $ per share. After the initial offering of the shares, the public offering price and other selling terms may be changed by the underwriters.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underwriting fee is equal to the public offering price per share of common stock less the amount paid to the underwriters by the selling</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stockholders per share of common stock. The underwriting fee is $ per share. The following table shows the per share and total sales load to be paid to the underwriters assuming both no exercise and full exercise of the underwriters’ option to purchase additional shares.</w:t>
      </w:r>
    </w:p>
    <w:p>
      <w:pPr>
        <w:spacing w:after="0" w:line="190" w:lineRule="exact"/>
        <w:rPr>
          <w:sz w:val="20"/>
          <w:szCs w:val="20"/>
          <w:color w:val="auto"/>
        </w:rPr>
      </w:pPr>
    </w:p>
    <w:tbl>
      <w:tblPr>
        <w:tblLayout w:type="fixed"/>
        <w:tblInd w:w="598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Per share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5"/>
              </w:rPr>
              <w:t>Without option</w:t>
            </w:r>
          </w:p>
        </w:tc>
        <w:tc>
          <w:tcPr>
            <w:tcW w:w="1440" w:type="dxa"/>
            <w:vAlign w:val="bottom"/>
          </w:tcPr>
          <w:p>
            <w:pPr>
              <w:jc w:val="center"/>
              <w:ind w:left="448"/>
              <w:spacing w:after="0"/>
              <w:rPr>
                <w:sz w:val="20"/>
                <w:szCs w:val="20"/>
                <w:color w:val="auto"/>
              </w:rPr>
            </w:pPr>
            <w:r>
              <w:rPr>
                <w:rFonts w:ascii="Arial" w:cs="Arial" w:eastAsia="Arial" w:hAnsi="Arial"/>
                <w:sz w:val="14"/>
                <w:szCs w:val="14"/>
                <w:b w:val="1"/>
                <w:bCs w:val="1"/>
                <w:color w:val="auto"/>
              </w:rPr>
              <w:t>With full</w:t>
            </w:r>
          </w:p>
        </w:tc>
        <w:tc>
          <w:tcPr>
            <w:tcW w:w="0" w:type="dxa"/>
            <w:vAlign w:val="bottom"/>
          </w:tcPr>
          <w:p>
            <w:pPr>
              <w:spacing w:after="0"/>
              <w:rPr>
                <w:sz w:val="1"/>
                <w:szCs w:val="1"/>
                <w:color w:val="auto"/>
              </w:rPr>
            </w:pPr>
          </w:p>
        </w:tc>
      </w:tr>
      <w:tr>
        <w:trPr>
          <w:trHeight w:val="173"/>
        </w:trPr>
        <w:tc>
          <w:tcPr>
            <w:tcW w:w="1100" w:type="dxa"/>
            <w:vAlign w:val="bottom"/>
            <w:vMerge w:val="continue"/>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w:t>
            </w:r>
          </w:p>
        </w:tc>
        <w:tc>
          <w:tcPr>
            <w:tcW w:w="1440" w:type="dxa"/>
            <w:vAlign w:val="bottom"/>
          </w:tcPr>
          <w:p>
            <w:pPr>
              <w:jc w:val="center"/>
              <w:ind w:left="448"/>
              <w:spacing w:after="0"/>
              <w:rPr>
                <w:sz w:val="20"/>
                <w:szCs w:val="20"/>
                <w:color w:val="auto"/>
              </w:rPr>
            </w:pPr>
            <w:r>
              <w:rPr>
                <w:rFonts w:ascii="Arial" w:cs="Arial" w:eastAsia="Arial" w:hAnsi="Arial"/>
                <w:sz w:val="14"/>
                <w:szCs w:val="14"/>
                <w:b w:val="1"/>
                <w:bCs w:val="1"/>
                <w:u w:val="single" w:color="auto"/>
                <w:color w:val="auto"/>
                <w:w w:val="89"/>
              </w:rPr>
              <w:t>option 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wp:posOffset>
            </wp:positionV>
            <wp:extent cx="608012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Public offering price</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Sales load paid by the selling stockholders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(underwriting discount)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Proceeds to selling stockholders,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Except for the sales load, which will be paid by the selling stockholders, we will pay the expenses of this offering. We estimate that the total expenses of this offering, including registration, filing and listing fees, printing fees, legal and accounting expenses, but excluding the sales load, will be approximately $0.4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Option</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underwriters have an option to buy, within 30 days from the date of this prospectus supplement, up to 750,000 additional shares of common stock from the selling stockholders. The purchase price the underwriters will pay for the shares is the public offering price, less the sales load payable by the selling stockholders. The underwriters have 30 days from the date of this prospectus supplement to exercise this option. If any shares are purchased pursuant to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connection with this offering, we, the Adviser, our directors, executive officers and the selling stockholders have agreed with the underwriters to extend or modify the IPO Lock-up Agreements with respect to certain shares.</w:t>
      </w:r>
    </w:p>
    <w:p>
      <w:pPr>
        <w:spacing w:after="0" w:line="170"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agreed that we will not, subject to certain exceptions, (i) offer, pledge, sell, contract to sell, sell any option or contract to purchase, purchase any option or contract to sell, grant any option, right or warrant to purchase or otherwise transfer or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Merrill Lynch, Pierce, Fenner &amp; Smith Incorporated for a period of 90 days after the date of this prospectus supplement. Notwithstanding the foregoing, to the extent we are not an emerging growth company, if (1) during the last 17 days of the 90-day restricted period, we issue an earnings release or material news or a material event relating to our company occurs; or (2) prior to the expiration of the 90-day restricted period, we announce that we will release earnings results during the 16-day period beginning on the last day of the 90-day period, the restrictions described above shall continue to apply until the expiration of the 18-day period beginning on the issuance of the earnings release or the occurrence of the material news or material event.</w:t>
      </w:r>
    </w:p>
    <w:p>
      <w:pPr>
        <w:spacing w:after="0" w:line="18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Adviser, directors, executive officers and certain of our pre-IPO investors (including the selling stockholders) have entered into lock-up agreements with the underwriters prior to the commencement of this offering pursuant to which each of these persons or entities, with limited exceptions, for the periods and with respect to certain shares of common stock held by them as set forth below, may not, subject to certain exceptions, without the prior written consent of Merrill Lynch, Pierce, Fenner &amp; Smith Incorporated (unless otherwise specified below),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foregoing, to the extent we are not an emerging growth company, if (1) during the last 17 days of the applicable restricted period, we issue an earnings release or material news or a material event relating to our company occurs; or (2) prior to the expiration of the applicable restricted period, we announce that we will release earnings results during the 16-day period beginning on the last day of the applicable period, the restrictions described above shall continue to apply until the expiration of the 18-day period beginning on the issuance of the earnings release or the occurrence of the material news or material event.</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the case of all common stock held by our Adviser, including shares of common stock beneficially owned by our executive officers through the Adviser, the lock-up period will end on April 30, 2015. Any shares of common stock purchased by the Adviser pursuant to the 10b5-1 Plan will be subject to the lock-up agreement between the Adviser and the underwriters. The prior written consent of J.P. Morgan Securities LLC, Merrill Lynch, Pierce, Fenner &amp; Smith Incorporated and Goldman, Sachs &amp; Co is required to waive the lock-up agreement of our Adviser through March 20, 2015 whereas only the prior written consent of Merrill Lynch, Pierce, Fenner &amp; Smith Incorporated is required from March 21, 2015 through April 30, 2015.</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case of our directors and executive officers, other than common stock beneficially owned by our executive officers through the Adviser as set forth in the paragraph above, with respect to any shares held by them that would otherwise have been released from lock-up on September 17, 2014 under the IPO Lock-up Agreements, the lock-up period will end 90 days after the date of this prospectus supplement.</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the case of the selling stockholders, with respect to shares held by them that would otherwise have been released from lock-up on September 17, 2014 under the IPO Lock-up Agreements, the lock-up period will end on December 15, 2014 for 50% of those shares and on March 15, 2015 for the remaining 50% of those shares.</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addition, certain pre-IPO stockholders that are not selling in this offering, with respect to shares held by them that would otherwise have been released from lock-up on September 17, 2014 under the IPO Lock-up Agreements, the lock-up periods will end 31, 61, 91, 121, 151, and 181 days after the closing date of this offering, with one-sixth of the shares released from lock-up restrictions at the end of each of the periods.</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lock-up agreements will not apply to any shares acquired in open market transactions or acquired from us under the dividend reinvestment plan, subject to certain exceptions.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further description of all lock-up agreements in place following this offering, see “Shares Eligible for Future Sale.”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are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connection with this offering, the underwriters may engage in stabilizing transactions, which may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the selling stockholders referred to above, or may be “naked” shorts, which are short positions in excess of that amount. The underwriters may close out any covered short position either by exercising their option to purchase additional shares from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8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sales load received by them.</w:t>
      </w:r>
    </w:p>
    <w:p>
      <w:pPr>
        <w:spacing w:after="0" w:line="18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Certain of the underwriters in this offering also served as underwriters in our IPO and initial purchasers in our convertible senior notes offering. Additionally, affiliate of certain underwriters are lenders under the Revolving Credit Facility.</w:t>
      </w:r>
    </w:p>
    <w:p>
      <w:pPr>
        <w:spacing w:after="0" w:line="17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In offering the securities covered by this prospectus supplement, certain of the selling stockholders may be deemed to be “underwriters” within the meaning of Section 2(a)(11) of the Securities Act in connection with such sales. Any profits realized by such selling stockholders may be deemed to be sales load. Selling stockholders who are “underwriters” within the meaning of Section 2(a)(11) of the Securities Act will be subject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the prospectus delivery requirements of the Securities Act and may be subject to certain statutory and regulatory liabilities, including liabilities imposed pursuant to Sections 11, 12 and 17 of the Securities Act and Rule 10b-5 under the Exchange Act.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selling stockholders are affiliates of broker-dealers, including one or more underwriters in this offering. See “Selling Stockholders.” Each such selling stockholder has represented to us that it acquired such selling stockholder’s securities in the ordinary course of such selling stockholder’s business and, at the time of the acquisition of the securities to be resold pursuant to this prospectus supplement, such selling stockholder had no agreements or understandings, directly or indirectly, with any person to distribute them.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under common control with TPG Capital BD, LLC, an underwriter of this offering.</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Goldman, Sachs &amp; Co. is acting as the agent for Adviser for the 10b5-1 Plan, under which it will buy up to $25 million in the aggregate of our common stock during the period beginning April 24, 2014 and ending on the earlier of the date on which all the capital committed to the plan has been exhausted or December 31, 2014, subject to certain conditions. See “Related-Party Transactions and Certain Relationships” in the accompanying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principal business address of Merrill Lynch, Pierce, Fenner &amp; Smith Incorporated is One Bryant Park, New York, New York 10036. The principal business address of J.P. Morgan Securities LLC is 383 Madison Avenue, New York, New York 10179. The principal business address of Goldman, Sachs &amp; Co. is 200 West Street, New York, New York 10282.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Other than in the United States, no action has been taken by us, the selling stockholders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offer in Australia of the common stock may only be made to persons known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under that Ordinance.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legal matters regarding the shares of common stock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by Fried, Frank, Harris, Shriver &amp; Jacobson LLP.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320"/>
          </w:cols>
          <w:pgMar w:left="240" w:top="45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94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120" w:type="dxa"/>
            <w:vAlign w:val="bottom"/>
          </w:tcPr>
          <w:p>
            <w:pPr>
              <w:jc w:val="center"/>
              <w:ind w:left="510"/>
              <w:spacing w:after="0"/>
              <w:rPr>
                <w:sz w:val="20"/>
                <w:szCs w:val="20"/>
                <w:color w:val="auto"/>
              </w:rPr>
            </w:pPr>
            <w:r>
              <w:rPr>
                <w:rFonts w:ascii="Arial" w:cs="Arial" w:eastAsia="Arial" w:hAnsi="Arial"/>
                <w:sz w:val="18"/>
                <w:szCs w:val="18"/>
                <w:b w:val="1"/>
                <w:bCs w:val="1"/>
                <w:color w:val="auto"/>
              </w:rPr>
              <w:t>INDEX TO CONSOLIDATED FINANCIAL STATEMENTS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80" w:type="dxa"/>
            <w:vAlign w:val="bottom"/>
            <w:gridSpan w:val="3"/>
          </w:tcPr>
          <w:p>
            <w:pPr>
              <w:spacing w:after="0"/>
              <w:rPr>
                <w:sz w:val="20"/>
                <w:szCs w:val="20"/>
                <w:color w:val="auto"/>
              </w:rPr>
            </w:pPr>
            <w:r>
              <w:rPr>
                <w:rFonts w:ascii="Arial" w:cs="Arial" w:eastAsia="Arial" w:hAnsi="Arial"/>
                <w:sz w:val="18"/>
                <w:szCs w:val="18"/>
                <w:color w:val="auto"/>
              </w:rPr>
              <w:t>Consolidated Balance Sheets as of June 30, 2014 and December 31, 2013 (Unaudited)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S-F-2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three and six months ended June 30, 2014 and 2013 (Unaudited)</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Consolidated Schedules of Investments as of June 30, 2014 and December 31, 2013 (Unaudited)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S-F-5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Changes in Net Assets for the six months ended June 30, 2014 and 2013 (Unaudited)</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S-F-14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six months ended June 30, 2014 and 2013 (Unaudited)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S-F-15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S-F-15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120" w:type="dxa"/>
            <w:vAlign w:val="bottom"/>
          </w:tcPr>
          <w:p>
            <w:pPr>
              <w:jc w:val="center"/>
              <w:ind w:left="490"/>
              <w:spacing w:after="0"/>
              <w:rPr>
                <w:sz w:val="20"/>
                <w:szCs w:val="20"/>
                <w:color w:val="auto"/>
              </w:rPr>
            </w:pPr>
            <w:r>
              <w:rPr>
                <w:rFonts w:ascii="Arial" w:cs="Arial" w:eastAsia="Arial" w:hAnsi="Arial"/>
                <w:sz w:val="18"/>
                <w:szCs w:val="18"/>
                <w:color w:val="auto"/>
                <w:w w:val="93"/>
              </w:rPr>
              <w:t>S-F-1</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June 30, 2014</w:t>
            </w:r>
          </w:p>
        </w:tc>
        <w:tc>
          <w:tcPr>
            <w:tcW w:w="32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$1,065,602 and $997,298,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1,084,837</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$44,362 and $0, respectively)</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$1,109,964 and $997,298, respectively)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1,129,199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792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35,103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1,178,790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296,392</w:t>
            </w:r>
          </w:p>
        </w:tc>
        <w:tc>
          <w:tcPr>
            <w:tcW w:w="340" w:type="dxa"/>
            <w:vAlign w:val="bottom"/>
          </w:tcPr>
          <w:p>
            <w:pPr>
              <w:spacing w:after="0"/>
              <w:rPr>
                <w:sz w:val="18"/>
                <w:szCs w:val="18"/>
                <w:color w:val="auto"/>
              </w:rPr>
            </w:pPr>
          </w:p>
        </w:tc>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9,399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2,797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341,364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line="201" w:lineRule="exact"/>
              <w:rPr>
                <w:sz w:val="20"/>
                <w:szCs w:val="20"/>
                <w:color w:val="auto"/>
              </w:rPr>
            </w:pPr>
            <w:r>
              <w:rPr>
                <w:rFonts w:ascii="Arial" w:cs="Arial" w:eastAsia="Arial" w:hAnsi="Arial"/>
                <w:sz w:val="18"/>
                <w:szCs w:val="18"/>
                <w:color w:val="auto"/>
                <w:w w:val="99"/>
              </w:rPr>
              <w:t>Common stock, $0.01 par value; 400,000,000 shares authorized, 53,348,890 and 37,027,022 shares issued,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respectively; and 53,347,891 and 37,026,023 shares outstanding, respectively</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802,341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unrealized gains on investments and foreign currency translation</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21,255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 including foreign currency forward contracts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837,426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1,178,790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100" w:type="dxa"/>
            <w:vAlign w:val="bottom"/>
          </w:tcPr>
          <w:p>
            <w:pPr>
              <w:spacing w:after="0"/>
              <w:rPr>
                <w:sz w:val="12"/>
                <w:szCs w:val="12"/>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from investments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44,425</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19,861</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75,543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40,484</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845</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1,078</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3,208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from cash and cash equivalents</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9"/>
        </w:trPr>
        <w:tc>
          <w:tcPr>
            <w:tcW w:w="5660" w:type="dxa"/>
            <w:vAlign w:val="bottom"/>
          </w:tcPr>
          <w:p>
            <w:pPr>
              <w:ind w:left="720"/>
              <w:spacing w:after="0"/>
              <w:rPr>
                <w:sz w:val="20"/>
                <w:szCs w:val="20"/>
                <w:color w:val="auto"/>
              </w:rPr>
            </w:pPr>
            <w:r>
              <w:rPr>
                <w:rFonts w:ascii="Arial" w:cs="Arial" w:eastAsia="Arial" w:hAnsi="Arial"/>
                <w:sz w:val="18"/>
                <w:szCs w:val="18"/>
                <w:color w:val="auto"/>
              </w:rPr>
              <w:t>Total investment income from non-controlled, non-affiliated</w:t>
            </w:r>
          </w:p>
        </w:tc>
        <w:tc>
          <w:tcPr>
            <w:tcW w:w="3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60" w:type="dxa"/>
            <w:vAlign w:val="bottom"/>
          </w:tcPr>
          <w:p>
            <w:pPr>
              <w:ind w:left="900"/>
              <w:spacing w:after="0"/>
              <w:rPr>
                <w:sz w:val="20"/>
                <w:szCs w:val="20"/>
                <w:color w:val="auto"/>
              </w:rPr>
            </w:pPr>
            <w:r>
              <w:rPr>
                <w:rFonts w:ascii="Arial" w:cs="Arial" w:eastAsia="Arial" w:hAnsi="Arial"/>
                <w:sz w:val="18"/>
                <w:szCs w:val="18"/>
                <w:color w:val="auto"/>
              </w:rPr>
              <w:t>investments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45,270</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20,940</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78,751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41,742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Interest from investments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369</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369</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ind w:left="720"/>
              <w:spacing w:after="0"/>
              <w:rPr>
                <w:sz w:val="20"/>
                <w:szCs w:val="20"/>
                <w:color w:val="auto"/>
              </w:rPr>
            </w:pPr>
            <w:r>
              <w:rPr>
                <w:rFonts w:ascii="Arial" w:cs="Arial" w:eastAsia="Arial" w:hAnsi="Arial"/>
                <w:sz w:val="18"/>
                <w:szCs w:val="18"/>
                <w:color w:val="auto"/>
                <w:w w:val="98"/>
              </w:rPr>
              <w:t>Total investment income from controlled, affiliated investments</w:t>
            </w: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Investment Income</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45,657</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20,940</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79,138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41,742</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3,460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2,429</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7,284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Management fees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4,522</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3,249</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8,759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6,265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5,860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2,518</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10,334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Professional fees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1,174</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935</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2,346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621</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1,812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9,823</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30,694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Management fees waived</w:t>
            </w: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20"/>
                <w:szCs w:val="20"/>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Expenses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15,999</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8,123</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28,229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15,815</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50,909</w:t>
            </w:r>
          </w:p>
        </w:tc>
        <w:tc>
          <w:tcPr>
            <w:tcW w:w="6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50,675</w:t>
            </w:r>
          </w:p>
        </w:tc>
        <w:tc>
          <w:tcPr>
            <w:tcW w:w="6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 (Loss)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(3,862)</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475</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Translation of assets and liabilities in foreign currencies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701</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1,227</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792</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Foreign currency forward contracts</w:t>
            </w:r>
          </w:p>
        </w:tc>
        <w:tc>
          <w:tcPr>
            <w:tcW w:w="36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719</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1,244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net change in unrealized gains (losses)</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(2,369)</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1,194</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r>
      <w:tr>
        <w:trPr>
          <w:trHeight w:val="20"/>
        </w:trPr>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Borders>
              <w:top w:val="single" w:sz="8" w:color="auto"/>
            </w:tcBorders>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w w:val="92"/>
              </w:rPr>
              <w:t>June 30, 2014</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30, 2013</w:t>
            </w:r>
          </w:p>
        </w:tc>
        <w:tc>
          <w:tcPr>
            <w:tcW w:w="72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w w:val="94"/>
              </w:rPr>
              <w:t>June 30, 2014</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30, 2013</w:t>
            </w:r>
          </w:p>
        </w:tc>
        <w:tc>
          <w:tcPr>
            <w:tcW w:w="100" w:type="dxa"/>
            <w:vAlign w:val="bottom"/>
          </w:tcPr>
          <w:p>
            <w:pPr>
              <w:spacing w:after="0"/>
              <w:rPr>
                <w:sz w:val="12"/>
                <w:szCs w:val="12"/>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Realized gains (losses):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30"/>
        </w:trPr>
        <w:tc>
          <w:tcPr>
            <w:tcW w:w="5220" w:type="dxa"/>
            <w:vAlign w:val="bottom"/>
          </w:tcPr>
          <w:p>
            <w:pPr>
              <w:ind w:left="720"/>
              <w:spacing w:after="0"/>
              <w:rPr>
                <w:sz w:val="20"/>
                <w:szCs w:val="20"/>
                <w:color w:val="auto"/>
              </w:rPr>
            </w:pPr>
            <w:r>
              <w:rPr>
                <w:rFonts w:ascii="Arial" w:cs="Arial" w:eastAsia="Arial" w:hAnsi="Arial"/>
                <w:sz w:val="18"/>
                <w:szCs w:val="18"/>
                <w:color w:val="auto"/>
              </w:rPr>
              <w:t>Total realized gains (losses)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r>
      <w:tr>
        <w:trPr>
          <w:trHeight w:val="216"/>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Unrealized and Realized Gains (Losses)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8"/>
                <w:szCs w:val="18"/>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b w:val="1"/>
                <w:bCs w:val="1"/>
                <w:color w:val="auto"/>
                <w:w w:val="97"/>
              </w:rPr>
              <w:t>Increase in Net Assets Resulting from Operations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27,294</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52,642</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29,668</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 (1)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w w:val="96"/>
              </w:rPr>
              <w:t>Weighted average shares of common stock outstanding—basic and</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diluted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53,120,358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34,270,130</w:t>
            </w:r>
          </w:p>
        </w:tc>
        <w:tc>
          <w:tcPr>
            <w:tcW w:w="10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47,361,713</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33,419,945</w:t>
            </w:r>
          </w:p>
        </w:tc>
      </w:tr>
      <w:tr>
        <w:trPr>
          <w:trHeight w:val="20"/>
        </w:trPr>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three and six months ended June 30, 2013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Schedule of Investments as of June 30,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w:t>
            </w:r>
          </w:p>
        </w:tc>
        <w:tc>
          <w:tcPr>
            <w:tcW w:w="14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3260" w:type="dxa"/>
            <w:vAlign w:val="bottom"/>
            <w:vMerge w:val="restart"/>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4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vMerge w:val="restart"/>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3260" w:type="dxa"/>
            <w:vAlign w:val="bottom"/>
            <w:tcBorders>
              <w:bottom w:val="single" w:sz="8" w:color="CCEEFF"/>
            </w:tcBorders>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Cost (2)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b w:val="1"/>
                <w:bCs w:val="1"/>
                <w:color w:val="auto"/>
              </w:rPr>
              <w:t>Automotive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($33,243</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6/2017)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8/28/2012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$ 32,667</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$ 32,246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 loan</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($1,917 par, due 6/2017)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10.75%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8/28/2012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1,822</w:t>
            </w:r>
          </w:p>
        </w:tc>
        <w:tc>
          <w:tcPr>
            <w:tcW w:w="160" w:type="dxa"/>
            <w:vAlign w:val="bottom"/>
          </w:tcPr>
          <w:p>
            <w:pPr>
              <w:spacing w:after="0"/>
              <w:rPr>
                <w:sz w:val="20"/>
                <w:szCs w:val="20"/>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1,750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w:t>
            </w:r>
          </w:p>
        </w:tc>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($21,108</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 (3)(4)(6)</w:t>
            </w: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12/31/2012</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21,213</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55,415</w:t>
            </w:r>
          </w:p>
        </w:tc>
        <w:tc>
          <w:tcPr>
            <w:tcW w:w="1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55,209</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Beverage, food and tobacco</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($65,000</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par, due 3/2020)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3/3/2014</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63,597</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63,863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Business services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($65,933</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par, due 4/2018)</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4/11/2013</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64,021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66,098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Beyond Trust Software Holding Group, Inc. (3)(4)</w:t>
            </w:r>
          </w:p>
        </w:tc>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($42,234</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w:t>
            </w:r>
          </w:p>
        </w:tc>
        <w:tc>
          <w:tcPr>
            <w:tcW w:w="3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12/18/2013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41,309</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41,706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Longview Solutions, Inc. (3)(5)</w:t>
            </w: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($16,500</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par, due 6/2019)</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6/30/2014</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16,130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16,130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 (3)(4)</w:t>
            </w:r>
          </w:p>
        </w:tc>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($29,659</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9/2018)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9/12/2013</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29,430</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150,613</w:t>
            </w:r>
          </w:p>
        </w:tc>
        <w:tc>
          <w:tcPr>
            <w:tcW w:w="16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153,364</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Communications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rPr>
              <w:t>IPC Systems, Inc. (3)(4)</w:t>
            </w:r>
          </w:p>
        </w:tc>
        <w:tc>
          <w:tcPr>
            <w:tcW w:w="2780" w:type="dxa"/>
            <w:vAlign w:val="bottom"/>
          </w:tcPr>
          <w:p>
            <w:pPr>
              <w:ind w:left="940"/>
              <w:spacing w:after="0" w:line="201" w:lineRule="exact"/>
              <w:rPr>
                <w:sz w:val="20"/>
                <w:szCs w:val="20"/>
                <w:color w:val="auto"/>
              </w:rPr>
            </w:pPr>
            <w:r>
              <w:rPr>
                <w:rFonts w:ascii="Arial" w:cs="Arial" w:eastAsia="Arial" w:hAnsi="Arial"/>
                <w:sz w:val="18"/>
                <w:szCs w:val="18"/>
                <w:color w:val="auto"/>
                <w:w w:val="90"/>
              </w:rPr>
              <w:t>Second-lien loan ($5,000</w:t>
            </w:r>
          </w:p>
        </w:tc>
        <w:tc>
          <w:tcPr>
            <w:tcW w:w="0" w:type="dxa"/>
            <w:vAlign w:val="bottom"/>
          </w:tcPr>
          <w:p>
            <w:pPr>
              <w:spacing w:after="0"/>
              <w:rPr>
                <w:sz w:val="1"/>
                <w:szCs w:val="1"/>
                <w:color w:val="auto"/>
              </w:rPr>
            </w:pPr>
          </w:p>
        </w:tc>
      </w:tr>
      <w:tr>
        <w:trPr>
          <w:trHeight w:val="230"/>
        </w:trPr>
        <w:tc>
          <w:tcPr>
            <w:tcW w:w="31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Construction and building</w:t>
            </w:r>
          </w:p>
        </w:tc>
        <w:tc>
          <w:tcPr>
            <w:tcW w:w="2780" w:type="dxa"/>
            <w:vAlign w:val="bottom"/>
          </w:tcPr>
          <w:p>
            <w:pPr>
              <w:ind w:left="940"/>
              <w:spacing w:after="0"/>
              <w:rPr>
                <w:sz w:val="20"/>
                <w:szCs w:val="20"/>
                <w:color w:val="auto"/>
              </w:rPr>
            </w:pPr>
            <w:r>
              <w:rPr>
                <w:rFonts w:ascii="Arial" w:cs="Arial" w:eastAsia="Arial" w:hAnsi="Arial"/>
                <w:sz w:val="18"/>
                <w:szCs w:val="18"/>
                <w:color w:val="auto"/>
              </w:rPr>
              <w:t>par, due 5/2021)</w:t>
            </w:r>
          </w:p>
        </w:tc>
        <w:tc>
          <w:tcPr>
            <w:tcW w:w="0" w:type="dxa"/>
            <w:vAlign w:val="bottom"/>
          </w:tcPr>
          <w:p>
            <w:pPr>
              <w:spacing w:after="0"/>
              <w:rPr>
                <w:sz w:val="1"/>
                <w:szCs w:val="1"/>
                <w:color w:val="auto"/>
              </w:rPr>
            </w:pPr>
          </w:p>
        </w:tc>
      </w:tr>
      <w:tr>
        <w:trPr>
          <w:trHeight w:val="202"/>
        </w:trPr>
        <w:tc>
          <w:tcPr>
            <w:tcW w:w="314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Mannington Mills, Inc. (3)(4)</w:t>
            </w:r>
          </w:p>
        </w:tc>
        <w:tc>
          <w:tcPr>
            <w:tcW w:w="2780" w:type="dxa"/>
            <w:vAlign w:val="bottom"/>
          </w:tcPr>
          <w:p>
            <w:pPr>
              <w:ind w:left="940"/>
              <w:spacing w:after="0"/>
              <w:rPr>
                <w:sz w:val="20"/>
                <w:szCs w:val="20"/>
                <w:color w:val="auto"/>
              </w:rPr>
            </w:pPr>
            <w:r>
              <w:rPr>
                <w:rFonts w:ascii="Arial" w:cs="Arial" w:eastAsia="Arial" w:hAnsi="Arial"/>
                <w:sz w:val="18"/>
                <w:szCs w:val="18"/>
                <w:color w:val="auto"/>
              </w:rPr>
              <w:t>Second-lien loan</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780" w:type="dxa"/>
            <w:vAlign w:val="bottom"/>
          </w:tcPr>
          <w:p>
            <w:pPr>
              <w:ind w:left="940"/>
              <w:spacing w:after="0"/>
              <w:rPr>
                <w:sz w:val="20"/>
                <w:szCs w:val="20"/>
                <w:color w:val="auto"/>
              </w:rPr>
            </w:pPr>
            <w:r>
              <w:rPr>
                <w:rFonts w:ascii="Arial" w:cs="Arial" w:eastAsia="Arial" w:hAnsi="Arial"/>
                <w:sz w:val="18"/>
                <w:szCs w:val="18"/>
                <w:color w:val="auto"/>
              </w:rPr>
              <w:t>($47,003 par,</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780" w:type="dxa"/>
            <w:vAlign w:val="bottom"/>
          </w:tcPr>
          <w:p>
            <w:pPr>
              <w:ind w:left="940"/>
              <w:spacing w:after="0"/>
              <w:rPr>
                <w:sz w:val="20"/>
                <w:szCs w:val="20"/>
                <w:color w:val="auto"/>
              </w:rPr>
            </w:pPr>
            <w:r>
              <w:rPr>
                <w:rFonts w:ascii="Arial" w:cs="Arial" w:eastAsia="Arial" w:hAnsi="Arial"/>
                <w:sz w:val="18"/>
                <w:szCs w:val="18"/>
                <w:color w:val="auto"/>
              </w:rPr>
              <w:t>due 3/2017)</w:t>
            </w:r>
          </w:p>
        </w:tc>
        <w:tc>
          <w:tcPr>
            <w:tcW w:w="0" w:type="dxa"/>
            <w:vAlign w:val="bottom"/>
          </w:tcPr>
          <w:p>
            <w:pPr>
              <w:spacing w:after="0"/>
              <w:rPr>
                <w:sz w:val="1"/>
                <w:szCs w:val="1"/>
                <w:color w:val="auto"/>
              </w:rPr>
            </w:pPr>
          </w:p>
        </w:tc>
      </w:tr>
      <w:tr>
        <w:trPr>
          <w:trHeight w:val="365"/>
        </w:trPr>
        <w:tc>
          <w:tcPr>
            <w:tcW w:w="3140" w:type="dxa"/>
            <w:vAlign w:val="bottom"/>
          </w:tcPr>
          <w:p>
            <w:pPr>
              <w:spacing w:after="0"/>
              <w:rPr>
                <w:sz w:val="24"/>
                <w:szCs w:val="24"/>
                <w:color w:val="auto"/>
              </w:rPr>
            </w:pPr>
          </w:p>
        </w:tc>
        <w:tc>
          <w:tcPr>
            <w:tcW w:w="2780" w:type="dxa"/>
            <w:vAlign w:val="bottom"/>
          </w:tcPr>
          <w:p>
            <w:pPr>
              <w:ind w:left="2360"/>
              <w:spacing w:after="0"/>
              <w:rPr>
                <w:sz w:val="20"/>
                <w:szCs w:val="20"/>
                <w:color w:val="auto"/>
              </w:rPr>
            </w:pPr>
            <w:r>
              <w:rPr>
                <w:rFonts w:ascii="Arial" w:cs="Arial" w:eastAsia="Arial" w:hAnsi="Arial"/>
                <w:sz w:val="18"/>
                <w:szCs w:val="18"/>
                <w:color w:val="auto"/>
                <w:w w:val="88"/>
              </w:rPr>
              <w:t>S-F-5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9.50%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5/2/2014</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4,901</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4,981</w:t>
            </w: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418"/>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14.00%</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w w:val="91"/>
              </w:rPr>
              <w:t>(incl. 2.00%</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4"/>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PIK)</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3/2/2012</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46,246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50,176</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2">
            <w:col w:w="5920" w:space="280"/>
            <w:col w:w="52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Acquisition</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Amortized</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3060" w:type="dxa"/>
            <w:vAlign w:val="bottom"/>
            <w:vMerge w:val="restart"/>
          </w:tcPr>
          <w:p>
            <w:pPr>
              <w:spacing w:after="0"/>
              <w:rPr>
                <w:sz w:val="12"/>
                <w:szCs w:val="12"/>
                <w:color w:val="auto"/>
              </w:rPr>
            </w:pPr>
          </w:p>
        </w:tc>
        <w:tc>
          <w:tcPr>
            <w:tcW w:w="19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Interest</w:t>
            </w:r>
          </w:p>
        </w:tc>
        <w:tc>
          <w:tcPr>
            <w:tcW w:w="42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vMerge w:val="restart"/>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306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Cost (2)</w:t>
            </w: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Containers and packaging</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The Newark Group, Inc. (3)(4)</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($45,600</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2/2018)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2/8/2013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45,252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46,512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Education</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 (3)(4)(6)</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($28,875</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9/2018)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9/30/2013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28,254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28,586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Electronics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My Alarm Center, LLC (3)(4)</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($55,547</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1/2018)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1/9/2014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53,575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53,902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16.25%</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loan ($4,688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(incl. 4.25%</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7/2018)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PIK)</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1/9/2014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58,220</w:t>
            </w:r>
          </w:p>
        </w:tc>
        <w:tc>
          <w:tcPr>
            <w:tcW w:w="32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58,555</w:t>
            </w:r>
          </w:p>
        </w:tc>
        <w:tc>
          <w:tcPr>
            <w:tcW w:w="300" w:type="dxa"/>
            <w:vAlign w:val="bottom"/>
            <w:vMerge w:val="continue"/>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services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Embarcadero Technologies,</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($41,361</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Inc. (3)(4)(6)</w:t>
            </w: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12/2017)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12/28/2012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40,592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41,361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Rogue Wave Holdings, Inc. (3)(4)(6)</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($67,311</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7.23%</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11/21/2012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66,051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66,975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106,643</w:t>
            </w:r>
          </w:p>
        </w:tc>
        <w:tc>
          <w:tcPr>
            <w:tcW w:w="32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108,336</w:t>
            </w:r>
          </w:p>
        </w:tc>
        <w:tc>
          <w:tcPr>
            <w:tcW w:w="300" w:type="dxa"/>
            <w:vAlign w:val="bottom"/>
            <w:vMerge w:val="continue"/>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Healthcare and pharmaceuticals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Aesynt, Inc. (3)(4)(6)</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term loan</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($35,000 par, due 5/2019)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5/8/2014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34,037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34,037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 Healthcare Exchange,</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term loan</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 (3)(4)</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 par, due 3/2020)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3/11/2014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24,464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24,578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Mediware Information Systems, Inc. (3)(4)(6)</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($70,321</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5/2018)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11/9/2012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68,975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70,321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Software, LLC (3)(4)</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($34,688</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12/28/2012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34,032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34,861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 loan</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($2,000 par, due 12/2017)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12/28/2012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1,921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2,010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163,429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165,807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3880" w:type="dxa"/>
            <w:vAlign w:val="bottom"/>
            <w:gridSpan w:val="2"/>
          </w:tcPr>
          <w:p>
            <w:pPr>
              <w:ind w:left="180"/>
              <w:spacing w:after="0"/>
              <w:rPr>
                <w:sz w:val="20"/>
                <w:szCs w:val="20"/>
                <w:color w:val="auto"/>
              </w:rPr>
            </w:pPr>
            <w:r>
              <w:rPr>
                <w:rFonts w:ascii="Arial" w:cs="Arial" w:eastAsia="Arial" w:hAnsi="Arial"/>
                <w:sz w:val="18"/>
                <w:szCs w:val="18"/>
                <w:b w:val="1"/>
                <w:bCs w:val="1"/>
                <w:color w:val="auto"/>
              </w:rPr>
              <w:t>Hotel, gaming, and leisure</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AMF Bowling Worldwide, Inc. (3)(4)</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($14,625</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6/2018)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7/2/2013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13,616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14,749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280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40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vMerge w:val="restart"/>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280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(2)</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Centaur, LLC (3)(4)</w:t>
            </w:r>
          </w:p>
        </w:tc>
        <w:tc>
          <w:tcPr>
            <w:tcW w:w="5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Second-lien loan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($10,000 par,</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due 2/2020)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Mandalay Baseball Properties, LLC (3)(4)</w:t>
            </w:r>
          </w:p>
        </w:tc>
        <w:tc>
          <w:tcPr>
            <w:tcW w:w="258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First-lien loan ($33,872</w:t>
            </w:r>
          </w:p>
        </w:tc>
        <w:tc>
          <w:tcPr>
            <w:tcW w:w="12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12.00%</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rPr>
              <w:t>par, due 3/2017)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(incl. 4.50%</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PIK)</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4/12/2012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33,376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35,142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Soho House (5)</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Second-lien bond (GBP</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7,750 par, due 10/2018)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9/20/2013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12,687</w:t>
            </w: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69,605</w:t>
            </w:r>
          </w:p>
        </w:tc>
        <w:tc>
          <w:tcPr>
            <w:tcW w:w="300" w:type="dxa"/>
            <w:vAlign w:val="bottom"/>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74,005</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Human resource support services</w:t>
            </w: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258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First-lien loan ($33,976</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rPr>
              <w:t>par, due 5/2018)</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10.50%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5/8/2013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33,302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33,781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($7,443</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11/2018)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11/16/2012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8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Second-lien loan</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rPr>
              <w:t>($12,000 par,</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rPr>
              <w:t>due 5/2019)</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10.25%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11/16/2012</w:t>
            </w:r>
          </w:p>
        </w:tc>
        <w:tc>
          <w:tcPr>
            <w:tcW w:w="660" w:type="dxa"/>
            <w:vAlign w:val="bottom"/>
          </w:tcPr>
          <w:p>
            <w:pPr>
              <w:jc w:val="right"/>
              <w:spacing w:after="0"/>
              <w:rPr>
                <w:sz w:val="20"/>
                <w:szCs w:val="20"/>
                <w:color w:val="auto"/>
              </w:rPr>
            </w:pPr>
            <w:r>
              <w:rPr>
                <w:rFonts w:ascii="Arial" w:cs="Arial" w:eastAsia="Arial" w:hAnsi="Arial"/>
                <w:sz w:val="18"/>
                <w:szCs w:val="18"/>
                <w:color w:val="auto"/>
              </w:rPr>
              <w:t>11,945</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11,670</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Internet Services</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 (3)(4)</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($29,101</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7/2018)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28,802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28,946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Insurance</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($36,413</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6/2017)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35,926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8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First-lien revolving loan</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w w:val="99"/>
              </w:rPr>
              <w:t>($3,550 par, due 6/2017)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6/1/2012</w:t>
            </w:r>
          </w:p>
        </w:tc>
        <w:tc>
          <w:tcPr>
            <w:tcW w:w="660" w:type="dxa"/>
            <w:vAlign w:val="bottom"/>
          </w:tcPr>
          <w:p>
            <w:pPr>
              <w:jc w:val="right"/>
              <w:spacing w:after="0"/>
              <w:rPr>
                <w:sz w:val="20"/>
                <w:szCs w:val="20"/>
                <w:color w:val="auto"/>
              </w:rPr>
            </w:pPr>
            <w:r>
              <w:rPr>
                <w:rFonts w:ascii="Arial" w:cs="Arial" w:eastAsia="Arial" w:hAnsi="Arial"/>
                <w:sz w:val="18"/>
                <w:szCs w:val="18"/>
                <w:color w:val="auto"/>
              </w:rPr>
              <w:t>3,492</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3,550</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Manufacturing</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(3)(5)(6)</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(SEK</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208,424 par, due</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6/2018)</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31,022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30,942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Metals and mining</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(3)(4)(6)</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($33,405</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11/2019)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11/21/2013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31,510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33,003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Office products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Ecommerce Industries, Inc. (3)(4)</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($35,568</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3/2019)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35,236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35,139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Acquisition</w:t>
            </w: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(1)</w:t>
            </w:r>
          </w:p>
        </w:tc>
        <w:tc>
          <w:tcPr>
            <w:tcW w:w="20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Interest</w:t>
            </w:r>
          </w:p>
        </w:tc>
        <w:tc>
          <w:tcPr>
            <w:tcW w:w="12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Cost (2)</w:t>
            </w:r>
          </w:p>
        </w:tc>
        <w:tc>
          <w:tcPr>
            <w:tcW w:w="114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w w:val="95"/>
              </w:rPr>
              <w:t>Oil, gas</w:t>
            </w: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and consumable fuels</w:t>
            </w:r>
          </w:p>
        </w:tc>
        <w:tc>
          <w:tcPr>
            <w:tcW w:w="1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Mississippi Resources, LLC (3)(4)(7)</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($36,400</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par, due 6/2018)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6/4/2014</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35,490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35,490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Transportation</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Kewill, Ltd. (3)(5)</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($52,500 par,</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9.50%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10/2/2013</w:t>
            </w:r>
          </w:p>
        </w:tc>
        <w:tc>
          <w:tcPr>
            <w:tcW w:w="820" w:type="dxa"/>
            <w:vAlign w:val="bottom"/>
          </w:tcPr>
          <w:p>
            <w:pPr>
              <w:jc w:val="right"/>
              <w:spacing w:after="0"/>
              <w:rPr>
                <w:sz w:val="20"/>
                <w:szCs w:val="20"/>
                <w:color w:val="auto"/>
              </w:rPr>
            </w:pPr>
            <w:r>
              <w:rPr>
                <w:rFonts w:ascii="Arial" w:cs="Arial" w:eastAsia="Arial" w:hAnsi="Arial"/>
                <w:sz w:val="18"/>
                <w:szCs w:val="18"/>
                <w:color w:val="auto"/>
              </w:rPr>
              <w:t>51,548</w:t>
            </w:r>
          </w:p>
        </w:tc>
        <w:tc>
          <w:tcPr>
            <w:tcW w:w="300" w:type="dxa"/>
            <w:vAlign w:val="bottom"/>
            <w:gridSpan w:val="2"/>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52,237</w:t>
            </w:r>
          </w:p>
        </w:tc>
        <w:tc>
          <w:tcPr>
            <w:tcW w:w="3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Debt Investments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1,097,812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Business services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Non-Voting Preferred</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9/12/2013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2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930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Healthcare and pharmaceuticals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Shares Class A</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(495 shares)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3/11/2014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Common Shares Class B</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(187.5 shares)</w:t>
            </w: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3/11/2014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Shares Class A</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12/28/2012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1,064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Common Shares Class B</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12/28/2012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1,575</w:t>
            </w:r>
          </w:p>
        </w:tc>
        <w:tc>
          <w:tcPr>
            <w:tcW w:w="300" w:type="dxa"/>
            <w:vAlign w:val="bottom"/>
            <w:vMerge w:val="continue"/>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Oil, gas and consumable fuels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Mississippi Resources, LLC (7)</w:t>
            </w:r>
          </w:p>
        </w:tc>
        <w:tc>
          <w:tcPr>
            <w:tcW w:w="2040" w:type="dxa"/>
            <w:vAlign w:val="bottom"/>
            <w:gridSpan w:val="2"/>
          </w:tcPr>
          <w:p>
            <w:pPr>
              <w:spacing w:after="0"/>
              <w:rPr>
                <w:sz w:val="20"/>
                <w:szCs w:val="20"/>
                <w:color w:val="auto"/>
              </w:rPr>
            </w:pPr>
            <w:r>
              <w:rPr>
                <w:rFonts w:ascii="Arial" w:cs="Arial" w:eastAsia="Arial" w:hAnsi="Arial"/>
                <w:sz w:val="18"/>
                <w:szCs w:val="18"/>
                <w:color w:val="auto"/>
              </w:rPr>
              <w:t>Class A Units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6/4/2014</w:t>
            </w:r>
          </w:p>
        </w:tc>
        <w:tc>
          <w:tcPr>
            <w:tcW w:w="820" w:type="dxa"/>
            <w:vAlign w:val="bottom"/>
          </w:tcPr>
          <w:p>
            <w:pPr>
              <w:jc w:val="right"/>
              <w:spacing w:after="0"/>
              <w:rPr>
                <w:sz w:val="20"/>
                <w:szCs w:val="20"/>
                <w:color w:val="auto"/>
              </w:rPr>
            </w:pPr>
            <w:r>
              <w:rPr>
                <w:rFonts w:ascii="Arial" w:cs="Arial" w:eastAsia="Arial" w:hAnsi="Arial"/>
                <w:sz w:val="18"/>
                <w:szCs w:val="18"/>
                <w:color w:val="auto"/>
              </w:rPr>
              <w:t>8,872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8,872</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Investments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3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 Investments</w:t>
            </w: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1,109,964</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1,129,199</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0" w:hanging="452"/>
        <w:spacing w:after="0" w:line="25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spacing w:after="0" w:line="1" w:lineRule="exact"/>
        <w:rPr>
          <w:rFonts w:ascii="Arial" w:cs="Arial" w:eastAsia="Arial" w:hAnsi="Arial"/>
          <w:sz w:val="18"/>
          <w:szCs w:val="18"/>
          <w:color w:val="auto"/>
        </w:rPr>
      </w:pPr>
    </w:p>
    <w:p>
      <w:pPr>
        <w:jc w:val="both"/>
        <w:ind w:left="460" w:right="4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ind w:left="460" w:right="140" w:hanging="452"/>
        <w:spacing w:after="0" w:line="273"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June 30, 2014 in which the issuer was an Affiliated Person of and was deemed to Control a portfolio company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Fair Value at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ind w:right="96"/>
              <w:spacing w:after="0"/>
              <w:rPr>
                <w:sz w:val="20"/>
                <w:szCs w:val="20"/>
                <w:color w:val="auto"/>
              </w:rPr>
            </w:pPr>
            <w:r>
              <w:rPr>
                <w:rFonts w:ascii="Arial" w:cs="Arial" w:eastAsia="Arial" w:hAnsi="Arial"/>
                <w:sz w:val="14"/>
                <w:szCs w:val="14"/>
                <w:b w:val="1"/>
                <w:bCs w:val="1"/>
                <w:color w:val="auto"/>
                <w:w w:val="88"/>
              </w:rPr>
              <w:t>Net</w:t>
            </w:r>
          </w:p>
        </w:tc>
        <w:tc>
          <w:tcPr>
            <w:tcW w:w="5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1"/>
              </w:rPr>
              <w:t>Realized</w:t>
            </w:r>
          </w:p>
        </w:tc>
        <w:tc>
          <w:tcPr>
            <w:tcW w:w="4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7"/>
              </w:rPr>
              <w:t>Gains</w:t>
            </w:r>
          </w:p>
        </w:tc>
        <w:tc>
          <w:tcPr>
            <w:tcW w:w="4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June 30,</w:t>
            </w:r>
          </w:p>
        </w:tc>
        <w:tc>
          <w:tcPr>
            <w:tcW w:w="7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Additions (a)</w:t>
            </w:r>
          </w:p>
        </w:tc>
        <w:tc>
          <w:tcPr>
            <w:tcW w:w="2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Reductions (b)</w:t>
            </w:r>
          </w:p>
        </w:tc>
        <w:tc>
          <w:tcPr>
            <w:tcW w:w="4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Gain/(Loss)</w:t>
            </w:r>
          </w:p>
        </w:tc>
        <w:tc>
          <w:tcPr>
            <w:tcW w:w="5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4"/>
              </w:rPr>
              <w:t>/(Losses)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44,362</w:t>
            </w:r>
          </w:p>
        </w:tc>
        <w:tc>
          <w:tcPr>
            <w:tcW w:w="4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7"/>
              </w:rPr>
              <w:t>44,362</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4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Initial</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28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320" w:type="dxa"/>
            <w:vAlign w:val="bottom"/>
            <w:vMerge w:val="restart"/>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500" w:type="dxa"/>
            <w:vAlign w:val="bottom"/>
            <w:vMerge w:val="restart"/>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28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2"/>
              </w:rPr>
              <w:t>Cost (2)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180"/>
              <w:spacing w:after="0"/>
              <w:rPr>
                <w:sz w:val="20"/>
                <w:szCs w:val="20"/>
                <w:color w:val="auto"/>
              </w:rPr>
            </w:pPr>
            <w:r>
              <w:rPr>
                <w:rFonts w:ascii="Arial" w:cs="Arial" w:eastAsia="Arial" w:hAnsi="Arial"/>
                <w:sz w:val="18"/>
                <w:szCs w:val="18"/>
                <w:b w:val="1"/>
                <w:bCs w:val="1"/>
                <w:color w:val="auto"/>
              </w:rPr>
              <w:t>Aerospace and defense</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 (3)(4)(6)</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($53,452 par,</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due 11/2017)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7.75%</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12/23/2011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640" w:type="dxa"/>
            <w:vAlign w:val="bottom"/>
            <w:gridSpan w:val="2"/>
          </w:tcPr>
          <w:p>
            <w:pPr>
              <w:ind w:left="180"/>
              <w:spacing w:after="0"/>
              <w:rPr>
                <w:sz w:val="20"/>
                <w:szCs w:val="20"/>
                <w:color w:val="auto"/>
              </w:rPr>
            </w:pPr>
            <w:r>
              <w:rPr>
                <w:rFonts w:ascii="Arial" w:cs="Arial" w:eastAsia="Arial" w:hAnsi="Arial"/>
                <w:sz w:val="18"/>
                <w:szCs w:val="18"/>
                <w:b w:val="1"/>
                <w:bCs w:val="1"/>
                <w:color w:val="auto"/>
              </w:rPr>
              <w:t>Automotive</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($36,733</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due 6/2017)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9.75%</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8/28/2012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36,182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First-lien revolving loan</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($4,611 par, due 6/2017)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8/28/2012</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4,528</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 Inc. (3)(4)(6)</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($21,553</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due 12/2016)</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12/31/2012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21,336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21,445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61,838</w:t>
            </w: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62,155</w:t>
            </w:r>
          </w:p>
        </w:tc>
        <w:tc>
          <w:tcPr>
            <w:tcW w:w="4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Beverage, food and tobacco</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First-lien loan ($44,394</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par, due 8/2015)</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8/31/2011</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43,837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45,837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Business services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First-lien loan ($67,933</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par, due 4/2018)</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4/11/2013</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65,762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66,405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Aptean Holdings, Inc. f/k/a Consona Holdings,</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($29,625</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 (3)(4)</w:t>
            </w: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due 8/2018)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8/13/2012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29,279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29,477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w w:val="97"/>
              </w:rPr>
              <w:t>Beyond Trust Software Holding Group, Inc. (3)</w:t>
            </w: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First-lien loan ($42,500</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ind w:left="180"/>
              <w:spacing w:after="0"/>
              <w:rPr>
                <w:sz w:val="20"/>
                <w:szCs w:val="20"/>
                <w:color w:val="auto"/>
              </w:rPr>
            </w:pPr>
            <w:r>
              <w:rPr>
                <w:rFonts w:ascii="Arial" w:cs="Arial" w:eastAsia="Arial" w:hAnsi="Arial"/>
                <w:sz w:val="18"/>
                <w:szCs w:val="18"/>
                <w:color w:val="auto"/>
              </w:rPr>
              <w:t>(6)</w:t>
            </w:r>
          </w:p>
        </w:tc>
        <w:tc>
          <w:tcPr>
            <w:tcW w:w="2820" w:type="dxa"/>
            <w:vAlign w:val="bottom"/>
          </w:tcPr>
          <w:p>
            <w:pPr>
              <w:spacing w:after="0"/>
              <w:rPr>
                <w:sz w:val="20"/>
                <w:szCs w:val="20"/>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par, due 12/2019)</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7.25%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12/18/2013</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41,462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41,437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 (3)(4)</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($29,659</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due 9/2018)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9/12/2013</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29,105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29,202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165,608</w:t>
            </w: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166,521</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Construction and building</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Mannington Mills, Inc. (3)(4)</w:t>
            </w: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Second-lien loan</w:t>
            </w:r>
          </w:p>
        </w:tc>
        <w:tc>
          <w:tcPr>
            <w:tcW w:w="9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8"/>
              </w:rPr>
              <w:t>14.00%</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($47,430 par,</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due 3/2017)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PIK)</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3/2/2012</w:t>
            </w:r>
          </w:p>
        </w:tc>
        <w:tc>
          <w:tcPr>
            <w:tcW w:w="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46,545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jc w:val="right"/>
              <w:ind w:right="980"/>
              <w:spacing w:after="0"/>
              <w:rPr>
                <w:sz w:val="20"/>
                <w:szCs w:val="20"/>
                <w:color w:val="auto"/>
              </w:rPr>
            </w:pPr>
            <w:r>
              <w:rPr>
                <w:rFonts w:ascii="Arial" w:cs="Arial" w:eastAsia="Arial" w:hAnsi="Arial"/>
                <w:sz w:val="18"/>
                <w:szCs w:val="18"/>
                <w:color w:val="auto"/>
              </w:rPr>
              <w:t>S-F-10</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Company (1)</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Containers and packaging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Newark Group, Inc. (3)(4)</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Education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Campus Management, Inc. (3)(4)(6)</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Financial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Embarcadero Technologies, Inc. (3)(4)(6)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Rogue Wave Holdings, Inc. (3)(4)(6)</w:t>
      </w:r>
    </w:p>
    <w:p>
      <w:pPr>
        <w:spacing w:after="0" w:line="200" w:lineRule="exact"/>
        <w:rPr>
          <w:sz w:val="20"/>
          <w:szCs w:val="20"/>
          <w:color w:val="auto"/>
        </w:rPr>
      </w:pPr>
    </w:p>
    <w:p>
      <w:pPr>
        <w:spacing w:after="0" w:line="291" w:lineRule="exact"/>
        <w:rPr>
          <w:sz w:val="20"/>
          <w:szCs w:val="20"/>
          <w:color w:val="auto"/>
        </w:rPr>
      </w:pPr>
    </w:p>
    <w:p>
      <w:pPr>
        <w:ind w:firstLine="180"/>
        <w:spacing w:after="0" w:line="347" w:lineRule="auto"/>
        <w:rPr>
          <w:sz w:val="20"/>
          <w:szCs w:val="20"/>
          <w:color w:val="auto"/>
        </w:rPr>
      </w:pPr>
      <w:r>
        <w:rPr>
          <w:rFonts w:ascii="Arial" w:cs="Arial" w:eastAsia="Arial" w:hAnsi="Arial"/>
          <w:sz w:val="16"/>
          <w:szCs w:val="16"/>
          <w:b w:val="1"/>
          <w:bCs w:val="1"/>
          <w:color w:val="auto"/>
        </w:rPr>
        <w:t xml:space="preserve">Healthcare and pharmaceuticals </w:t>
      </w:r>
      <w:r>
        <w:rPr>
          <w:rFonts w:ascii="Arial" w:cs="Arial" w:eastAsia="Arial" w:hAnsi="Arial"/>
          <w:sz w:val="16"/>
          <w:szCs w:val="16"/>
          <w:color w:val="auto"/>
        </w:rPr>
        <w:t>Mediware Information Systems, Inc. (3)(4)(6)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SRS Software, LLC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Hotel, gaming, and leisure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AMF Bowling Worldwide, Inc. (3)(4)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Centaur, LLC (3)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Mandalay Baseball Properties, LLC (3)(4)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Soho House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Initial</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7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30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480" w:type="dxa"/>
            <w:vAlign w:val="bottom"/>
            <w:vMerge w:val="restart"/>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Cost (2)</w:t>
            </w:r>
          </w:p>
        </w:tc>
        <w:tc>
          <w:tcPr>
            <w:tcW w:w="4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($46,560</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par, due 2/2018)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2/8/2013</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$ 46,164</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$ 47,142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8"/>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($29,625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par, due 9/2018)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28,931</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29,032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8"/>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($42,479</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par, due 12/2017)</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41,597</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($76,337</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par, due 12/2018)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11/21/2012</w:t>
            </w:r>
          </w:p>
        </w:tc>
        <w:tc>
          <w:tcPr>
            <w:tcW w:w="680" w:type="dxa"/>
            <w:vAlign w:val="bottom"/>
          </w:tcPr>
          <w:p>
            <w:pPr>
              <w:jc w:val="right"/>
              <w:spacing w:after="0"/>
              <w:rPr>
                <w:sz w:val="20"/>
                <w:szCs w:val="20"/>
                <w:color w:val="auto"/>
              </w:rPr>
            </w:pPr>
            <w:r>
              <w:rPr>
                <w:rFonts w:ascii="Arial" w:cs="Arial" w:eastAsia="Arial" w:hAnsi="Arial"/>
                <w:sz w:val="18"/>
                <w:szCs w:val="18"/>
                <w:color w:val="auto"/>
              </w:rPr>
              <w:t>74,752</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75,764</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116,349</w:t>
            </w:r>
          </w:p>
        </w:tc>
        <w:tc>
          <w:tcPr>
            <w:tcW w:w="4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118,136</w:t>
            </w:r>
          </w:p>
        </w:tc>
        <w:tc>
          <w:tcPr>
            <w:tcW w:w="40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425"/>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($71,634</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par, due 5/2018)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11/9/2012</w:t>
            </w:r>
          </w:p>
        </w:tc>
        <w:tc>
          <w:tcPr>
            <w:tcW w:w="680" w:type="dxa"/>
            <w:vAlign w:val="bottom"/>
          </w:tcPr>
          <w:p>
            <w:pPr>
              <w:jc w:val="right"/>
              <w:spacing w:after="0"/>
              <w:rPr>
                <w:sz w:val="20"/>
                <w:szCs w:val="20"/>
                <w:color w:val="auto"/>
              </w:rPr>
            </w:pPr>
            <w:r>
              <w:rPr>
                <w:rFonts w:ascii="Arial" w:cs="Arial" w:eastAsia="Arial" w:hAnsi="Arial"/>
                <w:sz w:val="18"/>
                <w:szCs w:val="18"/>
                <w:color w:val="auto"/>
              </w:rPr>
              <w:t>70,120</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($35,625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par, due 12/2017)</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34,782</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35,625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($2,000 par,</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106,902</w:t>
            </w:r>
          </w:p>
        </w:tc>
        <w:tc>
          <w:tcPr>
            <w:tcW w:w="4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108,722</w:t>
            </w:r>
          </w:p>
        </w:tc>
        <w:tc>
          <w:tcPr>
            <w:tcW w:w="4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425"/>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($14,813</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par, due 6/2018)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7/2/2013</w:t>
            </w:r>
          </w:p>
        </w:tc>
        <w:tc>
          <w:tcPr>
            <w:tcW w:w="680" w:type="dxa"/>
            <w:vAlign w:val="bottom"/>
          </w:tcPr>
          <w:p>
            <w:pPr>
              <w:jc w:val="right"/>
              <w:spacing w:after="0"/>
              <w:rPr>
                <w:sz w:val="20"/>
                <w:szCs w:val="20"/>
                <w:color w:val="auto"/>
              </w:rPr>
            </w:pPr>
            <w:r>
              <w:rPr>
                <w:rFonts w:ascii="Arial" w:cs="Arial" w:eastAsia="Arial" w:hAnsi="Arial"/>
                <w:sz w:val="18"/>
                <w:szCs w:val="18"/>
                <w:color w:val="auto"/>
              </w:rPr>
              <w:t>13,687</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14,821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($10,000 par,</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due 2/2020)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2/15/2013</w:t>
            </w:r>
          </w:p>
        </w:tc>
        <w:tc>
          <w:tcPr>
            <w:tcW w:w="680" w:type="dxa"/>
            <w:vAlign w:val="bottom"/>
          </w:tcPr>
          <w:p>
            <w:pPr>
              <w:jc w:val="right"/>
              <w:spacing w:after="0"/>
              <w:rPr>
                <w:sz w:val="20"/>
                <w:szCs w:val="20"/>
                <w:color w:val="auto"/>
              </w:rPr>
            </w:pPr>
            <w:r>
              <w:rPr>
                <w:rFonts w:ascii="Arial" w:cs="Arial" w:eastAsia="Arial" w:hAnsi="Arial"/>
                <w:sz w:val="18"/>
                <w:szCs w:val="18"/>
                <w:color w:val="auto"/>
              </w:rPr>
              <w:t>9,923</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($34,886</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par, due 3/2017)</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PIK)</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4/12/2012</w:t>
            </w:r>
          </w:p>
        </w:tc>
        <w:tc>
          <w:tcPr>
            <w:tcW w:w="680" w:type="dxa"/>
            <w:vAlign w:val="bottom"/>
          </w:tcPr>
          <w:p>
            <w:pPr>
              <w:jc w:val="right"/>
              <w:spacing w:after="0"/>
              <w:rPr>
                <w:sz w:val="20"/>
                <w:szCs w:val="20"/>
                <w:color w:val="auto"/>
              </w:rPr>
            </w:pPr>
            <w:r>
              <w:rPr>
                <w:rFonts w:ascii="Arial" w:cs="Arial" w:eastAsia="Arial" w:hAnsi="Arial"/>
                <w:sz w:val="18"/>
                <w:szCs w:val="18"/>
                <w:color w:val="auto"/>
              </w:rPr>
              <w:t>34,303</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35,758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Second-lien bond (GBP</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7,000 par, due 10/2018)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9.13%</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9/20/2013</w:t>
            </w:r>
          </w:p>
        </w:tc>
        <w:tc>
          <w:tcPr>
            <w:tcW w:w="680" w:type="dxa"/>
            <w:vAlign w:val="bottom"/>
          </w:tcPr>
          <w:p>
            <w:pPr>
              <w:jc w:val="right"/>
              <w:spacing w:after="0"/>
              <w:rPr>
                <w:sz w:val="20"/>
                <w:szCs w:val="20"/>
                <w:color w:val="auto"/>
              </w:rPr>
            </w:pPr>
            <w:r>
              <w:rPr>
                <w:rFonts w:ascii="Arial" w:cs="Arial" w:eastAsia="Arial" w:hAnsi="Arial"/>
                <w:sz w:val="18"/>
                <w:szCs w:val="18"/>
                <w:color w:val="auto"/>
              </w:rPr>
              <w:t>11,200</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11,913</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69,113</w:t>
            </w:r>
          </w:p>
        </w:tc>
        <w:tc>
          <w:tcPr>
            <w:tcW w:w="4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72,742</w:t>
            </w:r>
          </w:p>
        </w:tc>
        <w:tc>
          <w:tcPr>
            <w:tcW w:w="40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72"/>
        </w:trPr>
        <w:tc>
          <w:tcPr>
            <w:tcW w:w="2080" w:type="dxa"/>
            <w:vAlign w:val="bottom"/>
            <w:gridSpan w:val="2"/>
          </w:tcPr>
          <w:p>
            <w:pPr>
              <w:ind w:left="1580"/>
              <w:spacing w:after="0"/>
              <w:rPr>
                <w:sz w:val="20"/>
                <w:szCs w:val="20"/>
                <w:color w:val="auto"/>
              </w:rPr>
            </w:pPr>
            <w:r>
              <w:rPr>
                <w:rFonts w:ascii="Arial" w:cs="Arial" w:eastAsia="Arial" w:hAnsi="Arial"/>
                <w:sz w:val="18"/>
                <w:szCs w:val="18"/>
                <w:color w:val="auto"/>
                <w:w w:val="87"/>
              </w:rPr>
              <w:t>S-F-11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-5831205</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-5007610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-4596130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-4184650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-3772535</wp:posOffset>
            </wp:positionV>
            <wp:extent cx="72466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-3326765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-2915285</wp:posOffset>
            </wp:positionV>
            <wp:extent cx="72466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-2211705</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-1920240</wp:posOffset>
            </wp:positionV>
            <wp:extent cx="72466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-1234440</wp:posOffset>
            </wp:positionV>
            <wp:extent cx="7246620" cy="557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55753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-385445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3320" w:space="560"/>
            <w:col w:w="748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Amortized</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21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4"/>
              </w:rPr>
              <w:t>Interest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gridSpan w:val="3"/>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Cost (2)</w:t>
            </w:r>
          </w:p>
        </w:tc>
        <w:tc>
          <w:tcPr>
            <w:tcW w:w="122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Human</w:t>
            </w:r>
          </w:p>
        </w:tc>
        <w:tc>
          <w:tcPr>
            <w:tcW w:w="2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resource support services</w:t>
            </w:r>
          </w:p>
        </w:tc>
        <w:tc>
          <w:tcPr>
            <w:tcW w:w="1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($34,737</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par, due 5/2018)</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10.50%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5/8/2013</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$ 33,979</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   34,141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($7,483</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11/2018)</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11/16/2012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7,405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4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($12,000 par,</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due 5/2019)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10.25%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11/16/2012</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11,932</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11,790</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53,316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Insurance</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($31,888</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6/2017)</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6/1/2012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31,433</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31,808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 loan</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($850 par, due 6/2017)</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6/1/2012</w:t>
            </w:r>
          </w:p>
        </w:tc>
        <w:tc>
          <w:tcPr>
            <w:tcW w:w="2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782</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838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32,215</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32,646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Manufacturing</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(SEK</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177,161 par, due 6/2018)</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6/5/2013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26,486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27,170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Metals and mining</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(3)(6)</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($35,650</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11/2019)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11/21/2013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33,523</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33,841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Office products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Ecommerce Industries, Inc. (3)(4)(6)</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($19,936</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10/2016)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10/17/2011</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19,764</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20,086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Oil, gas and consumable fuels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 Geophysical (3)(4)</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($40,883</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9/2016)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9/30/2013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39,617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40,065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Transportation</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Kewill, Ltd. (3)(5)</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($52,500 par,</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10/2/2013</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51,482</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51,713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994,518</w:t>
            </w:r>
          </w:p>
        </w:tc>
        <w:tc>
          <w:tcPr>
            <w:tcW w:w="42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1,014,647</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Business services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Non-Voting Preferred</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(774,099 units)</w:t>
            </w: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9/12/2013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780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120" w:type="dxa"/>
            <w:vAlign w:val="bottom"/>
            <w:gridSpan w:val="4"/>
          </w:tcPr>
          <w:p>
            <w:pPr>
              <w:ind w:left="1760"/>
              <w:spacing w:after="0"/>
              <w:rPr>
                <w:sz w:val="20"/>
                <w:szCs w:val="20"/>
                <w:color w:val="auto"/>
              </w:rPr>
            </w:pPr>
            <w:r>
              <w:rPr>
                <w:rFonts w:ascii="Arial" w:cs="Arial" w:eastAsia="Arial" w:hAnsi="Arial"/>
                <w:sz w:val="18"/>
                <w:szCs w:val="18"/>
                <w:color w:val="auto"/>
              </w:rPr>
              <w:t>S-F-12</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260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0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w:t>
            </w:r>
          </w:p>
        </w:tc>
        <w:tc>
          <w:tcPr>
            <w:tcW w:w="220" w:type="dxa"/>
            <w:vAlign w:val="bottom"/>
            <w:vMerge w:val="restart"/>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260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2"/>
              </w:rPr>
              <w:t>Cost (2)</w:t>
            </w:r>
          </w:p>
        </w:tc>
        <w:tc>
          <w:tcPr>
            <w:tcW w:w="30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Healthcare and pharmaceuticals</w:t>
            </w:r>
          </w:p>
        </w:tc>
        <w:tc>
          <w:tcPr>
            <w:tcW w:w="7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2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Common Shares Class A</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980" w:type="dxa"/>
            <w:vAlign w:val="bottom"/>
            <w:gridSpan w:val="3"/>
          </w:tcPr>
          <w:p>
            <w:pPr>
              <w:ind w:left="740"/>
              <w:spacing w:after="0"/>
              <w:rPr>
                <w:sz w:val="20"/>
                <w:szCs w:val="20"/>
                <w:color w:val="auto"/>
              </w:rPr>
            </w:pPr>
            <w:r>
              <w:rPr>
                <w:rFonts w:ascii="Arial" w:cs="Arial" w:eastAsia="Arial" w:hAnsi="Arial"/>
                <w:sz w:val="18"/>
                <w:szCs w:val="18"/>
                <w:color w:val="auto"/>
              </w:rPr>
              <w:t>(1,980 shares)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Common Shares Class B</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2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(2,953,020 shares)</w:t>
            </w: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12/28/2012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1,024</w:t>
            </w:r>
          </w:p>
        </w:tc>
        <w:tc>
          <w:tcPr>
            <w:tcW w:w="32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 Investments</w:t>
            </w:r>
          </w:p>
        </w:tc>
        <w:tc>
          <w:tcPr>
            <w:tcW w:w="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997,298</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1,016,451</w:t>
            </w:r>
          </w:p>
        </w:tc>
        <w:tc>
          <w:tcPr>
            <w:tcW w:w="32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24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jc w:val="both"/>
        <w:ind w:left="460" w:right="4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Six Months</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8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June 30, 2014</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96"/>
        </w:trPr>
        <w:tc>
          <w:tcPr>
            <w:tcW w:w="8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50,675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Total realized gains (losses)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(1,378)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52,642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235,212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14,865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(39,989)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(26,675)</w:t>
            </w:r>
          </w:p>
        </w:tc>
        <w:tc>
          <w:tcPr>
            <w:tcW w:w="0" w:type="dxa"/>
            <w:vAlign w:val="bottom"/>
          </w:tcPr>
          <w:p>
            <w:pPr>
              <w:spacing w:after="0"/>
              <w:rPr>
                <w:sz w:val="1"/>
                <w:szCs w:val="1"/>
                <w:color w:val="auto"/>
              </w:rPr>
            </w:pPr>
          </w:p>
        </w:tc>
      </w:tr>
      <w:tr>
        <w:trPr>
          <w:trHeight w:val="230"/>
        </w:trPr>
        <w:tc>
          <w:tcPr>
            <w:tcW w:w="8920" w:type="dxa"/>
            <w:vAlign w:val="bottom"/>
          </w:tcPr>
          <w:p>
            <w:pPr>
              <w:ind w:left="3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210,088</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262,730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46,744</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574,696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479,803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837,426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526,547</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 Period</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11,781</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8920" w:type="dxa"/>
            <w:vAlign w:val="bottom"/>
          </w:tcPr>
          <w:p>
            <w:pPr>
              <w:ind w:left="5460"/>
              <w:spacing w:after="0"/>
              <w:rPr>
                <w:sz w:val="20"/>
                <w:szCs w:val="20"/>
                <w:color w:val="auto"/>
              </w:rPr>
            </w:pPr>
            <w:r>
              <w:rPr>
                <w:rFonts w:ascii="Arial" w:cs="Arial" w:eastAsia="Arial" w:hAnsi="Arial"/>
                <w:sz w:val="18"/>
                <w:szCs w:val="18"/>
                <w:color w:val="auto"/>
              </w:rPr>
              <w:t>S-F-14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258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9"/>
              </w:rPr>
              <w:t>Six Months</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Six Months</w:t>
            </w: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June 30, 2014</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2013</w:t>
            </w:r>
          </w:p>
        </w:tc>
      </w:tr>
      <w:tr>
        <w:trPr>
          <w:trHeight w:val="196"/>
        </w:trPr>
        <w:tc>
          <w:tcPr>
            <w:tcW w:w="20" w:type="dxa"/>
            <w:vAlign w:val="bottom"/>
          </w:tcPr>
          <w:p>
            <w:pPr>
              <w:spacing w:after="0"/>
              <w:rPr>
                <w:sz w:val="17"/>
                <w:szCs w:val="17"/>
                <w:color w:val="auto"/>
              </w:rPr>
            </w:pPr>
          </w:p>
        </w:tc>
        <w:tc>
          <w:tcPr>
            <w:tcW w:w="8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52,642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29,668</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increase in net assets resulting from operations to net cash used in operating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Net change in unrealized gains on investments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(3,345)</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(3,142)</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Net realized losses on foreign currency forward contracts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amortization of discount on securities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(3,552)</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Amortization of debt issuance costs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1,044</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investments, net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(441,118)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(260,454)</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Proceeds from investments,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55,824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37,997</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281,615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97,185</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Paid-in-kind interest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(1,204)</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(1,252)</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Interest receivable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(2,306)</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(2,150)</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(13,378)</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Management fees payable to affiliate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2,942</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Incentive fees payable to affiliate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Payables to affiliate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2,708</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(2,549)</w:t>
            </w:r>
          </w:p>
        </w:tc>
      </w:tr>
      <w:tr>
        <w:trPr>
          <w:trHeight w:val="230"/>
        </w:trPr>
        <w:tc>
          <w:tcPr>
            <w:tcW w:w="20" w:type="dxa"/>
            <w:vAlign w:val="bottom"/>
          </w:tcPr>
          <w:p>
            <w:pPr>
              <w:spacing w:after="0"/>
              <w:rPr>
                <w:sz w:val="20"/>
                <w:szCs w:val="20"/>
                <w:color w:val="auto"/>
              </w:rPr>
            </w:pPr>
          </w:p>
        </w:tc>
        <w:tc>
          <w:tcPr>
            <w:tcW w:w="8460" w:type="dxa"/>
            <w:vAlign w:val="bottom"/>
          </w:tcPr>
          <w:p>
            <w:pPr>
              <w:ind w:left="700"/>
              <w:spacing w:after="0"/>
              <w:rPr>
                <w:sz w:val="20"/>
                <w:szCs w:val="20"/>
                <w:color w:val="auto"/>
              </w:rPr>
            </w:pPr>
            <w:r>
              <w:rPr>
                <w:rFonts w:ascii="Arial" w:cs="Arial" w:eastAsia="Arial" w:hAnsi="Arial"/>
                <w:sz w:val="18"/>
                <w:szCs w:val="18"/>
                <w:b w:val="1"/>
                <w:bCs w:val="1"/>
                <w:color w:val="auto"/>
              </w:rPr>
              <w:t>Net Cash Used in Operating Activities</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(72,513)</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(117,924)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Borrowings on debt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721,134</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498,000</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(855,781)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(450,863)</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Debt issuance costs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(5,404)</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235,212</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(19,662)</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(11,365)</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Provided by Financing Activities</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75,499</w:t>
            </w:r>
          </w:p>
        </w:tc>
        <w:tc>
          <w:tcPr>
            <w:tcW w:w="7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2,986</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161,825</w:t>
            </w: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Arial" w:cs="Arial" w:eastAsia="Arial" w:hAnsi="Arial"/>
                <w:sz w:val="18"/>
                <w:szCs w:val="18"/>
                <w:b w:val="1"/>
                <w:bCs w:val="1"/>
                <w:color w:val="auto"/>
              </w:rPr>
              <w:t>Cash and Cash Equivalents, End of Period</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5,310</w:t>
            </w:r>
          </w:p>
        </w:tc>
        <w:tc>
          <w:tcPr>
            <w:tcW w:w="7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Excise taxes paid during the period</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Dividends declared during the period</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39,989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26,675</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 during the period</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14,865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S-F-15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S-F-16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S-F-17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6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June 30,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S-F-18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7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5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S-F-19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 in accordance with ASC 946-20-25.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statements and disclosures and determined the adoption of ASU 2013-08 did not have a material effect on the Company’s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For the three and six months ended June 30, 2014, the Company incurred expenses of $0.7 million and $1.3 million, respectively, for administrative services payable to the Adviser under the terms of the Administration Agreement. For the three and six months ended June 30, 2013, the Company incurred expenses of $0.3 million and $0.6 million, respectively, for administrative services payable to the Adviser under the terms of the Administration Agreement.</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the three and six months ended June 30, 2014, Management Fees were $4.5 million and $8.8 million, respectively. For the three and six months ended June 30, 2013, Management Fees were $3.2 million and $6.3 million,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For the three months ended June 30, 2014, no Management Fees were waived. For the six months ended June 30, 2014, Management Fees of $2.5 million were waived. For the three and six months ended June 30, 2013, Management Fees of $1.7 million and $3.2 million, respectively, were waived.</w:t>
      </w:r>
    </w:p>
    <w:p>
      <w:pPr>
        <w:spacing w:after="0" w:line="124"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5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84"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60" w:hanging="446"/>
        <w:spacing w:after="0" w:line="276"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through March 31, 2014, equals 15%, and beginning April 1, 2014,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57" w:lineRule="auto"/>
        <w:rPr>
          <w:sz w:val="20"/>
          <w:szCs w:val="20"/>
          <w:color w:val="auto"/>
        </w:rPr>
      </w:pPr>
      <w:r>
        <w:rPr>
          <w:rFonts w:ascii="Arial" w:cs="Arial" w:eastAsia="Arial" w:hAnsi="Arial"/>
          <w:sz w:val="18"/>
          <w:szCs w:val="18"/>
          <w:color w:val="auto"/>
        </w:rPr>
        <w:t>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188"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For the three and six months ended June 30, 2014, Incentive Fees were $5.9 million and $10.3 million, respectively, of which $6.2 million and $10.0 million, respectively, were realized and payable to the Adviser. For the three and six months ended June 30, 2013, Incentive Fees were $2.5 million and $5.2 million, respectively, of which $2.3 million and $4.7 million, respectively, were realized and payable to the Adviser.</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six months ended June 30, 2014, were $1.5 million and $3.0 million, respectively. Expenses incurred by the Adviser on behalf of the Company for the three and six months ended June 30, 2013, were $1.3 million and $2.2 million, respectively.</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has entered into an agreement (the “10b5-1 Plan”) with Goldman, Sachs &amp; Co.,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June 30,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June 30, 2014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955,914</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969,991</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137,253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143,178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4,645</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12,152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11,377</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1,109,964</w:t>
            </w:r>
          </w:p>
        </w:tc>
        <w:tc>
          <w:tcPr>
            <w:tcW w:w="2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1,129,199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880" w:type="dxa"/>
            <w:vAlign w:val="bottom"/>
            <w:gridSpan w:val="6"/>
            <w:vMerge w:val="restart"/>
          </w:tcPr>
          <w:p>
            <w:pPr>
              <w:ind w:left="1380"/>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2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131,082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137,483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997,298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2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June 30,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36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shd w:val="clear" w:color="auto" w:fill="CCEEFF"/>
          </w:tcPr>
          <w:p>
            <w:pPr>
              <w:spacing w:after="0"/>
              <w:rPr>
                <w:sz w:val="18"/>
                <w:szCs w:val="18"/>
                <w:color w:val="auto"/>
              </w:rPr>
            </w:pPr>
          </w:p>
        </w:tc>
        <w:tc>
          <w:tcPr>
            <w:tcW w:w="214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Automotive</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4.9%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Business services</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13.7%</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4.4%</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4.1%</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Education</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2.5%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Financial services</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9.6%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50"/>
        </w:trPr>
        <w:tc>
          <w:tcPr>
            <w:tcW w:w="3060" w:type="dxa"/>
            <w:vAlign w:val="bottom"/>
          </w:tcPr>
          <w:p>
            <w:pPr>
              <w:spacing w:after="0"/>
              <w:rPr>
                <w:sz w:val="24"/>
                <w:szCs w:val="24"/>
                <w:color w:val="auto"/>
              </w:rPr>
            </w:pPr>
          </w:p>
        </w:tc>
        <w:tc>
          <w:tcPr>
            <w:tcW w:w="3680" w:type="dxa"/>
            <w:vAlign w:val="bottom"/>
            <w:gridSpan w:val="3"/>
          </w:tcPr>
          <w:p>
            <w:pPr>
              <w:jc w:val="right"/>
              <w:ind w:right="2160"/>
              <w:spacing w:after="0"/>
              <w:rPr>
                <w:sz w:val="20"/>
                <w:szCs w:val="20"/>
                <w:color w:val="auto"/>
              </w:rPr>
            </w:pPr>
            <w:r>
              <w:rPr>
                <w:rFonts w:ascii="Arial" w:cs="Arial" w:eastAsia="Arial" w:hAnsi="Arial"/>
                <w:sz w:val="18"/>
                <w:szCs w:val="18"/>
                <w:color w:val="auto"/>
              </w:rPr>
              <w:t>S-F-25</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9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June 30, 2014</w:t>
            </w:r>
          </w:p>
        </w:tc>
        <w:tc>
          <w:tcPr>
            <w:tcW w:w="1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14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w:t>
            </w:r>
          </w:p>
        </w:tc>
        <w:tc>
          <w:tcPr>
            <w:tcW w:w="52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6.6%</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Insurance</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3.5%</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Internet services</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Manufacturing</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2.8%</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Office products</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3.1%</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Transportation</w:t>
            </w:r>
          </w:p>
        </w:tc>
        <w:tc>
          <w:tcPr>
            <w:tcW w:w="14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composition of Investments at fair value as of June 30,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5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 2014</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Arial" w:cs="Arial" w:eastAsia="Arial" w:hAnsi="Arial"/>
                <w:sz w:val="18"/>
                <w:szCs w:val="18"/>
                <w:color w:val="auto"/>
              </w:rPr>
              <w:t>Midwest</w:t>
            </w:r>
          </w:p>
        </w:tc>
        <w:tc>
          <w:tcPr>
            <w:tcW w:w="3580" w:type="dxa"/>
            <w:vAlign w:val="bottom"/>
            <w:gridSpan w:val="3"/>
          </w:tcPr>
          <w:p>
            <w:pPr>
              <w:jc w:val="right"/>
              <w:ind w:right="520"/>
              <w:spacing w:after="0"/>
              <w:rPr>
                <w:sz w:val="20"/>
                <w:szCs w:val="20"/>
                <w:color w:val="auto"/>
              </w:rPr>
            </w:pPr>
            <w:r>
              <w:rPr>
                <w:rFonts w:ascii="Arial" w:cs="Arial" w:eastAsia="Arial" w:hAnsi="Arial"/>
                <w:sz w:val="18"/>
                <w:szCs w:val="18"/>
                <w:color w:val="auto"/>
              </w:rPr>
              <w:t>13.4%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27.8%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Arial" w:cs="Arial" w:eastAsia="Arial" w:hAnsi="Arial"/>
                <w:sz w:val="18"/>
                <w:szCs w:val="18"/>
                <w:color w:val="auto"/>
              </w:rPr>
              <w:t>South</w:t>
            </w:r>
          </w:p>
        </w:tc>
        <w:tc>
          <w:tcPr>
            <w:tcW w:w="3580" w:type="dxa"/>
            <w:vAlign w:val="bottom"/>
            <w:gridSpan w:val="3"/>
          </w:tcPr>
          <w:p>
            <w:pPr>
              <w:jc w:val="right"/>
              <w:ind w:right="520"/>
              <w:spacing w:after="0"/>
              <w:rPr>
                <w:sz w:val="20"/>
                <w:szCs w:val="20"/>
                <w:color w:val="auto"/>
              </w:rPr>
            </w:pPr>
            <w:r>
              <w:rPr>
                <w:rFonts w:ascii="Arial" w:cs="Arial" w:eastAsia="Arial" w:hAnsi="Arial"/>
                <w:sz w:val="18"/>
                <w:szCs w:val="18"/>
                <w:color w:val="auto"/>
              </w:rPr>
              <w:t>18.7%</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Europe</w:t>
            </w:r>
          </w:p>
        </w:tc>
        <w:tc>
          <w:tcPr>
            <w:tcW w:w="3580" w:type="dxa"/>
            <w:vAlign w:val="bottom"/>
            <w:gridSpan w:val="3"/>
          </w:tcPr>
          <w:p>
            <w:pPr>
              <w:jc w:val="right"/>
              <w:ind w:right="520"/>
              <w:spacing w:after="0"/>
              <w:rPr>
                <w:sz w:val="20"/>
                <w:szCs w:val="20"/>
                <w:color w:val="auto"/>
              </w:rPr>
            </w:pPr>
            <w:r>
              <w:rPr>
                <w:rFonts w:ascii="Arial" w:cs="Arial" w:eastAsia="Arial" w:hAnsi="Arial"/>
                <w:sz w:val="18"/>
                <w:szCs w:val="18"/>
                <w:color w:val="auto"/>
              </w:rPr>
              <w:t>8.6%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0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w:t>
            </w:r>
          </w:p>
        </w:tc>
        <w:tc>
          <w:tcPr>
            <w:tcW w:w="20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six months ended June 30, 2014 and year ended December 31, 2013 had terms of approximately one to two months. Risks may arise as a result of the potential inability of the counterparties to meet the terms of their contracts. The Company attempts to limit this risk by dealing with only creditworthy counterparties.</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six months ended June 30, 2014, the Company settled its foreign currency forward contracts related to its investments in Jeeves Information Systems AB and Soho House Bond Ltd., which in total generated a realized loss of $1.6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open foreign currency forward contracts as of June 30, 2014.</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S-F-26</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Depreciation</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Amount (in 000’s)</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USD Value at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presented in</w:t>
            </w:r>
          </w:p>
        </w:tc>
        <w:tc>
          <w:tcPr>
            <w:tcW w:w="0" w:type="dxa"/>
            <w:vAlign w:val="bottom"/>
          </w:tcPr>
          <w:p>
            <w:pPr>
              <w:spacing w:after="0"/>
              <w:rPr>
                <w:sz w:val="1"/>
                <w:szCs w:val="1"/>
                <w:color w:val="auto"/>
              </w:rPr>
            </w:pPr>
          </w:p>
        </w:tc>
      </w:tr>
      <w:tr>
        <w:trPr>
          <w:trHeight w:val="144"/>
        </w:trPr>
        <w:tc>
          <w:tcPr>
            <w:tcW w:w="2640" w:type="dxa"/>
            <w:vAlign w:val="bottom"/>
            <w:gridSpan w:val="2"/>
            <w:vMerge w:val="continue"/>
          </w:tcPr>
          <w:p>
            <w:pPr>
              <w:spacing w:after="0"/>
              <w:rPr>
                <w:sz w:val="12"/>
                <w:szCs w:val="12"/>
                <w:color w:val="auto"/>
              </w:rPr>
            </w:pPr>
          </w:p>
        </w:tc>
        <w:tc>
          <w:tcPr>
            <w:tcW w:w="1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 Date</w:t>
            </w:r>
          </w:p>
        </w:tc>
        <w:tc>
          <w:tcPr>
            <w:tcW w:w="17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Consolidated Financial</w:t>
            </w:r>
          </w:p>
        </w:tc>
        <w:tc>
          <w:tcPr>
            <w:tcW w:w="0" w:type="dxa"/>
            <w:vAlign w:val="bottom"/>
          </w:tcPr>
          <w:p>
            <w:pPr>
              <w:spacing w:after="0"/>
              <w:rPr>
                <w:sz w:val="1"/>
                <w:szCs w:val="1"/>
                <w:color w:val="auto"/>
              </w:rPr>
            </w:pPr>
          </w:p>
        </w:tc>
      </w:tr>
      <w:tr>
        <w:trPr>
          <w:trHeight w:val="176"/>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Forward Contracts</w:t>
            </w:r>
          </w:p>
        </w:tc>
        <w:tc>
          <w:tcPr>
            <w:tcW w:w="1960" w:type="dxa"/>
            <w:vAlign w:val="bottom"/>
            <w:gridSpan w:val="2"/>
            <w:vMerge w:val="continue"/>
          </w:tcPr>
          <w:p>
            <w:pPr>
              <w:spacing w:after="0"/>
              <w:rPr>
                <w:sz w:val="15"/>
                <w:szCs w:val="15"/>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and Transaction</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Settlement Date</w:t>
            </w:r>
          </w:p>
        </w:tc>
        <w:tc>
          <w:tcPr>
            <w:tcW w:w="30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Swedish Krona</w:t>
            </w:r>
          </w:p>
        </w:tc>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(SEK)</w:t>
            </w:r>
          </w:p>
        </w:tc>
        <w:tc>
          <w:tcPr>
            <w:tcW w:w="1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January 24, 2014</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7"/>
              </w:rPr>
              <w:t>(28,440)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7"/>
              </w:rPr>
              <w:t>(29,366)</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Pound Sterling (GBP)</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7,000 sold</w:t>
            </w: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(11,274)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(11,592)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(39,714)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(40,958)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June 2014, the Company entered into two interest rate swap transactions, each with a $57.5 million notional amount. The Company will receive fixed rate interest at 4.50% and pay variable rate interest based on the 3-month London Interbank Offered Rate (“LIBOR”) plus 2.529%. The swap transactions mature on December 15, 2019. For the three and six months ended June 30, 2014, the Company recognized $0.8 million in unrealized appreciation on derivatives in the consolidated statement of operations related to the swap transactions. As of June 30, 2014, the swap transactions had a fair value of $0.8 million, which is included in receivable on interest rate swaps in the accompanying consolidated balance sheet.</w:t>
      </w:r>
    </w:p>
    <w:p>
      <w:pPr>
        <w:spacing w:after="0" w:line="17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June 30, 2014, $2.4 million of cash is pledged as collateral under the Company’s derivative instruments and is included in restricted cash as a component of other assets on the Company’s consolidated balance sheet.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S-F-27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June 30,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w w:val="99"/>
              </w:rPr>
              <w:t>Fair Value Hierarchy at June 30, 2014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68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Pr>
          <w:p>
            <w:pPr>
              <w:spacing w:after="0"/>
              <w:rPr>
                <w:sz w:val="12"/>
                <w:szCs w:val="12"/>
                <w:color w:val="auto"/>
              </w:rPr>
            </w:pPr>
          </w:p>
        </w:tc>
        <w:tc>
          <w:tcPr>
            <w:tcW w:w="124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6"/>
              </w:rPr>
              <w:t>$ —</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$22,006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947,985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969,991</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40,765</w:t>
            </w:r>
          </w:p>
        </w:tc>
        <w:tc>
          <w:tcPr>
            <w:tcW w:w="4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102,413</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143,178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4,653</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Equity investments</w:t>
            </w:r>
          </w:p>
        </w:tc>
        <w:tc>
          <w:tcPr>
            <w:tcW w:w="4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11,377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28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6"/>
              </w:rPr>
              <w:t>$ —</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$62,771</w:t>
            </w: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$1,066,428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1,129,199</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4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6"/>
              </w:rPr>
              <w:t>$ —</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63,563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1,066,428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1,129,991</w:t>
            </w:r>
          </w:p>
        </w:tc>
        <w:tc>
          <w:tcPr>
            <w:tcW w:w="28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11"/>
          </w:tcPr>
          <w:p>
            <w:pPr>
              <w:jc w:val="right"/>
              <w:ind w:right="960"/>
              <w:spacing w:after="0"/>
              <w:rPr>
                <w:sz w:val="20"/>
                <w:szCs w:val="20"/>
                <w:color w:val="auto"/>
              </w:rPr>
            </w:pPr>
            <w:r>
              <w:rPr>
                <w:rFonts w:ascii="Arial" w:cs="Arial" w:eastAsia="Arial" w:hAnsi="Arial"/>
                <w:sz w:val="14"/>
                <w:szCs w:val="14"/>
                <w:b w:val="1"/>
                <w:bCs w:val="1"/>
                <w:color w:val="auto"/>
              </w:rPr>
              <w:t>Fair Value Hierarchy at December 31, 2013</w:t>
            </w:r>
          </w:p>
        </w:tc>
      </w:tr>
      <w:tr>
        <w:trPr>
          <w:trHeight w:val="142"/>
        </w:trPr>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$854,972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420"/>
              <w:spacing w:after="0"/>
              <w:rPr>
                <w:sz w:val="20"/>
                <w:szCs w:val="20"/>
                <w:color w:val="auto"/>
              </w:rPr>
            </w:pPr>
            <w:r>
              <w:rPr>
                <w:rFonts w:ascii="Arial" w:cs="Arial" w:eastAsia="Arial" w:hAnsi="Arial"/>
                <w:sz w:val="18"/>
                <w:szCs w:val="18"/>
                <w:color w:val="auto"/>
              </w:rPr>
              <w:t>33,952</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103,531</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137,483</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Equity investments</w:t>
            </w:r>
          </w:p>
        </w:tc>
        <w:tc>
          <w:tcPr>
            <w:tcW w:w="24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8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$56,144</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$960,307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1,016,451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Payable on foreign currency forward contracts</w:t>
            </w:r>
          </w:p>
        </w:tc>
        <w:tc>
          <w:tcPr>
            <w:tcW w:w="2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(1,244)</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1,015,207</w:t>
            </w: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and six months ended June 30,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3"/>
              </w:rPr>
              <w:t>As of and for the Three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Months Ended June 30, 2014</w:t>
            </w: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First-lien</w:t>
            </w:r>
          </w:p>
        </w:tc>
        <w:tc>
          <w:tcPr>
            <w:tcW w:w="460" w:type="dxa"/>
            <w:vAlign w:val="bottom"/>
          </w:tcPr>
          <w:p>
            <w:pPr>
              <w:spacing w:after="0"/>
              <w:rPr>
                <w:sz w:val="10"/>
                <w:szCs w:val="10"/>
                <w:color w:val="auto"/>
              </w:rPr>
            </w:pPr>
          </w:p>
        </w:tc>
        <w:tc>
          <w:tcPr>
            <w:tcW w:w="8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4"/>
              </w:rPr>
              <w:t>Second-lien</w:t>
            </w:r>
          </w:p>
        </w:tc>
        <w:tc>
          <w:tcPr>
            <w:tcW w:w="600" w:type="dxa"/>
            <w:vAlign w:val="bottom"/>
          </w:tcPr>
          <w:p>
            <w:pPr>
              <w:spacing w:after="0"/>
              <w:rPr>
                <w:sz w:val="10"/>
                <w:szCs w:val="10"/>
                <w:color w:val="auto"/>
              </w:rPr>
            </w:pPr>
          </w:p>
        </w:tc>
        <w:tc>
          <w:tcPr>
            <w:tcW w:w="10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Mezzanine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debt</w:t>
            </w:r>
          </w:p>
        </w:tc>
        <w:tc>
          <w:tcPr>
            <w:tcW w:w="46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debt</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4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investments</w:t>
            </w:r>
          </w:p>
        </w:tc>
        <w:tc>
          <w:tcPr>
            <w:tcW w:w="6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$ 962,577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$ 169,427</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$1,139,008</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Purchases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95,099</w:t>
            </w:r>
          </w:p>
        </w:tc>
        <w:tc>
          <w:tcPr>
            <w:tcW w:w="4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8,872</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103,971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(112,583)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(65,441)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(178,024)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(118)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(3,793)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165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23"/>
        </w:trPr>
        <w:tc>
          <w:tcPr>
            <w:tcW w:w="348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$ 947,985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$ 102,413</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6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1,066,428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S-F-28</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As of and for the Six</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w w:val="91"/>
              </w:rPr>
              <w:t>Months Ended June 30, 2014</w:t>
            </w: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4"/>
              </w:rPr>
              <w:t>Second-lien</w:t>
            </w:r>
          </w:p>
        </w:tc>
        <w:tc>
          <w:tcPr>
            <w:tcW w:w="440" w:type="dxa"/>
            <w:vAlign w:val="bottom"/>
          </w:tcPr>
          <w:p>
            <w:pPr>
              <w:spacing w:after="0"/>
              <w:rPr>
                <w:sz w:val="10"/>
                <w:szCs w:val="10"/>
                <w:color w:val="auto"/>
              </w:rPr>
            </w:pPr>
          </w:p>
        </w:tc>
        <w:tc>
          <w:tcPr>
            <w:tcW w:w="10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Mezzanine</w:t>
            </w:r>
          </w:p>
        </w:tc>
        <w:tc>
          <w:tcPr>
            <w:tcW w:w="14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debt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debt</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investments</w:t>
            </w:r>
          </w:p>
        </w:tc>
        <w:tc>
          <w:tcPr>
            <w:tcW w:w="4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6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$ 854,972</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$ 103,531</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Purchases</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352,108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63,050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4,641</w:t>
            </w: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429,172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(51,642)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(51,642)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(215,483)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(65,905)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(281,388)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9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424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(885)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6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6,880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2,145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$ 947,985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$ 102,413</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1,066,428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and six months ended June 30, 2013.</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As of and for the Three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2"/>
              </w:rPr>
              <w:t>Months Ended June 30, 2013</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28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First-lien</w:t>
            </w:r>
          </w:p>
        </w:tc>
        <w:tc>
          <w:tcPr>
            <w:tcW w:w="8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560" w:type="dxa"/>
            <w:vAlign w:val="bottom"/>
          </w:tcPr>
          <w:p>
            <w:pPr>
              <w:spacing w:after="0"/>
              <w:rPr>
                <w:sz w:val="10"/>
                <w:szCs w:val="10"/>
                <w:color w:val="auto"/>
              </w:rPr>
            </w:pPr>
          </w:p>
        </w:tc>
        <w:tc>
          <w:tcPr>
            <w:tcW w:w="11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8"/>
              </w:rPr>
              <w:t>Equity</w:t>
            </w: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c>
          <w:tcPr>
            <w:tcW w:w="5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$ 502,510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50,458</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$554,968</w:t>
            </w: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Purchases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179,024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179,024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(19,547)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1,602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(756)</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29,926</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$ 692,149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52,057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745,450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As of and for the Six</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2"/>
              </w:rPr>
              <w:t>Months Ended June 30, 2013</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28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First-lien</w:t>
            </w:r>
          </w:p>
        </w:tc>
        <w:tc>
          <w:tcPr>
            <w:tcW w:w="8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560" w:type="dxa"/>
            <w:vAlign w:val="bottom"/>
          </w:tcPr>
          <w:p>
            <w:pPr>
              <w:spacing w:after="0"/>
              <w:rPr>
                <w:sz w:val="10"/>
                <w:szCs w:val="10"/>
                <w:color w:val="auto"/>
              </w:rPr>
            </w:pPr>
          </w:p>
        </w:tc>
        <w:tc>
          <w:tcPr>
            <w:tcW w:w="11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8"/>
              </w:rPr>
              <w:t>Equity</w:t>
            </w: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c>
          <w:tcPr>
            <w:tcW w:w="5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53,190</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$569,294</w:t>
            </w: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Purchases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243,744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243,564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(30,615)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(68,540)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(3,483)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(72,023)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487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1,883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(756)</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2,431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160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29,926</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$ 692,149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52,057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745,450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S-F-29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tables present information with respect to net change in unrealized appreciation or depreciation on investments for which Level 3 inputs were used in determining fair value that are still held by the Company at June 30,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3"/>
              </w:rPr>
              <w:t>Net Change in Unrealized</w:t>
            </w:r>
          </w:p>
        </w:tc>
        <w:tc>
          <w:tcPr>
            <w:tcW w:w="12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gridSpan w:val="3"/>
          </w:tcPr>
          <w:p>
            <w:pPr>
              <w:jc w:val="center"/>
              <w:ind w:right="160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Appreciation or (Depreciation)</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2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0"/>
              </w:rPr>
              <w:t>June 30, 2014 on</w:t>
            </w:r>
          </w:p>
        </w:tc>
        <w:tc>
          <w:tcPr>
            <w:tcW w:w="12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30, 2013 on</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4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2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2013</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6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2"/>
          </w:tcPr>
          <w:p>
            <w:pPr>
              <w:jc w:val="right"/>
              <w:ind w:right="154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2"/>
            <w:shd w:val="clear" w:color="auto" w:fill="CCEEFF"/>
          </w:tcPr>
          <w:p>
            <w:pPr>
              <w:jc w:val="right"/>
              <w:ind w:right="15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Equity investments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r>
      <w:tr>
        <w:trPr>
          <w:trHeight w:val="27"/>
        </w:trPr>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80" w:type="dxa"/>
            <w:vAlign w:val="bottom"/>
            <w:tcBorders>
              <w:right w:val="single" w:sz="8" w:color="CCEEFF"/>
            </w:tcBorders>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r>
      <w:tr>
        <w:trPr>
          <w:trHeight w:val="20"/>
        </w:trPr>
        <w:tc>
          <w:tcPr>
            <w:tcW w:w="3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3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3"/>
              </w:rPr>
              <w:t>Net Change in Unrealized</w:t>
            </w:r>
          </w:p>
        </w:tc>
        <w:tc>
          <w:tcPr>
            <w:tcW w:w="120" w:type="dxa"/>
            <w:vAlign w:val="bottom"/>
          </w:tcPr>
          <w:p>
            <w:pPr>
              <w:spacing w:after="0"/>
              <w:rPr>
                <w:sz w:val="24"/>
                <w:szCs w:val="2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gridSpan w:val="3"/>
          </w:tcPr>
          <w:p>
            <w:pPr>
              <w:jc w:val="center"/>
              <w:ind w:right="160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12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for the Six Months Ended</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0"/>
              </w:rPr>
              <w:t>June 30, 2014 on</w:t>
            </w:r>
          </w:p>
        </w:tc>
        <w:tc>
          <w:tcPr>
            <w:tcW w:w="12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June 30, 2013 on</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4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20" w:type="dxa"/>
            <w:vAlign w:val="bottom"/>
          </w:tcPr>
          <w:p>
            <w:pPr>
              <w:spacing w:after="0"/>
              <w:rPr>
                <w:sz w:val="12"/>
                <w:szCs w:val="12"/>
                <w:color w:val="auto"/>
              </w:rPr>
            </w:pPr>
          </w:p>
        </w:tc>
        <w:tc>
          <w:tcPr>
            <w:tcW w:w="1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Pr>
          <w:p>
            <w:pPr>
              <w:spacing w:after="0"/>
              <w:rPr>
                <w:sz w:val="14"/>
                <w:szCs w:val="14"/>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2013</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6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2"/>
          </w:tcPr>
          <w:p>
            <w:pPr>
              <w:jc w:val="right"/>
              <w:ind w:right="154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Equity investments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200</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r>
      <w:tr>
        <w:trPr>
          <w:trHeight w:val="27"/>
        </w:trPr>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80" w:type="dxa"/>
            <w:vAlign w:val="bottom"/>
            <w:tcBorders>
              <w:right w:val="single" w:sz="8" w:color="CCEEFF"/>
            </w:tcBorders>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3,604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r>
      <w:tr>
        <w:trPr>
          <w:trHeight w:val="20"/>
        </w:trPr>
        <w:tc>
          <w:tcPr>
            <w:tcW w:w="3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tables present the Level 3 Investments at fair value and the significant unobservable inputs used in the valuations as of June 30, 2014 and December 31, 2013. The below tables are not intended to be all-inclusive, but rather to provide information on the significant unobservable inputs and valuation techniques as they relate to the Company’s determination of fair values.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First-lien debt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Second-lien debt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Mezzanine debt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Equity investments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June 30, 2014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4"/>
                <w:szCs w:val="14"/>
                <w:b w:val="1"/>
                <w:bCs w:val="1"/>
                <w:color w:val="auto"/>
              </w:rPr>
              <w:t>Valuation</w:t>
            </w:r>
          </w:p>
        </w:tc>
        <w:tc>
          <w:tcPr>
            <w:tcW w:w="1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780" w:type="dxa"/>
            <w:vAlign w:val="bottom"/>
            <w:gridSpan w:val="2"/>
            <w:vMerge w:val="continue"/>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Unobservable Input</w:t>
            </w:r>
          </w:p>
        </w:tc>
        <w:tc>
          <w:tcPr>
            <w:tcW w:w="2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Range (Weighted Average)</w:t>
            </w:r>
          </w:p>
        </w:tc>
        <w:tc>
          <w:tcPr>
            <w:tcW w:w="14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6"/>
        </w:trPr>
        <w:tc>
          <w:tcPr>
            <w:tcW w:w="1040" w:type="dxa"/>
            <w:vAlign w:val="bottom"/>
            <w:gridSpan w:val="3"/>
            <w:vMerge w:val="continue"/>
          </w:tcPr>
          <w:p>
            <w:pPr>
              <w:spacing w:after="0"/>
              <w:rPr>
                <w:sz w:val="15"/>
                <w:szCs w:val="15"/>
                <w:color w:val="auto"/>
              </w:rPr>
            </w:pPr>
          </w:p>
        </w:tc>
        <w:tc>
          <w:tcPr>
            <w:tcW w:w="1780" w:type="dxa"/>
            <w:vAlign w:val="bottom"/>
            <w:gridSpan w:val="2"/>
          </w:tcPr>
          <w:p>
            <w:pPr>
              <w:ind w:left="460"/>
              <w:spacing w:after="0"/>
              <w:rPr>
                <w:sz w:val="20"/>
                <w:szCs w:val="20"/>
                <w:color w:val="auto"/>
              </w:rPr>
            </w:pPr>
            <w:r>
              <w:rPr>
                <w:rFonts w:ascii="Arial" w:cs="Arial" w:eastAsia="Arial" w:hAnsi="Arial"/>
                <w:sz w:val="14"/>
                <w:szCs w:val="14"/>
                <w:b w:val="1"/>
                <w:bCs w:val="1"/>
                <w:color w:val="auto"/>
              </w:rPr>
              <w:t>Technique</w:t>
            </w:r>
          </w:p>
        </w:tc>
        <w:tc>
          <w:tcPr>
            <w:tcW w:w="1680" w:type="dxa"/>
            <w:vAlign w:val="bottom"/>
            <w:gridSpan w:val="2"/>
            <w:vMerge w:val="continue"/>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947,985</w:t>
            </w:r>
          </w:p>
        </w:tc>
        <w:tc>
          <w:tcPr>
            <w:tcW w:w="30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Income Approach (1)</w:t>
            </w:r>
          </w:p>
        </w:tc>
        <w:tc>
          <w:tcPr>
            <w:tcW w:w="220" w:type="dxa"/>
            <w:vAlign w:val="bottom"/>
          </w:tcPr>
          <w:p>
            <w:pPr>
              <w:spacing w:after="0"/>
              <w:rPr>
                <w:sz w:val="16"/>
                <w:szCs w:val="16"/>
                <w:color w:val="auto"/>
              </w:rPr>
            </w:pPr>
          </w:p>
        </w:tc>
        <w:tc>
          <w:tcPr>
            <w:tcW w:w="1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Market Yield</w:t>
            </w:r>
          </w:p>
        </w:tc>
        <w:tc>
          <w:tcPr>
            <w:tcW w:w="220" w:type="dxa"/>
            <w:vAlign w:val="bottom"/>
          </w:tcPr>
          <w:p>
            <w:pPr>
              <w:spacing w:after="0"/>
              <w:rPr>
                <w:sz w:val="16"/>
                <w:szCs w:val="16"/>
                <w:color w:val="auto"/>
              </w:rPr>
            </w:pPr>
          </w:p>
        </w:tc>
        <w:tc>
          <w:tcPr>
            <w:tcW w:w="2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7.45% — 13.49% (9.87%)</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Decrease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102,413</w:t>
            </w:r>
          </w:p>
        </w:tc>
        <w:tc>
          <w:tcPr>
            <w:tcW w:w="178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68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9.53% — 9.65% (9.59%)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4,653</w:t>
            </w:r>
          </w:p>
        </w:tc>
        <w:tc>
          <w:tcPr>
            <w:tcW w:w="178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68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17.49%</w:t>
            </w:r>
          </w:p>
        </w:tc>
        <w:tc>
          <w:tcPr>
            <w:tcW w:w="2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11,377</w:t>
            </w:r>
          </w:p>
        </w:tc>
        <w:tc>
          <w:tcPr>
            <w:tcW w:w="1780" w:type="dxa"/>
            <w:vAlign w:val="bottom"/>
            <w:gridSpan w:val="2"/>
          </w:tcPr>
          <w:p>
            <w:pPr>
              <w:spacing w:after="0"/>
              <w:rPr>
                <w:sz w:val="20"/>
                <w:szCs w:val="20"/>
                <w:color w:val="auto"/>
              </w:rPr>
            </w:pPr>
            <w:r>
              <w:rPr>
                <w:rFonts w:ascii="Arial" w:cs="Arial" w:eastAsia="Arial" w:hAnsi="Arial"/>
                <w:sz w:val="18"/>
                <w:szCs w:val="18"/>
                <w:color w:val="auto"/>
              </w:rPr>
              <w:t>EV Market Multiple</w:t>
            </w:r>
          </w:p>
        </w:tc>
        <w:tc>
          <w:tcPr>
            <w:tcW w:w="168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12.0x — 19.3x (14.0x)</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122"/>
        </w:trPr>
        <w:tc>
          <w:tcPr>
            <w:tcW w:w="1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Analysis (2)</w:t>
            </w: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-694055</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-410845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8340"/>
          </w:cols>
          <w:pgMar w:left="240" w:top="459" w:right="239" w:bottom="1440" w:gutter="0" w:footer="0" w:header="0"/>
          <w:type w:val="continuous"/>
        </w:sectPr>
      </w:pPr>
    </w:p>
    <w:p>
      <w:pPr>
        <w:spacing w:after="0" w:line="42" w:lineRule="exact"/>
        <w:rPr>
          <w:sz w:val="20"/>
          <w:szCs w:val="20"/>
          <w:color w:val="auto"/>
        </w:rPr>
      </w:pPr>
    </w:p>
    <w:p>
      <w:pPr>
        <w:ind w:left="460" w:right="220" w:hanging="452"/>
        <w:spacing w:after="0" w:line="25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$50.2 million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$8.9 million equity investment which, due to the proximity of the transaction relative to the measurement date, was valued using the cost of the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S-F-30</w:t>
      </w:r>
    </w:p>
    <w:p>
      <w:pPr>
        <w:sectPr>
          <w:pgSz w:w="11900" w:h="16838" w:orient="portrait"/>
          <w:cols w:equalWidth="0" w:num="1">
            <w:col w:w="1142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December 31, 2013</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Valuation</w:t>
            </w:r>
          </w:p>
        </w:tc>
        <w:tc>
          <w:tcPr>
            <w:tcW w:w="1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3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Range (Weighted</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Unobservable Input</w:t>
            </w:r>
          </w:p>
        </w:tc>
        <w:tc>
          <w:tcPr>
            <w:tcW w:w="236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Technique</w:t>
            </w:r>
          </w:p>
        </w:tc>
        <w:tc>
          <w:tcPr>
            <w:tcW w:w="1780" w:type="dxa"/>
            <w:vAlign w:val="bottom"/>
            <w:gridSpan w:val="2"/>
            <w:vMerge w:val="continue"/>
          </w:tcPr>
          <w:p>
            <w:pPr>
              <w:spacing w:after="0"/>
              <w:rPr>
                <w:sz w:val="14"/>
                <w:szCs w:val="14"/>
                <w:color w:val="auto"/>
              </w:rPr>
            </w:pPr>
          </w:p>
        </w:tc>
        <w:tc>
          <w:tcPr>
            <w:tcW w:w="2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Average)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5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First-lien debt investments</w:t>
            </w: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4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Market Yield</w:t>
            </w:r>
          </w:p>
        </w:tc>
        <w:tc>
          <w:tcPr>
            <w:tcW w:w="4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5.50% —13.12% (9.81%)</w:t>
            </w:r>
          </w:p>
        </w:tc>
        <w:tc>
          <w:tcPr>
            <w:tcW w:w="4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ind w:left="600"/>
              <w:spacing w:after="0" w:line="195" w:lineRule="exact"/>
              <w:rPr>
                <w:sz w:val="20"/>
                <w:szCs w:val="20"/>
                <w:color w:val="auto"/>
              </w:rPr>
            </w:pPr>
            <w:r>
              <w:rPr>
                <w:rFonts w:ascii="Arial" w:cs="Arial" w:eastAsia="Arial" w:hAnsi="Arial"/>
                <w:sz w:val="18"/>
                <w:szCs w:val="18"/>
                <w:color w:val="auto"/>
                <w:w w:val="83"/>
              </w:rPr>
              <w:t>Decrease</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854,972</w:t>
            </w:r>
          </w:p>
        </w:tc>
        <w:tc>
          <w:tcPr>
            <w:tcW w:w="1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Approach</w:t>
            </w:r>
          </w:p>
        </w:tc>
        <w:tc>
          <w:tcPr>
            <w:tcW w:w="1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Second-lien debt investments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Income</w:t>
            </w: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Market Yield</w:t>
            </w:r>
          </w:p>
        </w:tc>
        <w:tc>
          <w:tcPr>
            <w:tcW w:w="236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2"/>
              </w:rPr>
              <w:t>9.32% — 9.87% (9.59%)</w:t>
            </w:r>
          </w:p>
        </w:tc>
        <w:tc>
          <w:tcPr>
            <w:tcW w:w="1360" w:type="dxa"/>
            <w:vAlign w:val="bottom"/>
            <w:gridSpan w:val="2"/>
          </w:tcPr>
          <w:p>
            <w:pPr>
              <w:ind w:left="600"/>
              <w:spacing w:after="0" w:line="201" w:lineRule="exact"/>
              <w:rPr>
                <w:sz w:val="20"/>
                <w:szCs w:val="20"/>
                <w:color w:val="auto"/>
              </w:rPr>
            </w:pPr>
            <w:r>
              <w:rPr>
                <w:rFonts w:ascii="Arial" w:cs="Arial" w:eastAsia="Arial" w:hAnsi="Arial"/>
                <w:sz w:val="18"/>
                <w:szCs w:val="18"/>
                <w:color w:val="auto"/>
                <w:w w:val="96"/>
              </w:rPr>
              <w:t>Decrease</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103,531</w:t>
            </w:r>
          </w:p>
        </w:tc>
        <w:tc>
          <w:tcPr>
            <w:tcW w:w="1420" w:type="dxa"/>
            <w:vAlign w:val="bottom"/>
            <w:gridSpan w:val="3"/>
          </w:tcPr>
          <w:p>
            <w:pPr>
              <w:ind w:left="260"/>
              <w:spacing w:after="0"/>
              <w:rPr>
                <w:sz w:val="20"/>
                <w:szCs w:val="20"/>
                <w:color w:val="auto"/>
              </w:rPr>
            </w:pPr>
            <w:r>
              <w:rPr>
                <w:rFonts w:ascii="Arial" w:cs="Arial" w:eastAsia="Arial" w:hAnsi="Arial"/>
                <w:sz w:val="18"/>
                <w:szCs w:val="18"/>
                <w:color w:val="auto"/>
              </w:rPr>
              <w:t>Approach</w:t>
            </w: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Equity investments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1,804</w:t>
            </w:r>
          </w:p>
        </w:tc>
        <w:tc>
          <w:tcPr>
            <w:tcW w:w="142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Income</w:t>
            </w: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w:t>
            </w:r>
          </w:p>
        </w:tc>
        <w:tc>
          <w:tcPr>
            <w:tcW w:w="236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3"/>
              </w:rPr>
              <w:t>12.1% —15.3% (14.0%)</w:t>
            </w:r>
          </w:p>
        </w:tc>
        <w:tc>
          <w:tcPr>
            <w:tcW w:w="1360" w:type="dxa"/>
            <w:vAlign w:val="bottom"/>
            <w:gridSpan w:val="2"/>
          </w:tcPr>
          <w:p>
            <w:pPr>
              <w:ind w:left="600"/>
              <w:spacing w:after="0" w:line="201" w:lineRule="exact"/>
              <w:rPr>
                <w:sz w:val="20"/>
                <w:szCs w:val="20"/>
                <w:color w:val="auto"/>
              </w:rPr>
            </w:pPr>
            <w:r>
              <w:rPr>
                <w:rFonts w:ascii="Arial" w:cs="Arial" w:eastAsia="Arial" w:hAnsi="Arial"/>
                <w:sz w:val="18"/>
                <w:szCs w:val="18"/>
                <w:color w:val="auto"/>
                <w:w w:val="96"/>
              </w:rPr>
              <w:t>Decrease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ind w:left="260"/>
              <w:spacing w:after="0"/>
              <w:rPr>
                <w:sz w:val="20"/>
                <w:szCs w:val="20"/>
                <w:color w:val="auto"/>
              </w:rPr>
            </w:pPr>
            <w:r>
              <w:rPr>
                <w:rFonts w:ascii="Arial" w:cs="Arial" w:eastAsia="Arial" w:hAnsi="Arial"/>
                <w:sz w:val="18"/>
                <w:szCs w:val="18"/>
                <w:color w:val="auto"/>
              </w:rPr>
              <w:t>Approach</w:t>
            </w:r>
          </w:p>
        </w:tc>
        <w:tc>
          <w:tcPr>
            <w:tcW w:w="1780" w:type="dxa"/>
            <w:vAlign w:val="bottom"/>
            <w:gridSpan w:val="2"/>
          </w:tcPr>
          <w:p>
            <w:pPr>
              <w:spacing w:after="0"/>
              <w:rPr>
                <w:sz w:val="20"/>
                <w:szCs w:val="20"/>
                <w:color w:val="auto"/>
              </w:rPr>
            </w:pPr>
            <w:r>
              <w:rPr>
                <w:rFonts w:ascii="Arial" w:cs="Arial" w:eastAsia="Arial" w:hAnsi="Arial"/>
                <w:sz w:val="18"/>
                <w:szCs w:val="18"/>
                <w:color w:val="auto"/>
              </w:rPr>
              <w:t>Cost of Capital</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(WACC)</w:t>
            </w:r>
          </w:p>
        </w:tc>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fair value of the Company’s revolving credit facilities, which are categorized as Level 3 within the fair value hierarchy, as of June 30, 2014 and December 31, 2013, approximates their carrying value as the outstanding balances are callable at carrying value. The fair value of the Company’s Convertible Senior Notes, which is categorized as Level 2 within the fair value hierarchy, as of June 30, 2014, is $116.5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June 30, 2014 and December 31, 2013, the Company’s asset coverage was 382.5% and 232.9%,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S-F-31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June 30,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3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500" w:type="dxa"/>
            <w:vAlign w:val="bottom"/>
          </w:tcPr>
          <w:p>
            <w:pPr>
              <w:spacing w:after="0"/>
              <w:rPr>
                <w:sz w:val="10"/>
                <w:szCs w:val="10"/>
                <w:color w:val="auto"/>
              </w:rPr>
            </w:pPr>
          </w:p>
        </w:tc>
        <w:tc>
          <w:tcPr>
            <w:tcW w:w="13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6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 (1)</w:t>
            </w:r>
          </w:p>
        </w:tc>
        <w:tc>
          <w:tcPr>
            <w:tcW w:w="3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 (2)</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138,725</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$138,725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46,014</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503,844</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46,014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111,653</w:t>
            </w:r>
          </w:p>
        </w:tc>
        <w:tc>
          <w:tcPr>
            <w:tcW w:w="0" w:type="dxa"/>
            <w:vAlign w:val="bottom"/>
          </w:tcPr>
          <w:p>
            <w:pPr>
              <w:spacing w:after="0"/>
              <w:rPr>
                <w:sz w:val="1"/>
                <w:szCs w:val="1"/>
                <w:color w:val="auto"/>
              </w:rPr>
            </w:pPr>
          </w:p>
        </w:tc>
      </w:tr>
      <w:tr>
        <w:trPr>
          <w:trHeight w:val="223"/>
        </w:trPr>
        <w:tc>
          <w:tcPr>
            <w:tcW w:w="418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299,739</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528,391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296,392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3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500" w:type="dxa"/>
            <w:vAlign w:val="bottom"/>
          </w:tcPr>
          <w:p>
            <w:pPr>
              <w:spacing w:after="0"/>
              <w:rPr>
                <w:sz w:val="10"/>
                <w:szCs w:val="10"/>
                <w:color w:val="auto"/>
              </w:rPr>
            </w:pPr>
          </w:p>
        </w:tc>
        <w:tc>
          <w:tcPr>
            <w:tcW w:w="13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6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 (1)</w:t>
            </w:r>
          </w:p>
        </w:tc>
        <w:tc>
          <w:tcPr>
            <w:tcW w:w="3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 (4)</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$ 32,000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SPV Asset Facility (2)</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77,767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322,500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77,500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322,500</w:t>
            </w:r>
          </w:p>
        </w:tc>
        <w:tc>
          <w:tcPr>
            <w:tcW w:w="0" w:type="dxa"/>
            <w:vAlign w:val="bottom"/>
          </w:tcPr>
          <w:p>
            <w:pPr>
              <w:spacing w:after="0"/>
              <w:rPr>
                <w:sz w:val="1"/>
                <w:szCs w:val="1"/>
                <w:color w:val="auto"/>
              </w:rPr>
            </w:pPr>
          </w:p>
        </w:tc>
      </w:tr>
      <w:tr>
        <w:trPr>
          <w:trHeight w:val="223"/>
        </w:trPr>
        <w:tc>
          <w:tcPr>
            <w:tcW w:w="418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432,267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January 21, 2014, the Company amended the SPV Asset Facility to increase the size of the facility to $175.0 million.</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27, 2014, the Company amended the Revolving Credit Facility to increase the size of the facility to $581.3 million. On May 30, 2014, the Company increased aggregate commitments under the Revolving Credit Facility from $581.3 million to $781.3 million.</w:t>
      </w:r>
    </w:p>
    <w:p>
      <w:pPr>
        <w:ind w:left="460" w:right="2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8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the three and six months ended June 30, 2014 and 2013, the components of interest expense associated with the Convertible Senior Notes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60" w:type="dxa"/>
            <w:vAlign w:val="bottom"/>
            <w:gridSpan w:val="4"/>
          </w:tcPr>
          <w:p>
            <w:pPr>
              <w:ind w:left="480"/>
              <w:spacing w:after="0"/>
              <w:rPr>
                <w:sz w:val="20"/>
                <w:szCs w:val="20"/>
                <w:color w:val="auto"/>
              </w:rPr>
            </w:pPr>
            <w:r>
              <w:rPr>
                <w:rFonts w:ascii="Arial" w:cs="Arial" w:eastAsia="Arial" w:hAnsi="Arial"/>
                <w:sz w:val="14"/>
                <w:szCs w:val="14"/>
                <w:b w:val="1"/>
                <w:bCs w:val="1"/>
                <w:color w:val="auto"/>
                <w:w w:val="95"/>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2014</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78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2014</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200" w:type="dxa"/>
            <w:vAlign w:val="bottom"/>
          </w:tcPr>
          <w:p>
            <w:pPr>
              <w:spacing w:after="0"/>
              <w:rPr>
                <w:sz w:val="12"/>
                <w:szCs w:val="12"/>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Commitment fees</w:t>
            </w: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748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810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2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354,829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218,987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412,602</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203,571</w:t>
            </w:r>
          </w:p>
        </w:tc>
        <w:tc>
          <w:tcPr>
            <w:tcW w:w="200" w:type="dxa"/>
            <w:vAlign w:val="bottom"/>
            <w:shd w:val="clear" w:color="auto" w:fill="CCEEFF"/>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commitments through the accordion feature of the Company’s Revolving Credit Facility, increasing the aggregate commitments from $581.3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$781.3 million. The Revolving Credit Facility continues to include the accordion feature, which would allow the Company, under certain circumstances,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the size of the Revolving Credit Facility further to a maximum of $956.3 million.</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$36.25 million in commitments not previously extended such that the revolving period as it relates to all outstanding commitments will expire on February 27, 2018 and the stated maturity date as it relates to all outstanding commitments will be February 27, 2019.</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Net proceeds received from the exercise of the underwriters’ over-allotment option from the Company’s IPO and net proceeds received from the issuance of the Convertible Senior Notes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may borrow amounts in U.S. dollars or certain other permitted currencies. In connection with the Company settling its foreign currency forward contracts related to its investments in Jeeves Information Systems AB and Soho House Bond Ltd., during the six months ended June 30, 2014 the Company borrowed in foreign currencies from its Revolving Credit Facility. As of June 30, 2014, the Company has outstanding debt denominated in Swedish Krona (SEK) of 218,379,000 and outstanding debt denominated in Pound Sterling (GBP) of 7,807,000 on its Revolving Credit Facility, included in the Outstanding Principal amount in the table above.</w:t>
      </w:r>
    </w:p>
    <w:p>
      <w:pPr>
        <w:spacing w:after="0" w:line="18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S-F-33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116"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will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Amounts drawn under the original credit and security agreement bore interest at LIBOR plus a margin or base rate plus a margin, in each case at TPG SL SPV’s option. Amounts drawn under the amended and restated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8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June 30, 2014 and December 31, 2013, TPG SL SPV had $364.5 million and $184.3 million, respectively, in investments at fair value, and $141.5 million and $78.3 million, respectively, in liabilities, including the outstanding borrowings, on its balance sheet. As of June 30, 2014 and December 31, 2013, TPG SL SPV had $12.2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June 10, 2014, the Company issued $115 million aggregate principal amount convertible senior notes due December 2019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an interest rate swap to continue to align the interest rates of its liabilities with its investment portfolio, which consists of predominately floating rate loans. As a result of the swap, the Company’s effective interest rate on the Convertible Senior Notes is three-month LIBOR plus 252.9 basis points. See Note 5 for further information related to the interest rate swaps the Company entered into.</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Convertible Senior Notes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2014, the components of interest expense related to the Convertible Senior Notes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100" w:type="dxa"/>
            <w:vAlign w:val="bottom"/>
            <w:gridSpan w:val="4"/>
          </w:tcPr>
          <w:p>
            <w:pPr>
              <w:ind w:left="2160"/>
              <w:spacing w:after="0"/>
              <w:rPr>
                <w:sz w:val="20"/>
                <w:szCs w:val="20"/>
                <w:color w:val="auto"/>
              </w:rPr>
            </w:pPr>
            <w:r>
              <w:rPr>
                <w:rFonts w:ascii="Arial" w:cs="Arial" w:eastAsia="Arial" w:hAnsi="Arial"/>
                <w:sz w:val="14"/>
                <w:szCs w:val="14"/>
                <w:b w:val="1"/>
                <w:bCs w:val="1"/>
                <w:color w:val="auto"/>
              </w:rPr>
              <w:t>June 30, 2014</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2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4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June 30, 2014,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the components of the carrying value of the Convertible Senior Notes and the stated interest rate were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December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20" w:type="dxa"/>
            <w:vAlign w:val="bottom"/>
            <w:gridSpan w:val="4"/>
          </w:tcPr>
          <w:p>
            <w:pPr>
              <w:ind w:left="1560"/>
              <w:spacing w:after="0"/>
              <w:rPr>
                <w:sz w:val="20"/>
                <w:szCs w:val="20"/>
                <w:color w:val="auto"/>
              </w:rPr>
            </w:pPr>
            <w:r>
              <w:rPr>
                <w:rFonts w:ascii="Arial" w:cs="Arial" w:eastAsia="Arial" w:hAnsi="Arial"/>
                <w:sz w:val="14"/>
                <w:szCs w:val="14"/>
                <w:b w:val="1"/>
                <w:bCs w:val="1"/>
                <w:color w:val="auto"/>
              </w:rPr>
              <w:t>Convertible 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Convertible Senior Notes Indenture contains certain covenants, including covenants requiring the Company to comply with the requirement under the Investment Company Act that the Company’s asset coverage ratio, as defined in the Investment Company Act, equal at least 200% and to provide financial information to the holders of the Convertible Senior Notes under certain circumstances. These covenants are subject to important limitations and exceptions that are described in the Convertible Senior Notes Indenture. As of June 30, 2014, the Company was in compliance with the terms of the Convertible Senior Notes Indenture.</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and December 31, 2013,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June 30, 2014 and December 31, 2013,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23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27,980</w:t>
            </w:r>
          </w:p>
        </w:tc>
        <w:tc>
          <w:tcPr>
            <w:tcW w:w="10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36,845</w:t>
            </w:r>
          </w:p>
        </w:tc>
        <w:tc>
          <w:tcPr>
            <w:tcW w:w="10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tcPr>
          <w:p>
            <w:pPr>
              <w:spacing w:after="0"/>
              <w:rPr>
                <w:sz w:val="19"/>
                <w:szCs w:val="19"/>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64,825</w:t>
            </w:r>
          </w:p>
        </w:tc>
        <w:tc>
          <w:tcPr>
            <w:tcW w:w="1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2014,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in connection with the Company’s IPO. Net of underwriting fees and offering costs, the Company received total cash proceeds of $15.4 million.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six months ended June 30, 2014 and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w w:val="92"/>
              </w:rPr>
              <w:t>June 30, 2014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Shares Issued</w:t>
            </w:r>
          </w:p>
        </w:tc>
        <w:tc>
          <w:tcPr>
            <w:tcW w:w="2220" w:type="dxa"/>
            <w:vAlign w:val="bottom"/>
            <w:gridSpan w:val="3"/>
          </w:tcPr>
          <w:p>
            <w:pPr>
              <w:ind w:left="108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15, 2014</w:t>
            </w:r>
          </w:p>
        </w:tc>
        <w:tc>
          <w:tcPr>
            <w:tcW w:w="1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4,234,501</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4,234,501</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3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w w:val="92"/>
              </w:rPr>
              <w:t>June 30, 2013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Shares Issued (1)</w:t>
            </w:r>
          </w:p>
        </w:tc>
        <w:tc>
          <w:tcPr>
            <w:tcW w:w="2220" w:type="dxa"/>
            <w:vAlign w:val="bottom"/>
            <w:gridSpan w:val="3"/>
          </w:tcPr>
          <w:p>
            <w:pPr>
              <w:ind w:left="108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1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2,079,224</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shareholders who have not opted out of the Company’s dividend reinvestment plan during the six months ended June 30, 2014 and 2013. All shares issued to shareholders in the tables below are newly issued shares.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Six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4"/>
                <w:szCs w:val="14"/>
                <w:b w:val="1"/>
                <w:bCs w:val="1"/>
                <w:color w:val="auto"/>
                <w:w w:val="92"/>
              </w:rPr>
              <w:t>June 30, 2014</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040" w:type="dxa"/>
            <w:vAlign w:val="bottom"/>
            <w:vMerge w:val="restart"/>
          </w:tcPr>
          <w:p>
            <w:pPr>
              <w:spacing w:after="0"/>
              <w:rPr>
                <w:sz w:val="10"/>
                <w:szCs w:val="10"/>
                <w:color w:val="auto"/>
              </w:rPr>
            </w:pPr>
          </w:p>
        </w:tc>
        <w:tc>
          <w:tcPr>
            <w:tcW w:w="15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Record Date</w:t>
            </w:r>
          </w:p>
        </w:tc>
        <w:tc>
          <w:tcPr>
            <w:tcW w:w="32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2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Date</w:t>
            </w:r>
          </w:p>
        </w:tc>
        <w:tc>
          <w:tcPr>
            <w:tcW w:w="11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Shares Issued</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6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31, 2013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13, 2014</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March 31, 2014</w:t>
            </w:r>
          </w:p>
        </w:tc>
        <w:tc>
          <w:tcPr>
            <w:tcW w:w="340" w:type="dxa"/>
            <w:vAlign w:val="bottom"/>
          </w:tcPr>
          <w:p>
            <w:pPr>
              <w:spacing w:after="0"/>
              <w:rPr>
                <w:sz w:val="19"/>
                <w:szCs w:val="19"/>
                <w:color w:val="auto"/>
              </w:rPr>
            </w:pPr>
          </w:p>
        </w:tc>
        <w:tc>
          <w:tcPr>
            <w:tcW w:w="2160" w:type="dxa"/>
            <w:vAlign w:val="bottom"/>
            <w:gridSpan w:val="2"/>
          </w:tcPr>
          <w:p>
            <w:pPr>
              <w:jc w:val="right"/>
              <w:ind w:right="660"/>
              <w:spacing w:after="0"/>
              <w:rPr>
                <w:sz w:val="20"/>
                <w:szCs w:val="20"/>
                <w:color w:val="auto"/>
              </w:rPr>
            </w:pPr>
            <w:r>
              <w:rPr>
                <w:rFonts w:ascii="Arial" w:cs="Arial" w:eastAsia="Arial" w:hAnsi="Arial"/>
                <w:sz w:val="18"/>
                <w:szCs w:val="18"/>
                <w:color w:val="auto"/>
              </w:rPr>
              <w:t>May 1, 2014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912,383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92"/>
              </w:rPr>
              <w:t>Six Months Ended</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4"/>
                <w:szCs w:val="14"/>
                <w:b w:val="1"/>
                <w:bCs w:val="1"/>
                <w:color w:val="auto"/>
                <w:w w:val="92"/>
              </w:rPr>
              <w:t>June 30, 2013</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040" w:type="dxa"/>
            <w:vAlign w:val="bottom"/>
            <w:vMerge w:val="restart"/>
          </w:tcPr>
          <w:p>
            <w:pPr>
              <w:spacing w:after="0"/>
              <w:rPr>
                <w:sz w:val="10"/>
                <w:szCs w:val="10"/>
                <w:color w:val="auto"/>
              </w:rPr>
            </w:pPr>
          </w:p>
        </w:tc>
        <w:tc>
          <w:tcPr>
            <w:tcW w:w="15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Record Date</w:t>
            </w:r>
          </w:p>
        </w:tc>
        <w:tc>
          <w:tcPr>
            <w:tcW w:w="32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2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Date</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Shares Issued (1)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6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31, 2012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12, 2013</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March 31, 2013</w:t>
            </w:r>
          </w:p>
        </w:tc>
        <w:tc>
          <w:tcPr>
            <w:tcW w:w="340" w:type="dxa"/>
            <w:vAlign w:val="bottom"/>
          </w:tcPr>
          <w:p>
            <w:pPr>
              <w:spacing w:after="0"/>
              <w:rPr>
                <w:sz w:val="19"/>
                <w:szCs w:val="19"/>
                <w:color w:val="auto"/>
              </w:rPr>
            </w:pPr>
          </w:p>
        </w:tc>
        <w:tc>
          <w:tcPr>
            <w:tcW w:w="2160" w:type="dxa"/>
            <w:vAlign w:val="bottom"/>
            <w:gridSpan w:val="2"/>
          </w:tcPr>
          <w:p>
            <w:pPr>
              <w:jc w:val="right"/>
              <w:ind w:right="660"/>
              <w:spacing w:after="0"/>
              <w:rPr>
                <w:sz w:val="20"/>
                <w:szCs w:val="20"/>
                <w:color w:val="auto"/>
              </w:rPr>
            </w:pPr>
            <w:r>
              <w:rPr>
                <w:rFonts w:ascii="Arial" w:cs="Arial" w:eastAsia="Arial" w:hAnsi="Arial"/>
                <w:sz w:val="18"/>
                <w:szCs w:val="18"/>
                <w:color w:val="auto"/>
              </w:rPr>
              <w:t>May 7, 2013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780,709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S-F-38</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August 1, 2014, pursuant to its dividend reinvestment plan, the Company issued 218,892 shares in connection with the dividend that was paid on July 31, 2014. This dividend was declared on May 6, 2014 for shareholders of record on June 30, 2014.</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4"/>
              </w:rPr>
              <w:t>June 30, 2014</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30, 2013</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June 30, 2014</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30, 2013</w:t>
            </w:r>
          </w:p>
        </w:tc>
        <w:tc>
          <w:tcPr>
            <w:tcW w:w="100" w:type="dxa"/>
            <w:vAlign w:val="bottom"/>
          </w:tcPr>
          <w:p>
            <w:pPr>
              <w:spacing w:after="0"/>
              <w:rPr>
                <w:sz w:val="12"/>
                <w:szCs w:val="12"/>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27,294</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52,642</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w w:val="97"/>
              </w:rPr>
              <w:t>Weighted average shares of common stock outstanding—basic and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diluted (1)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53,120,358</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34,270,130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47,361,713</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33,419,945</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 (1)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r>
    </w:tbl>
    <w:p>
      <w:pPr>
        <w:spacing w:after="0" w:line="229" w:lineRule="exact"/>
        <w:rPr>
          <w:sz w:val="20"/>
          <w:szCs w:val="20"/>
          <w:color w:val="auto"/>
        </w:rPr>
      </w:pPr>
    </w:p>
    <w:p>
      <w:pPr>
        <w:ind w:left="460" w:right="180" w:hanging="452"/>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June 30, 2014 was less than the conversion price for the Convertible Senior Notes outstanding as of June 30, 2014.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six months ended June 30,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3"/>
          </w:tcPr>
          <w:p>
            <w:pPr>
              <w:ind w:left="40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480" w:type="dxa"/>
            <w:vAlign w:val="bottom"/>
            <w:vMerge w:val="restart"/>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48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Record Date</w:t>
            </w:r>
          </w:p>
        </w:tc>
        <w:tc>
          <w:tcPr>
            <w:tcW w:w="3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Payment Date</w:t>
            </w:r>
          </w:p>
        </w:tc>
        <w:tc>
          <w:tcPr>
            <w:tcW w:w="8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March 31, 2014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April 30, 2014</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May 6, 2014</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2014</w:t>
            </w:r>
          </w:p>
        </w:tc>
        <w:tc>
          <w:tcPr>
            <w:tcW w:w="40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July 31, 2014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gridSpan w:val="2"/>
            <w:vMerge w:val="restart"/>
          </w:tcPr>
          <w:p>
            <w:pPr>
              <w:ind w:left="180"/>
              <w:spacing w:after="0"/>
              <w:rPr>
                <w:sz w:val="20"/>
                <w:szCs w:val="20"/>
                <w:color w:val="auto"/>
              </w:rPr>
            </w:pPr>
            <w:r>
              <w:rPr>
                <w:rFonts w:ascii="Arial" w:cs="Arial" w:eastAsia="Arial" w:hAnsi="Arial"/>
                <w:sz w:val="18"/>
                <w:szCs w:val="18"/>
                <w:color w:val="auto"/>
              </w:rPr>
              <w:t>S-F-39</w:t>
            </w: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560" w:type="dxa"/>
            <w:vAlign w:val="bottom"/>
            <w:vMerge w:val="restart"/>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4"/>
                <w:szCs w:val="14"/>
                <w:b w:val="1"/>
                <w:bCs w:val="1"/>
                <w:color w:val="auto"/>
                <w:w w:val="90"/>
              </w:rPr>
              <w:t>June 30, 2014</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Record Date</w:t>
            </w:r>
          </w:p>
        </w:tc>
        <w:tc>
          <w:tcPr>
            <w:tcW w:w="3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8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March 31, 2013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May 6, 2013</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June 30, 2013</w:t>
            </w:r>
          </w:p>
        </w:tc>
        <w:tc>
          <w:tcPr>
            <w:tcW w:w="42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July 31, 2013</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dividends declared during the six months ended June 30, 2014 and 2013, were derived from net investment income determined on a tax basis.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share of Common Stock outstanding during the six months ended June 30, 2014 and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4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1880" w:type="dxa"/>
            <w:vAlign w:val="bottom"/>
            <w:gridSpan w:val="4"/>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2"/>
              </w:rPr>
              <w:t>June 30, 2014</w:t>
            </w:r>
          </w:p>
        </w:tc>
        <w:tc>
          <w:tcPr>
            <w:tcW w:w="520" w:type="dxa"/>
            <w:vAlign w:val="bottom"/>
          </w:tcPr>
          <w:p>
            <w:pPr>
              <w:spacing w:after="0"/>
              <w:rPr>
                <w:sz w:val="14"/>
                <w:szCs w:val="14"/>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June 30, 2013 (6)</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15.52</w:t>
            </w:r>
          </w:p>
        </w:tc>
        <w:tc>
          <w:tcPr>
            <w:tcW w:w="68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realized and unrealized gains (1)</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from investment operations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Issuances of common stock, net of offering costs (1)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(0.18)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Total increase in net assets</w:t>
            </w: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21.83</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41.19%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return based on net asset value (4)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6.03%</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53,347,891</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34,442,887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Ratios/Supplemental Data</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Ratio of net investment income to average net assets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15.9%</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837,426</w:t>
            </w:r>
          </w:p>
        </w:tc>
        <w:tc>
          <w:tcPr>
            <w:tcW w:w="680" w:type="dxa"/>
            <w:vAlign w:val="bottom"/>
          </w:tcPr>
          <w:p>
            <w:pPr>
              <w:spacing w:after="0"/>
              <w:rPr>
                <w:sz w:val="20"/>
                <w:szCs w:val="20"/>
                <w:color w:val="auto"/>
              </w:rPr>
            </w:pP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526,547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right="14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80" w:right="50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80" w:right="200" w:hanging="572"/>
        <w:spacing w:after="0" w:line="261"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S-F-40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326390</wp:posOffset>
            </wp:positionV>
            <wp:extent cx="1346200" cy="660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TPG Specialty Lending, Inc.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157480</wp:posOffset>
            </wp:positionV>
            <wp:extent cx="15176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2014, our investment portfolio consisted of investments in 30 portfolio companies with an aggregate fair value of $1,195.5 million. We intend to continue to pursue an investment strategy focused on direct origination of loans to middle-market companies principally domiciled in the United States.</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$9 billion of assets under management as of March 31, 2014. TPG Special Situations Partners is the special situations and credit platform of TPG, a leading global private investment firm founded in 1992 with over $59 billion of assets under management as of March 31, 2014.</w:t>
      </w:r>
    </w:p>
    <w:p>
      <w:pPr>
        <w:spacing w:after="0" w:line="7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7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5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5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selling stockholders identified under “Selling Stockholders” acquired their respective shares of our common stock either (i) through subscription agreements prior to our initial public offering, or IPO, (ii) in the concurrent private placement to certain of our existing investors in connection with our IPO,</w:t>
      </w:r>
    </w:p>
    <w:p>
      <w:pPr>
        <w:jc w:val="both"/>
        <w:ind w:right="120" w:firstLine="8"/>
        <w:spacing w:after="0" w:line="302" w:lineRule="auto"/>
        <w:tabs>
          <w:tab w:leader="none" w:pos="3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through our dividend reinvestment plan or (iv) in the open market. Each sale by the selling stockholders of their shares of our common stock pursuant to this registration statement through agents, underwriters or dealers will be accompanied by a prospectus supplement that will identify the selling stockholders that are participating in such offering. We will not receive any proceeds from the sale of shares of our common stock by any of the selling stockholders.</w:t>
      </w:r>
    </w:p>
    <w:p>
      <w:pPr>
        <w:spacing w:after="0" w:line="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common stock is traded on the New York Stock Exchange, or NYSE, under the symbol “TSLX.” On July 30, 2014 the last reported sales price of our common stock on the NYSE was $20.45 per share. The net asset value per share of our common stock at March 31, 2014 (the last date prior to the date of this prospectus on which we determined net asset value) was $15.51. Based on this last reported sales price of our common stock, the aggregate market value of all of the shares of our common stock registered pursuant to this registration statement held by the selling stockholders identified under “Selling Stockholders” is approximately $859.7 million.</w:t>
      </w:r>
    </w:p>
    <w:p>
      <w:pPr>
        <w:spacing w:after="0" w:line="67" w:lineRule="exact"/>
        <w:rPr>
          <w:sz w:val="20"/>
          <w:szCs w:val="20"/>
          <w:color w:val="auto"/>
        </w:rPr>
      </w:pPr>
    </w:p>
    <w:p>
      <w:pPr>
        <w:ind w:right="60" w:firstLine="571"/>
        <w:spacing w:after="0" w:line="284"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12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22 of this prospectus.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5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August 1, 2014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CROSS 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ITEM</w:t>
            </w:r>
          </w:p>
        </w:tc>
        <w:tc>
          <w:tcPr>
            <w:tcW w:w="2880" w:type="dxa"/>
            <w:vAlign w:val="bottom"/>
          </w:tcPr>
          <w:p>
            <w:pPr>
              <w:spacing w:after="0"/>
              <w:rPr>
                <w:sz w:val="14"/>
                <w:szCs w:val="14"/>
                <w:color w:val="auto"/>
              </w:rPr>
            </w:pPr>
          </w:p>
        </w:tc>
        <w:tc>
          <w:tcPr>
            <w:tcW w:w="3240" w:type="dxa"/>
            <w:vAlign w:val="bottom"/>
            <w:gridSpan w:val="2"/>
            <w:vMerge w:val="restart"/>
          </w:tcPr>
          <w:p>
            <w:pPr>
              <w:jc w:val="center"/>
              <w:ind w:right="2490"/>
              <w:spacing w:after="0"/>
              <w:rPr>
                <w:sz w:val="20"/>
                <w:szCs w:val="20"/>
                <w:color w:val="auto"/>
              </w:rPr>
            </w:pPr>
            <w:r>
              <w:rPr>
                <w:rFonts w:ascii="Arial" w:cs="Arial" w:eastAsia="Arial" w:hAnsi="Arial"/>
                <w:sz w:val="14"/>
                <w:szCs w:val="14"/>
                <w:b w:val="1"/>
                <w:bCs w:val="1"/>
                <w:color w:val="auto"/>
              </w:rPr>
              <w:t>CAPTION</w:t>
            </w:r>
          </w:p>
        </w:tc>
        <w:tc>
          <w:tcPr>
            <w:tcW w:w="1500" w:type="dxa"/>
            <w:vAlign w:val="bottom"/>
          </w:tcPr>
          <w:p>
            <w:pPr>
              <w:spacing w:after="0"/>
              <w:rPr>
                <w:sz w:val="14"/>
                <w:szCs w:val="14"/>
                <w:color w:val="auto"/>
              </w:rPr>
            </w:pPr>
          </w:p>
        </w:tc>
        <w:tc>
          <w:tcPr>
            <w:tcW w:w="302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88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15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80" w:type="dxa"/>
            <w:vAlign w:val="bottom"/>
            <w:vMerge w:val="restart"/>
          </w:tcPr>
          <w:p>
            <w:pPr>
              <w:spacing w:after="0" w:line="198" w:lineRule="exact"/>
              <w:rPr>
                <w:sz w:val="20"/>
                <w:szCs w:val="20"/>
                <w:color w:val="auto"/>
              </w:rPr>
            </w:pPr>
            <w:r>
              <w:rPr>
                <w:rFonts w:ascii="Arial" w:cs="Arial" w:eastAsia="Arial" w:hAnsi="Arial"/>
                <w:sz w:val="18"/>
                <w:szCs w:val="18"/>
                <w:color w:val="auto"/>
              </w:rPr>
              <w:t>Cover</w:t>
            </w:r>
          </w:p>
        </w:tc>
        <w:tc>
          <w:tcPr>
            <w:tcW w:w="15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40" w:type="dxa"/>
            <w:vAlign w:val="bottom"/>
          </w:tcPr>
          <w:p>
            <w:pPr>
              <w:spacing w:after="0" w:line="178" w:lineRule="exact"/>
              <w:rPr>
                <w:sz w:val="20"/>
                <w:szCs w:val="20"/>
                <w:color w:val="auto"/>
              </w:rPr>
            </w:pPr>
            <w:r>
              <w:rPr>
                <w:rFonts w:ascii="Arial" w:cs="Arial" w:eastAsia="Arial" w:hAnsi="Arial"/>
                <w:sz w:val="18"/>
                <w:szCs w:val="18"/>
                <w:b w:val="1"/>
                <w:bCs w:val="1"/>
                <w:color w:val="auto"/>
              </w:rPr>
              <w:t>1</w:t>
            </w:r>
          </w:p>
        </w:tc>
        <w:tc>
          <w:tcPr>
            <w:tcW w:w="3540" w:type="dxa"/>
            <w:vAlign w:val="bottom"/>
            <w:gridSpan w:val="2"/>
          </w:tcPr>
          <w:p>
            <w:pPr>
              <w:ind w:left="2480"/>
              <w:spacing w:after="0" w:line="178" w:lineRule="exact"/>
              <w:rPr>
                <w:sz w:val="20"/>
                <w:szCs w:val="20"/>
                <w:color w:val="auto"/>
              </w:rPr>
            </w:pPr>
            <w:r>
              <w:rPr>
                <w:rFonts w:ascii="Arial" w:cs="Arial" w:eastAsia="Arial" w:hAnsi="Arial"/>
                <w:sz w:val="18"/>
                <w:szCs w:val="18"/>
                <w:color w:val="auto"/>
                <w:w w:val="95"/>
              </w:rPr>
              <w:t>Outside Front</w:t>
            </w:r>
          </w:p>
        </w:tc>
        <w:tc>
          <w:tcPr>
            <w:tcW w:w="25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3020" w:type="dxa"/>
            <w:vAlign w:val="bottom"/>
            <w:gridSpan w:val="2"/>
          </w:tcPr>
          <w:p>
            <w:pPr>
              <w:jc w:val="center"/>
              <w:ind w:right="1060"/>
              <w:spacing w:after="0" w:line="178"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Pages; Other Offering Information</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7"/>
              </w:rPr>
              <w:t>Fee Table and Synopsis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5"/>
              </w:rPr>
              <w:t>Fees and Expenses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Financial Highlights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Selected Financial Data and Other Information; Selected</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Quarterly Financial Data;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Plan of Distribution</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Selling Shareholders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Selling Stockholders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Use of Proceeds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General Description of the Registrant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Outside Front Cover Page; Prospectus Summary; Risk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Factors; Management’s Discussion and Analysis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Financial Condition and Results of Operations;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Company; Portfolio Companies; Regulation;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Eligible for Future Sale; Price Range of Common Stock</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and Distributions</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 Custodian, Transfer and Dividend Paying</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Agent and Registrar</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Capital Stock, Long-Term Debt, and Other Securities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3"/>
              </w:rPr>
              <w:t>Description of Our Capital Stock; Description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Preferred Stock; Description of Our Subscription 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Description of Our Warrants; Description of Our Debt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Securities; Dividend Reinvestment Plan; Management’s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Discussion and Analysis of Financial Condition and</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Results of Operations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Defaults and Arrears on Senior Securities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Legal Proceedings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Legal Matters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Table of Contents of the Statement of Additional Information, or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 of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15</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Table of Contents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General Information and History</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Objective and Policies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Management’s Discussion and Analysis of Financial</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1500" w:type="dxa"/>
            <w:vAlign w:val="bottom"/>
          </w:tcPr>
          <w:p>
            <w:pPr>
              <w:spacing w:after="0"/>
              <w:rPr>
                <w:sz w:val="18"/>
                <w:szCs w:val="18"/>
                <w:color w:val="auto"/>
              </w:rPr>
            </w:pPr>
          </w:p>
        </w:tc>
        <w:tc>
          <w:tcPr>
            <w:tcW w:w="302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Management</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19</w:t>
            </w:r>
          </w:p>
        </w:tc>
        <w:tc>
          <w:tcPr>
            <w:tcW w:w="612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Control Persons and Principal Holders of Securities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20</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Advisory and Other Services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21</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Portfolio Managers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Brokerage Allocation and Other Practices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5"/>
              </w:rPr>
              <w:t>Tax Status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Financial Statements</w:t>
            </w:r>
          </w:p>
        </w:tc>
        <w:tc>
          <w:tcPr>
            <w:tcW w:w="1500" w:type="dxa"/>
            <w:vAlign w:val="bottom"/>
          </w:tcPr>
          <w:p>
            <w:pPr>
              <w:spacing w:after="0"/>
              <w:rPr>
                <w:sz w:val="20"/>
                <w:szCs w:val="20"/>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as of the dates on their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99">
              <w:r>
                <w:rPr>
                  <w:rFonts w:ascii="Arial" w:cs="Arial" w:eastAsia="Arial" w:hAnsi="Arial"/>
                  <w:sz w:val="18"/>
                  <w:szCs w:val="18"/>
                  <w:color w:val="0000EE"/>
                  <w:w w:val="93"/>
                </w:rPr>
                <w:t>ABOUT THIS PROSPECTUS</w:t>
              </w:r>
            </w:hyperlink>
          </w:p>
        </w:tc>
        <w:tc>
          <w:tcPr>
            <w:tcW w:w="668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PROSPECTUS SUMMARY</w:t>
              </w:r>
            </w:hyperlink>
          </w:p>
        </w:tc>
        <w:tc>
          <w:tcPr>
            <w:tcW w:w="68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FEES AND EXPENSES</w:t>
              </w:r>
            </w:hyperlink>
          </w:p>
        </w:tc>
        <w:tc>
          <w:tcPr>
            <w:tcW w:w="712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80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118">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120">
              <w:r>
                <w:rPr>
                  <w:rFonts w:ascii="Arial" w:cs="Arial" w:eastAsia="Arial" w:hAnsi="Arial"/>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RISK FACTORS</w:t>
              </w:r>
            </w:hyperlink>
          </w:p>
        </w:tc>
        <w:tc>
          <w:tcPr>
            <w:tcW w:w="7640" w:type="dxa"/>
            <w:vAlign w:val="bottom"/>
            <w:gridSpan w:val="2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53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153">
              <w:r>
                <w:rPr>
                  <w:rFonts w:ascii="Arial" w:cs="Arial" w:eastAsia="Arial" w:hAnsi="Arial"/>
                  <w:sz w:val="18"/>
                  <w:szCs w:val="18"/>
                  <w:color w:val="0000EE"/>
                  <w:w w:val="97"/>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THE COMPANY</w:t>
              </w:r>
            </w:hyperlink>
          </w:p>
        </w:tc>
        <w:tc>
          <w:tcPr>
            <w:tcW w:w="720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96">
              <w:r>
                <w:rPr>
                  <w:rFonts w:ascii="Arial" w:cs="Arial" w:eastAsia="Arial" w:hAnsi="Arial"/>
                  <w:sz w:val="18"/>
                  <w:szCs w:val="18"/>
                  <w:color w:val="0000EE"/>
                  <w:w w:val="93"/>
                </w:rPr>
                <w:t>PORTFOLIO COMPANIES</w:t>
              </w:r>
            </w:hyperlink>
          </w:p>
        </w:tc>
        <w:tc>
          <w:tcPr>
            <w:tcW w:w="686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222">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229">
              <w:r>
                <w:rPr>
                  <w:rFonts w:ascii="Arial" w:cs="Arial" w:eastAsia="Arial" w:hAnsi="Arial"/>
                  <w:sz w:val="18"/>
                  <w:szCs w:val="18"/>
                  <w:color w:val="0000EE"/>
                  <w:w w:val="95"/>
                </w:rPr>
                <w:t>SELLING STOCKHOLDERS</w:t>
              </w:r>
            </w:hyperlink>
          </w:p>
        </w:tc>
        <w:tc>
          <w:tcPr>
            <w:tcW w:w="2320" w:type="dxa"/>
            <w:vAlign w:val="bottom"/>
            <w:tcBorders>
              <w:top w:val="single" w:sz="8" w:color="0000EE"/>
            </w:tcBorders>
            <w:gridSpan w:val="14"/>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3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231">
              <w:r>
                <w:rPr>
                  <w:rFonts w:ascii="Arial" w:cs="Arial" w:eastAsia="Arial" w:hAnsi="Arial"/>
                  <w:sz w:val="18"/>
                  <w:szCs w:val="18"/>
                  <w:color w:val="0000EE"/>
                  <w:w w:val="96"/>
                </w:rPr>
                <w:t>DETERMINATION OF NET ASSET VALUE</w:t>
              </w:r>
            </w:hyperlink>
          </w:p>
        </w:tc>
        <w:tc>
          <w:tcPr>
            <w:tcW w:w="554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234">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247">
              <w:r>
                <w:rPr>
                  <w:rFonts w:ascii="Arial" w:cs="Arial" w:eastAsia="Arial" w:hAnsi="Arial"/>
                  <w:sz w:val="18"/>
                  <w:szCs w:val="18"/>
                  <w:color w:val="0000EE"/>
                  <w:w w:val="94"/>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39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248">
              <w:r>
                <w:rPr>
                  <w:rFonts w:ascii="Arial" w:cs="Arial" w:eastAsia="Arial" w:hAnsi="Arial"/>
                  <w:sz w:val="18"/>
                  <w:szCs w:val="18"/>
                  <w:color w:val="0000EE"/>
                  <w:w w:val="94"/>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250">
              <w:r>
                <w:rPr>
                  <w:rFonts w:ascii="Arial" w:cs="Arial" w:eastAsia="Arial" w:hAnsi="Arial"/>
                  <w:sz w:val="18"/>
                  <w:szCs w:val="18"/>
                  <w:color w:val="0000EE"/>
                  <w:w w:val="94"/>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252">
              <w:r>
                <w:rPr>
                  <w:rFonts w:ascii="Arial" w:cs="Arial" w:eastAsia="Arial" w:hAnsi="Arial"/>
                  <w:sz w:val="18"/>
                  <w:szCs w:val="18"/>
                  <w:color w:val="0000EE"/>
                  <w:w w:val="94"/>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64">
              <w:r>
                <w:rPr>
                  <w:rFonts w:ascii="Arial" w:cs="Arial" w:eastAsia="Arial" w:hAnsi="Arial"/>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196"/>
        </w:trPr>
        <w:tc>
          <w:tcPr>
            <w:tcW w:w="31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62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274">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4"/>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76">
              <w:r>
                <w:rPr>
                  <w:rFonts w:ascii="Arial" w:cs="Arial" w:eastAsia="Arial" w:hAnsi="Arial"/>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76">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7460" w:type="dxa"/>
            <w:vAlign w:val="bottom"/>
            <w:gridSpan w:val="2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276">
              <w:r>
                <w:rPr>
                  <w:rFonts w:ascii="Arial" w:cs="Arial" w:eastAsia="Arial" w:hAnsi="Arial"/>
                  <w:sz w:val="18"/>
                  <w:szCs w:val="18"/>
                  <w:color w:val="0000EE"/>
                  <w:w w:val="99"/>
                </w:rPr>
                <w:t>AVAILABLE INFORMATION</w:t>
              </w:r>
            </w:hyperlink>
          </w:p>
        </w:tc>
        <w:tc>
          <w:tcPr>
            <w:tcW w:w="664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77">
              <w:r>
                <w:rPr>
                  <w:rFonts w:ascii="Arial" w:cs="Arial" w:eastAsia="Arial" w:hAnsi="Arial"/>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$500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this prospectus relates to 42,040,525 shares of our common stock that may be sold by the selling stockholders identified under “Selling Stockholders.”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Please carefully read this prospectus and any such supplements together with any exhibits and the additional information described under “Available Information” and in the “Summary” and “Risk Factors” sections before you make an investment decision.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964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6796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200" w:right="300" w:firstLine="443"/>
        <w:spacing w:after="0" w:line="286"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 used in the prospectus, except where the context suggests otherwise, references to:</w:t>
      </w:r>
    </w:p>
    <w:p>
      <w:pPr>
        <w:spacing w:after="0" w:line="131" w:lineRule="exact"/>
        <w:rPr>
          <w:sz w:val="20"/>
          <w:szCs w:val="20"/>
          <w:color w:val="auto"/>
        </w:rPr>
      </w:pPr>
    </w:p>
    <w:p>
      <w:pPr>
        <w:ind w:left="1060" w:right="520" w:hanging="323"/>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060" w:right="480" w:hanging="323"/>
        <w:spacing w:after="0" w:line="277" w:lineRule="auto"/>
        <w:tabs>
          <w:tab w:leader="none" w:pos="10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i w:val="1"/>
          <w:iCs w:val="1"/>
          <w:color w:val="auto"/>
        </w:rPr>
      </w:pPr>
    </w:p>
    <w:p>
      <w:pPr>
        <w:ind w:left="1060" w:hanging="323"/>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78" w:lineRule="exact"/>
        <w:rPr>
          <w:sz w:val="20"/>
          <w:szCs w:val="20"/>
          <w:color w:val="auto"/>
        </w:rPr>
      </w:pPr>
    </w:p>
    <w:p>
      <w:pPr>
        <w:ind w:left="200" w:right="12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include secured loans, and, to a lesser extent, secured corporate bonds, with a secondary priority behind first-lien debt. Based on fair value as of</w:t>
      </w:r>
    </w:p>
    <w:p>
      <w:pPr>
        <w:spacing w:after="0" w:line="35"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w:t>
      </w:r>
    </w:p>
    <w:p>
      <w:pPr>
        <w:spacing w:after="0" w:line="190" w:lineRule="exact"/>
        <w:rPr>
          <w:sz w:val="20"/>
          <w:szCs w:val="20"/>
          <w:color w:val="auto"/>
        </w:rPr>
      </w:pPr>
    </w:p>
    <w:p>
      <w:pPr>
        <w:ind w:left="200" w:right="280" w:firstLine="443"/>
        <w:spacing w:after="0" w:line="291" w:lineRule="auto"/>
        <w:rPr>
          <w:sz w:val="20"/>
          <w:szCs w:val="20"/>
          <w:color w:val="auto"/>
        </w:rPr>
      </w:pPr>
      <w:r>
        <w:rPr>
          <w:rFonts w:ascii="Arial" w:cs="Arial" w:eastAsia="Arial" w:hAnsi="Arial"/>
          <w:sz w:val="16"/>
          <w:szCs w:val="16"/>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w:t>
      </w:r>
    </w:p>
    <w:p>
      <w:pPr>
        <w:ind w:left="200" w:right="80"/>
        <w:spacing w:after="0" w:line="261" w:lineRule="auto"/>
        <w:rPr>
          <w:sz w:val="20"/>
          <w:szCs w:val="20"/>
          <w:color w:val="auto"/>
        </w:rPr>
      </w:pPr>
      <w:r>
        <w:rPr>
          <w:rFonts w:ascii="Arial" w:cs="Arial" w:eastAsia="Arial" w:hAnsi="Arial"/>
          <w:sz w:val="18"/>
          <w:szCs w:val="18"/>
          <w:color w:val="auto"/>
        </w:rPr>
        <w:t>11.6%, 11.2%, and 9.2%, respectively. We expect that no single investment will represent more than 15% of our total investment portfolio, based on fair value. See “Portfolio Companies” for more information on our portfolio as of March 31, 2014.</w:t>
      </w:r>
    </w:p>
    <w:p>
      <w:pPr>
        <w:spacing w:after="0" w:line="184"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As of March 31, 2014, we had investments in 30 portfolio companies with an aggregate fair value of $1,195.5 million. For the three months ended March 31, 2014, we made new investment commitments of $314.6 million, $303.8 million in six new portfolio companies and $10.8 million in two existing portfolio companies. For this period, we had $101.2 million aggregate principal amount in exits and repayments, resulting in net portfolio growth of $187.0 million aggregate principal amount.</w:t>
      </w:r>
    </w:p>
    <w:p>
      <w:pPr>
        <w:spacing w:after="0" w:line="187"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As of December 31, 2013, we had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87"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Since we began investing in 2011 through March 31, 2014, our exited investments have resulted in an aggregate cash flow realized gross internal rate of return to us of approximately 15.3% (based on cash invested of approximately $459 million and total proceeds from these exited investments of approximately $528 million). Seventy-eight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8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78" w:lineRule="exact"/>
        <w:rPr>
          <w:sz w:val="20"/>
          <w:szCs w:val="20"/>
          <w:color w:val="auto"/>
        </w:rPr>
      </w:pPr>
    </w:p>
    <w:p>
      <w:pPr>
        <w:ind w:left="200" w:right="100" w:firstLine="443"/>
        <w:spacing w:after="0" w:line="270" w:lineRule="auto"/>
        <w:rPr>
          <w:sz w:val="20"/>
          <w:szCs w:val="20"/>
          <w:color w:val="auto"/>
        </w:rPr>
      </w:pPr>
      <w:r>
        <w:rPr>
          <w:rFonts w:ascii="Arial" w:cs="Arial" w:eastAsia="Arial" w:hAnsi="Arial"/>
          <w:sz w:val="17"/>
          <w:szCs w:val="17"/>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78"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87"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80" w:firstLine="443"/>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47"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82"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left="200" w:firstLine="443"/>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offer attractive financing structures, including unitranche loans and</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045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hanging="323"/>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60" w:hanging="323"/>
        <w:spacing w:after="0" w:line="25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200" w:hanging="323"/>
        <w:spacing w:after="0" w:line="264"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70" w:lineRule="exact"/>
        <w:rPr>
          <w:sz w:val="20"/>
          <w:szCs w:val="20"/>
          <w:color w:val="auto"/>
        </w:rPr>
      </w:pPr>
    </w:p>
    <w:p>
      <w:pPr>
        <w:ind w:left="200" w:right="40" w:firstLine="443"/>
        <w:spacing w:after="0" w:line="297"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58"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The eight managing directors of TSSP on the Adviser’s team have deep experience identifying and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9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40" w:hanging="323"/>
        <w:spacing w:after="0" w:line="25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right="100" w:hanging="323"/>
        <w:spacing w:after="0" w:line="259"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from investing in assets other than qualifying assets unless, at the time of the investment and after giving effect to it, at least 70% of our total assets are qualifying assets. Qualifying assets generally include securities of “eligible portfolio companies,” cash, cash equivalents,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U.S. government securities and high-quality debt instruments maturing in one year or less from the time of investment. Under the rules of the 1940 Act, “eligible portfolio companies” include:</w:t>
      </w:r>
    </w:p>
    <w:p>
      <w:pPr>
        <w:spacing w:after="0" w:line="76" w:lineRule="exact"/>
        <w:rPr>
          <w:sz w:val="20"/>
          <w:szCs w:val="20"/>
          <w:color w:val="auto"/>
        </w:rPr>
      </w:pPr>
    </w:p>
    <w:p>
      <w:pPr>
        <w:ind w:left="1620" w:hanging="437"/>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NYSE Amex Equities and The NASDAQ Global Market) or registered under the Exchange Act; and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260" w:firstLine="443"/>
        <w:spacing w:after="0" w:line="312"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58"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121"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65"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In March 2013, we completed our IPO, pursuant to which we sold 7,000,000 shares of common stock at a price of $16.00 per share to the participating underwriters. Concurrently with the IPO, we sold 3,124,984 shares of our common stock to certain existing investors, including our Adviser, through a separate private placement at the initial public offering price per share. Total proceeds from the IPO and the concurrent private placement, net of estimated offering expenses payable by us, were approximately $151.6 million. These issuances are reflected in the number of shares issued for the three months ended March 31, 2014 as disclosed in this prospectus and the unaudited interim consolidated financial statements for the three months ended March 31, 2014.</w:t>
      </w:r>
    </w:p>
    <w:p>
      <w:pPr>
        <w:spacing w:after="0" w:line="193"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In April 2014, we issued a total of 1,050,000 shares of our common stock pursuant to the exercise of the underwriters’ over-allotment option in connection with our IPO. Net of underwriting fees and offering costs, we</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received additional total cash proceeds of $15.4 million. On May 1, 2014, pursuant to our dividend reinvestment plan, we issued 410,183 shares of our common stock in connection with the dividend that was paid on April 30, 2014. This dividend was declared on March 26, 2014 for shareholders of record on March 31, 2014. Neither of these issuances of our common stock is reflected in the number of shares issued for the three months ended March 31, 2014 as disclosed in this prospectus or the unaudited interim consolidated financial statements for the three months ended March 31, 2014.</w:t>
      </w:r>
    </w:p>
    <w:p>
      <w:pPr>
        <w:spacing w:after="0" w:line="154"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On May 6, 2014, our Board declared a quarterly dividend of $0.38 per share for its second fiscal quarter of 2014, which will be payable on or about July 31, 2014 to stockholders of record as of June 30, 2014.</w:t>
      </w:r>
    </w:p>
    <w:p>
      <w:pPr>
        <w:spacing w:after="0" w:line="170"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On May 30, 2014, we entered into agreements with various financial institutions pursuant to which each of the institutions agreed to provide commitments through the accordion feature in our second amended and restated senior secured revolving credit facility, dated February 27, 2014, which we refer to as the Revolving Credit Facility, increasing the aggregate commitments under the Revolving Credit Facility from $581.3 million to $781.3 million. The Revolving Credit Facility continues to include the accordion feature, which would allow us, under certain circumstances, to increase the size of the Revolving Credit Facility further to a maximum of $956.3 million.</w:t>
      </w:r>
    </w:p>
    <w:p>
      <w:pPr>
        <w:spacing w:after="0" w:line="188"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On June 10, 2014, we issued in a private offering $115 million aggregate principal amount of 4.50% Convertible Senior Notes due 2019, or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our liabilities with our investment portfolio, which consists of predominately floating rate loans. As a result of the swap, our effective interest rate on the Convertible Senior Notes is three-month LIBOR plus 252.9 basis points.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8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24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32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660" w:hanging="323"/>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140" w:hanging="323"/>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Adviser can resign on not more than 60 days’ notice and we may not be able to find a suitable replacement within that time, resulting in a disruption in our operations and a loss of the benefits from our relationship with TSSP and TPG;</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jc w:val="both"/>
        <w:ind w:left="1060" w:right="260" w:hanging="323"/>
        <w:spacing w:after="0" w:line="264"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right="840" w:hanging="323"/>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75"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10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6465" cy="1410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there is a risk that investors in our common stock may not receive dividends or that our dividends may not grow over time; and</w:t>
      </w:r>
    </w:p>
    <w:p>
      <w:pPr>
        <w:spacing w:after="0" w:line="142" w:lineRule="exact"/>
        <w:rPr>
          <w:rFonts w:ascii="Arial" w:cs="Arial" w:eastAsia="Arial" w:hAnsi="Arial"/>
          <w:sz w:val="17"/>
          <w:szCs w:val="17"/>
          <w:color w:val="auto"/>
        </w:rPr>
      </w:pPr>
    </w:p>
    <w:p>
      <w:pPr>
        <w:ind w:left="1060" w:hanging="323"/>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w:t>
      </w:r>
    </w:p>
    <w:p>
      <w:pPr>
        <w:spacing w:after="0" w:line="46"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auto"/>
        </w:rPr>
        <w:t>4000. Our corporate website is located at http://www.tpgspecialtylending.com. Information on our website is not incorporated into or a part of this prospectus.</w:t>
      </w:r>
    </w:p>
    <w:p>
      <w:pPr>
        <w:spacing w:after="0" w:line="29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240" w:top="459" w:right="6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6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420" w:hanging="3"/>
        <w:spacing w:after="0" w:line="255" w:lineRule="auto"/>
        <w:tabs>
          <w:tab w:leader="none" w:pos="4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the prior approval of the majority of our outstanding voting securities or (c) under such other circumstances as the SEC may permit. Any such issuance of shares of our common stock below net asset value may be dilutive to the net asset value of our common stock. See “Risk Factors—Risks Relating to Offerings Pursuant to this Prospectus.”</w:t>
      </w:r>
    </w:p>
    <w:p>
      <w:pPr>
        <w:spacing w:after="0" w:line="190" w:lineRule="exact"/>
        <w:rPr>
          <w:sz w:val="20"/>
          <w:szCs w:val="20"/>
          <w:color w:val="auto"/>
        </w:rPr>
      </w:pPr>
    </w:p>
    <w:p>
      <w:pPr>
        <w:ind w:left="200" w:right="220" w:firstLine="443"/>
        <w:spacing w:after="0" w:line="286" w:lineRule="auto"/>
        <w:rPr>
          <w:sz w:val="20"/>
          <w:szCs w:val="20"/>
          <w:color w:val="auto"/>
        </w:rPr>
      </w:pPr>
      <w:r>
        <w:rPr>
          <w:rFonts w:ascii="Arial" w:cs="Arial" w:eastAsia="Arial" w:hAnsi="Arial"/>
          <w:sz w:val="17"/>
          <w:szCs w:val="17"/>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166" w:lineRule="exact"/>
        <w:rPr>
          <w:sz w:val="20"/>
          <w:szCs w:val="20"/>
          <w:color w:val="auto"/>
        </w:rPr>
      </w:pPr>
    </w:p>
    <w:p>
      <w:pPr>
        <w:ind w:left="200" w:right="240" w:firstLine="443"/>
        <w:spacing w:after="0" w:line="272" w:lineRule="auto"/>
        <w:rPr>
          <w:sz w:val="20"/>
          <w:szCs w:val="20"/>
          <w:color w:val="auto"/>
        </w:rPr>
      </w:pPr>
      <w:r>
        <w:rPr>
          <w:rFonts w:ascii="Arial" w:cs="Arial" w:eastAsia="Arial" w:hAnsi="Arial"/>
          <w:sz w:val="17"/>
          <w:szCs w:val="17"/>
          <w:color w:val="auto"/>
        </w:rPr>
        <w:t>We or the selling stockholders may offer our securities directly to one or more purchasers, including existing stockholders in a rights offering by us, through agents that we or the selling stockholders, as applicable,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or the selling stockholders, as applicable,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340" w:type="dxa"/>
            <w:vAlign w:val="bottom"/>
          </w:tcPr>
          <w:p>
            <w:pPr>
              <w:ind w:left="1280"/>
              <w:spacing w:after="0"/>
              <w:rPr>
                <w:sz w:val="20"/>
                <w:szCs w:val="20"/>
                <w:color w:val="auto"/>
              </w:rPr>
            </w:pPr>
            <w:r>
              <w:rPr>
                <w:rFonts w:ascii="Arial" w:cs="Arial" w:eastAsia="Arial" w:hAnsi="Arial"/>
                <w:sz w:val="18"/>
                <w:szCs w:val="18"/>
                <w:color w:val="auto"/>
                <w:w w:val="92"/>
              </w:rPr>
              <w:t>Unless otherwise specified in a prospectus supplement, we intend to use the net proceeds from</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the sale of our securities for general corporate purposes, which may include, among other</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things, investing in portfolio companies in accordance with our investment objective and</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repaying indebtedness (which will be subject to reborrowing).</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 of</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the proceeds from such offering. See “Use of Proceeds.”</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6"/>
              </w:rPr>
              <w:t>We will not receive any proceeds from any sale of common stock by the selling stockholders</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identified under “Selling Stockholders.”</w:t>
            </w:r>
          </w:p>
        </w:tc>
      </w:tr>
      <w:tr>
        <w:trPr>
          <w:trHeight w:val="459"/>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Symbol on the NYSE</w:t>
            </w:r>
          </w:p>
        </w:tc>
        <w:tc>
          <w:tcPr>
            <w:tcW w:w="8340" w:type="dxa"/>
            <w:vAlign w:val="bottom"/>
          </w:tcPr>
          <w:p>
            <w:pPr>
              <w:ind w:left="1280"/>
              <w:spacing w:after="0"/>
              <w:rPr>
                <w:sz w:val="20"/>
                <w:szCs w:val="20"/>
                <w:color w:val="auto"/>
              </w:rPr>
            </w:pPr>
            <w:r>
              <w:rPr>
                <w:rFonts w:ascii="Arial" w:cs="Arial" w:eastAsia="Arial" w:hAnsi="Arial"/>
                <w:sz w:val="18"/>
                <w:szCs w:val="18"/>
                <w:color w:val="auto"/>
              </w:rPr>
              <w:t>“TSLX”</w:t>
            </w:r>
          </w:p>
        </w:tc>
      </w:tr>
      <w:tr>
        <w:trPr>
          <w:trHeight w:val="458"/>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Distributions</w:t>
            </w: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quarterly dividends to our stockholders. The specific tax characteristics of our distributions</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will be reported to</w:t>
            </w:r>
          </w:p>
        </w:tc>
      </w:tr>
      <w:tr>
        <w:trPr>
          <w:trHeight w:val="159"/>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61"/>
        </w:trPr>
        <w:tc>
          <w:tcPr>
            <w:tcW w:w="3120" w:type="dxa"/>
            <w:vAlign w:val="bottom"/>
          </w:tcPr>
          <w:p>
            <w:pPr>
              <w:spacing w:after="0"/>
              <w:rPr>
                <w:sz w:val="24"/>
                <w:szCs w:val="24"/>
                <w:color w:val="auto"/>
              </w:rPr>
            </w:pPr>
          </w:p>
        </w:tc>
        <w:tc>
          <w:tcPr>
            <w:tcW w:w="8340" w:type="dxa"/>
            <w:vAlign w:val="bottom"/>
          </w:tcPr>
          <w:p>
            <w:pPr>
              <w:ind w:left="25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280" w:type="dxa"/>
            <w:vAlign w:val="bottom"/>
            <w:tcBorders>
              <w:top w:val="single" w:sz="8" w:color="auto"/>
              <w:left w:val="single" w:sz="8" w:color="auto"/>
            </w:tcBorders>
          </w:tcPr>
          <w:p>
            <w:pPr>
              <w:spacing w:after="0"/>
              <w:rPr>
                <w:sz w:val="24"/>
                <w:szCs w:val="24"/>
                <w:color w:val="auto"/>
              </w:rPr>
            </w:pPr>
          </w:p>
        </w:tc>
        <w:tc>
          <w:tcPr>
            <w:tcW w:w="81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w w:val="99"/>
              </w:rPr>
              <w:t>stockholders after the end of the calendar year. Future quarterly dividends, if any, will be</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determined by our Board. See “Price Range of Common Stock and Distributions.”</w:t>
            </w:r>
          </w:p>
        </w:tc>
      </w:tr>
      <w:tr>
        <w:trPr>
          <w:trHeight w:val="45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Federal Income Tax Considerations—Regulated Investment Company Classification.”</w:t>
            </w:r>
          </w:p>
        </w:tc>
      </w:tr>
      <w:tr>
        <w:trPr>
          <w:trHeight w:val="445"/>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Anti-Takeover Provisions</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Our Board is divided into three classes of directors serving staggered three-year terms. This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structure is intended to provide us with a greater likelihood of continuity of management,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which may be necessary for us to realize the full value of our investments. A staggered board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of directors also may serve to deter hostile takeovers or proxy contests, as may certain other</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measures adopted by us. See “Description of Our Capital Stock—Anti-Takeover Provisions.”</w:t>
            </w:r>
          </w:p>
        </w:tc>
      </w:tr>
      <w:tr>
        <w:trPr>
          <w:trHeight w:val="445"/>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Taxation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We have elected to be treated as a RIC for U.S. federal income tax purposes. Our status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RIC will enable us to deduct qualifying distributions to our stockholders, so that we will be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subject to corporate-level U.S. federal income taxation only in respect of earnings that we</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retain and do not distribute.</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To maintain our status as a RIC and to avoid being subject to corporate-level U.S. federal</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w w:val="98"/>
              </w:rPr>
              <w:t>• derive in each taxable year at least 90% of our gross income from dividends, interest,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gains from the sale or other disposition of stock or securities and other specified</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categories of investment income; and</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tax purposes equal to at least 90% of our investment company taxable income and net tax-</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exempt income for that taxable year.</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basis, we will be subject to a nondeductible 4% U.S. federal excise tax. We can be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carry forward investment company taxable income in excess of current year distributions into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the next tax year and pay a 4% excise tax on such income. We elected to retain a small portion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of income and capital gains for the calendar years ended December 31, 2013 and 2012 and the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three months ended March 31, 2014 and we recorded a net expense of $0.2 million,</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$0.1 million and $9 thousand, respectively, for U.S. federal excise tax</w:t>
            </w:r>
          </w:p>
        </w:tc>
      </w:tr>
      <w:tr>
        <w:trPr>
          <w:trHeight w:val="159"/>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400" w:type="dxa"/>
            <w:vAlign w:val="bottom"/>
            <w:tcBorders>
              <w:top w:val="single" w:sz="8" w:color="auto"/>
              <w:left w:val="single" w:sz="8" w:color="auto"/>
            </w:tcBorders>
          </w:tcPr>
          <w:p>
            <w:pPr>
              <w:spacing w:after="0"/>
              <w:rPr>
                <w:sz w:val="24"/>
                <w:szCs w:val="24"/>
                <w:color w:val="auto"/>
              </w:rPr>
            </w:pPr>
          </w:p>
        </w:tc>
        <w:tc>
          <w:tcPr>
            <w:tcW w:w="806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4"/>
              </w:rPr>
              <w:t>as a result. Any carryover of investment company taxable income or net capital gains must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timely declared and distributed as a dividend in the taxable year following the taxable year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which the income or gains were earned. See “Price Range of Common Stock and</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Distributions” and “Material U.S. Federal Income Tax Considerations.”</w:t>
            </w:r>
          </w:p>
        </w:tc>
      </w:tr>
      <w:tr>
        <w:trPr>
          <w:trHeight w:val="458"/>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Leverage</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finance a portion of our investments. As a result, we are exposed to the risks of leverage,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Leverage increases the potential for gain and loss on amounts invested and, as a result,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increases the risks associated with investing in our securities. With certain limited exceptions,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we currently are only allowed to borrow amounts, including by issuing debt securities or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preferred stock, where our asset coverage, as defined in the 1940 Act, equals at least 200%</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after the borrowing. The costs associated with our borrowings, including any increase in the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fees payable to the Adviser, are borne by our stockholders. See “Regulation.”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Dividend Reinvestment Plan</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distribution, our stockholders who have not elected to “opt out” of our dividend reinvestment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plan will have their cash distribution automatically reinvested in additional shares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common stock, rather than receiving the cash distribution. If a stockholder elects to “opt out”,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that stockholder will receive cash dividends or other distributions.</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stock generally are subject to the same U.S. federal tax consequences as stockholders who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elect to receive their distributions in cash; however, since their cash dividends will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reinvested, those stockholders will not receive cash with which to pay any applicable taxes on</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reinvested dividends. See “Dividend Reinvestment Plan.”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Management Arrangements</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Our Adviser serves as our investment adviser and our administrator. For a description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Adviser and TPG and our contractual arrangements with these companies, see “Management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and Other Agreements.”</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Trading at a Discount</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below our net asset value per share except (a) in connection with a rights offering to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existing stockholders, (b) with the prior approval of the majority of our outstanding voting</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securities or (c) under such other circumstances as the SEC may permit. The risk that our</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shares</w:t>
            </w:r>
          </w:p>
        </w:tc>
      </w:tr>
      <w:tr>
        <w:trPr>
          <w:trHeight w:val="159"/>
        </w:trPr>
        <w:tc>
          <w:tcPr>
            <w:tcW w:w="3400" w:type="dxa"/>
            <w:vAlign w:val="bottom"/>
            <w:tcBorders>
              <w:left w:val="single" w:sz="8" w:color="auto"/>
              <w:bottom w:val="single" w:sz="8" w:color="auto"/>
            </w:tcBorders>
          </w:tcPr>
          <w:p>
            <w:pPr>
              <w:spacing w:after="0"/>
              <w:rPr>
                <w:sz w:val="13"/>
                <w:szCs w:val="13"/>
                <w:color w:val="auto"/>
              </w:rPr>
            </w:pPr>
          </w:p>
        </w:tc>
        <w:tc>
          <w:tcPr>
            <w:tcW w:w="8060" w:type="dxa"/>
            <w:vAlign w:val="bottom"/>
            <w:tcBorders>
              <w:bottom w:val="single" w:sz="8" w:color="auto"/>
              <w:right w:val="single" w:sz="8" w:color="auto"/>
            </w:tcBorders>
          </w:tcPr>
          <w:p>
            <w:pPr>
              <w:spacing w:after="0"/>
              <w:rPr>
                <w:sz w:val="13"/>
                <w:szCs w:val="13"/>
                <w:color w:val="auto"/>
              </w:rPr>
            </w:pPr>
          </w:p>
        </w:tc>
      </w:tr>
      <w:tr>
        <w:trPr>
          <w:trHeight w:val="361"/>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14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below net asset value. See “Risk Factors–Risks Related to Offerings Pursuant to This</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Prospectus.”</w:t>
            </w:r>
          </w:p>
        </w:tc>
      </w:tr>
      <w:tr>
        <w:trPr>
          <w:trHeight w:val="458"/>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Available Information</w:t>
            </w: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9"/>
              </w:rPr>
              <w:t>part, under the Securities Act. This registration statement contains additional information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about us and the securities being offered by this prospectus. We are also required to file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periodic reports, current reports, proxy statements and other information with the SEC. This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5"/>
              </w:rPr>
              <w:t>D.C. 20549 and on the SEC’s website at http://www.sec.gov</w:t>
            </w:r>
            <w:r>
              <w:rPr>
                <w:rFonts w:ascii="Arial" w:cs="Arial" w:eastAsia="Arial" w:hAnsi="Arial"/>
                <w:sz w:val="18"/>
                <w:szCs w:val="18"/>
                <w:i w:val="1"/>
                <w:iCs w:val="1"/>
                <w:color w:val="auto"/>
                <w:w w:val="95"/>
              </w:rPr>
              <w:t>.</w:t>
            </w:r>
            <w:r>
              <w:rPr>
                <w:rFonts w:ascii="Arial" w:cs="Arial" w:eastAsia="Arial" w:hAnsi="Arial"/>
                <w:sz w:val="18"/>
                <w:szCs w:val="18"/>
                <w:color w:val="auto"/>
                <w:w w:val="95"/>
              </w:rPr>
              <w:t xml:space="preserve"> Information on the operation of</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the SEC’s public reference room may be obtained by calling the SEC at 1 (800) SEC-0330.</w:t>
            </w:r>
          </w:p>
        </w:tc>
      </w:tr>
      <w:tr>
        <w:trPr>
          <w:trHeight w:val="445"/>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Street, Suite 3300, San Francisco, CA 94104, Attention: TSL Investor Relations, or by</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 xml:space="preserve">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tc>
      </w:tr>
      <w:tr>
        <w:trPr>
          <w:trHeight w:val="159"/>
        </w:trPr>
        <w:tc>
          <w:tcPr>
            <w:tcW w:w="3140" w:type="dxa"/>
            <w:vAlign w:val="bottom"/>
            <w:tcBorders>
              <w:left w:val="single" w:sz="8" w:color="auto"/>
              <w:bottom w:val="single" w:sz="8" w:color="auto"/>
            </w:tcBorders>
          </w:tcPr>
          <w:p>
            <w:pPr>
              <w:spacing w:after="0"/>
              <w:rPr>
                <w:sz w:val="13"/>
                <w:szCs w:val="13"/>
                <w:color w:val="auto"/>
              </w:rPr>
            </w:pPr>
          </w:p>
        </w:tc>
        <w:tc>
          <w:tcPr>
            <w:tcW w:w="8320" w:type="dxa"/>
            <w:vAlign w:val="bottom"/>
            <w:tcBorders>
              <w:bottom w:val="single" w:sz="8" w:color="auto"/>
              <w:right w:val="single" w:sz="8" w:color="auto"/>
            </w:tcBorders>
          </w:tcPr>
          <w:p>
            <w:pPr>
              <w:spacing w:after="0"/>
              <w:rPr>
                <w:sz w:val="13"/>
                <w:szCs w:val="13"/>
                <w:color w:val="auto"/>
              </w:rPr>
            </w:pPr>
          </w:p>
        </w:tc>
      </w:tr>
      <w:tr>
        <w:trPr>
          <w:trHeight w:val="361"/>
        </w:trPr>
        <w:tc>
          <w:tcPr>
            <w:tcW w:w="314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 in an amount so that our total borrowings are 0.70x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Sales load</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None</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2.11%</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8"/>
              </w:rPr>
              <w:t>Incentive Fee payable under the Investment Advisory Agreement (17.5% of net investment income and capital gains)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2.24%</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1.86%</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1.07%</w:t>
            </w:r>
            <w:r>
              <w:rPr>
                <w:rFonts w:ascii="Arial" w:cs="Arial" w:eastAsia="Arial" w:hAnsi="Arial"/>
                <w:sz w:val="15"/>
                <w:szCs w:val="15"/>
                <w:color w:val="auto"/>
                <w:w w:val="95"/>
              </w:rPr>
              <w:t>(8)(9)</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Total annual expenses</w:t>
            </w: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vMerge w:val="continue"/>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7.28%</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right="360" w:hanging="423"/>
        <w:spacing w:after="0" w:line="258"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80" w:hanging="423"/>
        <w:spacing w:after="0" w:line="250"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related prospectus supplement, including each underwritten offering by any of the selling stockholders identified under “Selling Stockholders,” will disclose the estimated amount of offering expenses, the offering price and the offering expenses borne by us as a percentage of the offering price.</w:t>
      </w:r>
    </w:p>
    <w:p>
      <w:pPr>
        <w:spacing w:after="0" w:line="1" w:lineRule="exact"/>
        <w:rPr>
          <w:rFonts w:ascii="Arial" w:cs="Arial" w:eastAsia="Arial" w:hAnsi="Arial"/>
          <w:sz w:val="18"/>
          <w:szCs w:val="18"/>
          <w:color w:val="auto"/>
        </w:rPr>
      </w:pPr>
    </w:p>
    <w:p>
      <w:pPr>
        <w:ind w:left="620" w:right="380" w:hanging="423"/>
        <w:spacing w:after="0" w:line="250"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ind w:left="620" w:right="180" w:hanging="423"/>
        <w:spacing w:after="0" w:line="250"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$804.8 million as of March 31, 2014.</w:t>
      </w:r>
    </w:p>
    <w:p>
      <w:pPr>
        <w:ind w:left="620" w:right="20" w:hanging="423"/>
        <w:spacing w:after="0" w:line="265" w:lineRule="auto"/>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 —Investment Advisory Agreement; Administration Agreement; License Agreement.”</w:t>
      </w:r>
    </w:p>
    <w:p>
      <w:pPr>
        <w:spacing w:after="0" w:line="1" w:lineRule="exact"/>
        <w:rPr>
          <w:rFonts w:ascii="Arial" w:cs="Arial" w:eastAsia="Arial" w:hAnsi="Arial"/>
          <w:sz w:val="17"/>
          <w:szCs w:val="17"/>
          <w:color w:val="auto"/>
        </w:rPr>
      </w:pPr>
    </w:p>
    <w:p>
      <w:pPr>
        <w:jc w:val="both"/>
        <w:ind w:left="620" w:right="220"/>
        <w:spacing w:after="0" w:line="281" w:lineRule="auto"/>
        <w:rPr>
          <w:rFonts w:ascii="Arial" w:cs="Arial" w:eastAsia="Arial" w:hAnsi="Arial"/>
          <w:sz w:val="17"/>
          <w:szCs w:val="17"/>
          <w:color w:val="auto"/>
        </w:rPr>
      </w:pPr>
      <w:r>
        <w:rPr>
          <w:rFonts w:ascii="Arial" w:cs="Arial" w:eastAsia="Arial" w:hAnsi="Arial"/>
          <w:sz w:val="16"/>
          <w:szCs w:val="16"/>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amounts) as of December 31, 2013 and March 31, 2014.</w:t>
      </w:r>
    </w:p>
    <w:p>
      <w:pPr>
        <w:spacing w:after="0" w:line="2" w:lineRule="exact"/>
        <w:rPr>
          <w:rFonts w:ascii="Arial" w:cs="Arial" w:eastAsia="Arial" w:hAnsi="Arial"/>
          <w:sz w:val="17"/>
          <w:szCs w:val="17"/>
          <w:color w:val="auto"/>
        </w:rPr>
      </w:pPr>
    </w:p>
    <w:p>
      <w:pPr>
        <w:ind w:left="620" w:right="240" w:hanging="423"/>
        <w:spacing w:after="0" w:line="261"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20" w:right="460"/>
        <w:spacing w:after="0" w:line="264" w:lineRule="auto"/>
        <w:rPr>
          <w:sz w:val="20"/>
          <w:szCs w:val="20"/>
          <w:color w:val="auto"/>
        </w:rPr>
      </w:pPr>
      <w:r>
        <w:rPr>
          <w:rFonts w:ascii="Arial" w:cs="Arial" w:eastAsia="Arial" w:hAnsi="Arial"/>
          <w:sz w:val="18"/>
          <w:szCs w:val="18"/>
          <w:color w:val="auto"/>
        </w:rPr>
        <w:t>below is based upon our actual results for the quarter ended March 31, 2014 annualized as if they had occurred following the IPO, and assumes that the Incentive Fee is 17.5% for all relevant periods. However, the Incentive Fee payable to the Adviser is based on our performance and will not be paid unless we achieve certain goals.</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Incentive Fee consists of two parts:</w:t>
      </w:r>
    </w:p>
    <w:p>
      <w:pPr>
        <w:spacing w:after="0" w:line="77" w:lineRule="exact"/>
        <w:rPr>
          <w:sz w:val="20"/>
          <w:szCs w:val="20"/>
          <w:color w:val="auto"/>
        </w:rPr>
      </w:pPr>
    </w:p>
    <w:p>
      <w:pPr>
        <w:ind w:left="620" w:right="240"/>
        <w:spacing w:after="0" w:line="259" w:lineRule="auto"/>
        <w:rPr>
          <w:sz w:val="20"/>
          <w:szCs w:val="20"/>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38" w:lineRule="exact"/>
        <w:rPr>
          <w:sz w:val="20"/>
          <w:szCs w:val="20"/>
          <w:color w:val="auto"/>
        </w:rPr>
      </w:pPr>
    </w:p>
    <w:p>
      <w:pPr>
        <w:ind w:left="620" w:right="280"/>
        <w:spacing w:after="0" w:line="255" w:lineRule="auto"/>
        <w:rPr>
          <w:sz w:val="20"/>
          <w:szCs w:val="20"/>
          <w:color w:val="auto"/>
        </w:rPr>
      </w:pPr>
      <w:r>
        <w:rPr>
          <w:rFonts w:ascii="Arial" w:cs="Arial" w:eastAsia="Arial" w:hAnsi="Arial"/>
          <w:sz w:val="18"/>
          <w:szCs w:val="18"/>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77" w:lineRule="exact"/>
        <w:rPr>
          <w:sz w:val="20"/>
          <w:szCs w:val="20"/>
          <w:color w:val="auto"/>
        </w:rPr>
      </w:pPr>
    </w:p>
    <w:p>
      <w:pPr>
        <w:ind w:left="620" w:right="320" w:hanging="423"/>
        <w:spacing w:after="0" w:line="268" w:lineRule="auto"/>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Interest payments on borrowed funds represents an estimate of our annualized interest expenses, based on our interest expense for the quarter ended March 31, 2014, under our credit facilities, and including the swap-adjusted interest expense related to our Convertible Senior Notes, based on assumed total borrowings outstanding equal to 0.70x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1" w:lineRule="exact"/>
        <w:rPr>
          <w:rFonts w:ascii="Arial" w:cs="Arial" w:eastAsia="Arial" w:hAnsi="Arial"/>
          <w:sz w:val="17"/>
          <w:szCs w:val="17"/>
          <w:color w:val="auto"/>
        </w:rPr>
      </w:pPr>
    </w:p>
    <w:p>
      <w:pPr>
        <w:ind w:left="620" w:right="800" w:hanging="423"/>
        <w:spacing w:after="0" w:line="281" w:lineRule="auto"/>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our overhead expenses, such as payments under the Administration Agreement for certain expenses incurred by the Adviser. See “Management and Other Agreements—Investment Advisory Agreement; Administration Agreement; License Agreement.” We based these expenses on estimated amounts for the current fiscal year by annualizing expenses from the quarter ending March 31, 2014.</w:t>
      </w:r>
    </w:p>
    <w:p>
      <w:pPr>
        <w:spacing w:after="0" w:line="2" w:lineRule="exact"/>
        <w:rPr>
          <w:rFonts w:ascii="Arial" w:cs="Arial" w:eastAsia="Arial" w:hAnsi="Arial"/>
          <w:sz w:val="16"/>
          <w:szCs w:val="16"/>
          <w:color w:val="auto"/>
        </w:rPr>
      </w:pPr>
    </w:p>
    <w:p>
      <w:pPr>
        <w:ind w:left="620" w:hanging="423"/>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3"/>
              </w:rPr>
              <w:t>1 year</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3 years</w:t>
            </w:r>
          </w:p>
        </w:tc>
        <w:tc>
          <w:tcPr>
            <w:tcW w:w="5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640" w:type="dxa"/>
            <w:vAlign w:val="bottom"/>
          </w:tcPr>
          <w:p>
            <w:pPr>
              <w:spacing w:after="0"/>
              <w:rPr>
                <w:sz w:val="15"/>
                <w:szCs w:val="15"/>
                <w:color w:val="auto"/>
              </w:rPr>
            </w:pPr>
          </w:p>
        </w:tc>
        <w:tc>
          <w:tcPr>
            <w:tcW w:w="6160" w:type="dxa"/>
            <w:vAlign w:val="bottom"/>
            <w:tcBorders>
              <w:top w:val="single" w:sz="8" w:color="CCEEFF"/>
            </w:tcBorders>
            <w:shd w:val="clear" w:color="auto" w:fill="CCEEFF"/>
          </w:tcPr>
          <w:p>
            <w:pPr>
              <w:jc w:val="right"/>
              <w:ind w:right="410"/>
              <w:spacing w:after="0" w:line="182" w:lineRule="exact"/>
              <w:rPr>
                <w:sz w:val="20"/>
                <w:szCs w:val="20"/>
                <w:color w:val="auto"/>
              </w:rPr>
            </w:pPr>
            <w:r>
              <w:rPr>
                <w:rFonts w:ascii="Arial" w:cs="Arial" w:eastAsia="Arial" w:hAnsi="Arial"/>
                <w:sz w:val="18"/>
                <w:szCs w:val="18"/>
                <w:color w:val="auto"/>
                <w:w w:val="90"/>
              </w:rPr>
              <w:t>You would pay the following expenses on a $1,000 common stock investment,</w:t>
            </w:r>
          </w:p>
        </w:tc>
        <w:tc>
          <w:tcPr>
            <w:tcW w:w="5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640" w:type="dxa"/>
            <w:vAlign w:val="bottom"/>
          </w:tcPr>
          <w:p>
            <w:pPr>
              <w:spacing w:after="0"/>
              <w:rPr>
                <w:sz w:val="20"/>
                <w:szCs w:val="20"/>
                <w:color w:val="auto"/>
              </w:rPr>
            </w:pPr>
          </w:p>
        </w:tc>
        <w:tc>
          <w:tcPr>
            <w:tcW w:w="6160" w:type="dxa"/>
            <w:vAlign w:val="bottom"/>
            <w:shd w:val="clear" w:color="auto" w:fill="CCEEFF"/>
          </w:tcPr>
          <w:p>
            <w:pPr>
              <w:jc w:val="right"/>
              <w:ind w:right="1850"/>
              <w:spacing w:after="0"/>
              <w:rPr>
                <w:sz w:val="20"/>
                <w:szCs w:val="20"/>
                <w:color w:val="auto"/>
              </w:rPr>
            </w:pPr>
            <w:r>
              <w:rPr>
                <w:rFonts w:ascii="Arial" w:cs="Arial" w:eastAsia="Arial" w:hAnsi="Arial"/>
                <w:sz w:val="18"/>
                <w:szCs w:val="18"/>
                <w:color w:val="auto"/>
                <w:w w:val="93"/>
              </w:rPr>
              <w:t>assuming a 5% annual return from realized capital gains</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  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$ 348</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  658</w:t>
            </w:r>
          </w:p>
        </w:tc>
        <w:tc>
          <w:tcPr>
            <w:tcW w:w="8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r>
      <w:tr>
        <w:trPr>
          <w:trHeight w:val="159"/>
        </w:trPr>
        <w:tc>
          <w:tcPr>
            <w:tcW w:w="640" w:type="dxa"/>
            <w:vAlign w:val="bottom"/>
            <w:tcBorders>
              <w:bottom w:val="single" w:sz="8" w:color="auto"/>
            </w:tcBorders>
          </w:tcPr>
          <w:p>
            <w:pPr>
              <w:spacing w:after="0"/>
              <w:rPr>
                <w:sz w:val="13"/>
                <w:szCs w:val="13"/>
                <w:color w:val="auto"/>
              </w:rPr>
            </w:pPr>
          </w:p>
        </w:tc>
        <w:tc>
          <w:tcPr>
            <w:tcW w:w="6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6800" w:type="dxa"/>
            <w:vAlign w:val="bottom"/>
            <w:gridSpan w:val="2"/>
          </w:tcPr>
          <w:p>
            <w:pPr>
              <w:jc w:val="right"/>
              <w:ind w:right="91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564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6465" cy="2156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3"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180" w:right="160" w:firstLine="443"/>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left="180" w:right="120" w:firstLine="443"/>
        <w:spacing w:after="0" w:line="279" w:lineRule="auto"/>
        <w:rPr>
          <w:sz w:val="20"/>
          <w:szCs w:val="20"/>
          <w:color w:val="auto"/>
        </w:rPr>
      </w:pPr>
      <w:r>
        <w:rPr>
          <w:rFonts w:ascii="Arial" w:cs="Arial" w:eastAsia="Arial" w:hAnsi="Arial"/>
          <w:sz w:val="17"/>
          <w:szCs w:val="17"/>
          <w:color w:val="auto"/>
        </w:rPr>
        <w:t>We derived the selected consolidated financial data for the years ended December 31, 2013, December 31, 2012 and December 31, 2011 from our audited consolidated financial statements and related notes, which are included elsewhere in this prospectus, and have been adjusted to reflect the stock split. We derived the selected consolidated financial data for the three months ended March 31, 2014 and March 31, 2013 from our unaudited interim consolidated financial statements and related notes, which are included elsewhere in this prospectus.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0"/>
                <w:szCs w:val="10"/>
                <w:color w:val="auto"/>
              </w:rPr>
            </w:pPr>
          </w:p>
        </w:tc>
        <w:tc>
          <w:tcPr>
            <w:tcW w:w="6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Income</w:t>
            </w:r>
          </w:p>
        </w:tc>
        <w:tc>
          <w:tcPr>
            <w:tcW w:w="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92.6</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Arial" w:cs="Arial" w:eastAsia="Arial" w:hAnsi="Arial"/>
                <w:sz w:val="18"/>
                <w:szCs w:val="18"/>
                <w:color w:val="auto"/>
                <w:w w:val="99"/>
              </w:rPr>
              <w:t>Net Investment Income (Loss) Before Income Taxes</w:t>
            </w: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4"/>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5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3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Change in Net Unrealized Gains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Realized Gains (Losses)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Earnings per common share—basic and diluted</w:t>
            </w:r>
            <w:r>
              <w:rPr>
                <w:rFonts w:ascii="Arial" w:cs="Arial" w:eastAsia="Arial" w:hAnsi="Arial"/>
                <w:sz w:val="15"/>
                <w:szCs w:val="15"/>
                <w:color w:val="auto"/>
                <w:w w:val="99"/>
              </w:rPr>
              <w:t>(1)(2)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Balance Sheet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5"/>
              </w:rPr>
              <w:t>28.8</w:t>
            </w: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143.7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1,251.5</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1,039.2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88"/>
              </w:rPr>
              <w:t>402.1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ind w:left="560"/>
              <w:spacing w:after="0"/>
              <w:rPr>
                <w:sz w:val="20"/>
                <w:szCs w:val="20"/>
                <w:color w:val="auto"/>
              </w:rPr>
            </w:pPr>
            <w:r>
              <w:rPr>
                <w:rFonts w:ascii="Arial" w:cs="Arial" w:eastAsia="Arial" w:hAnsi="Arial"/>
                <w:sz w:val="18"/>
                <w:szCs w:val="18"/>
                <w:color w:val="auto"/>
                <w:w w:val="88"/>
              </w:rPr>
              <w:t>446.7</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88"/>
              </w:rPr>
              <w:t>804.8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3"/>
          </w:tcPr>
          <w:p>
            <w:pPr>
              <w:ind w:left="560"/>
              <w:spacing w:after="0"/>
              <w:rPr>
                <w:sz w:val="20"/>
                <w:szCs w:val="20"/>
                <w:color w:val="auto"/>
              </w:rPr>
            </w:pPr>
            <w:r>
              <w:rPr>
                <w:rFonts w:ascii="Arial" w:cs="Arial" w:eastAsia="Arial" w:hAnsi="Arial"/>
                <w:sz w:val="18"/>
                <w:szCs w:val="18"/>
                <w:color w:val="auto"/>
                <w:w w:val="88"/>
              </w:rPr>
              <w:t>15.51</w:t>
            </w:r>
          </w:p>
        </w:tc>
        <w:tc>
          <w:tcPr>
            <w:tcW w:w="220" w:type="dxa"/>
            <w:vAlign w:val="bottom"/>
          </w:tcPr>
          <w:p>
            <w:pPr>
              <w:spacing w:after="0"/>
              <w:rPr>
                <w:sz w:val="20"/>
                <w:szCs w:val="20"/>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71"/>
        </w:trPr>
        <w:tc>
          <w:tcPr>
            <w:tcW w:w="4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 except per share amounts)</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2014</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Data:</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Number of portfolio companies at period end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0.38</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 at fair value</w:t>
            </w:r>
            <w:r>
              <w:rPr>
                <w:rFonts w:ascii="Arial" w:cs="Arial" w:eastAsia="Arial" w:hAnsi="Arial"/>
                <w:sz w:val="15"/>
                <w:szCs w:val="15"/>
                <w:color w:val="auto"/>
              </w:rPr>
              <w:t>(4)</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producing securities at amortized cost</w:t>
            </w:r>
            <w:r>
              <w:rPr>
                <w:rFonts w:ascii="Arial" w:cs="Arial" w:eastAsia="Arial" w:hAnsi="Arial"/>
                <w:sz w:val="15"/>
                <w:szCs w:val="15"/>
                <w:color w:val="auto"/>
              </w:rPr>
              <w:t>(4)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debt investments as a percentage of</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w w:val="97"/>
              </w:rPr>
              <w:t>Weighted average fair value of debt investments as a</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percentage of call price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94.9%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93.9%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96.6%</w:t>
            </w:r>
          </w:p>
        </w:tc>
      </w:tr>
    </w:tbl>
    <w:p>
      <w:pPr>
        <w:spacing w:after="0" w:line="229" w:lineRule="exact"/>
        <w:rPr>
          <w:sz w:val="20"/>
          <w:szCs w:val="20"/>
          <w:color w:val="auto"/>
        </w:rPr>
      </w:pPr>
    </w:p>
    <w:p>
      <w:pPr>
        <w:ind w:left="620" w:right="20" w:hanging="441"/>
        <w:spacing w:after="0" w:line="258" w:lineRule="auto"/>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this prospectus.</w:t>
      </w:r>
    </w:p>
    <w:p>
      <w:pPr>
        <w:spacing w:after="0" w:line="1" w:lineRule="exact"/>
        <w:rPr>
          <w:rFonts w:ascii="Arial" w:cs="Arial" w:eastAsia="Arial" w:hAnsi="Arial"/>
          <w:sz w:val="18"/>
          <w:szCs w:val="18"/>
          <w:color w:val="auto"/>
        </w:rPr>
      </w:pPr>
    </w:p>
    <w:p>
      <w:pPr>
        <w:ind w:left="620" w:hanging="441"/>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w:t>
      </w:r>
    </w:p>
    <w:p>
      <w:pPr>
        <w:spacing w:after="0" w:line="9" w:lineRule="exact"/>
        <w:rPr>
          <w:rFonts w:ascii="Arial" w:cs="Arial" w:eastAsia="Arial" w:hAnsi="Arial"/>
          <w:sz w:val="18"/>
          <w:szCs w:val="18"/>
          <w:color w:val="auto"/>
        </w:rPr>
      </w:pPr>
    </w:p>
    <w:p>
      <w:pPr>
        <w:ind w:left="620" w:right="60" w:hanging="441"/>
        <w:spacing w:after="0" w:line="265" w:lineRule="auto"/>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2013, December 31, 2012 and December 31,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$13.4 million, $8.9 million and $1.6 million for the years ended December 31, 2013, December 31, 2012 and December 31, 2011, respectively.</w:t>
      </w:r>
    </w:p>
    <w:p>
      <w:pPr>
        <w:spacing w:after="0" w:line="2" w:lineRule="exact"/>
        <w:rPr>
          <w:rFonts w:ascii="Arial" w:cs="Arial" w:eastAsia="Arial" w:hAnsi="Arial"/>
          <w:sz w:val="17"/>
          <w:szCs w:val="17"/>
          <w:color w:val="auto"/>
        </w:rPr>
      </w:pPr>
    </w:p>
    <w:p>
      <w:pPr>
        <w:ind w:left="620" w:right="80" w:hanging="441"/>
        <w:spacing w:after="0" w:line="269" w:lineRule="auto"/>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33,481</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12,230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21,242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4,106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25,348</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r>
      <w:tr>
        <w:trPr>
          <w:trHeight w:val="350"/>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23,298</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20,802</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10,576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8,123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7,696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16,993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12,817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13,106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4,063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1,391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21,056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16,259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14,208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15,461</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15.29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r>
        <w:trPr>
          <w:trHeight w:val="350"/>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14,554</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7,277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6,637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4,711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10,892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1,568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5,664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3,169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12,460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13,581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5,786</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15.19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r>
              <w:rPr>
                <w:rFonts w:ascii="Arial" w:cs="Arial" w:eastAsia="Arial" w:hAnsi="Arial"/>
                <w:sz w:val="15"/>
                <w:szCs w:val="15"/>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14.92</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14.88</w:t>
            </w:r>
            <w:r>
              <w:rPr>
                <w:rFonts w:ascii="Arial" w:cs="Arial" w:eastAsia="Arial" w:hAnsi="Arial"/>
                <w:sz w:val="15"/>
                <w:szCs w:val="15"/>
                <w:color w:val="auto"/>
              </w:rPr>
              <w:t>(1)</w:t>
            </w:r>
          </w:p>
        </w:tc>
      </w:tr>
    </w:tbl>
    <w:p>
      <w:pPr>
        <w:spacing w:after="0" w:line="93" w:lineRule="exact"/>
        <w:rPr>
          <w:sz w:val="20"/>
          <w:szCs w:val="20"/>
          <w:color w:val="auto"/>
        </w:rPr>
      </w:pPr>
    </w:p>
    <w:p>
      <w:pPr>
        <w:ind w:left="620" w:right="260" w:hanging="441"/>
        <w:spacing w:after="0" w:line="277"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further described in Note 9 to our audited financial statements, the indicated amounts for periods prior to December 3, 2013 have been retroactively adjusted for the stock split which was effected in the form of a stock dividend.</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240" w:top="459" w:right="8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not more than 60 days’ written notice to the other party. The holders of a majority of our outstanding voting securities may also terminate the Investment Advisory Agreement without penalty on not more than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are superior to the claims of our stockholders. If the value of our assets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7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March 31, 2014,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As of March 31, 2014, we had $402.1 million of outstanding indebtedness, which would have an annualized interest cost of 2.5% under the terms of our credit facilities, excluding fees (such as fees on undrawn amounts and amortization of upfront fees), to the extent the amount remains outstanding. The interest rate on our Convertible Senior Notes, as adjusted to give effect to the interest rate swap, is three-month LIBOR plus 252.9 basis points. For us to cover these annualized interest payments on indebtedness, we must achieve annual returns on our investments of at least 0.9%. Since we generally pay interest at a floating rate on our credit facilities, an increase in interest rates will generally increase our borrowing costs. We expect that our annualized interest cost and returns required to cover interest will increase after we issue debt securities.</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90"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(net of expenses)</w:t>
      </w:r>
    </w:p>
    <w:tbl>
      <w:tblPr>
        <w:tblLayout w:type="fixed"/>
        <w:tblInd w:w="0" w:type="dxa"/>
        <w:tblCellMar>
          <w:top w:w="0" w:type="dxa"/>
          <w:left w:w="0" w:type="dxa"/>
          <w:bottom w:w="0" w:type="dxa"/>
          <w:right w:w="0" w:type="dxa"/>
        </w:tblCellMar>
      </w:tblPr>
      <w:tr>
        <w:trPr>
          <w:trHeight w:val="156"/>
        </w:trPr>
        <w:tc>
          <w:tcPr>
            <w:tcW w:w="66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39"/>
              <w:spacing w:after="0" w:line="157" w:lineRule="exact"/>
              <w:rPr>
                <w:sz w:val="20"/>
                <w:szCs w:val="20"/>
                <w:color w:val="auto"/>
              </w:rPr>
            </w:pPr>
            <w:r>
              <w:rPr>
                <w:rFonts w:ascii="Arial" w:cs="Arial" w:eastAsia="Arial" w:hAnsi="Arial"/>
                <w:sz w:val="14"/>
                <w:szCs w:val="14"/>
                <w:color w:val="auto"/>
              </w:rPr>
              <w:t>-10%</w:t>
            </w:r>
          </w:p>
        </w:tc>
        <w:tc>
          <w:tcPr>
            <w:tcW w:w="5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9"/>
              <w:spacing w:after="0" w:line="157"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tcPr>
          <w:p>
            <w:pPr>
              <w:spacing w:after="0"/>
              <w:rPr>
                <w:sz w:val="13"/>
                <w:szCs w:val="13"/>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stockholder</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-16.65%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-8.87%</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-1.10%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6.68%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14.45%</w:t>
            </w:r>
          </w:p>
        </w:tc>
      </w:tr>
    </w:tbl>
    <w:p>
      <w:pPr>
        <w:spacing w:after="0" w:line="229" w:lineRule="exact"/>
        <w:rPr>
          <w:sz w:val="20"/>
          <w:szCs w:val="20"/>
          <w:color w:val="auto"/>
        </w:rPr>
      </w:pPr>
    </w:p>
    <w:p>
      <w:pPr>
        <w:ind w:left="460" w:right="40" w:hanging="452"/>
        <w:spacing w:after="0" w:line="27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Assumes, as of March 31, 2014, (i) $1,251.5 million in total assets, (ii) $402.1 million in outstanding indebtedness, (iii) $804.8 million in net assets and (iv) average cost of funds of 2.2%, under our credit facilities.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To maintain our status as a RIC for U.S. federal income tax purposes, we must distribute (or be treated as distributing) in each taxable year dividends for tax purposes equal to at least 90% of our investment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3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20" w:hanging="446"/>
        <w:spacing w:after="0" w:line="277"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8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40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40" w:hanging="325"/>
        <w:spacing w:after="0" w:line="31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calendar years ended December 31, 2013 and 2012 and the three months ended March 31, 2014, we elected to retain a small portion of income and capital gains in order to provide us with additional liquidity,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recorded a net expense of $0.2 million, $0.1 million and $9 thousand,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Adviser can resign on not more than 60 days’ notice. We may not be able to find a suitable replacement within that time, resulting in a disruption in our operations and a loss of the benefits from our relationship with TSSP and TPG.</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Adviser has the right, under the Investment Advisory Agreement and the Administration Agreement, to resign at any time on not more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decrease our operating flexibility. In addition, failure to comply with the requirements imposed on BDCs by the 1940 Act could cause the SEC to bring an enforcement action against us.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securities less attractive to investors.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or the Sarbanes-Oxley Act. Although we expect to become a large accelerated filer at the end of this fiscal year, we currently are a “non-accelerated filer” under the Exchange Act, which has exempted us from compliance with these auditor attestation requirements. We cannot predict if investors will find our securities less attractive because we will rely on these exemptions. If some investors find our securities less attractive as a result, there may be a less active trading market for our securities and the price of our securities may be more volatile.</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After we cease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default rates on our investments. As a result of these and other possible factors, results for any period should not be relied upon as being indicative of performance in future periods.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Investments—Unless Congress renews certain exemptions that expired for taxable years commencing after December 31, 2013, certain dividend distributions we make to certain non-U.S. stockholders will be subject to U.S. withholding tax.”</w:t>
      </w:r>
    </w:p>
    <w:p>
      <w:pPr>
        <w:spacing w:after="0" w:line="16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7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impact our operations, cash flows or financial condition, impose additional costs on us, intensify the regulatory supervision of us or otherwise adversely affect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Also, to the extent uncertainty regarding any economic recovery in Europe continues to negatively impact consumer confidence and consumer credit factors, our business and results of operations could be significantly and adversely affected.</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When we make a first-lien loan, we generally take a security interest in the available assets of the portfolio company,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Equity Investments</w:t>
      </w:r>
      <w:r>
        <w:rPr>
          <w:rFonts w:ascii="Arial" w:cs="Arial" w:eastAsia="Arial" w:hAnsi="Arial"/>
          <w:sz w:val="18"/>
          <w:szCs w:val="18"/>
          <w:color w:val="auto"/>
        </w:rPr>
        <w:t>. When we invest in first-lien debt, second-lien debt or mezzanine debt, we may acquire equity securities, such as warrants,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To the extent we invest in preferred securities, we may incur particular risks, including:</w:t>
      </w:r>
    </w:p>
    <w:p>
      <w:pPr>
        <w:spacing w:after="0" w:line="131" w:lineRule="exact"/>
        <w:rPr>
          <w:sz w:val="20"/>
          <w:szCs w:val="20"/>
          <w:color w:val="auto"/>
        </w:rPr>
      </w:pPr>
    </w:p>
    <w:p>
      <w:pPr>
        <w:ind w:left="900" w:right="10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security holders may elect a number of directors to the issuer’s board; generally, once all the arrearages have been paid, the preferred security holders no longer have voting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4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29" w:lineRule="exact"/>
        <w:rPr>
          <w:rFonts w:ascii="Arial" w:cs="Arial" w:eastAsia="Arial" w:hAnsi="Arial"/>
          <w:sz w:val="16"/>
          <w:szCs w:val="16"/>
          <w:color w:val="auto"/>
        </w:rPr>
      </w:pPr>
    </w:p>
    <w:p>
      <w:pPr>
        <w:ind w:left="900" w:right="12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SPV Asset Facility, to form a CLO or other securitization vehicle in the future.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93"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may be exposed to many of the same risks as described above with respect to our wholly owned subsidiary that supports our SPV Asset Facility. However, in the event we formed a CLO or other securitization vehicle, many of the risks described above would be heightened because we may incur a higher degree of leverage under a CLO or other securitization vehicle than we are permitted to incur under our SPV Asset Facility.</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79"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obligations of our borrowers and result in challenges to their financial performance and ability to repay their obligations.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 party credit risk. To the extent we have non-U.S. investments, particularly investments denominated in non-U.S. currencies, our hedging costs will increase.</w:t>
      </w:r>
    </w:p>
    <w:p>
      <w:pPr>
        <w:spacing w:after="0" w:line="1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also have the ability to borrow in certain foreign currencies under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54" w:lineRule="exact"/>
        <w:rPr>
          <w:sz w:val="20"/>
          <w:szCs w:val="20"/>
          <w:color w:val="auto"/>
        </w:rPr>
      </w:pPr>
    </w:p>
    <w:p>
      <w:pPr>
        <w:jc w:val="both"/>
        <w:ind w:right="220" w:firstLine="456"/>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 In addition, in connection with the offering of our Convertible Senior Notes, we entered into an interest rate swap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hedging strategy and price movements in the portfolio positions being hedged may vary, as may the time period in which the hedge is effective relative to the time period of the related exposure.</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78"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recent years, Congress has renewed the rules under which certain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29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Holders of our Common Stock—Potential Limitation with respect to Certain U.S. Stockholders on Deductions for Certain Fees and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6"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PIK.”</w:t>
      </w:r>
    </w:p>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4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assure you that a market for our common stock will be sustained or that the market price of shares of our common stock will not decline.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 trading market for our common stock will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dilution for other stockholders. Stockholders that opt out of our dividend reinvestment plan will experience dilution in their ownership percentage of our common stock over time.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the Adviser under the 10b5-1 Plan may result in the price of our common stock being higher than the price that otherwise might exist in the open market.</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of our common stock in the aggregate during the period beginning April 24, 2014 and ending on the earlier of the date on which all the capital committed to the plan has been exhausted or December 31, 2014. See “Related-Party Transactions and Certain Relationships” for additional details regarding the 10b5-1 Plan. Whether purchases will be made under the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w:t>
      </w:r>
    </w:p>
    <w:p>
      <w:pPr>
        <w:spacing w:after="0" w:line="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Section 21E(b)(2)(B) and (D) of the Exchange Act, the “safe harbor” provisions of the Private Securities Litigation Reform Act of 1995 do not apply to statements made in connection with any offering of securities pursuant to this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distributions, if any, during such period.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any sale of common stock by the selling stockholders identified under “Selling Stockholders.”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above our net asset value per share. It is not possible to predict whether our common stock will trade at, above or below net asset value. See “Risk Factors—Risks Related to Offerings Pursuant to This Prospectus.”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sets forth, for each fiscal quarter since our IPO, the net asset value per share of our common stock, the range of high and low closing sales prices of our common stock, the closing sales price as a premium (discount) to net asset value and the dividends or distributions declared by us. On July 30, 2014, the last reported closing sales price of our common stock on the NYSE was $20.45 per share, which represented a premium of approximately 31.9% to the net asset value per share reported by us as of March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1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Price Range</w:t>
            </w:r>
          </w:p>
        </w:tc>
        <w:tc>
          <w:tcPr>
            <w:tcW w:w="240" w:type="dxa"/>
            <w:vAlign w:val="bottom"/>
            <w:vMerge w:val="restart"/>
          </w:tcPr>
          <w:p>
            <w:pPr>
              <w:spacing w:after="0"/>
              <w:rPr>
                <w:sz w:val="14"/>
                <w:szCs w:val="14"/>
                <w:color w:val="auto"/>
              </w:rPr>
            </w:pPr>
          </w:p>
        </w:tc>
        <w:tc>
          <w:tcPr>
            <w:tcW w:w="132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High Sales</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Low Sales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bottom w:val="single" w:sz="8" w:color="auto"/>
            </w:tcBorders>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320" w:type="dxa"/>
            <w:vAlign w:val="bottom"/>
          </w:tcPr>
          <w:p>
            <w:pPr>
              <w:jc w:val="center"/>
              <w:ind w:right="43"/>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Price to</w:t>
            </w:r>
          </w:p>
        </w:tc>
        <w:tc>
          <w:tcPr>
            <w:tcW w:w="220" w:type="dxa"/>
            <w:vAlign w:val="bottom"/>
          </w:tcPr>
          <w:p>
            <w:pPr>
              <w:spacing w:after="0"/>
              <w:rPr>
                <w:sz w:val="13"/>
                <w:szCs w:val="13"/>
                <w:color w:val="auto"/>
              </w:rPr>
            </w:pPr>
          </w:p>
        </w:tc>
        <w:tc>
          <w:tcPr>
            <w:tcW w:w="6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7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Asset</w:t>
            </w:r>
          </w:p>
        </w:tc>
        <w:tc>
          <w:tcPr>
            <w:tcW w:w="220" w:type="dxa"/>
            <w:vAlign w:val="bottom"/>
          </w:tcPr>
          <w:p>
            <w:pPr>
              <w:spacing w:after="0"/>
              <w:rPr>
                <w:sz w:val="10"/>
                <w:szCs w:val="10"/>
                <w:color w:val="auto"/>
              </w:rPr>
            </w:pPr>
          </w:p>
        </w:tc>
        <w:tc>
          <w:tcPr>
            <w:tcW w:w="7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High</w:t>
            </w: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Low</w:t>
            </w:r>
          </w:p>
        </w:tc>
        <w:tc>
          <w:tcPr>
            <w:tcW w:w="132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w w:val="90"/>
              </w:rPr>
              <w:t>Asset</w:t>
            </w:r>
          </w:p>
        </w:tc>
        <w:tc>
          <w:tcPr>
            <w:tcW w:w="11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Net Asset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5"/>
              </w:rPr>
              <w:t>Per</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(1)</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32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2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First Quarter (beginning March 21, 2014)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$15.51</w:t>
            </w:r>
          </w:p>
        </w:tc>
        <w:tc>
          <w:tcPr>
            <w:tcW w:w="2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$16.70</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0"/>
              </w:rPr>
              <w:t>$15.95</w:t>
            </w:r>
          </w:p>
        </w:tc>
        <w:tc>
          <w:tcPr>
            <w:tcW w:w="1320" w:type="dxa"/>
            <w:vAlign w:val="bottom"/>
          </w:tcPr>
          <w:p>
            <w:pPr>
              <w:jc w:val="right"/>
              <w:ind w:right="123"/>
              <w:spacing w:after="0"/>
              <w:rPr>
                <w:sz w:val="20"/>
                <w:szCs w:val="20"/>
                <w:color w:val="auto"/>
              </w:rPr>
            </w:pPr>
            <w:r>
              <w:rPr>
                <w:rFonts w:ascii="Arial" w:cs="Arial" w:eastAsia="Arial" w:hAnsi="Arial"/>
                <w:sz w:val="18"/>
                <w:szCs w:val="18"/>
                <w:color w:val="auto"/>
              </w:rPr>
              <w:t>7.7%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$24.41</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$16.60</w:t>
            </w:r>
          </w:p>
        </w:tc>
        <w:tc>
          <w:tcPr>
            <w:tcW w:w="1320" w:type="dxa"/>
            <w:vAlign w:val="bottom"/>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74"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asset value has not yet been calculated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May 6, 2014, our Board declared a dividend of $0.38 per share for the quarter ending June 30, 2014 to stockholders of record as of June 30, 2014. The dividend is expected to be paid on or about July 31, 2014. We anticipate that this dividend will be paid from income generated primarily by interest earned on our investment portfolio.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March 31, 2014 and the years ended December 31, 2013 and 2012:</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w w:val="94"/>
              </w:rPr>
              <w:t>March 31, 2014</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0"/>
                <w:szCs w:val="10"/>
                <w:color w:val="auto"/>
              </w:rPr>
            </w:pPr>
          </w:p>
        </w:tc>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 Date</w:t>
            </w:r>
          </w:p>
        </w:tc>
        <w:tc>
          <w:tcPr>
            <w:tcW w:w="6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March 31, 2014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3"/>
              </w:rPr>
              <w:t>April 30, 2014</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51</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5"/>
              </w:rPr>
              <w:t>December 31, 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w w:val="98"/>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12, 2013</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June 30, 2013</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July 31, 2013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September 30, 2013</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October 31, 2013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December 31, 2013</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30, 2014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the indicated amounts for dates prior to December 3, 2013 have been retroactively adjusted for the stock split which was effected in the form of a stock dividend.</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5"/>
              </w:rPr>
              <w:t>December 31, 2012</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w w:val="98"/>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20, 2012</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June 30, 2012</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August 3, 2012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September 30, 2012</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October 30, 2012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2012</w:t>
            </w:r>
            <w:r>
              <w:rPr>
                <w:rFonts w:ascii="Arial" w:cs="Arial" w:eastAsia="Arial" w:hAnsi="Arial"/>
                <w:sz w:val="15"/>
                <w:szCs w:val="15"/>
                <w:color w:val="auto"/>
              </w:rPr>
              <w:t>(1)</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December 31, 2012</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31, 2013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23"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the indicated amounts have been retroactively adjusted for the stock split which was effected in the form of a stock dividend.</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dividends declared during the three months ended March 31, 2014 were derived from net investment income determined on a tax basis. The dividends declared during the years ended December 31, 2013 and December 31, 2012, were derived from net investment income and long-term capital gains, determined on a tax basis.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and the three months ended March 31, 2014 for purposes of additional liquidity and we recorded a net expense of</w:t>
      </w:r>
    </w:p>
    <w:p>
      <w:pPr>
        <w:spacing w:after="0" w:line="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$0.2 million, $0.1 million and $9 thousand,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Unless our common stockholders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March 2014, we completed our IPO, issuing 7,000,000 shares at $16.00 per share, and our concurrent private placement, issuing 3,124,984 shares at $16.00 per share. Net of underwriting fees and offering costs, we received total cash proceeds of $151.6 million.</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our effective interest rate on the Convertible Senior Notes is three-month LIBOR plus 252.9 basis points.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2014, based on fair value, our borrowers had weighted average annual revenue of $169 million and weighted average annual EBITDA of $33 million.</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our average investment size in our portfolio companies was $40 million.</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no industry represented more than 11.6% of our total investment portfolio.</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As of March 31, 2014,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99.4% of our portfolio at fair value was invested in secured debt, including 82.4%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medium term, between two to six years after origination. For the three months ended March 31, 2014, the weighted average term on new investment commitments in new portfolio companies was 4.7 years.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Risk Mitigation</w:t>
      </w:r>
      <w:r>
        <w:rPr>
          <w:rFonts w:ascii="Arial" w:cs="Arial" w:eastAsia="Arial" w:hAnsi="Arial"/>
          <w:sz w:val="16"/>
          <w:szCs w:val="16"/>
          <w:color w:val="auto"/>
        </w:rPr>
        <w:t>. We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As of March 31, 2014, we had call protection on 95.0% of our debt investments, with weighted average call prices of 107.0% for the first year, 103.3% for the second year and 101.3% for the third year, in each case from the date of the initial investment. As of March 31, 2014, 98.6% of our debt investments bore interest at floating rates, subject to interest rate floors, which we believe helps act as a portfolio-wide hedge against inflation.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services to us are not impaired. Under the terms of the Investment Advisory Agreement, we will pay the Adviser the Management Fee and may also pay the Incentive Fee.</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March 31, 2014, 98.6% bear interest at a floating rate, subject to interest rate floors. Interest on debt securities is generally payable quarterly or semiannually. Some of our investments provide for deferred interest payments or PIK interest. For the three months ended March 31, 2014, 2.0% of our total investment income was comprised of PIK interest income.</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2"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our SPV Asset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and Investment Activity</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Based on fair value as of March 31, 2014, our portfolio consisted of 82.4% first-lien debt investments, 17.0% second-lien debt investments, 0.4% mezzanine debt investments, and 0.2% equity investments.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Based on fair value as of December 31, 2013, our portfolio consisted of 86.3% first-lien debt investments, 13.5% second-lien debt investments, and 0.2% equity investments.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March 31, 2014 and December 31, 2013, our weighted average total yield of debt and income-producing securities at fair value (which includes interest income and amortization of fees and discounts) was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10.2% and 10.4%, respectively, and our weighted average total yield of debt and income-producing securities at amortized cost (which includes interest income and amortization of fees and discounts) was 10.4% and 10.6%, respectively.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March 31, 2014 and December 31, 2013, we had investments in 30 and 27 portfolio companies, respectively, with an aggregate fair value of $1,195.5 million and $1,016.5 million, respectively.</w:t>
      </w:r>
    </w:p>
    <w:p>
      <w:pPr>
        <w:spacing w:after="0" w:line="170"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During the three months ended March 31, 2014, we made new investment commitments of $314.6 million, $303.8 million in six new portfolio companies and $10.8 million in two existing portfolio companies. During this period, we had $101.2 million aggregate principal amount in exits and repayments, resulting in net portfolio growth of $187.0 million aggregate principal amount.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three months ended March 31, 2013, we made new investment commitments of $58.5 million, $58.0 million in two new portfolio companies and $0.5 million in one existing portfolio company. During this period, we had $84.5 million aggregate principal amount in exits and repayments, resulting in a net portfolio decrease of $26.0 million aggregate principal amount.</w:t>
      </w:r>
    </w:p>
    <w:p>
      <w:pPr>
        <w:spacing w:after="0" w:line="181"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During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 During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5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investment activity for the three months ended March 31, 2014 and for the years ended December 31, 2013 and 2012 is presented below (information presented herein is at par value unless otherwise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90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369.6</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92.5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897.5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291.3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218.0</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48.0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497.9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101.2</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81.5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4420" w:type="dxa"/>
            <w:vAlign w:val="bottom"/>
          </w:tcPr>
          <w:p>
            <w:pPr>
              <w:ind w:left="7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420" w:type="dxa"/>
            <w:vAlign w:val="bottom"/>
          </w:tcPr>
          <w:p>
            <w:pPr>
              <w:spacing w:after="0"/>
              <w:rPr>
                <w:sz w:val="24"/>
                <w:szCs w:val="24"/>
                <w:color w:val="auto"/>
              </w:rPr>
            </w:pPr>
          </w:p>
        </w:tc>
        <w:tc>
          <w:tcPr>
            <w:tcW w:w="1020" w:type="dxa"/>
            <w:vAlign w:val="bottom"/>
            <w:gridSpan w:val="2"/>
          </w:tcPr>
          <w:p>
            <w:pPr>
              <w:jc w:val="right"/>
              <w:ind w:right="16"/>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4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900"/>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900" w:type="dxa"/>
            <w:vAlign w:val="bottom"/>
          </w:tcPr>
          <w:p>
            <w:pPr>
              <w:spacing w:after="0"/>
              <w:rPr>
                <w:sz w:val="10"/>
                <w:szCs w:val="10"/>
                <w:color w:val="auto"/>
              </w:rPr>
            </w:pPr>
          </w:p>
        </w:tc>
        <w:tc>
          <w:tcPr>
            <w:tcW w:w="17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106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90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2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Number of new investment commitments in new</w:t>
            </w:r>
          </w:p>
        </w:tc>
        <w:tc>
          <w:tcPr>
            <w:tcW w:w="4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portfolio companies</w:t>
            </w: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6</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rPr>
              <w:t>Average new investment commitment amount in</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new portfolio companies</w:t>
            </w: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   50.6</w:t>
            </w: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   29.0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88"/>
              <w:spacing w:after="0"/>
              <w:rPr>
                <w:sz w:val="20"/>
                <w:szCs w:val="20"/>
                <w:color w:val="auto"/>
              </w:rPr>
            </w:pPr>
            <w:r>
              <w:rPr>
                <w:rFonts w:ascii="Arial" w:cs="Arial" w:eastAsia="Arial" w:hAnsi="Arial"/>
                <w:sz w:val="18"/>
                <w:szCs w:val="18"/>
                <w:color w:val="auto"/>
              </w:rPr>
              <w:t>38.3</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term for new investment</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 in new portfolio companies</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 years)</w:t>
            </w: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4.7</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Percentage of new debt investment commitments</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at floating rates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98.5%</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Arial" w:cs="Arial" w:eastAsia="Arial" w:hAnsi="Arial"/>
                <w:sz w:val="18"/>
                <w:szCs w:val="18"/>
                <w:color w:val="auto"/>
              </w:rPr>
              <w:t>98.1%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Percentage of new debt investment commitments</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at fixed rates</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1.5%</w:t>
            </w:r>
          </w:p>
        </w:tc>
        <w:tc>
          <w:tcPr>
            <w:tcW w:w="1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Weighted average interest rate of new investment</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9.1%</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floating rate investment commitments</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7.8%</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on investments</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sold or paid down</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9.4%</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December 31, 2013 and December 31, 2012, our investments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 2013</w:t>
            </w:r>
          </w:p>
        </w:tc>
        <w:tc>
          <w:tcPr>
            <w:tcW w:w="15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19"/>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Fair</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320" w:type="dxa"/>
            <w:vAlign w:val="bottom"/>
          </w:tcPr>
          <w:p>
            <w:pPr>
              <w:spacing w:after="0"/>
              <w:rPr>
                <w:sz w:val="10"/>
                <w:szCs w:val="10"/>
                <w:color w:val="auto"/>
              </w:rPr>
            </w:pPr>
          </w:p>
        </w:tc>
        <w:tc>
          <w:tcPr>
            <w:tcW w:w="64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131.1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Equity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1,195.5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1,172.4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1,016.5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997.3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amortized cost of our performing and non-accrual investments as of March 31, 2014, December 31, 2013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March 31, 2014</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 2013</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00" w:type="dxa"/>
            <w:vAlign w:val="bottom"/>
          </w:tcPr>
          <w:p>
            <w:pPr>
              <w:spacing w:after="0"/>
              <w:rPr>
                <w:sz w:val="10"/>
                <w:szCs w:val="10"/>
                <w:color w:val="auto"/>
              </w:rPr>
            </w:pPr>
          </w:p>
        </w:tc>
        <w:tc>
          <w:tcPr>
            <w:tcW w:w="11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Percentage</w:t>
            </w:r>
          </w:p>
        </w:tc>
        <w:tc>
          <w:tcPr>
            <w:tcW w:w="580" w:type="dxa"/>
            <w:vAlign w:val="bottom"/>
            <w:vMerge w:val="restart"/>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Percentage</w:t>
            </w:r>
          </w:p>
        </w:tc>
        <w:tc>
          <w:tcPr>
            <w:tcW w:w="3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Amortized</w:t>
            </w:r>
          </w:p>
        </w:tc>
        <w:tc>
          <w:tcPr>
            <w:tcW w:w="46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Percentage</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vMerge w:val="continue"/>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Cost</w:t>
            </w:r>
          </w:p>
        </w:tc>
        <w:tc>
          <w:tcPr>
            <w:tcW w:w="4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$ 1,172.4</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3"/>
              </w:rPr>
              <w:t>997.3</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5"/>
                <w:szCs w:val="15"/>
                <w:color w:val="auto"/>
              </w:rPr>
              <w:t>(1)</w:t>
            </w:r>
          </w:p>
        </w:tc>
        <w:tc>
          <w:tcPr>
            <w:tcW w:w="18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center"/>
              <w:ind w:left="57"/>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9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87"/>
              </w:rPr>
              <w:t>$ 1,172.4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997.3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60" w:hanging="452"/>
        <w:spacing w:after="0" w:line="30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weighted average yields and interest rates of our debt investments at fair value as of March 31, 2014, December 31, 2013 and December 31, 2012 were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5"/>
              </w:rPr>
              <w:t>March 31,</w:t>
            </w:r>
          </w:p>
        </w:tc>
        <w:tc>
          <w:tcPr>
            <w:tcW w:w="18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0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82"/>
        </w:trPr>
        <w:tc>
          <w:tcPr>
            <w:tcW w:w="5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 income-</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10.2%</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02"/>
        </w:trPr>
        <w:tc>
          <w:tcPr>
            <w:tcW w:w="502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 income-</w:t>
            </w: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9.8%</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 floating rate</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8.5%</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0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97"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60" w:right="3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3280" w:type="dxa"/>
            <w:vAlign w:val="bottom"/>
            <w:gridSpan w:val="5"/>
          </w:tcPr>
          <w:p>
            <w:pPr>
              <w:jc w:val="right"/>
              <w:ind w:right="164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4"/>
                <w:szCs w:val="14"/>
                <w:color w:val="auto"/>
              </w:rPr>
            </w:pPr>
          </w:p>
        </w:tc>
        <w:tc>
          <w:tcPr>
            <w:tcW w:w="26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5"/>
        </w:trPr>
        <w:tc>
          <w:tcPr>
            <w:tcW w:w="4360" w:type="dxa"/>
            <w:vAlign w:val="bottom"/>
            <w:gridSpan w:val="2"/>
            <w:vMerge w:val="continue"/>
          </w:tcPr>
          <w:p>
            <w:pPr>
              <w:spacing w:after="0"/>
              <w:rPr>
                <w:sz w:val="10"/>
                <w:szCs w:val="10"/>
                <w:color w:val="auto"/>
              </w:rPr>
            </w:pPr>
          </w:p>
        </w:tc>
        <w:tc>
          <w:tcPr>
            <w:tcW w:w="1720" w:type="dxa"/>
            <w:vAlign w:val="bottom"/>
            <w:tcBorders>
              <w:top w:val="single" w:sz="8" w:color="auto"/>
            </w:tcBorders>
            <w:gridSpan w:val="4"/>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8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5"/>
              </w:rPr>
              <w:t>Percentage of</w:t>
            </w:r>
          </w:p>
        </w:tc>
        <w:tc>
          <w:tcPr>
            <w:tcW w:w="840" w:type="dxa"/>
            <w:vAlign w:val="bottom"/>
          </w:tcPr>
          <w:p>
            <w:pPr>
              <w:spacing w:after="0"/>
              <w:rPr>
                <w:sz w:val="10"/>
                <w:szCs w:val="10"/>
                <w:color w:val="auto"/>
              </w:rPr>
            </w:pPr>
          </w:p>
        </w:tc>
        <w:tc>
          <w:tcPr>
            <w:tcW w:w="172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8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162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7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 in millions)</w:t>
            </w:r>
          </w:p>
        </w:tc>
        <w:tc>
          <w:tcPr>
            <w:tcW w:w="820" w:type="dxa"/>
            <w:vAlign w:val="bottom"/>
            <w:tcBorders>
              <w:bottom w:val="single" w:sz="8" w:color="CCEEFF"/>
            </w:tcBorders>
            <w:gridSpan w:val="2"/>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8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8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80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37.4</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8"/>
                <w:szCs w:val="18"/>
                <w:color w:val="auto"/>
              </w:rPr>
              <w:t>40.2</w:t>
            </w: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1,195.</w:t>
            </w:r>
            <w:r>
              <w:rPr>
                <w:rFonts w:ascii="Arial" w:cs="Arial" w:eastAsia="Arial" w:hAnsi="Arial"/>
                <w:sz w:val="18"/>
                <w:szCs w:val="18"/>
                <w:u w:val="single" w:color="auto"/>
                <w:color w:val="auto"/>
              </w:rPr>
              <w:t>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1,016.</w:t>
            </w:r>
            <w:r>
              <w:rPr>
                <w:rFonts w:ascii="Arial" w:cs="Arial" w:eastAsia="Arial" w:hAnsi="Arial"/>
                <w:sz w:val="18"/>
                <w:szCs w:val="18"/>
                <w:u w:val="single" w:color="auto"/>
                <w:color w:val="auto"/>
              </w:rPr>
              <w:t>5</w:t>
            </w:r>
          </w:p>
        </w:tc>
        <w:tc>
          <w:tcPr>
            <w:tcW w:w="8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results for the three months ended March 31, 2014 and 2013 and the years ended December 31, 2013, and 2012 were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40" w:type="dxa"/>
            <w:vAlign w:val="bottom"/>
          </w:tcPr>
          <w:p>
            <w:pPr>
              <w:spacing w:after="0"/>
              <w:rPr>
                <w:sz w:val="14"/>
                <w:szCs w:val="14"/>
                <w:color w:val="auto"/>
              </w:rPr>
            </w:pPr>
          </w:p>
        </w:tc>
        <w:tc>
          <w:tcPr>
            <w:tcW w:w="14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$92.6</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expenses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34.9</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57.7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Income taxes, including excise taxes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0.2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57.5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realized gains (losses) on investments, including foreign exchange forward contracts</w:t>
            </w:r>
            <w:r>
              <w:rPr>
                <w:rFonts w:ascii="Arial" w:cs="Arial" w:eastAsia="Arial" w:hAnsi="Arial"/>
                <w:sz w:val="15"/>
                <w:szCs w:val="15"/>
                <w:color w:val="auto"/>
              </w:rPr>
              <w:t>(1)</w:t>
            </w:r>
          </w:p>
        </w:tc>
        <w:tc>
          <w:tcPr>
            <w:tcW w:w="820" w:type="dxa"/>
            <w:vAlign w:val="bottom"/>
            <w:gridSpan w:val="4"/>
          </w:tcPr>
          <w:p>
            <w:pPr>
              <w:jc w:val="right"/>
              <w:ind w:right="268"/>
              <w:spacing w:after="0"/>
              <w:rPr>
                <w:sz w:val="20"/>
                <w:szCs w:val="20"/>
                <w:color w:val="auto"/>
              </w:rPr>
            </w:pPr>
            <w:r>
              <w:rPr>
                <w:rFonts w:ascii="Arial" w:cs="Arial" w:eastAsia="Arial" w:hAnsi="Arial"/>
                <w:sz w:val="18"/>
                <w:szCs w:val="18"/>
                <w:color w:val="auto"/>
              </w:rPr>
              <w:t>(1.6)</w:t>
            </w: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5"/>
                <w:szCs w:val="15"/>
                <w:color w:val="auto"/>
              </w:rPr>
              <w:t>(1)</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67.0</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14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4"/>
                <w:szCs w:val="14"/>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402"/>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$90.4</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Dividend income</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92.6</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$20.6 million for the three months ended March 31, 2013 to $31.1 million for the three months ended March 31, 2014, primarily due to the increase in the size of our portfolio. The average size of our total investment portfolio increased from $640 million during the three months ended March 31, 2013 to $1.1 billion during the three months ended</w:t>
      </w:r>
    </w:p>
    <w:p>
      <w:pPr>
        <w:spacing w:after="0" w:line="290" w:lineRule="auto"/>
        <w:rPr>
          <w:sz w:val="20"/>
          <w:szCs w:val="20"/>
          <w:color w:val="auto"/>
        </w:rPr>
      </w:pPr>
      <w:r>
        <w:rPr>
          <w:rFonts w:ascii="Arial" w:cs="Arial" w:eastAsia="Arial" w:hAnsi="Arial"/>
          <w:sz w:val="16"/>
          <w:szCs w:val="16"/>
          <w:color w:val="auto"/>
        </w:rPr>
        <w:t>March 31, 2014. In addition, accelerated amortization of upfront fees primarily from unscheduled paydowns decreased from $1.6 million for the three months ended March 31, 2013 to $1.2 million for the three months ended March 31, 2014; and prepayment fees decreased from $1.4 million for the three months ended March 31, 2013 to $1.0 million for the three months ended March 31, 2014. The accelerated amortization and prepayment fees primarily resulted from full paydowns on two portfolio investments during the three months ended March 31, 2013 and from full paydowns on three portfolio investments during the three months ended March 31, 2014. Other income increased from $0.2 million for the three months ended March 31, 2013 to $2.4 million for the three months ended March 31, 2014, primarily due to higher syndication, amendment and agency fees earned during the first quarter of 2014.</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months ended March 31, 2014 and the years ended December 31, 2013 and 2012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240" w:type="dxa"/>
            <w:vAlign w:val="bottom"/>
          </w:tcPr>
          <w:p>
            <w:pPr>
              <w:spacing w:after="0"/>
              <w:rPr>
                <w:sz w:val="14"/>
                <w:szCs w:val="14"/>
                <w:color w:val="auto"/>
              </w:rPr>
            </w:pPr>
          </w:p>
        </w:tc>
        <w:tc>
          <w:tcPr>
            <w:tcW w:w="144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1.5</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4"/>
              </w:rPr>
              <w:t>Incentive fees related to Pre-incentive fee net investment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0.3</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Directors’ fees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12.2</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34.9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0" w:type="dxa"/>
            <w:vAlign w:val="bottom"/>
            <w:vMerge w:val="restart"/>
          </w:tcPr>
          <w:p>
            <w:pPr>
              <w:jc w:val="right"/>
              <w:ind w:right="189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Interest, including other debt financing expenses, increased from $2.3 million for the three months ended March 31, 2013 to $3.8 million for the three months ended March 31, 2014. This increase was primarily due to an increase in the average debt outstanding from $188 million for the three months ended March 31, 2013 to $471 million for the three months ended March 31, 2014. The average stated interest rate on our debt outstanding decreased from 2.8% for the three months ended March 31, 2013 to 2.5% for the three months ended March 31, 2014.</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Management Fees (net of waivers) increased from $1.5 million for the three months ended March 31, 2013 to $1.7 million for the three months ended March 31, 2014. Management Fees increased from $3.0 million for the three months ended March 31, 2013 to $4.2 million for the three months ended March 31, 2014 due to the increase in total assets, which increased from an average of $819 million for the three months ended March 31, 2013 to an average of $1.1 billion for the three months ended March 31, 2014. Management Fees waived increased from $1.5 million for the three months ended March 31, 2013 to $2.5 million for the three months ended March 31, 2014 due to an increase in total assets.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w:t>
      </w:r>
    </w:p>
    <w:p>
      <w:pPr>
        <w:spacing w:after="0" w:line="18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 See “Management and Other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Incentive Fees related to pre-Incentive Fee net investment income increased from $2.4 million for the three months ended March 31, 2013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$3.8 million for the three months ended March 31, 2014. This increase resulted from the increase in the size of the portfolio and related increase in pre-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Incentive Fee net investment income. Incentive Fees related to capital gains increased from $0.3 million for the three months ended March 31, 2013 to</w:t>
      </w:r>
    </w:p>
    <w:p>
      <w:pPr>
        <w:spacing w:after="0" w:line="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$0.6 million for the three months ended March 31, 2014 due to changes in unrealized gains and losses on our investments, realized gains on our investments and realized losses on foreign currency forward contracts.</w:t>
      </w:r>
    </w:p>
    <w:p>
      <w:pPr>
        <w:spacing w:after="0" w:line="18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 and Other General and Administrative Expenses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Professional fees increased from $0.6 million for the three months ended March 31, 2013 to $1.2 million for the three months ended March 31, 2014 and other general and administrative fees increased from $0.5 million for the three months ended March 31, 2013 to $1.0 million for the three months ended March 31, 2014, both due to an increase in costs associated with servicing a growing investment portfolio.</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each of the three months ended March 31, 2014 and 2013, we recorded a net expense of $9 thousand and $4 thousand, respectively, for U.S. federal excise tax. For each of the calendar years ended December 31, 2013 and 2012, we recorded a net expense of $0.2 million and $0.1 million, respectively, for U.S. federal excise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11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During the three months ended March 31, 2014, we had $1.6 million of net realized losses on foreign currency forward contracts. During the three months ended March 31, 2013, we had $0.4 million of net realized gains.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we had $1.1 million of net realized gains, including realized gains on foreign currency forward contracts.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2012, we had $4.4 million of net realized gains.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realized gains and losses on investments and foreign currency forward contracts during the three months ended March 31, 2014 and 2013 and the years ended December 31, 2013 and 2012 consisted of the following (certain gains (losses) have been rounded to zero):</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60" w:type="dxa"/>
            <w:vAlign w:val="bottom"/>
          </w:tcPr>
          <w:p>
            <w:pPr>
              <w:spacing w:after="0"/>
              <w:rPr>
                <w:sz w:val="14"/>
                <w:szCs w:val="14"/>
                <w:color w:val="auto"/>
              </w:rPr>
            </w:pPr>
          </w:p>
        </w:tc>
        <w:tc>
          <w:tcPr>
            <w:tcW w:w="13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800" w:type="dxa"/>
            <w:vAlign w:val="bottom"/>
            <w:gridSpan w:val="2"/>
          </w:tcPr>
          <w:p>
            <w:pPr>
              <w:jc w:val="center"/>
              <w:ind w:left="274"/>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3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152"/>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Attachmate</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5"/>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AFS Technologies,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The Newark Group,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SumTotal</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$ 1.1</w:t>
            </w:r>
          </w:p>
        </w:tc>
        <w:tc>
          <w:tcPr>
            <w:tcW w:w="70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9"/>
              </w:rPr>
              <w:t>$ 4.4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Realized Gains (losses)</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w:t>
            </w:r>
          </w:p>
        </w:tc>
        <w:tc>
          <w:tcPr>
            <w:tcW w:w="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$ 0.4</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$ 1.1</w:t>
            </w:r>
          </w:p>
        </w:tc>
        <w:tc>
          <w:tcPr>
            <w:tcW w:w="70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9"/>
              </w:rPr>
              <w:t>$ 4.4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Since we began investing in 2011 through March 31, 2014, our exited investments have resulted in an aggregate cash flow realized gross internal rate of return to us of 15.3% (based on cash invested of $459 million and total proceeds from these exited investments of $528 million). Seventy-eight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5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assumed to occur at time zero, and all cash flows are deemed to occur on the fifteenth of each month in which they occur.</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 “—Critical Accounting Policies— Investments at Fair Value.”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During the three months ended March 31, 2014 and 2013 and the years ended December 31, 2013 and 2012, the net change in unrealized gains and losses on our investment portfolio, including losses on foreign currency transactions, consisted of the following: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4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unrealized gains on investments</w:t>
            </w:r>
          </w:p>
        </w:tc>
        <w:tc>
          <w:tcPr>
            <w:tcW w:w="1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$ 8.6</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10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on investments</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Foreign currency borrowings</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on foreign currency transactions</w:t>
            </w:r>
          </w:p>
        </w:tc>
        <w:tc>
          <w:tcPr>
            <w:tcW w:w="10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$ 5.7</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the three months ended March 31, 2014, we had $8.6 million in unrealized appreciation on investments which was partially offset by $4.7 million in unrealized depreciation on investments. For the three months ended March 31, 2013, we had $4.7 million in unrealized appreciation on investments which was partially offset by $2.8 million in unrealized depreciation on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For the year ended December 31, 2013, we had $13.4 million in unrealized appreciation on investments, which was partially offset by $3.8 million in unrealized depreciation, excluding unrealized losses on foreign currency forward contracts. For the year ended December 31, 2012, we had $9.2 million in unrealized appreciation, which was partially offset by $2.0 million in unrealized depreciation.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During the three months ended March 31, 2014, we settled our foreign currency forward contracts related to our investments in Jeeves Information Systems AB and Soho House Bond Ltd., which in total generated a realized loss of $1.6 million. We did not enter into new foreign currency forward contracts related to these investments nor did we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5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capital commitments of our existing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2014 and December 31, 2013, our asset coverage ratio was 300.1% and 232.9%, respectively.</w:t>
      </w:r>
    </w:p>
    <w:p>
      <w:pPr>
        <w:spacing w:after="0" w:line="18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Cash and cash equivalents as of March 31, 2014, taken together with cash available under our credit facilities, is expected to be sufficient for our investing activities and to conduct our operations in the near term. On February 27, 2014, we terminated the Subscription Credit Facility, effective March 4, 2014. The outstanding balance under the Subscription Credit Facility was paid down prior to terminating the facility.</w:t>
      </w:r>
    </w:p>
    <w:p>
      <w:pPr>
        <w:spacing w:after="0" w:line="166"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As of March 31, 2014, we had $28.8 million in cash and cash equivalents, an increase of $25.3 million from December 31, 2013. The increase was primarily attributable to drawing cash from our credit facility for two existing investments for which we funded upsizes for immediately after the period ended, as well as cash received on March 31, 2014 from amortization and interest payments and a partial sell down for one investment. During the three months ended March 31, 2014, we used $151.5 million in cash for operating activities, primarily as a result of funding of portfolio investments of $325.3 million. This was partially offset by proceeds from investments of $50.0 million, repayments on investments of $103.6 million, an increase in net assets resulting from operations of $25.3 million and other operating activity of $5.1 million. Lastly, cash provided by financing activities was $176.9 million during the period, primarily due to proceeds from issuance of common stock of $216.6 million partially offset by net repayments on debt of $29.6 million, debt issuance costs of $3.1 million and dividends paid of $7.0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w:t>
      </w:r>
    </w:p>
    <w:p>
      <w:pPr>
        <w:spacing w:after="0" w:line="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3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March 31, 2014, we had $8.5 million of restricted cash in our wholly owned subsidiary TPG SL SPV, an increase of $2.2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11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March 31,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March 31, 2014 no longer remain in effect.</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three months ended March 31, 2014 and 2013, we received fundings from drawdown notices to our investors relating to the issuance of 4,234,501 shares and 2,079,224 shares, respectively, of our common stock for aggregate proceeds of $65 million and $32 million, respectively. During the years ended December 31, 2013 and 2012, we received fundings from drawdown notices to our investors relating to the issuance of 3,713,053 shares and 19,199,421 shares, respectively, of our common stock for aggregate proceeds of $57 million and $288 million, respectively. Proceeds from the issuances were used in investing activities and for other general corporate purposes.</w:t>
      </w:r>
    </w:p>
    <w:p>
      <w:pPr>
        <w:spacing w:after="0" w:line="18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addition to the drawdowns noted above, during the three months ended March 31, 2014 and the years ended December 31, 2013 and 2012, we issued 502,200 shares, 1,730,042 shares and 613,020 shares of our common stock, respectively, to shareholders who have not opted out of our dividend reinvestment plan for proceeds of $7.8 million, $26.4 million and $9.2 million, respectively.</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May 1, 2014, pursuant to our dividend reinvestment plan, we issued 410,183 shares in connection with the dividend that was paid on April 30, 2014 to shareholders who opted out of the dividend reinvestment plan. This dividend was declared on March 26, 2014 for shareholders of record on March 31,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2014, December 31, 2013 and December 31,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March 31, 2014</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Total</w:t>
            </w:r>
          </w:p>
        </w:tc>
        <w:tc>
          <w:tcPr>
            <w:tcW w:w="760" w:type="dxa"/>
            <w:vAlign w:val="bottom"/>
          </w:tcPr>
          <w:p>
            <w:pPr>
              <w:spacing w:after="0"/>
              <w:rPr>
                <w:sz w:val="10"/>
                <w:szCs w:val="10"/>
                <w:color w:val="auto"/>
              </w:rPr>
            </w:pPr>
          </w:p>
        </w:tc>
        <w:tc>
          <w:tcPr>
            <w:tcW w:w="13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Facility</w:t>
            </w:r>
          </w:p>
        </w:tc>
        <w:tc>
          <w:tcPr>
            <w:tcW w:w="7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$175.0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4"/>
              </w:rPr>
              <w:t>153.2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(3)</w:t>
            </w:r>
          </w:p>
        </w:tc>
        <w:tc>
          <w:tcPr>
            <w:tcW w:w="480" w:type="dxa"/>
            <w:vAlign w:val="bottom"/>
          </w:tcPr>
          <w:p>
            <w:pPr>
              <w:jc w:val="right"/>
              <w:spacing w:after="0"/>
              <w:rPr>
                <w:sz w:val="20"/>
                <w:szCs w:val="20"/>
                <w:color w:val="auto"/>
              </w:rPr>
            </w:pPr>
            <w:r>
              <w:rPr>
                <w:rFonts w:ascii="Arial" w:cs="Arial" w:eastAsia="Arial" w:hAnsi="Arial"/>
                <w:sz w:val="18"/>
                <w:szCs w:val="18"/>
                <w:color w:val="auto"/>
              </w:rPr>
              <w:t>581.3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w w:val="88"/>
              </w:rPr>
              <w:t>248.9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7"/>
        </w:trPr>
        <w:tc>
          <w:tcPr>
            <w:tcW w:w="59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Debt Obligations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756.3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402.1</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Facility</w:t>
            </w:r>
          </w:p>
        </w:tc>
        <w:tc>
          <w:tcPr>
            <w:tcW w:w="7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432.3</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December 31, 2012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Facility</w:t>
            </w:r>
          </w:p>
        </w:tc>
        <w:tc>
          <w:tcPr>
            <w:tcW w:w="7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550.0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331.</w:t>
            </w:r>
            <w:r>
              <w:rPr>
                <w:rFonts w:ascii="Arial" w:cs="Arial" w:eastAsia="Arial" w:hAnsi="Arial"/>
                <w:sz w:val="18"/>
                <w:szCs w:val="18"/>
                <w:u w:val="single" w:color="auto"/>
                <w:color w:val="auto"/>
              </w:rPr>
              <w:t>8</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January 21, 2014, we amended the SPV Asset Facility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to increase the size of the facility to $581.3 million.</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of March 31, 2014, December 31, 2013 and December 31, 2012,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The second amended and restated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Net proceeds received from the closing of our IPO and concurrent private placement were used to pay down borrowings on the Revolving Credit Facility.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May 30, 2014, we exercised our right under the accordion feature and increased the size of the Revolving Credit Facility to $781.3 million. The Revolving Credit Facility continues to include the accordion feature, which would allow us, under certain circumstances, to increase the size of the Revolving Credit Facility further to a maximum of $956.3 million.</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Net proceeds received from the offering of our Convertible Senior Notes on June 10, 2014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borrow amounts in U.S. dollars or certain other permitted currencies. In connection with settling our foreign currency forward contracts related to our investments in Jeeves Information Systems AB and Soho House Bond Ltd., during the three months ended March 31, 2014 we borrowed in foreign currencies from our Revolving Credit Facility. As of March 31, 2014, we have outstanding debt denominated in Swedish Krona of 218,379,000 and outstanding debt denominated in Pound Sterling of 7,000,000 on our Revolving Credit Facility, included in the Borrowings Outstanding amount in the table above.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Revolving Credit Facility is guaranteed by TC Lending, LLC and certain of our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SPV Asset Facility</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9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six-month period (pursuant to an extension right exercisable by the borrower) so that the reinvestment period will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 TPG SL SPV had $8.5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of TPG SL SPV are considered our borrowings for purposes of complying with the asset coverage requirements of the 1940 Act.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Credit Facility</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The Convertible Senior Notes were issued under an indenture between us and Wells Fargo Bank, National Association, as trustee, under which 25% of the principal amount of the Convertible Senior Notes is generally necessary to require the trustee to take action.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the effective interest rate on the Convertible Senior Notes is three-month LIBOR plus 252.9 basis points.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2014 and December 31, 2013 and 2012, we had the following commitments to fund investments: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23.7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18.4</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These unfunded commitments terminated upon the completion of our IPO, and hence as of March 31, 2014 no longer remain in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2014, December 31, 2013 and 2012, we had outstanding commitments to fund investments totaling $55.7 million, $55.0 million and $32.0 million, respectively.</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500" w:firstLine="456"/>
        <w:spacing w:after="0" w:line="273"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2014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4"/>
              </w:rPr>
              <w:t>Payments Due by Period</w:t>
            </w: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2"/>
              </w:rPr>
              <w:t>Less than</w:t>
            </w:r>
          </w:p>
        </w:tc>
        <w:tc>
          <w:tcPr>
            <w:tcW w:w="920" w:type="dxa"/>
            <w:vAlign w:val="bottom"/>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3-</w:t>
            </w:r>
          </w:p>
        </w:tc>
        <w:tc>
          <w:tcPr>
            <w:tcW w:w="5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3 years</w:t>
            </w:r>
          </w:p>
        </w:tc>
        <w:tc>
          <w:tcPr>
            <w:tcW w:w="4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(1)</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248.9</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248.9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360" w:hanging="452"/>
        <w:spacing w:after="0" w:line="277"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 June 10, 2014, we issued in a private offering $115 million aggregate principal amount of the Convertible Senior Notes due 2019. Net proceeds received from the offering were used to pay down borrowings on the Revolving Credit Facility.</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summary of our contractual payment obligations as of December 31, 2013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2"/>
              </w:rPr>
              <w:t>Payments Due by Period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120" w:type="dxa"/>
            <w:vAlign w:val="bottom"/>
          </w:tcPr>
          <w:p>
            <w:pPr>
              <w:spacing w:after="0"/>
              <w:rPr>
                <w:sz w:val="10"/>
                <w:szCs w:val="10"/>
                <w:color w:val="auto"/>
              </w:rPr>
            </w:pPr>
          </w:p>
        </w:tc>
        <w:tc>
          <w:tcPr>
            <w:tcW w:w="3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1-</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3-</w:t>
            </w:r>
          </w:p>
        </w:tc>
        <w:tc>
          <w:tcPr>
            <w:tcW w:w="500" w:type="dxa"/>
            <w:vAlign w:val="bottom"/>
          </w:tcPr>
          <w:p>
            <w:pPr>
              <w:spacing w:after="0"/>
              <w:rPr>
                <w:sz w:val="10"/>
                <w:szCs w:val="10"/>
                <w:color w:val="auto"/>
              </w:rPr>
            </w:pPr>
          </w:p>
        </w:tc>
        <w:tc>
          <w:tcPr>
            <w:tcW w:w="4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5 years</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77.8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322.5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322.5</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322.5</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20" w:hanging="452"/>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under the Subscription Credit Facility was paid down prior to terminating the facility.</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subject to financial market risks, including valuation risk, interest rate risk and currency risk. See “—Results of Operations—Hedging.”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and Note 2 to our audited consolidated financial statements included elsewhere in this prospectus for more details on estimates and judgments made by us in connection with the valuation of our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March 31, 2014, 98.6% of our debt investments bore interest at floating rates, subject to interest rate floors. Our credit facilities also bear interest at floating rates.</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Assuming that our consolidated balance sheet as of March 31,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Interest</w:t>
            </w:r>
          </w:p>
        </w:tc>
        <w:tc>
          <w:tcPr>
            <w:tcW w:w="3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Net</w:t>
            </w:r>
          </w:p>
        </w:tc>
      </w:tr>
      <w:tr>
        <w:trPr>
          <w:trHeight w:val="176"/>
        </w:trPr>
        <w:tc>
          <w:tcPr>
            <w:tcW w:w="66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34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23.2</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12.0</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Up 200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11.4</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Down 25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5620" w:right="1480" w:hanging="5045"/>
        <w:spacing w:after="0" w:line="449" w:lineRule="auto"/>
        <w:tabs>
          <w:tab w:leader="none" w:pos="89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 78</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20" w:hanging="325"/>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60" w:right="2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See Note 6 to our audited consolidated financial statements included elsewhere in this prospectus for more information on the fair value of our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ind w:right="440"/>
        <w:spacing w:after="0" w:line="261" w:lineRule="auto"/>
        <w:rPr>
          <w:sz w:val="20"/>
          <w:szCs w:val="20"/>
          <w:color w:val="auto"/>
        </w:rPr>
      </w:pPr>
      <w:r>
        <w:rPr>
          <w:rFonts w:ascii="Arial" w:cs="Arial" w:eastAsia="Arial" w:hAnsi="Arial"/>
          <w:sz w:val="18"/>
          <w:szCs w:val="18"/>
          <w:color w:val="auto"/>
        </w:rPr>
        <w:t>Conclusions regarding tax positions are subject to review and may be adjusted at a later date based on factors including on-going analyses of tax laws, regulations and interpretations thereof.</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80"/>
          </w:cols>
          <w:pgMar w:left="240" w:top="460" w:right="3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2013, 2012 and 2011 and as of March 31, 2014. The report of our independent registered public accounting firm, KPMG LLP, on the senior securities table as of December 31, 2013 is attached as an exhibit to the registration statement of which this prospectus is a part.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Involuntary</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1"/>
              </w:rPr>
              <w:t>Treasury</w:t>
            </w:r>
          </w:p>
        </w:tc>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17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Liquidating</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800" w:type="dxa"/>
            <w:vAlign w:val="bottom"/>
            <w:gridSpan w:val="3"/>
            <w:vMerge w:val="continue"/>
          </w:tcPr>
          <w:p>
            <w:pPr>
              <w:spacing w:after="0"/>
              <w:rPr>
                <w:sz w:val="12"/>
                <w:szCs w:val="12"/>
                <w:color w:val="auto"/>
              </w:rPr>
            </w:pPr>
          </w:p>
        </w:tc>
        <w:tc>
          <w:tcPr>
            <w:tcW w:w="17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Preference Per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17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Value Per Unit</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7"/>
              </w:rPr>
              <w:t>December 31, 2014 (as of March 31, 2014) (Unaudited)</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3,001.5</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2012</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2,445.9</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2,116.7</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3"/>
              </w:rPr>
              <w:t>December 31, 2014 (as of March 31, 2014) (Unaudited)</w:t>
            </w:r>
            <w:r>
              <w:rPr>
                <w:rFonts w:ascii="Arial" w:cs="Arial" w:eastAsia="Arial" w:hAnsi="Arial"/>
                <w:sz w:val="15"/>
                <w:szCs w:val="15"/>
                <w:color w:val="auto"/>
                <w:w w:val="93"/>
              </w:rPr>
              <w:t>(5)</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$115 million aggregate principal amount of Convertible Senior Notes due 2019 were issued in June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6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 As of March 31, 2014 and December 31, 2013, we had investments in 30 and 27 portfolio companies, respectively. As of March 31, 2014, our average investment size in our portfolio companies was $40 million.</w:t>
      </w:r>
    </w:p>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 11.6%, 11.2% and 9.2%, respectively. We expect that no single investment will represent more than 15% of our total investment portfolio, based on fair value. See “Portfolio Companies” for more information on our portfolio as of March 31, 2014.</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8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an “emerging growth company” under the JOBS Act and will be subject to reduced public company reporting requirements. Further,</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7(a) (2)(B)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On May 19, 2014, we formed another wholly owned subsidiary, TSL MR, LLC, a Delaware limited liability company, to hold certain of our investments.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70"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2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 Unless earlier terminated, the Investment Advisory Agreement will remain in effect until November 5, 2014 and may be extended subject to required approvals.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right="26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9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Attractive investment dynamics</w:t>
      </w:r>
      <w:r>
        <w:rPr>
          <w:rFonts w:ascii="Arial" w:cs="Arial" w:eastAsia="Arial" w:hAnsi="Arial"/>
          <w:sz w:val="17"/>
          <w:szCs w:val="17"/>
          <w:color w:val="auto"/>
        </w:rPr>
        <w:t>. An imbalance between the supply of, and demand for, middle-market debt capital creates attractive pricing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4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Illustrative of the market opportunity for BDCs, the graph below demonstrates the decline in U.S. Federal Deposit Insurance Corporation, or FDIC, insured commercial banks and the drop in bank participation in the leveraged loan market over the past two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168910</wp:posOffset>
            </wp:positionV>
            <wp:extent cx="2512695" cy="17754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1269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2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hanging="446"/>
        <w:spacing w:after="0" w:line="276" w:lineRule="auto"/>
        <w:tabs>
          <w:tab w:leader="none" w:pos="1480" w:val="left"/>
        </w:tabs>
        <w:numPr>
          <w:ilvl w:val="1"/>
          <w:numId w:val="113"/>
        </w:numPr>
        <w:rPr>
          <w:rFonts w:ascii="Arial" w:cs="Arial" w:eastAsia="Arial" w:hAnsi="Arial"/>
          <w:sz w:val="17"/>
          <w:szCs w:val="17"/>
          <w:color w:val="auto"/>
        </w:rPr>
      </w:pPr>
      <w:r>
        <w:rPr>
          <w:rFonts w:ascii="Arial" w:cs="Arial" w:eastAsia="Arial" w:hAnsi="Arial"/>
          <w:sz w:val="17"/>
          <w:szCs w:val="17"/>
          <w:i w:val="1"/>
          <w:iCs w:val="1"/>
          <w:color w:val="auto"/>
        </w:rPr>
        <w:t>Business and sector selection</w:t>
      </w:r>
      <w:r>
        <w:rPr>
          <w:rFonts w:ascii="Arial" w:cs="Arial" w:eastAsia="Arial" w:hAnsi="Arial"/>
          <w:sz w:val="17"/>
          <w:szCs w:val="17"/>
          <w:color w:val="auto"/>
        </w:rPr>
        <w:t>. 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20" w:hanging="446"/>
        <w:spacing w:after="0" w:line="255"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8" w:lineRule="exact"/>
        <w:rPr>
          <w:rFonts w:ascii="Arial" w:cs="Arial" w:eastAsia="Arial" w:hAnsi="Arial"/>
          <w:sz w:val="18"/>
          <w:szCs w:val="18"/>
          <w:color w:val="auto"/>
        </w:rPr>
      </w:pPr>
    </w:p>
    <w:p>
      <w:pPr>
        <w:jc w:val="both"/>
        <w:ind w:left="1480" w:right="220" w:hanging="446"/>
        <w:spacing w:after="0" w:line="312" w:lineRule="auto"/>
        <w:tabs>
          <w:tab w:leader="none" w:pos="1480" w:val="left"/>
        </w:tabs>
        <w:numPr>
          <w:ilvl w:val="1"/>
          <w:numId w:val="113"/>
        </w:numPr>
        <w:rPr>
          <w:rFonts w:ascii="Arial" w:cs="Arial" w:eastAsia="Arial" w:hAnsi="Arial"/>
          <w:sz w:val="16"/>
          <w:szCs w:val="16"/>
          <w:color w:val="auto"/>
        </w:rPr>
      </w:pPr>
      <w:r>
        <w:rPr>
          <w:rFonts w:ascii="Arial" w:cs="Arial" w:eastAsia="Arial" w:hAnsi="Arial"/>
          <w:sz w:val="16"/>
          <w:szCs w:val="16"/>
          <w:i w:val="1"/>
          <w:iCs w:val="1"/>
          <w:color w:val="auto"/>
        </w:rPr>
        <w:t>Deal dynamics</w:t>
      </w:r>
      <w:r>
        <w:rPr>
          <w:rFonts w:ascii="Arial" w:cs="Arial" w:eastAsia="Arial" w:hAnsi="Arial"/>
          <w:sz w:val="16"/>
          <w:szCs w:val="16"/>
          <w:color w:val="auto"/>
        </w:rPr>
        <w:t>. 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2" w:lineRule="exact"/>
        <w:rPr>
          <w:rFonts w:ascii="Arial" w:cs="Arial" w:eastAsia="Arial" w:hAnsi="Arial"/>
          <w:sz w:val="16"/>
          <w:szCs w:val="16"/>
          <w:color w:val="auto"/>
        </w:rPr>
      </w:pPr>
    </w:p>
    <w:p>
      <w:pPr>
        <w:ind w:left="1480" w:right="60" w:hanging="446"/>
        <w:spacing w:after="0" w:line="264"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Carefully constructed, existing, wide-ranging portfolio consisting of predominantly senior, floating rate loans</w:t>
      </w:r>
      <w:r>
        <w:rPr>
          <w:rFonts w:ascii="Arial" w:cs="Arial" w:eastAsia="Arial" w:hAnsi="Arial"/>
          <w:sz w:val="17"/>
          <w:szCs w:val="17"/>
          <w:color w:val="auto"/>
        </w:rPr>
        <w:t>. Since we began investing in 2011,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Experienced management team. The eight managing directors of TSSP on the Adviser’s team have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92"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0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00"/>
          </w:cols>
          <w:pgMar w:left="240" w:top="460"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80"/>
        <w:spacing w:after="0" w:line="286" w:lineRule="auto"/>
        <w:rPr>
          <w:sz w:val="20"/>
          <w:szCs w:val="20"/>
          <w:color w:val="auto"/>
        </w:rPr>
      </w:pPr>
      <w:r>
        <w:rPr>
          <w:rFonts w:ascii="Arial" w:cs="Arial" w:eastAsia="Arial" w:hAnsi="Arial"/>
          <w:sz w:val="17"/>
          <w:szCs w:val="17"/>
          <w:color w:val="auto"/>
        </w:rPr>
        <w:t>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71" w:lineRule="exact"/>
        <w:rPr>
          <w:sz w:val="20"/>
          <w:szCs w:val="20"/>
          <w:color w:val="auto"/>
        </w:rPr>
      </w:pPr>
    </w:p>
    <w:p>
      <w:pPr>
        <w:ind w:left="900" w:right="60" w:hanging="325"/>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middle-market companies through direct originations of senior secured loans and, to a lesser extent, originations of mezzanine loans and investments in corporate bonds and equity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92"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122"/>
        </w:numPr>
        <w:rPr>
          <w:rFonts w:ascii="Arial" w:cs="Arial" w:eastAsia="Arial" w:hAnsi="Arial"/>
          <w:sz w:val="15"/>
          <w:szCs w:val="15"/>
          <w:color w:val="auto"/>
        </w:rPr>
      </w:pPr>
      <w:r>
        <w:rPr>
          <w:rFonts w:ascii="Arial" w:cs="Arial" w:eastAsia="Arial" w:hAnsi="Arial"/>
          <w:sz w:val="18"/>
          <w:szCs w:val="18"/>
          <w:i w:val="1"/>
          <w:iCs w:val="1"/>
          <w:color w:val="auto"/>
        </w:rPr>
        <w:t>Stand-alone first-lien loans</w:t>
      </w:r>
      <w:r>
        <w:rPr>
          <w:rFonts w:ascii="Arial" w:cs="Arial" w:eastAsia="Arial" w:hAnsi="Arial"/>
          <w:sz w:val="18"/>
          <w:szCs w:val="18"/>
          <w:color w:val="auto"/>
        </w:rPr>
        <w:t>. 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75" w:lineRule="exact"/>
        <w:rPr>
          <w:rFonts w:ascii="Arial" w:cs="Arial" w:eastAsia="Arial" w:hAnsi="Arial"/>
          <w:sz w:val="15"/>
          <w:szCs w:val="15"/>
          <w:color w:val="auto"/>
        </w:rPr>
      </w:pPr>
    </w:p>
    <w:p>
      <w:pPr>
        <w:ind w:left="1480" w:right="40" w:hanging="446"/>
        <w:spacing w:after="0" w:line="257" w:lineRule="auto"/>
        <w:tabs>
          <w:tab w:leader="none" w:pos="1480" w:val="left"/>
        </w:tabs>
        <w:numPr>
          <w:ilvl w:val="1"/>
          <w:numId w:val="122"/>
        </w:numPr>
        <w:rPr>
          <w:rFonts w:ascii="Arial" w:cs="Arial" w:eastAsia="Arial" w:hAnsi="Arial"/>
          <w:sz w:val="15"/>
          <w:szCs w:val="15"/>
          <w:color w:val="auto"/>
        </w:rPr>
      </w:pPr>
      <w:r>
        <w:rPr>
          <w:rFonts w:ascii="Arial" w:cs="Arial" w:eastAsia="Arial" w:hAnsi="Arial"/>
          <w:sz w:val="18"/>
          <w:szCs w:val="18"/>
          <w:i w:val="1"/>
          <w:iCs w:val="1"/>
          <w:color w:val="auto"/>
        </w:rPr>
        <w:t>“Last out” first-lien loans</w:t>
      </w:r>
      <w:r>
        <w:rPr>
          <w:rFonts w:ascii="Arial" w:cs="Arial" w:eastAsia="Arial" w:hAnsi="Arial"/>
          <w:sz w:val="18"/>
          <w:szCs w:val="18"/>
          <w:color w:val="auto"/>
        </w:rPr>
        <w:t>. “Last out” first-lien loans have a secondary priority behind super-senior “first out” first-lien loans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59" w:lineRule="auto"/>
        <w:rPr>
          <w:sz w:val="20"/>
          <w:szCs w:val="20"/>
          <w:color w:val="auto"/>
        </w:rPr>
      </w:pPr>
      <w:r>
        <w:rPr>
          <w:rFonts w:ascii="Arial" w:cs="Arial" w:eastAsia="Arial" w:hAnsi="Arial"/>
          <w:sz w:val="18"/>
          <w:szCs w:val="18"/>
          <w:color w:val="auto"/>
        </w:rPr>
        <w:t>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2" w:lineRule="exact"/>
        <w:rPr>
          <w:sz w:val="20"/>
          <w:szCs w:val="20"/>
          <w:color w:val="auto"/>
        </w:rPr>
      </w:pPr>
    </w:p>
    <w:p>
      <w:pPr>
        <w:ind w:left="1480" w:hanging="446"/>
        <w:spacing w:after="0" w:line="312" w:lineRule="auto"/>
        <w:tabs>
          <w:tab w:leader="none" w:pos="1480" w:val="left"/>
        </w:tabs>
        <w:numPr>
          <w:ilvl w:val="1"/>
          <w:numId w:val="123"/>
        </w:numPr>
        <w:rPr>
          <w:rFonts w:ascii="Arial" w:cs="Arial" w:eastAsia="Arial" w:hAnsi="Arial"/>
          <w:sz w:val="14"/>
          <w:szCs w:val="14"/>
          <w:color w:val="auto"/>
        </w:rPr>
      </w:pPr>
      <w:r>
        <w:rPr>
          <w:rFonts w:ascii="Arial" w:cs="Arial" w:eastAsia="Arial" w:hAnsi="Arial"/>
          <w:sz w:val="16"/>
          <w:szCs w:val="16"/>
          <w:i w:val="1"/>
          <w:iCs w:val="1"/>
          <w:color w:val="auto"/>
        </w:rPr>
        <w:t>“Unitranche” loans</w:t>
      </w:r>
      <w:r>
        <w:rPr>
          <w:rFonts w:ascii="Arial" w:cs="Arial" w:eastAsia="Arial" w:hAnsi="Arial"/>
          <w:sz w:val="16"/>
          <w:szCs w:val="16"/>
          <w:color w:val="auto"/>
        </w:rPr>
        <w:t>. 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4"/>
          <w:szCs w:val="14"/>
          <w:color w:val="auto"/>
        </w:rPr>
      </w:pPr>
    </w:p>
    <w:p>
      <w:pPr>
        <w:ind w:left="900" w:hanging="325"/>
        <w:spacing w:after="0" w:line="25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Second-lien debt</w:t>
      </w:r>
      <w:r>
        <w:rPr>
          <w:rFonts w:ascii="Arial" w:cs="Arial" w:eastAsia="Arial" w:hAnsi="Arial"/>
          <w:sz w:val="18"/>
          <w:szCs w:val="18"/>
          <w:color w:val="auto"/>
        </w:rPr>
        <w:t>. 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Structurally, mezzanine debt usually ranks subordinate in priority of payment to first-lien and second-lien debt, is often</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8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42"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of March 31, 2014 and December 31, 2013, we had made investments with an aggregate fair value of $1,195.5 million and $1,016.5 million, respectively, in 30 and 27 portfolio companies, respectively. See “Portfolio Companies” for more information on these investments, including a list of companies and type and amount of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March 31,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0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7"/>
              </w:rPr>
              <w:t>Cost</w:t>
            </w:r>
            <w:r>
              <w:rPr>
                <w:rFonts w:ascii="Arial" w:cs="Arial" w:eastAsia="Arial" w:hAnsi="Arial"/>
                <w:sz w:val="12"/>
                <w:szCs w:val="12"/>
                <w:b w:val="1"/>
                <w:bCs w:val="1"/>
                <w:color w:val="auto"/>
                <w:w w:val="87"/>
              </w:rPr>
              <w:t>(1)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194.1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203.8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85"/>
              </w:rPr>
              <w:t>$ 1,172.4</w:t>
            </w:r>
          </w:p>
        </w:tc>
        <w:tc>
          <w:tcPr>
            <w:tcW w:w="166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1,195.5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0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863.4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131.1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997.3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1,016.5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40" w:hanging="452"/>
        <w:spacing w:after="0" w:line="277"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March 31, 2014 and December 31, 2013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March 31, 2014</w:t>
            </w:r>
            <w:r>
              <w:rPr>
                <w:rFonts w:ascii="Arial" w:cs="Arial" w:eastAsia="Arial" w:hAnsi="Arial"/>
                <w:sz w:val="12"/>
                <w:szCs w:val="12"/>
                <w:b w:val="1"/>
                <w:bCs w:val="1"/>
                <w:color w:val="auto"/>
                <w:w w:val="96"/>
              </w:rPr>
              <w:t>(1)</w:t>
            </w:r>
          </w:p>
        </w:tc>
        <w:tc>
          <w:tcPr>
            <w:tcW w:w="7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2013</w:t>
            </w:r>
            <w:r>
              <w:rPr>
                <w:rFonts w:ascii="Arial" w:cs="Arial" w:eastAsia="Arial" w:hAnsi="Arial"/>
                <w:sz w:val="12"/>
                <w:szCs w:val="12"/>
                <w:b w:val="1"/>
                <w:bCs w:val="1"/>
                <w:color w:val="auto"/>
                <w:w w:val="90"/>
              </w:rPr>
              <w:t>(1)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Automotive</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4.9%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Business services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11.6%</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3.9%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Electronics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9.2%</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11.2%</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4.5%</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Internet services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Metals and mining</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2.9%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8.9%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4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60" w:type="dxa"/>
            <w:vAlign w:val="bottom"/>
            <w:vMerge w:val="continue"/>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60" w:type="dxa"/>
            <w:vAlign w:val="bottom"/>
            <w:vMerge w:val="restart"/>
          </w:tcPr>
          <w:p>
            <w:pPr>
              <w:jc w:val="right"/>
              <w:ind w:right="270"/>
              <w:spacing w:after="0"/>
              <w:rPr>
                <w:sz w:val="20"/>
                <w:szCs w:val="20"/>
                <w:color w:val="auto"/>
              </w:rPr>
            </w:pPr>
            <w:r>
              <w:rPr>
                <w:rFonts w:ascii="Arial" w:cs="Arial" w:eastAsia="Arial" w:hAnsi="Arial"/>
                <w:sz w:val="18"/>
                <w:szCs w:val="18"/>
                <w:color w:val="auto"/>
              </w:rPr>
              <w:t>94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460" w:right="8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0" w:hanging="452"/>
        <w:spacing w:after="0" w:line="277"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geographic composition of investments at fair value at March 31, 2014 and December 31, 2013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6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12.5%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South</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17.7%</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Europe</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8.1%</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we had the following commitments to fund investments: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24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table set forth below contains certain information as of March 31, 2014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March 31, 2014, we did not “control” and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Investment</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(Par amounts in</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vMerge w:val="continue"/>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of Net</w:t>
            </w:r>
          </w:p>
        </w:tc>
        <w:tc>
          <w:tcPr>
            <w:tcW w:w="0" w:type="dxa"/>
            <w:vAlign w:val="bottom"/>
          </w:tcPr>
          <w:p>
            <w:pPr>
              <w:spacing w:after="0"/>
              <w:rPr>
                <w:sz w:val="1"/>
                <w:szCs w:val="1"/>
                <w:color w:val="auto"/>
              </w:rPr>
            </w:pPr>
          </w:p>
        </w:tc>
      </w:tr>
      <w:tr>
        <w:trPr>
          <w:trHeight w:val="176"/>
        </w:trPr>
        <w:tc>
          <w:tcPr>
            <w:tcW w:w="4360" w:type="dxa"/>
            <w:vAlign w:val="bottom"/>
            <w:gridSpan w:val="2"/>
            <w:vMerge w:val="continue"/>
          </w:tcPr>
          <w:p>
            <w:pPr>
              <w:spacing w:after="0"/>
              <w:rPr>
                <w:sz w:val="15"/>
                <w:szCs w:val="15"/>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thousands)</w:t>
            </w:r>
          </w:p>
        </w:tc>
        <w:tc>
          <w:tcPr>
            <w:tcW w:w="92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Debt Investments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Aerospace and defense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w:t>
            </w:r>
            <w:r>
              <w:rPr>
                <w:rFonts w:ascii="Arial" w:cs="Arial" w:eastAsia="Arial" w:hAnsi="Arial"/>
                <w:sz w:val="15"/>
                <w:szCs w:val="15"/>
                <w:color w:val="auto"/>
              </w:rPr>
              <w:t>(3)(4)(6)</w:t>
            </w:r>
          </w:p>
        </w:tc>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 due</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11/2017)</w:t>
            </w: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12/23/2011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53,720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5"/>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60" w:right="239" w:bottom="1440" w:gutter="0" w:footer="0" w:header="0"/>
        </w:sectPr>
      </w:pPr>
    </w:p>
    <w:p>
      <w:pPr>
        <w:spacing w:after="0"/>
        <w:tabs>
          <w:tab w:leader="none" w:pos="4340" w:val="left"/>
        </w:tabs>
        <w:rPr>
          <w:sz w:val="20"/>
          <w:szCs w:val="20"/>
          <w:color w:val="auto"/>
        </w:rPr>
      </w:pPr>
      <w:r>
        <w:rPr>
          <w:rFonts w:ascii="Arial" w:cs="Arial" w:eastAsia="Arial" w:hAnsi="Arial"/>
          <w:sz w:val="18"/>
          <w:szCs w:val="18"/>
          <w:color w:val="auto"/>
        </w:rPr>
        <w:t>Heartland Automotive Holdings, LLC</w:t>
      </w:r>
      <w:r>
        <w:rPr>
          <w:rFonts w:ascii="Arial" w:cs="Arial" w:eastAsia="Arial" w:hAnsi="Arial"/>
          <w:sz w:val="15"/>
          <w:szCs w:val="15"/>
          <w:color w:val="auto"/>
        </w:rPr>
        <w:t>(3)(4)</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($33,910 par, due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6/2017)</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First-lien revolving</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loan ($4,611 par, due</w:t>
      </w:r>
    </w:p>
    <w:p>
      <w:pPr>
        <w:spacing w:after="0" w:line="4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6/2017)</w:t>
      </w:r>
    </w:p>
    <w:p>
      <w:pPr>
        <w:spacing w:after="0" w:line="8"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Sage Automotive Interiors,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($21,330 par, due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Beverage, food and tobacco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9.75%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8/28/2012</w:t>
            </w:r>
          </w:p>
        </w:tc>
        <w:tc>
          <w:tcPr>
            <w:tcW w:w="860" w:type="dxa"/>
            <w:vAlign w:val="bottom"/>
          </w:tcPr>
          <w:p>
            <w:pPr>
              <w:jc w:val="right"/>
              <w:spacing w:after="0"/>
              <w:rPr>
                <w:sz w:val="20"/>
                <w:szCs w:val="20"/>
                <w:color w:val="auto"/>
              </w:rPr>
            </w:pPr>
            <w:r>
              <w:rPr>
                <w:rFonts w:ascii="Arial" w:cs="Arial" w:eastAsia="Arial" w:hAnsi="Arial"/>
                <w:sz w:val="18"/>
                <w:szCs w:val="18"/>
                <w:color w:val="auto"/>
              </w:rPr>
              <w:t>33,281</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32,977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w w:val="88"/>
              </w:rPr>
              <w:t>10.75%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8/28/2012</w:t>
            </w:r>
          </w:p>
        </w:tc>
        <w:tc>
          <w:tcPr>
            <w:tcW w:w="860" w:type="dxa"/>
            <w:vAlign w:val="bottom"/>
          </w:tcPr>
          <w:p>
            <w:pPr>
              <w:jc w:val="right"/>
              <w:spacing w:after="0"/>
              <w:rPr>
                <w:sz w:val="20"/>
                <w:szCs w:val="20"/>
                <w:color w:val="auto"/>
              </w:rPr>
            </w:pPr>
            <w:r>
              <w:rPr>
                <w:rFonts w:ascii="Arial" w:cs="Arial" w:eastAsia="Arial" w:hAnsi="Arial"/>
                <w:sz w:val="18"/>
                <w:szCs w:val="18"/>
                <w:color w:val="auto"/>
              </w:rPr>
              <w:t>4,508</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4,458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8.50%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12/31/2012</w:t>
            </w:r>
          </w:p>
        </w:tc>
        <w:tc>
          <w:tcPr>
            <w:tcW w:w="860" w:type="dxa"/>
            <w:vAlign w:val="bottom"/>
          </w:tcPr>
          <w:p>
            <w:pPr>
              <w:jc w:val="right"/>
              <w:spacing w:after="0"/>
              <w:rPr>
                <w:sz w:val="20"/>
                <w:szCs w:val="20"/>
                <w:color w:val="auto"/>
              </w:rPr>
            </w:pPr>
            <w:r>
              <w:rPr>
                <w:rFonts w:ascii="Arial" w:cs="Arial" w:eastAsia="Arial" w:hAnsi="Arial"/>
                <w:sz w:val="18"/>
                <w:szCs w:val="18"/>
                <w:color w:val="auto"/>
              </w:rPr>
              <w:t>21,130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21,437</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58,919</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58,872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ectPr>
          <w:pgSz w:w="11900" w:h="16838" w:orient="portrait"/>
          <w:cols w:equalWidth="0" w:num="2">
            <w:col w:w="5880" w:space="300"/>
            <w:col w:w="52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(3)(4)(6)</w:t>
            </w:r>
          </w:p>
        </w:tc>
        <w:tc>
          <w:tcPr>
            <w:tcW w:w="1680" w:type="dxa"/>
            <w:vAlign w:val="bottom"/>
          </w:tcPr>
          <w:p>
            <w:pPr>
              <w:ind w:left="420"/>
              <w:spacing w:after="0"/>
              <w:rPr>
                <w:sz w:val="20"/>
                <w:szCs w:val="20"/>
                <w:color w:val="auto"/>
              </w:rPr>
            </w:pPr>
            <w:r>
              <w:rPr>
                <w:rFonts w:ascii="Arial" w:cs="Arial" w:eastAsia="Arial" w:hAnsi="Arial"/>
                <w:sz w:val="18"/>
                <w:szCs w:val="18"/>
                <w:color w:val="auto"/>
              </w:rPr>
              <w:t>First-lien loan</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w w:val="87"/>
              </w:rPr>
              <w:t>($65,000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rPr>
              <w:t>3/2020)</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3/3/2014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63,551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63,538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(3)(4)(6)</w:t>
            </w:r>
          </w:p>
        </w:tc>
        <w:tc>
          <w:tcPr>
            <w:tcW w:w="1680" w:type="dxa"/>
            <w:vAlign w:val="bottom"/>
          </w:tcPr>
          <w:p>
            <w:pPr>
              <w:ind w:left="420"/>
              <w:spacing w:after="0" w:line="201" w:lineRule="exact"/>
              <w:rPr>
                <w:sz w:val="20"/>
                <w:szCs w:val="20"/>
                <w:color w:val="auto"/>
              </w:rPr>
            </w:pPr>
            <w:r>
              <w:rPr>
                <w:rFonts w:ascii="Arial" w:cs="Arial" w:eastAsia="Arial" w:hAnsi="Arial"/>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w w:val="87"/>
              </w:rPr>
              <w:t>($66,933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rPr>
              <w:t>4/2018)</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4/11/2013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64,891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66,933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Beyond Trust Software Holding Group, Inc.</w:t>
            </w:r>
            <w:r>
              <w:rPr>
                <w:rFonts w:ascii="Arial" w:cs="Arial" w:eastAsia="Arial" w:hAnsi="Arial"/>
                <w:sz w:val="15"/>
                <w:szCs w:val="15"/>
                <w:color w:val="auto"/>
              </w:rPr>
              <w:t>(3)(6)</w:t>
            </w:r>
          </w:p>
        </w:tc>
        <w:tc>
          <w:tcPr>
            <w:tcW w:w="16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First-lien loan</w:t>
            </w: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($42,234 par, due</w:t>
            </w: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3940" w:type="dxa"/>
            <w:vAlign w:val="bottom"/>
            <w:shd w:val="clear" w:color="auto" w:fill="CCEEFF"/>
          </w:tcPr>
          <w:p>
            <w:pPr>
              <w:spacing w:after="0"/>
              <w:rPr>
                <w:sz w:val="21"/>
                <w:szCs w:val="21"/>
                <w:color w:val="auto"/>
              </w:rPr>
            </w:pP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12/2019)</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7.25%</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12/18/2013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41,268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(3)(4)</w:t>
            </w:r>
          </w:p>
        </w:tc>
        <w:tc>
          <w:tcPr>
            <w:tcW w:w="1680" w:type="dxa"/>
            <w:vAlign w:val="bottom"/>
          </w:tcPr>
          <w:p>
            <w:pPr>
              <w:ind w:left="420"/>
              <w:spacing w:after="0" w:line="201" w:lineRule="exact"/>
              <w:rPr>
                <w:sz w:val="20"/>
                <w:szCs w:val="20"/>
                <w:color w:val="auto"/>
              </w:rPr>
            </w:pPr>
            <w:r>
              <w:rPr>
                <w:rFonts w:ascii="Arial" w:cs="Arial" w:eastAsia="Arial" w:hAnsi="Arial"/>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w w:val="87"/>
              </w:rPr>
              <w:t>($29,659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rPr>
              <w:t>9/2018)</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9/12/2013</w:t>
            </w:r>
          </w:p>
        </w:tc>
        <w:tc>
          <w:tcPr>
            <w:tcW w:w="860" w:type="dxa"/>
            <w:vAlign w:val="bottom"/>
          </w:tcPr>
          <w:p>
            <w:pPr>
              <w:jc w:val="right"/>
              <w:spacing w:after="0"/>
              <w:rPr>
                <w:sz w:val="20"/>
                <w:szCs w:val="20"/>
                <w:color w:val="auto"/>
              </w:rPr>
            </w:pPr>
            <w:r>
              <w:rPr>
                <w:rFonts w:ascii="Arial" w:cs="Arial" w:eastAsia="Arial" w:hAnsi="Arial"/>
                <w:sz w:val="18"/>
                <w:szCs w:val="18"/>
                <w:color w:val="auto"/>
              </w:rPr>
              <w:t>29,129</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29,354</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r>
      <w:tr>
        <w:trPr>
          <w:trHeight w:val="372"/>
        </w:trPr>
        <w:tc>
          <w:tcPr>
            <w:tcW w:w="3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jc w:val="right"/>
              <w:ind w:right="1010"/>
              <w:spacing w:after="0"/>
              <w:rPr>
                <w:sz w:val="20"/>
                <w:szCs w:val="20"/>
                <w:color w:val="auto"/>
              </w:rPr>
            </w:pPr>
            <w:r>
              <w:rPr>
                <w:rFonts w:ascii="Arial" w:cs="Arial" w:eastAsia="Arial" w:hAnsi="Arial"/>
                <w:sz w:val="18"/>
                <w:szCs w:val="18"/>
                <w:color w:val="auto"/>
                <w:w w:val="79"/>
              </w:rPr>
              <w:t>97</w:t>
            </w:r>
          </w:p>
        </w:tc>
        <w:tc>
          <w:tcPr>
            <w:tcW w:w="1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type w:val="continuous"/>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 amounts in</w:t>
            </w:r>
          </w:p>
        </w:tc>
        <w:tc>
          <w:tcPr>
            <w:tcW w:w="0" w:type="dxa"/>
            <w:vAlign w:val="bottom"/>
          </w:tcPr>
          <w:p>
            <w:pPr>
              <w:spacing w:after="0"/>
              <w:rPr>
                <w:sz w:val="1"/>
                <w:szCs w:val="1"/>
                <w:color w:val="auto"/>
              </w:rPr>
            </w:pPr>
          </w:p>
        </w:tc>
      </w:tr>
      <w:tr>
        <w:trPr>
          <w:trHeight w:val="185"/>
        </w:trPr>
        <w:tc>
          <w:tcPr>
            <w:tcW w:w="4040" w:type="dxa"/>
            <w:vAlign w:val="bottom"/>
            <w:gridSpan w:val="3"/>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Construction and building</w:t>
            </w:r>
          </w:p>
        </w:tc>
        <w:tc>
          <w:tcPr>
            <w:tcW w:w="2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Mannington Mills, Inc.</w:t>
            </w:r>
            <w:r>
              <w:rPr>
                <w:rFonts w:ascii="Arial" w:cs="Arial" w:eastAsia="Arial" w:hAnsi="Arial"/>
                <w:sz w:val="15"/>
                <w:szCs w:val="15"/>
                <w:color w:val="auto"/>
              </w:rPr>
              <w:t>(3)(4)</w:t>
            </w:r>
          </w:p>
        </w:tc>
        <w:tc>
          <w:tcPr>
            <w:tcW w:w="1700" w:type="dxa"/>
            <w:vAlign w:val="bottom"/>
          </w:tcPr>
          <w:p>
            <w:pPr>
              <w:spacing w:after="0"/>
              <w:rPr>
                <w:sz w:val="20"/>
                <w:szCs w:val="20"/>
                <w:color w:val="auto"/>
              </w:rPr>
            </w:pPr>
            <w:r>
              <w:rPr>
                <w:rFonts w:ascii="Arial" w:cs="Arial" w:eastAsia="Arial" w:hAnsi="Arial"/>
                <w:sz w:val="18"/>
                <w:szCs w:val="18"/>
                <w:color w:val="auto"/>
              </w:rPr>
              <w:t>Second-lien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($47,366 par, due</w:t>
            </w:r>
          </w:p>
        </w:tc>
        <w:tc>
          <w:tcPr>
            <w:tcW w:w="0" w:type="dxa"/>
            <w:vAlign w:val="bottom"/>
          </w:tcPr>
          <w:p>
            <w:pPr>
              <w:spacing w:after="0"/>
              <w:rPr>
                <w:sz w:val="1"/>
                <w:szCs w:val="1"/>
                <w:color w:val="auto"/>
              </w:rPr>
            </w:pPr>
          </w:p>
        </w:tc>
      </w:tr>
      <w:tr>
        <w:trPr>
          <w:trHeight w:val="23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Containers and packaging</w:t>
            </w:r>
          </w:p>
        </w:tc>
        <w:tc>
          <w:tcPr>
            <w:tcW w:w="1700" w:type="dxa"/>
            <w:vAlign w:val="bottom"/>
          </w:tcPr>
          <w:p>
            <w:pPr>
              <w:spacing w:after="0"/>
              <w:rPr>
                <w:sz w:val="20"/>
                <w:szCs w:val="20"/>
                <w:color w:val="auto"/>
              </w:rPr>
            </w:pPr>
            <w:r>
              <w:rPr>
                <w:rFonts w:ascii="Arial" w:cs="Arial" w:eastAsia="Arial" w:hAnsi="Arial"/>
                <w:sz w:val="18"/>
                <w:szCs w:val="18"/>
                <w:color w:val="auto"/>
              </w:rPr>
              <w:t>3/2017)</w:t>
            </w:r>
          </w:p>
        </w:tc>
        <w:tc>
          <w:tcPr>
            <w:tcW w:w="0" w:type="dxa"/>
            <w:vAlign w:val="bottom"/>
          </w:tcPr>
          <w:p>
            <w:pPr>
              <w:spacing w:after="0"/>
              <w:rPr>
                <w:sz w:val="1"/>
                <w:szCs w:val="1"/>
                <w:color w:val="auto"/>
              </w:rPr>
            </w:pPr>
          </w:p>
        </w:tc>
      </w:tr>
      <w:tr>
        <w:trPr>
          <w:trHeight w:val="202"/>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The Newark Group, Inc.</w:t>
            </w:r>
            <w:r>
              <w:rPr>
                <w:rFonts w:ascii="Arial" w:cs="Arial" w:eastAsia="Arial" w:hAnsi="Arial"/>
                <w:sz w:val="15"/>
                <w:szCs w:val="15"/>
                <w:color w:val="auto"/>
              </w:rPr>
              <w:t>(3)(4)</w:t>
            </w:r>
          </w:p>
        </w:tc>
        <w:tc>
          <w:tcPr>
            <w:tcW w:w="170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($46,080 par, due</w:t>
            </w:r>
          </w:p>
        </w:tc>
        <w:tc>
          <w:tcPr>
            <w:tcW w:w="0" w:type="dxa"/>
            <w:vAlign w:val="bottom"/>
          </w:tcPr>
          <w:p>
            <w:pPr>
              <w:spacing w:after="0"/>
              <w:rPr>
                <w:sz w:val="1"/>
                <w:szCs w:val="1"/>
                <w:color w:val="auto"/>
              </w:rPr>
            </w:pPr>
          </w:p>
        </w:tc>
      </w:tr>
      <w:tr>
        <w:trPr>
          <w:trHeight w:val="23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Education</w:t>
            </w:r>
          </w:p>
        </w:tc>
        <w:tc>
          <w:tcPr>
            <w:tcW w:w="1700" w:type="dxa"/>
            <w:vAlign w:val="bottom"/>
          </w:tcPr>
          <w:p>
            <w:pPr>
              <w:spacing w:after="0"/>
              <w:rPr>
                <w:sz w:val="20"/>
                <w:szCs w:val="20"/>
                <w:color w:val="auto"/>
              </w:rPr>
            </w:pPr>
            <w:r>
              <w:rPr>
                <w:rFonts w:ascii="Arial" w:cs="Arial" w:eastAsia="Arial" w:hAnsi="Arial"/>
                <w:sz w:val="18"/>
                <w:szCs w:val="18"/>
                <w:color w:val="auto"/>
              </w:rPr>
              <w:t>2/2018)</w:t>
            </w:r>
          </w:p>
        </w:tc>
        <w:tc>
          <w:tcPr>
            <w:tcW w:w="0" w:type="dxa"/>
            <w:vAlign w:val="bottom"/>
          </w:tcPr>
          <w:p>
            <w:pPr>
              <w:spacing w:after="0"/>
              <w:rPr>
                <w:sz w:val="1"/>
                <w:szCs w:val="1"/>
                <w:color w:val="auto"/>
              </w:rPr>
            </w:pPr>
          </w:p>
        </w:tc>
      </w:tr>
      <w:tr>
        <w:trPr>
          <w:trHeight w:val="202"/>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Campus Management, Inc.</w:t>
            </w:r>
            <w:r>
              <w:rPr>
                <w:rFonts w:ascii="Arial" w:cs="Arial" w:eastAsia="Arial" w:hAnsi="Arial"/>
                <w:sz w:val="15"/>
                <w:szCs w:val="15"/>
                <w:color w:val="auto"/>
              </w:rPr>
              <w:t>(3)(4)(6)</w:t>
            </w:r>
          </w:p>
        </w:tc>
        <w:tc>
          <w:tcPr>
            <w:tcW w:w="170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($29,250 par, due</w:t>
            </w:r>
          </w:p>
        </w:tc>
        <w:tc>
          <w:tcPr>
            <w:tcW w:w="0" w:type="dxa"/>
            <w:vAlign w:val="bottom"/>
          </w:tcPr>
          <w:p>
            <w:pPr>
              <w:spacing w:after="0"/>
              <w:rPr>
                <w:sz w:val="1"/>
                <w:szCs w:val="1"/>
                <w:color w:val="auto"/>
              </w:rPr>
            </w:pPr>
          </w:p>
        </w:tc>
      </w:tr>
      <w:tr>
        <w:trPr>
          <w:trHeight w:val="23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Electronics</w:t>
            </w:r>
          </w:p>
        </w:tc>
        <w:tc>
          <w:tcPr>
            <w:tcW w:w="1700" w:type="dxa"/>
            <w:vAlign w:val="bottom"/>
          </w:tcPr>
          <w:p>
            <w:pPr>
              <w:spacing w:after="0"/>
              <w:rPr>
                <w:sz w:val="20"/>
                <w:szCs w:val="20"/>
                <w:color w:val="auto"/>
              </w:rPr>
            </w:pPr>
            <w:r>
              <w:rPr>
                <w:rFonts w:ascii="Arial" w:cs="Arial" w:eastAsia="Arial" w:hAnsi="Arial"/>
                <w:sz w:val="18"/>
                <w:szCs w:val="18"/>
                <w:color w:val="auto"/>
              </w:rPr>
              <w:t>9/2018)</w:t>
            </w:r>
          </w:p>
        </w:tc>
        <w:tc>
          <w:tcPr>
            <w:tcW w:w="0" w:type="dxa"/>
            <w:vAlign w:val="bottom"/>
          </w:tcPr>
          <w:p>
            <w:pPr>
              <w:spacing w:after="0"/>
              <w:rPr>
                <w:sz w:val="1"/>
                <w:szCs w:val="1"/>
                <w:color w:val="auto"/>
              </w:rPr>
            </w:pPr>
          </w:p>
        </w:tc>
      </w:tr>
      <w:tr>
        <w:trPr>
          <w:trHeight w:val="215"/>
        </w:trPr>
        <w:tc>
          <w:tcPr>
            <w:tcW w:w="404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My Alarm Center, LLC</w:t>
            </w:r>
            <w:r>
              <w:rPr>
                <w:rFonts w:ascii="Arial" w:cs="Arial" w:eastAsia="Arial" w:hAnsi="Arial"/>
                <w:sz w:val="15"/>
                <w:szCs w:val="15"/>
                <w:color w:val="auto"/>
              </w:rPr>
              <w:t>(3)(4)</w:t>
            </w:r>
          </w:p>
        </w:tc>
        <w:tc>
          <w:tcPr>
            <w:tcW w:w="170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($52,550 par, due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24662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2466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-1104265</wp:posOffset>
            </wp:positionV>
            <wp:extent cx="72466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44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(incl. 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3/2/2012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46,540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51,156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864"/>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45,708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46,771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878"/>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9/30/2013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28,594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28,811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862"/>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51,514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51,743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40" w:space="40"/>
            <w:col w:w="5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520" w:type="dxa"/>
            <w:vAlign w:val="bottom"/>
            <w:shd w:val="clear" w:color="auto" w:fill="CCEEFF"/>
          </w:tcPr>
          <w:p>
            <w:pPr>
              <w:ind w:left="4040"/>
              <w:spacing w:after="0" w:line="204" w:lineRule="exact"/>
              <w:rPr>
                <w:sz w:val="20"/>
                <w:szCs w:val="20"/>
                <w:color w:val="auto"/>
              </w:rPr>
            </w:pPr>
            <w:r>
              <w:rPr>
                <w:rFonts w:ascii="Arial" w:cs="Arial" w:eastAsia="Arial" w:hAnsi="Arial"/>
                <w:sz w:val="18"/>
                <w:szCs w:val="18"/>
                <w:color w:val="auto"/>
              </w:rPr>
              <w:t>Mezzanine loan</w:t>
            </w:r>
          </w:p>
        </w:tc>
        <w:tc>
          <w:tcPr>
            <w:tcW w:w="1480" w:type="dxa"/>
            <w:vAlign w:val="bottom"/>
            <w:shd w:val="clear" w:color="auto" w:fill="CCEEFF"/>
          </w:tcPr>
          <w:p>
            <w:pPr>
              <w:jc w:val="right"/>
              <w:ind w:right="170"/>
              <w:spacing w:after="0" w:line="204" w:lineRule="exact"/>
              <w:rPr>
                <w:sz w:val="20"/>
                <w:szCs w:val="20"/>
                <w:color w:val="auto"/>
              </w:rPr>
            </w:pPr>
            <w:r>
              <w:rPr>
                <w:rFonts w:ascii="Arial" w:cs="Arial" w:eastAsia="Arial" w:hAnsi="Arial"/>
                <w:sz w:val="18"/>
                <w:szCs w:val="18"/>
                <w:color w:val="auto"/>
              </w:rPr>
              <w:t>16.25%</w:t>
            </w: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520" w:type="dxa"/>
            <w:vAlign w:val="bottom"/>
            <w:shd w:val="clear" w:color="auto" w:fill="CCEEFF"/>
          </w:tcPr>
          <w:p>
            <w:pPr>
              <w:ind w:left="4040"/>
              <w:spacing w:after="0"/>
              <w:rPr>
                <w:sz w:val="20"/>
                <w:szCs w:val="20"/>
                <w:color w:val="auto"/>
              </w:rPr>
            </w:pPr>
            <w:r>
              <w:rPr>
                <w:rFonts w:ascii="Arial" w:cs="Arial" w:eastAsia="Arial" w:hAnsi="Arial"/>
                <w:sz w:val="18"/>
                <w:szCs w:val="18"/>
                <w:color w:val="auto"/>
              </w:rPr>
              <w:t>($4,688 par, due</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(incl. 4.25%</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520" w:type="dxa"/>
            <w:vAlign w:val="bottom"/>
            <w:shd w:val="clear" w:color="auto" w:fill="CCEEFF"/>
          </w:tcPr>
          <w:p>
            <w:pPr>
              <w:ind w:left="4040"/>
              <w:spacing w:after="0"/>
              <w:rPr>
                <w:sz w:val="20"/>
                <w:szCs w:val="20"/>
                <w:color w:val="auto"/>
              </w:rPr>
            </w:pPr>
            <w:r>
              <w:rPr>
                <w:rFonts w:ascii="Arial" w:cs="Arial" w:eastAsia="Arial" w:hAnsi="Arial"/>
                <w:sz w:val="18"/>
                <w:szCs w:val="18"/>
                <w:color w:val="auto"/>
              </w:rPr>
              <w:t>7/2018)</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PIK)</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0"/>
        </w:trPr>
        <w:tc>
          <w:tcPr>
            <w:tcW w:w="5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Embarcadero Technologies,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1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($42,479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12/2017)</w:t>
      </w:r>
    </w:p>
    <w:p>
      <w:pPr>
        <w:spacing w:after="0" w:line="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Rogue Wave Holdings,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($68,174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and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Global Healthcare Exchange, LLC</w:t>
      </w:r>
      <w:r>
        <w:rPr>
          <w:rFonts w:ascii="Arial" w:cs="Arial" w:eastAsia="Arial" w:hAnsi="Arial"/>
          <w:sz w:val="15"/>
          <w:szCs w:val="15"/>
          <w:color w:val="auto"/>
        </w:rPr>
        <w:t>(3)(4)</w:t>
      </w:r>
      <w:r>
        <w:rPr>
          <w:sz w:val="20"/>
          <w:szCs w:val="20"/>
          <w:color w:val="auto"/>
        </w:rPr>
        <w:tab/>
      </w:r>
      <w:r>
        <w:rPr>
          <w:rFonts w:ascii="Arial" w:cs="Arial" w:eastAsia="Arial" w:hAnsi="Arial"/>
          <w:sz w:val="16"/>
          <w:szCs w:val="16"/>
          <w:color w:val="auto"/>
        </w:rPr>
        <w:t>First-lien term loan</w:t>
      </w:r>
    </w:p>
    <w:p>
      <w:pPr>
        <w:spacing w:after="0" w:line="1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($25,000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3/2020)</w:t>
      </w:r>
    </w:p>
    <w:p>
      <w:pPr>
        <w:spacing w:after="0" w:line="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Mediware Information Systems,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($70,975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5/2018)</w:t>
      </w:r>
    </w:p>
    <w:p>
      <w:pPr>
        <w:spacing w:after="0" w:line="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SRS Software, LLC</w:t>
      </w:r>
      <w:r>
        <w:rPr>
          <w:rFonts w:ascii="Arial" w:cs="Arial" w:eastAsia="Arial" w:hAnsi="Arial"/>
          <w:sz w:val="15"/>
          <w:szCs w:val="15"/>
          <w:color w:val="auto"/>
        </w:rPr>
        <w:t>(3)(4)</w:t>
      </w:r>
      <w:r>
        <w:rPr>
          <w:sz w:val="20"/>
          <w:szCs w:val="20"/>
          <w:color w:val="auto"/>
        </w:rPr>
        <w:tab/>
      </w:r>
      <w:r>
        <w:rPr>
          <w:rFonts w:ascii="Arial" w:cs="Arial" w:eastAsia="Arial" w:hAnsi="Arial"/>
          <w:sz w:val="16"/>
          <w:szCs w:val="16"/>
          <w:color w:val="auto"/>
        </w:rPr>
        <w:t>First-lien loan</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($35,156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12/2017)</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First-lien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411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8"/>
          <w:szCs w:val="18"/>
          <w:color w:val="auto"/>
        </w:rPr>
        <w:t>loan ($2,000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12/2017)</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56,157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56,407</w:t>
            </w: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41,641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42,478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7.23%</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11/21/2012</w:t>
            </w:r>
          </w:p>
        </w:tc>
        <w:tc>
          <w:tcPr>
            <w:tcW w:w="860" w:type="dxa"/>
            <w:vAlign w:val="bottom"/>
          </w:tcPr>
          <w:p>
            <w:pPr>
              <w:jc w:val="right"/>
              <w:spacing w:after="0"/>
              <w:rPr>
                <w:sz w:val="20"/>
                <w:szCs w:val="20"/>
                <w:color w:val="auto"/>
              </w:rPr>
            </w:pPr>
            <w:r>
              <w:rPr>
                <w:rFonts w:ascii="Arial" w:cs="Arial" w:eastAsia="Arial" w:hAnsi="Arial"/>
                <w:sz w:val="18"/>
                <w:szCs w:val="18"/>
                <w:color w:val="auto"/>
              </w:rPr>
              <w:t>66,820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67,663</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108,461</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110,141</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Arial" w:cs="Arial" w:eastAsia="Arial" w:hAnsi="Arial"/>
                <w:sz w:val="18"/>
                <w:szCs w:val="18"/>
                <w:color w:val="auto"/>
                <w:w w:val="88"/>
              </w:rPr>
              <w:t>10.00%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24,442</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24,438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11/9/2012</w:t>
            </w:r>
          </w:p>
        </w:tc>
        <w:tc>
          <w:tcPr>
            <w:tcW w:w="860" w:type="dxa"/>
            <w:vAlign w:val="bottom"/>
          </w:tcPr>
          <w:p>
            <w:pPr>
              <w:jc w:val="right"/>
              <w:spacing w:after="0"/>
              <w:rPr>
                <w:sz w:val="20"/>
                <w:szCs w:val="20"/>
                <w:color w:val="auto"/>
              </w:rPr>
            </w:pPr>
            <w:r>
              <w:rPr>
                <w:rFonts w:ascii="Arial" w:cs="Arial" w:eastAsia="Arial" w:hAnsi="Arial"/>
                <w:sz w:val="18"/>
                <w:szCs w:val="18"/>
                <w:color w:val="auto"/>
              </w:rPr>
              <w:t>69,543</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70,975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34,452</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35,244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1,916</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2,005</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130,353</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132,662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800" w:space="380"/>
            <w:col w:w="5240"/>
          </w:cols>
          <w:pgMar w:left="240" w:top="459" w:right="23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Investment</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Acquisition</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040" w:type="dxa"/>
            <w:vAlign w:val="bottom"/>
            <w:gridSpan w:val="3"/>
            <w:vMerge w:val="continue"/>
          </w:tcPr>
          <w:p>
            <w:pPr>
              <w:spacing w:after="0"/>
              <w:rPr>
                <w:sz w:val="15"/>
                <w:szCs w:val="15"/>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thousands)</w:t>
            </w:r>
          </w:p>
        </w:tc>
        <w:tc>
          <w:tcPr>
            <w:tcW w:w="120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thousands)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Hotel, gaming, and leisure</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AMF Bowling Worldwide, Inc.</w:t>
            </w:r>
            <w:r>
              <w:rPr>
                <w:rFonts w:ascii="Arial" w:cs="Arial" w:eastAsia="Arial" w:hAnsi="Arial"/>
                <w:sz w:val="15"/>
                <w:szCs w:val="15"/>
                <w:color w:val="auto"/>
              </w:rPr>
              <w:t>(3)(4)</w:t>
            </w: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($14,719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6/2018)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13,651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14,676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Centaur, LLC</w:t>
            </w:r>
            <w:r>
              <w:rPr>
                <w:rFonts w:ascii="Arial" w:cs="Arial" w:eastAsia="Arial" w:hAnsi="Arial"/>
                <w:sz w:val="15"/>
                <w:szCs w:val="15"/>
                <w:color w:val="auto"/>
              </w:rPr>
              <w:t>(3)</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2/2020)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Mandalay Baseball Properties, LLC</w:t>
            </w:r>
            <w:r>
              <w:rPr>
                <w:rFonts w:ascii="Arial" w:cs="Arial" w:eastAsia="Arial" w:hAnsi="Arial"/>
                <w:sz w:val="15"/>
                <w:szCs w:val="15"/>
                <w:color w:val="auto"/>
              </w:rPr>
              <w:t>(3)(4)</w:t>
            </w: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loan</w:t>
            </w:r>
          </w:p>
        </w:tc>
        <w:tc>
          <w:tcPr>
            <w:tcW w:w="12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($35,279 par, due</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(incl. 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3/2017)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4/12/2012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34,734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36,601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Soho House</w:t>
            </w:r>
            <w:r>
              <w:rPr>
                <w:rFonts w:ascii="Arial" w:cs="Arial" w:eastAsia="Arial" w:hAnsi="Arial"/>
                <w:sz w:val="15"/>
                <w:szCs w:val="15"/>
                <w:color w:val="auto"/>
              </w:rPr>
              <w:t>(5)</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Second-lien bond</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(GBP 7,000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10/2018)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69,509</w:t>
            </w:r>
          </w:p>
        </w:tc>
        <w:tc>
          <w:tcPr>
            <w:tcW w:w="30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73,821</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Human resource support services</w:t>
            </w: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w:t>
            </w:r>
            <w:r>
              <w:rPr>
                <w:rFonts w:ascii="Arial" w:cs="Arial" w:eastAsia="Arial" w:hAnsi="Arial"/>
                <w:sz w:val="15"/>
                <w:szCs w:val="15"/>
                <w:color w:val="auto"/>
              </w:rPr>
              <w:t>(3)(4)</w:t>
            </w: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($34,413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5/2018)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33,696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34,118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 Total Systems, LLC</w:t>
            </w:r>
            <w:r>
              <w:rPr>
                <w:rFonts w:ascii="Arial" w:cs="Arial" w:eastAsia="Arial" w:hAnsi="Arial"/>
                <w:sz w:val="15"/>
                <w:szCs w:val="15"/>
                <w:color w:val="auto"/>
              </w:rPr>
              <w:t>(3)(4)</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 ($7,463</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 due 11/2018)</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Second-lien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($12,000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5/2019)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11/16/2012</w:t>
            </w:r>
          </w:p>
        </w:tc>
        <w:tc>
          <w:tcPr>
            <w:tcW w:w="860" w:type="dxa"/>
            <w:vAlign w:val="bottom"/>
          </w:tcPr>
          <w:p>
            <w:pPr>
              <w:jc w:val="right"/>
              <w:spacing w:after="0"/>
              <w:rPr>
                <w:sz w:val="20"/>
                <w:szCs w:val="20"/>
                <w:color w:val="auto"/>
              </w:rPr>
            </w:pPr>
            <w:r>
              <w:rPr>
                <w:rFonts w:ascii="Arial" w:cs="Arial" w:eastAsia="Arial" w:hAnsi="Arial"/>
                <w:sz w:val="18"/>
                <w:szCs w:val="18"/>
                <w:color w:val="auto"/>
              </w:rPr>
              <w:t>11,943</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11,895</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Internet Services</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w:t>
            </w:r>
            <w:r>
              <w:rPr>
                <w:rFonts w:ascii="Arial" w:cs="Arial" w:eastAsia="Arial" w:hAnsi="Arial"/>
                <w:sz w:val="15"/>
                <w:szCs w:val="15"/>
                <w:color w:val="auto"/>
              </w:rPr>
              <w:t>(3)(4)</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($29,000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3/7/2014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28,698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Infogix, Inc. </w:t>
            </w:r>
            <w:r>
              <w:rPr>
                <w:rFonts w:ascii="Arial" w:cs="Arial" w:eastAsia="Arial" w:hAnsi="Arial"/>
                <w:sz w:val="15"/>
                <w:szCs w:val="15"/>
                <w:color w:val="auto"/>
              </w:rPr>
              <w:t>(3)(4)</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($36,900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36,372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revolving</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loan ($650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6/2017)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6/1/2012</w:t>
            </w:r>
          </w:p>
        </w:tc>
        <w:tc>
          <w:tcPr>
            <w:tcW w:w="86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w:t>
            </w:r>
            <w:r>
              <w:rPr>
                <w:rFonts w:ascii="Arial" w:cs="Arial" w:eastAsia="Arial" w:hAnsi="Arial"/>
                <w:sz w:val="15"/>
                <w:szCs w:val="15"/>
                <w:color w:val="auto"/>
              </w:rPr>
              <w:t>(3)(5)(6)</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 (SEK</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211,066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6/2018)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31,440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32,229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w:t>
            </w:r>
            <w:r>
              <w:rPr>
                <w:rFonts w:ascii="Arial" w:cs="Arial" w:eastAsia="Arial" w:hAnsi="Arial"/>
                <w:sz w:val="15"/>
                <w:szCs w:val="15"/>
                <w:color w:val="auto"/>
              </w:rPr>
              <w:t>(3)(4)(6)</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($35,435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11/2019)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33,391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34,049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ind w:left="1580"/>
              <w:spacing w:after="0"/>
              <w:rPr>
                <w:sz w:val="20"/>
                <w:szCs w:val="20"/>
                <w:color w:val="auto"/>
              </w:rPr>
            </w:pPr>
            <w:r>
              <w:rPr>
                <w:rFonts w:ascii="Arial" w:cs="Arial" w:eastAsia="Arial" w:hAnsi="Arial"/>
                <w:sz w:val="18"/>
                <w:szCs w:val="18"/>
                <w:color w:val="auto"/>
                <w:w w:val="89"/>
              </w:rPr>
              <w:t>99</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products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Ecommerce Industries, Inc.</w:t>
      </w:r>
      <w:r>
        <w:rPr>
          <w:rFonts w:ascii="Arial" w:cs="Arial" w:eastAsia="Arial" w:hAnsi="Arial"/>
          <w:sz w:val="15"/>
          <w:szCs w:val="15"/>
          <w:color w:val="auto"/>
        </w:rPr>
        <w:t>(3)(4)</w:t>
      </w:r>
    </w:p>
    <w:p>
      <w:pPr>
        <w:spacing w:after="0" w:line="222" w:lineRule="exact"/>
        <w:rPr>
          <w:sz w:val="20"/>
          <w:szCs w:val="20"/>
          <w:color w:val="auto"/>
        </w:rPr>
      </w:pPr>
    </w:p>
    <w:p>
      <w:pPr>
        <w:ind w:right="1100"/>
        <w:spacing w:after="0" w:line="313" w:lineRule="auto"/>
        <w:rPr>
          <w:sz w:val="20"/>
          <w:szCs w:val="20"/>
          <w:color w:val="auto"/>
        </w:rPr>
      </w:pPr>
      <w:r>
        <w:rPr>
          <w:rFonts w:ascii="Arial" w:cs="Arial" w:eastAsia="Arial" w:hAnsi="Arial"/>
          <w:sz w:val="17"/>
          <w:szCs w:val="17"/>
          <w:b w:val="1"/>
          <w:bCs w:val="1"/>
          <w:color w:val="auto"/>
        </w:rPr>
        <w:t xml:space="preserve">Oil, gas and consumable fuels </w:t>
      </w:r>
      <w:r>
        <w:rPr>
          <w:rFonts w:ascii="Arial" w:cs="Arial" w:eastAsia="Arial" w:hAnsi="Arial"/>
          <w:sz w:val="17"/>
          <w:szCs w:val="17"/>
          <w:color w:val="auto"/>
        </w:rPr>
        <w:t>Global Geophysical</w:t>
      </w:r>
      <w:r>
        <w:rPr>
          <w:rFonts w:ascii="Arial" w:cs="Arial" w:eastAsia="Arial" w:hAnsi="Arial"/>
          <w:sz w:val="14"/>
          <w:szCs w:val="14"/>
          <w:color w:val="auto"/>
        </w:rPr>
        <w:t>(3)(4)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Trident Exploration Corp.</w:t>
      </w:r>
      <w:r>
        <w:rPr>
          <w:rFonts w:ascii="Arial" w:cs="Arial" w:eastAsia="Arial" w:hAnsi="Arial"/>
          <w:sz w:val="15"/>
          <w:szCs w:val="15"/>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Kewill, Ltd</w:t>
      </w:r>
      <w:r>
        <w:rPr>
          <w:rFonts w:ascii="Arial" w:cs="Arial" w:eastAsia="Arial" w:hAnsi="Arial"/>
          <w:sz w:val="15"/>
          <w:szCs w:val="15"/>
          <w:color w:val="auto"/>
        </w:rPr>
        <w:t>.(3)(5)</w:t>
      </w: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 Debt Investments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Investments Business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Network Merchants, Inc</w:t>
      </w:r>
    </w:p>
    <w:p>
      <w:pPr>
        <w:spacing w:after="0" w:line="207" w:lineRule="exact"/>
        <w:rPr>
          <w:sz w:val="20"/>
          <w:szCs w:val="20"/>
          <w:color w:val="auto"/>
        </w:rPr>
      </w:pPr>
    </w:p>
    <w:p>
      <w:pPr>
        <w:ind w:right="880"/>
        <w:spacing w:after="0" w:line="347" w:lineRule="auto"/>
        <w:rPr>
          <w:sz w:val="20"/>
          <w:szCs w:val="20"/>
          <w:color w:val="auto"/>
        </w:rPr>
      </w:pPr>
      <w:r>
        <w:rPr>
          <w:rFonts w:ascii="Arial" w:cs="Arial" w:eastAsia="Arial" w:hAnsi="Arial"/>
          <w:sz w:val="16"/>
          <w:szCs w:val="16"/>
          <w:b w:val="1"/>
          <w:bCs w:val="1"/>
          <w:color w:val="auto"/>
        </w:rPr>
        <w:t xml:space="preserve">Healthcare and pharmaceuticals </w:t>
      </w:r>
      <w:r>
        <w:rPr>
          <w:rFonts w:ascii="Arial" w:cs="Arial" w:eastAsia="Arial" w:hAnsi="Arial"/>
          <w:sz w:val="16"/>
          <w:szCs w:val="16"/>
          <w:color w:val="auto"/>
        </w:rPr>
        <w:t>Global Healthcare Exchange, LLC</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SRS Parent Corp.</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2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(Par amounts in</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w:t>
            </w:r>
          </w:p>
        </w:tc>
        <w:tc>
          <w:tcPr>
            <w:tcW w:w="42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22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5"/>
                <w:szCs w:val="15"/>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2020" w:type="dxa"/>
            <w:vAlign w:val="bottom"/>
            <w:gridSpan w:val="2"/>
          </w:tcPr>
          <w:p>
            <w:pPr>
              <w:spacing w:after="0"/>
              <w:rPr>
                <w:sz w:val="20"/>
                <w:szCs w:val="20"/>
                <w:color w:val="auto"/>
              </w:rPr>
            </w:pPr>
            <w:r>
              <w:rPr>
                <w:rFonts w:ascii="Arial" w:cs="Arial" w:eastAsia="Arial" w:hAnsi="Arial"/>
                <w:sz w:val="18"/>
                <w:szCs w:val="18"/>
                <w:color w:val="auto"/>
              </w:rPr>
              <w:t>First-lien loan ($35,657</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20" w:type="dxa"/>
            <w:vAlign w:val="bottom"/>
            <w:gridSpan w:val="2"/>
          </w:tcPr>
          <w:p>
            <w:pPr>
              <w:spacing w:after="0"/>
              <w:rPr>
                <w:sz w:val="20"/>
                <w:szCs w:val="20"/>
                <w:color w:val="auto"/>
              </w:rPr>
            </w:pPr>
            <w:r>
              <w:rPr>
                <w:rFonts w:ascii="Arial" w:cs="Arial" w:eastAsia="Arial" w:hAnsi="Arial"/>
                <w:sz w:val="18"/>
                <w:szCs w:val="18"/>
                <w:color w:val="auto"/>
              </w:rPr>
              <w:t>par, due 3/2019)</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35,309</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35,059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8"/>
        </w:trPr>
        <w:tc>
          <w:tcPr>
            <w:tcW w:w="2020" w:type="dxa"/>
            <w:vAlign w:val="bottom"/>
            <w:gridSpan w:val="2"/>
          </w:tcPr>
          <w:p>
            <w:pPr>
              <w:spacing w:after="0"/>
              <w:rPr>
                <w:sz w:val="20"/>
                <w:szCs w:val="20"/>
                <w:color w:val="auto"/>
              </w:rPr>
            </w:pPr>
            <w:r>
              <w:rPr>
                <w:rFonts w:ascii="Arial" w:cs="Arial" w:eastAsia="Arial" w:hAnsi="Arial"/>
                <w:sz w:val="18"/>
                <w:szCs w:val="18"/>
                <w:color w:val="auto"/>
              </w:rPr>
              <w:t>First-lien loan ($40,883</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par, due 9/2016)</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9/30/2013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39,916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40,269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($64,838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10/2017)</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2/5/2014</w:t>
            </w:r>
          </w:p>
        </w:tc>
        <w:tc>
          <w:tcPr>
            <w:tcW w:w="860" w:type="dxa"/>
            <w:vAlign w:val="bottom"/>
          </w:tcPr>
          <w:p>
            <w:pPr>
              <w:jc w:val="right"/>
              <w:spacing w:after="0"/>
              <w:rPr>
                <w:sz w:val="20"/>
                <w:szCs w:val="20"/>
                <w:color w:val="auto"/>
              </w:rPr>
            </w:pPr>
            <w:r>
              <w:rPr>
                <w:rFonts w:ascii="Arial" w:cs="Arial" w:eastAsia="Arial" w:hAnsi="Arial"/>
                <w:sz w:val="18"/>
                <w:szCs w:val="18"/>
                <w:color w:val="auto"/>
              </w:rPr>
              <w:t>62,960</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66,296</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102,876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106,565</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25"/>
        </w:trPr>
        <w:tc>
          <w:tcPr>
            <w:tcW w:w="20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($52,500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10/2019)</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10/2/2013</w:t>
            </w:r>
          </w:p>
        </w:tc>
        <w:tc>
          <w:tcPr>
            <w:tcW w:w="860" w:type="dxa"/>
            <w:vAlign w:val="bottom"/>
          </w:tcPr>
          <w:p>
            <w:pPr>
              <w:jc w:val="right"/>
              <w:spacing w:after="0"/>
              <w:rPr>
                <w:sz w:val="20"/>
                <w:szCs w:val="20"/>
                <w:color w:val="auto"/>
              </w:rPr>
            </w:pPr>
            <w:r>
              <w:rPr>
                <w:rFonts w:ascii="Arial" w:cs="Arial" w:eastAsia="Arial" w:hAnsi="Arial"/>
                <w:sz w:val="18"/>
                <w:szCs w:val="18"/>
                <w:color w:val="auto"/>
              </w:rPr>
              <w:t>51,516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51,974</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1,169,162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1,193,199</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425"/>
        </w:trPr>
        <w:tc>
          <w:tcPr>
            <w:tcW w:w="2020" w:type="dxa"/>
            <w:vAlign w:val="bottom"/>
            <w:gridSpan w:val="2"/>
          </w:tcPr>
          <w:p>
            <w:pPr>
              <w:spacing w:after="0"/>
              <w:rPr>
                <w:sz w:val="20"/>
                <w:szCs w:val="20"/>
                <w:color w:val="auto"/>
              </w:rPr>
            </w:pPr>
            <w:r>
              <w:rPr>
                <w:rFonts w:ascii="Arial" w:cs="Arial" w:eastAsia="Arial" w:hAnsi="Arial"/>
                <w:sz w:val="18"/>
                <w:szCs w:val="18"/>
                <w:color w:val="auto"/>
              </w:rPr>
              <w:t>Non-Voting Preferred</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9/12/2013</w:t>
            </w:r>
          </w:p>
        </w:tc>
        <w:tc>
          <w:tcPr>
            <w:tcW w:w="860" w:type="dxa"/>
            <w:vAlign w:val="bottom"/>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18"/>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A</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(495 shares)</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(187.5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1,980</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(2,953,020 shares)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-3369945</wp:posOffset>
            </wp:positionV>
            <wp:extent cx="72466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-2957830</wp:posOffset>
            </wp:positionV>
            <wp:extent cx="7246620" cy="4114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-2374900</wp:posOffset>
            </wp:positionV>
            <wp:extent cx="72466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-1809115</wp:posOffset>
            </wp:positionV>
            <wp:extent cx="72466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-1517015</wp:posOffset>
            </wp:positionV>
            <wp:extent cx="7246620" cy="274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-1105535</wp:posOffset>
            </wp:positionV>
            <wp:extent cx="7246620" cy="283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-548005</wp:posOffset>
            </wp:positionV>
            <wp:extent cx="7246620" cy="274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-3798570</wp:posOffset>
            </wp:positionV>
            <wp:extent cx="7246620"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720"/>
            <w:col w:w="732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1,560</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Equity Investments</w:t>
            </w: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3,280</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2,340</w:t>
            </w:r>
          </w:p>
        </w:tc>
        <w:tc>
          <w:tcPr>
            <w:tcW w:w="3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$ 1,172,442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$ 1,195,539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As of March 31, 2014, we do not “control” any of the portfolio companies nor are any of our portfolio companies considered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60" w:right="23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40"/>
        <w:spacing w:after="0" w:line="258" w:lineRule="auto"/>
        <w:rPr>
          <w:sz w:val="20"/>
          <w:szCs w:val="20"/>
          <w:color w:val="auto"/>
        </w:rPr>
      </w:pPr>
      <w:r>
        <w:rPr>
          <w:rFonts w:ascii="Arial" w:cs="Arial" w:eastAsia="Arial" w:hAnsi="Arial"/>
          <w:sz w:val="18"/>
          <w:szCs w:val="18"/>
          <w:color w:val="auto"/>
        </w:rPr>
        <w:t>to be “affiliates”—see Note 4 to our unaudited interim consolidated financial statements. Certain portfolio company investments are subject to contractual restrictions on sales.</w:t>
      </w:r>
    </w:p>
    <w:p>
      <w:pPr>
        <w:spacing w:after="0" w:line="1" w:lineRule="exact"/>
        <w:rPr>
          <w:sz w:val="20"/>
          <w:szCs w:val="20"/>
          <w:color w:val="auto"/>
        </w:rPr>
      </w:pPr>
    </w:p>
    <w:p>
      <w:pPr>
        <w:ind w:left="460" w:right="18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520" w:hanging="452"/>
        <w:spacing w:after="0" w:line="265" w:lineRule="auto"/>
        <w:tabs>
          <w:tab w:leader="none" w:pos="4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investment, or a portion thereof, is held within TPG SL SPV, LLC, our wholly owned subsidiary, and is pledged as collateral supporting the amounts outstanding under the SPV Asset Facility (see Note 7 to our unaudited interim consolidated financial statements).</w:t>
      </w:r>
    </w:p>
    <w:p>
      <w:pPr>
        <w:ind w:left="460" w:hanging="452"/>
        <w:spacing w:after="0" w:line="281" w:lineRule="auto"/>
        <w:tabs>
          <w:tab w:leader="none" w:pos="4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00" w:hanging="452"/>
        <w:spacing w:after="0" w:line="261"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our arrangement with other lenders in a syndication.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expire at the 2017 annual meeting of stockholders.</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36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Position</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Expiration</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6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Chairman, Director and Co-Chief Executive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 and Co-Chief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 xml:space="preserve">Richard Higginbotham </w:t>
      </w:r>
      <w:r>
        <w:rPr>
          <w:rFonts w:ascii="Arial" w:cs="Arial" w:eastAsia="Arial" w:hAnsi="Arial"/>
          <w:sz w:val="17"/>
          <w:szCs w:val="17"/>
          <w:color w:val="auto"/>
        </w:rPr>
        <w:t>was elected a director of TSL in March 2011. From 2010 to 2013, he was a director of Healthcare Finance Group LLC.</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w:t>
      </w:r>
      <w:r>
        <w:rPr>
          <w:rFonts w:ascii="Arial" w:cs="Arial" w:eastAsia="Arial" w:hAnsi="Arial"/>
          <w:sz w:val="16"/>
          <w:szCs w:val="16"/>
          <w:b w:val="1"/>
          <w:bCs w:val="1"/>
          <w:color w:val="auto"/>
        </w:rPr>
        <w:t xml:space="preserve"> </w:t>
      </w:r>
      <w:r>
        <w:rPr>
          <w:rFonts w:ascii="Arial" w:cs="Arial" w:eastAsia="Arial" w:hAnsi="Arial"/>
          <w:sz w:val="16"/>
          <w:szCs w:val="16"/>
          <w:color w:val="auto"/>
        </w:rPr>
        <w:t>or 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6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2013. 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vMerge w:val="restart"/>
          </w:tcPr>
          <w:p>
            <w:pPr>
              <w:spacing w:after="0"/>
              <w:rPr>
                <w:sz w:val="14"/>
                <w:szCs w:val="14"/>
                <w:color w:val="auto"/>
              </w:rPr>
            </w:pPr>
          </w:p>
        </w:tc>
        <w:tc>
          <w:tcPr>
            <w:tcW w:w="6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220" w:type="dxa"/>
            <w:vAlign w:val="bottom"/>
            <w:vMerge w:val="restart"/>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Cami</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Vice President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Ollwerther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Chief Operating Officer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Chief Compliance Officer, Vice President and Secretary</w:t>
            </w:r>
          </w:p>
        </w:tc>
        <w:tc>
          <w:tcPr>
            <w:tcW w:w="4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 xml:space="preserve">Ronald Cami </w:t>
      </w:r>
      <w:r>
        <w:rPr>
          <w:rFonts w:ascii="Arial" w:cs="Arial" w:eastAsia="Arial" w:hAnsi="Arial"/>
          <w:sz w:val="17"/>
          <w:szCs w:val="17"/>
          <w:color w:val="auto"/>
        </w:rPr>
        <w:t>is a Vice President of TSL. Mr. Cami joined TPG as Partner and General Counsel in June 2010. From 2000 until he joined TPG in 2010,</w:t>
      </w:r>
      <w:r>
        <w:rPr>
          <w:rFonts w:ascii="Arial" w:cs="Arial" w:eastAsia="Arial" w:hAnsi="Arial"/>
          <w:sz w:val="17"/>
          <w:szCs w:val="17"/>
          <w:b w:val="1"/>
          <w:bCs w:val="1"/>
          <w:color w:val="auto"/>
        </w:rPr>
        <w:t xml:space="preserve"> </w:t>
      </w:r>
      <w:r>
        <w:rPr>
          <w:rFonts w:ascii="Arial" w:cs="Arial" w:eastAsia="Arial" w:hAnsi="Arial"/>
          <w:sz w:val="17"/>
          <w:szCs w:val="17"/>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74" w:lineRule="exact"/>
        <w:rPr>
          <w:sz w:val="20"/>
          <w:szCs w:val="20"/>
          <w:color w:val="auto"/>
        </w:rPr>
      </w:pPr>
    </w:p>
    <w:p>
      <w:pPr>
        <w:ind w:right="360" w:firstLine="456"/>
        <w:spacing w:after="0" w:line="276" w:lineRule="auto"/>
        <w:rPr>
          <w:sz w:val="20"/>
          <w:szCs w:val="20"/>
          <w:color w:val="auto"/>
        </w:rPr>
      </w:pPr>
      <w:r>
        <w:rPr>
          <w:rFonts w:ascii="Arial" w:cs="Arial" w:eastAsia="Arial" w:hAnsi="Arial"/>
          <w:sz w:val="17"/>
          <w:szCs w:val="17"/>
          <w:b w:val="1"/>
          <w:bCs w:val="1"/>
          <w:color w:val="auto"/>
        </w:rPr>
        <w:t xml:space="preserve">Alan Kirshenbaum </w:t>
      </w:r>
      <w:r>
        <w:rPr>
          <w:rFonts w:ascii="Arial" w:cs="Arial" w:eastAsia="Arial" w:hAnsi="Arial"/>
          <w:sz w:val="17"/>
          <w:szCs w:val="17"/>
          <w:color w:val="auto"/>
        </w:rPr>
        <w:t>is Chief Financial Officer of TSL. Prior to being named Chief Financial Officer, Mr. Kirshenbaum was a Vice President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since 2011. From 2011 to 2013, Mr. Kirshenbaum was Chief Financial Officer and Executive Director of TSSP. From 2007 to 2011,</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in 1994 and an M.B.A. from New York University’s Stern School of Business in 2003.</w:t>
      </w:r>
    </w:p>
    <w:p>
      <w:pPr>
        <w:spacing w:after="0" w:line="18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Robert Ollwerther </w:t>
      </w:r>
      <w:r>
        <w:rPr>
          <w:rFonts w:ascii="Arial" w:cs="Arial" w:eastAsia="Arial" w:hAnsi="Arial"/>
          <w:sz w:val="18"/>
          <w:szCs w:val="18"/>
          <w:color w:val="auto"/>
        </w:rPr>
        <w:t>is the Chief Operating Officer of TSL. Since 2014, he has served as a Managing Director for TSSP. From 2013 to 2014,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4"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b w:val="1"/>
          <w:bCs w:val="1"/>
          <w:color w:val="auto"/>
        </w:rPr>
        <w:t xml:space="preserve">Jennifer Mello </w:t>
      </w:r>
      <w:r>
        <w:rPr>
          <w:rFonts w:ascii="Arial" w:cs="Arial" w:eastAsia="Arial" w:hAnsi="Arial"/>
          <w:sz w:val="18"/>
          <w:szCs w:val="18"/>
          <w:color w:val="auto"/>
        </w:rPr>
        <w:t>is Chief Compliance Officer, Vice President and Secretary of TSL. Since 2012, Ms. Mello has been the General Counsel and a</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of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80" w:lineRule="exact"/>
        <w:rPr>
          <w:sz w:val="20"/>
          <w:szCs w:val="20"/>
          <w:color w:val="auto"/>
        </w:rPr>
      </w:pPr>
    </w:p>
    <w:p>
      <w:pPr>
        <w:ind w:right="20" w:firstLine="456"/>
        <w:spacing w:after="0" w:line="289" w:lineRule="auto"/>
        <w:rPr>
          <w:sz w:val="20"/>
          <w:szCs w:val="20"/>
          <w:color w:val="auto"/>
        </w:rPr>
      </w:pPr>
      <w:r>
        <w:rPr>
          <w:rFonts w:ascii="Arial" w:cs="Arial" w:eastAsia="Arial" w:hAnsi="Arial"/>
          <w:sz w:val="17"/>
          <w:szCs w:val="17"/>
          <w:b w:val="1"/>
          <w:bCs w:val="1"/>
          <w:color w:val="auto"/>
        </w:rPr>
        <w:t xml:space="preserve">Steven Pluss </w:t>
      </w:r>
      <w:r>
        <w:rPr>
          <w:rFonts w:ascii="Arial" w:cs="Arial" w:eastAsia="Arial" w:hAnsi="Arial"/>
          <w:sz w:val="17"/>
          <w:szCs w:val="17"/>
          <w:color w:val="auto"/>
        </w:rPr>
        <w:t>is a Vice President of TSL. He is also a TPG and TSSP Partner and has been the Chief Financial Officer and Chief Risk Officer of TSSP</w:t>
      </w:r>
      <w:r>
        <w:rPr>
          <w:rFonts w:ascii="Arial" w:cs="Arial" w:eastAsia="Arial" w:hAnsi="Arial"/>
          <w:sz w:val="17"/>
          <w:szCs w:val="17"/>
          <w:b w:val="1"/>
          <w:bCs w:val="1"/>
          <w:color w:val="auto"/>
        </w:rPr>
        <w:t xml:space="preserve"> </w:t>
      </w:r>
      <w:r>
        <w:rPr>
          <w:rFonts w:ascii="Arial" w:cs="Arial" w:eastAsia="Arial" w:hAnsi="Arial"/>
          <w:sz w:val="17"/>
          <w:szCs w:val="17"/>
          <w:color w:val="auto"/>
        </w:rPr>
        <w:t>since 2013. Prior to joining TSSP, Mr. Pluss was a Managing Director and co-head of the Goldman Sachs Specialty Lending Group at Goldman, Sachs &amp; Co., where he worked from 2004 to 2013. From 1999 to 2004, Mr. Pluss was a Partner, Founder and Managing Member of</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RTV Ventures, a special situations lending joint venture with Goldman, Sachs &amp; Co. Mr. Pluss received a B.B.A from Texas A&amp;M University and an M.B.A from Southern Methodist University.</w:t>
      </w:r>
    </w:p>
    <w:p>
      <w:pPr>
        <w:spacing w:after="0" w:line="16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 Mr. Waxman is a TPG Partner and is a member of the TPG’s Executive Committee. He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is an independent director under the applicable NYSE listing standards.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since both of them are employed by the Adviser. See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Board has met twice in 2014, met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5580" w:right="2380" w:hanging="5005"/>
        <w:spacing w:after="0" w:line="449"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106</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8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four times in 2014, held eight meetings in 2013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and Mr. Higginbotham serves as Chairman. The Nominating and Corporate Governance Committee will meet one time each year and at additional times as necessary to carry out its responsibilities.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40" w:hanging="325"/>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the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will meet one time each year and at additional times as necessary to carry out its responsibilities.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IPO Committee, which was dissolved after our IPO, held one meeting in 2013. Messrs. Easterly, Fishman and Tanemura were members of the IPO Committee. Mr. Easterly served as Chairman.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at 345 California Street, Suite 3300, San Francisco, CA 94104, Attention: TSL Investor Relations, or by emailing us at IRTSL@tpg.com:</w:t>
      </w:r>
    </w:p>
    <w:p>
      <w:pPr>
        <w:spacing w:after="0" w:line="94" w:lineRule="exact"/>
        <w:rPr>
          <w:sz w:val="20"/>
          <w:szCs w:val="20"/>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7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its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$100,000 annual retainer (which was $75,000 prior to the IPO);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22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ind w:left="2400"/>
              <w:spacing w:after="0"/>
              <w:rPr>
                <w:sz w:val="20"/>
                <w:szCs w:val="20"/>
                <w:color w:val="auto"/>
              </w:rPr>
            </w:pPr>
            <w:r>
              <w:rPr>
                <w:rFonts w:ascii="Arial" w:cs="Arial" w:eastAsia="Arial" w:hAnsi="Arial"/>
                <w:sz w:val="14"/>
                <w:szCs w:val="14"/>
                <w:b w:val="1"/>
                <w:bCs w:val="1"/>
                <w:color w:val="auto"/>
                <w:w w:val="91"/>
              </w:rPr>
              <w:t>Fees Earned</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6"/>
              </w:rPr>
              <w:t>or Paid</w:t>
            </w:r>
          </w:p>
        </w:tc>
        <w:tc>
          <w:tcPr>
            <w:tcW w:w="740" w:type="dxa"/>
            <w:vAlign w:val="bottom"/>
          </w:tcPr>
          <w:p>
            <w:pPr>
              <w:spacing w:after="0"/>
              <w:rPr>
                <w:sz w:val="12"/>
                <w:szCs w:val="12"/>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in Cash</w:t>
            </w:r>
          </w:p>
        </w:tc>
        <w:tc>
          <w:tcPr>
            <w:tcW w:w="7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20" w:type="dxa"/>
            <w:vAlign w:val="bottom"/>
            <w:gridSpan w:val="2"/>
          </w:tcPr>
          <w:p>
            <w:pPr>
              <w:ind w:left="24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98,000</w:t>
            </w:r>
          </w:p>
        </w:tc>
        <w:tc>
          <w:tcPr>
            <w:tcW w:w="134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2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92"/>
              </w:rPr>
              <w:t>$94,000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TSSP is TPG’s special situations and credit platform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8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TPG is a leading global private investment firm founded in 1992 with over $59 billion of assets under management, as of March 31, 2014, and offices in San Francisco, Fort Worth, Austin, New York and throughout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2,799,517 shares, or 5.2%, of our common stock. See “Related-Party Transactions and Certain Relationships” and “Control Persons and Principal Stockholders.”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Adviser has also entered into an agreement with Goldman, Sachs &amp; Co.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Agreement; Administration Agreement; License Agreement</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the year ended December 31, 2013, Management Fees were $13.4 million, of which $7.1 million were waived (see below). For the three months ended March 31, 2014, Management Fees were $4.2 million, of which $1.8 million were payable at March 31, 2014 and $2.5 million were waived.</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Until the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does not intend to waive its right to receive the full Management Fee and accordingly, we will be required to pay the full amount of the Management Fee.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equaled 100% of the pre-Incentive Fee net investment income in excess of a 1.5% quarterly “hurdle rate,”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was the rate at which catch-up is achieved. Once the “hurdle rate” was reached and catch-up was achieved, 15% of any pre-Incentive Fee net investment income in excess of 1.76% in any quarter was payable to the Adviser.</w:t>
      </w:r>
    </w:p>
    <w:p>
      <w:pPr>
        <w:spacing w:after="0" w:line="70" w:lineRule="exact"/>
        <w:rPr>
          <w:sz w:val="20"/>
          <w:szCs w:val="20"/>
          <w:color w:val="auto"/>
        </w:rPr>
      </w:pPr>
    </w:p>
    <w:p>
      <w:pPr>
        <w:ind w:left="900" w:right="20"/>
        <w:spacing w:after="0" w:line="254" w:lineRule="auto"/>
        <w:rPr>
          <w:sz w:val="20"/>
          <w:szCs w:val="20"/>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98" w:lineRule="exact"/>
        <w:rPr>
          <w:sz w:val="20"/>
          <w:szCs w:val="20"/>
          <w:color w:val="auto"/>
        </w:rPr>
      </w:pPr>
    </w:p>
    <w:p>
      <w:pPr>
        <w:ind w:left="90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89"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through March 31, 2014, equaled 15%,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will be subject to an Incentive Fee rate of 15% and the portion of our realized capital gains that accrued beginning April 1, 2014 will be subject to an Incentive Fee rate of 17.5%.</w:t>
      </w:r>
    </w:p>
    <w:p>
      <w:pPr>
        <w:spacing w:after="0" w:line="16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70"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2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three months ended March 31, 2014, Incentive Fees were $4.5 million, of which $3.7 million were realized and payable to the Adviser.</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For the year ended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December 31, 2013, we incurred expenses of $1.4 million for administrative services payable under the terms of the Administration Agreement. For the three months ended March 31, 2014, we incurred expenses of $0.6 million for administrative services payable to the Adviser under the terms of the Administration Agreement.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 Expenses incurred by the Adviser on behalf of the Company for the year ended December 31, 2013 were $5.0 million. Expenses incurred by the Adviser on our behalf of for the three months ended March 31, 2014 were $1.5 million.</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169545</wp:posOffset>
            </wp:positionV>
            <wp:extent cx="5145405" cy="9436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5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459" w:right="3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8" w:lineRule="auto"/>
        <w:rPr>
          <w:sz w:val="20"/>
          <w:szCs w:val="20"/>
          <w:color w:val="auto"/>
        </w:rPr>
      </w:pPr>
      <w:r>
        <w:rPr>
          <w:rFonts w:ascii="Arial" w:cs="Arial" w:eastAsia="Arial" w:hAnsi="Arial"/>
          <w:sz w:val="18"/>
          <w:szCs w:val="18"/>
          <w:color w:val="auto"/>
        </w:rPr>
        <w:t>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2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60" w:hanging="325"/>
        <w:spacing w:after="0" w:line="308"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hanging="325"/>
        <w:spacing w:after="0" w:line="308"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40" w:hanging="325"/>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6</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$16 million</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$15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(sale price)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7</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$8 million (sale</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price)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8</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$36 million</w:t>
            </w:r>
          </w:p>
        </w:tc>
      </w:tr>
      <w:tr>
        <w:trPr>
          <w:trHeight w:val="182"/>
        </w:trPr>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920" w:right="94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920" w:right="60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920" w:right="50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76" w:lineRule="exact"/>
        <w:rPr>
          <w:sz w:val="20"/>
          <w:szCs w:val="20"/>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920" w:right="420"/>
        <w:spacing w:after="0" w:line="308" w:lineRule="auto"/>
        <w:rPr>
          <w:sz w:val="20"/>
          <w:szCs w:val="20"/>
          <w:color w:val="auto"/>
        </w:rPr>
      </w:pPr>
      <w:r>
        <w:rPr>
          <w:rFonts w:ascii="Arial" w:cs="Arial" w:eastAsia="Arial" w:hAnsi="Arial"/>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76" w:lineRule="exact"/>
        <w:rPr>
          <w:sz w:val="20"/>
          <w:szCs w:val="20"/>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920" w:right="420"/>
        <w:spacing w:after="0" w:line="34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6"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131" w:lineRule="exact"/>
        <w:rPr>
          <w:sz w:val="20"/>
          <w:szCs w:val="20"/>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20"/>
          </w:cols>
          <w:pgMar w:left="24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2"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not more than 60 days’ written notice to the other party. The holders of a majority of our outstanding voting securities may also terminate each agreement without penalty on not more than 60 days’ written notice. See “Risk Factors—Risks Related to Our Business and Structure—We are dependent upon management personnel of the Adviser for our future success.”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2,799,517 shares, or 5.2%, of our common stock as of May 7, 2014.</w:t>
      </w:r>
    </w:p>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Adviser has entered into the 10b5-1 Plan under which Goldman, Sachs &amp; Co., as agent for the Adviser, will buy up to $25 million in the aggregate of our common stock during the period beginning April 23, 2014 and ending on the earlier of the date on which all the capital committed to the 10b5-1 Plan has been exhausted or December 31, 2014, subject to certain conditions. The 10b5-1 Plan will require Goldman, Sachs &amp; Co. to purchase for the</w:t>
      </w:r>
    </w:p>
    <w:p>
      <w:pPr>
        <w:ind w:right="40"/>
        <w:spacing w:after="0" w:line="281" w:lineRule="auto"/>
        <w:rPr>
          <w:sz w:val="20"/>
          <w:szCs w:val="20"/>
          <w:color w:val="auto"/>
        </w:rPr>
      </w:pPr>
      <w:r>
        <w:rPr>
          <w:rFonts w:ascii="Arial" w:cs="Arial" w:eastAsia="Arial" w:hAnsi="Arial"/>
          <w:sz w:val="16"/>
          <w:szCs w:val="16"/>
          <w:color w:val="auto"/>
        </w:rPr>
        <w:t>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us to any previously announced net asset value per share). The purchase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of our IPO, meaning the shares purchased will be locked-up until March 20, 2015. Under the 10b5-1 Plan, Goldman, Sachs &amp; Co. will increase the volume of purchases made as the price of our common stock declines, subject to volume restrictions.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8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Certain 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60" w:right="2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May 7, 2014,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 and other information known to us.</w:t>
      </w:r>
    </w:p>
    <w:p>
      <w:pPr>
        <w:spacing w:after="0" w:line="16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percentage ownership is based on 53,347,891 shares of common stock outstanding as of May 7, 2014.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2"/>
              </w:rPr>
              <w:t>Number of Shares of</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 Common</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0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25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250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(1)(2)</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r>
              <w:rPr>
                <w:rFonts w:ascii="Arial" w:cs="Arial" w:eastAsia="Arial" w:hAnsi="Arial"/>
                <w:sz w:val="15"/>
                <w:szCs w:val="15"/>
                <w:color w:val="auto"/>
              </w:rPr>
              <w:t>(3)</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6,995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Michael Fishman</w:t>
            </w:r>
            <w:r>
              <w:rPr>
                <w:rFonts w:ascii="Arial" w:cs="Arial" w:eastAsia="Arial" w:hAnsi="Arial"/>
                <w:sz w:val="15"/>
                <w:szCs w:val="15"/>
                <w:color w:val="auto"/>
              </w:rPr>
              <w:t>(4)</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36,362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25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16,575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31,091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5"/>
                <w:szCs w:val="15"/>
                <w:color w:val="auto"/>
              </w:rPr>
              <w:t>(5)</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4,181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w:t>
            </w:r>
            <w:r>
              <w:rPr>
                <w:rFonts w:ascii="Arial" w:cs="Arial" w:eastAsia="Arial" w:hAnsi="Arial"/>
                <w:sz w:val="15"/>
                <w:szCs w:val="15"/>
                <w:color w:val="auto"/>
              </w:rPr>
              <w:t>(6)(7)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2,897,520</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New Jersey Common Pension Fund E</w:t>
            </w:r>
            <w:r>
              <w:rPr>
                <w:rFonts w:ascii="Arial" w:cs="Arial" w:eastAsia="Arial" w:hAnsi="Arial"/>
                <w:sz w:val="15"/>
                <w:szCs w:val="15"/>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7,102,217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5"/>
                <w:szCs w:val="15"/>
                <w:color w:val="auto"/>
              </w:rPr>
              <w:t>(9)</w:t>
            </w:r>
          </w:p>
        </w:tc>
        <w:tc>
          <w:tcPr>
            <w:tcW w:w="1280" w:type="dxa"/>
            <w:vAlign w:val="bottom"/>
          </w:tcPr>
          <w:p>
            <w:pPr>
              <w:jc w:val="right"/>
              <w:spacing w:after="0"/>
              <w:rPr>
                <w:sz w:val="20"/>
                <w:szCs w:val="20"/>
                <w:color w:val="auto"/>
              </w:rPr>
            </w:pPr>
            <w:r>
              <w:rPr>
                <w:rFonts w:ascii="Arial" w:cs="Arial" w:eastAsia="Arial" w:hAnsi="Arial"/>
                <w:sz w:val="18"/>
                <w:szCs w:val="18"/>
                <w:color w:val="auto"/>
              </w:rPr>
              <w:t>5,994,646</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5"/>
                <w:szCs w:val="15"/>
                <w:color w:val="auto"/>
              </w:rPr>
              <w:t>(10)</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3,911,472</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5"/>
                <w:szCs w:val="15"/>
                <w:color w:val="auto"/>
              </w:rPr>
              <w:t>(11)</w:t>
            </w:r>
          </w:p>
        </w:tc>
        <w:tc>
          <w:tcPr>
            <w:tcW w:w="1280" w:type="dxa"/>
            <w:vAlign w:val="bottom"/>
          </w:tcPr>
          <w:p>
            <w:pPr>
              <w:jc w:val="right"/>
              <w:spacing w:after="0"/>
              <w:rPr>
                <w:sz w:val="20"/>
                <w:szCs w:val="20"/>
                <w:color w:val="auto"/>
              </w:rPr>
            </w:pPr>
            <w:r>
              <w:rPr>
                <w:rFonts w:ascii="Arial" w:cs="Arial" w:eastAsia="Arial" w:hAnsi="Arial"/>
                <w:sz w:val="18"/>
                <w:szCs w:val="18"/>
                <w:color w:val="auto"/>
              </w:rPr>
              <w:t>3,571,124</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TPG Funds</w:t>
            </w:r>
            <w:r>
              <w:rPr>
                <w:rFonts w:ascii="Arial" w:cs="Arial" w:eastAsia="Arial" w:hAnsi="Arial"/>
                <w:sz w:val="15"/>
                <w:szCs w:val="15"/>
                <w:color w:val="auto"/>
              </w:rPr>
              <w:t>(7)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3,234,929</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5"/>
                <w:szCs w:val="15"/>
                <w:color w:val="auto"/>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3,178,051</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5"/>
                <w:szCs w:val="15"/>
                <w:color w:val="auto"/>
              </w:rPr>
              <w:t>(13)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3,013,977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right="20" w:hanging="452"/>
        <w:spacing w:after="0" w:line="268" w:lineRule="auto"/>
        <w:tabs>
          <w:tab w:leader="none" w:pos="4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60" w:hanging="452"/>
        <w:spacing w:after="0" w:line="258"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Shares in this column do not reflect any shares issued through our dividend reinvestment plan in connection with the dividend that was paid on April 30, 2014.</w:t>
      </w:r>
    </w:p>
    <w:p>
      <w:pPr>
        <w:spacing w:after="0" w:line="1"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ind w:left="460" w:right="300" w:hanging="452"/>
        <w:spacing w:after="0" w:line="265" w:lineRule="auto"/>
        <w:tabs>
          <w:tab w:leader="none" w:pos="4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Mr. Fishman is employed by TSL Advisers, LLC (“TSL Advisers”), our Adviser, which is affiliated with Tarrant and Group Advisors. Mr. Fishman disclaims beneficial ownership of the shares that are or may be beneficially owned by Tarrant, Group Advisors or any of its affiliates.</w:t>
      </w:r>
    </w:p>
    <w:p>
      <w:pPr>
        <w:ind w:left="460" w:right="14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right="54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w:t>
      </w:r>
    </w:p>
    <w:p>
      <w:pPr>
        <w:ind w:left="460" w:right="100" w:hanging="452"/>
        <w:spacing w:after="0" w:line="254"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common stock held by the TPG Funds (as defined below) includes (i) 2,799,517 shares of common stock, or the TSL Shares, held by TSL Advisers; (ii) 435,346 shares of common stock, or the TSL FOF Shares, held by TSL FOF, L.P., a Delaware limited partnership, or TSL FOF; and (iii) 66 shares of common stock held by Tarrant Advisors, Inc., a Delaware corporation, or Tarrant, and, together with TSL Advisers and TSL FOF, the TPG Funds.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business and affairs of TSL Advisers are managed by its board of managers, whose sole members are Messrs. Bonderman, Coulter and Waxman.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decision or determination by the board of managers requires the approval of each of Messrs. Bonderman, Coulter and Waxman.</w:t>
      </w:r>
    </w:p>
    <w:p>
      <w:pPr>
        <w:spacing w:after="0" w:line="7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54"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2,374,970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2" w:lineRule="exact"/>
        <w:rPr>
          <w:sz w:val="20"/>
          <w:szCs w:val="20"/>
          <w:color w:val="auto"/>
        </w:rPr>
      </w:pPr>
    </w:p>
    <w:p>
      <w:pPr>
        <w:ind w:left="460" w:right="140"/>
        <w:spacing w:after="0" w:line="27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37"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w:t>
      </w:r>
    </w:p>
    <w:p>
      <w:pPr>
        <w:ind w:left="460" w:right="220"/>
        <w:spacing w:after="0" w:line="281" w:lineRule="auto"/>
        <w:rPr>
          <w:sz w:val="20"/>
          <w:szCs w:val="20"/>
          <w:color w:val="auto"/>
        </w:rPr>
      </w:pPr>
      <w:r>
        <w:rPr>
          <w:rFonts w:ascii="Arial" w:cs="Arial" w:eastAsia="Arial" w:hAnsi="Arial"/>
          <w:sz w:val="16"/>
          <w:szCs w:val="16"/>
          <w:color w:val="auto"/>
        </w:rPr>
        <w:t>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1" w:lineRule="exact"/>
        <w:rPr>
          <w:sz w:val="20"/>
          <w:szCs w:val="20"/>
          <w:color w:val="auto"/>
        </w:rPr>
      </w:pPr>
    </w:p>
    <w:p>
      <w:pPr>
        <w:ind w:left="460" w:right="340" w:hanging="452"/>
        <w:spacing w:after="0" w:line="250"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address of the State of New Jersey Common Pension Fund E is New Jersey Division of Investment 50 West State Street, 9th Floor Trenton, NJ 08608.</w:t>
      </w:r>
    </w:p>
    <w:p>
      <w:pPr>
        <w:ind w:left="460" w:hanging="452"/>
        <w:spacing w:after="0" w:line="281" w:lineRule="auto"/>
        <w:tabs>
          <w:tab w:leader="none" w:pos="4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Master Fund, L.P. and Silver Creek Credit Opportunities III Fund B Master Fund, L.P. (collectively, the Silver Creek Group) and other information known to us.</w:t>
      </w:r>
    </w:p>
    <w:p>
      <w:pPr>
        <w:spacing w:after="0" w:line="1"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of beneficially owned by each director as of May 7, 2014. We are not part of a “family of investment companies,” as that term is defined in the 1940 Act.</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Dollar Range of</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our Common</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71"/>
        </w:trPr>
        <w:tc>
          <w:tcPr>
            <w:tcW w:w="6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(1)(2)</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May 7, 2014, multiplied by the closing sale price of our common stock as reported on the NYSE as of May 7, 2014.</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prospectus also relates to 42,040,525 shares of our common stock that may be offered for resale on behalf of the stockholders identified below. The stockholders acquired their respective shares of our common stock either (i) through subscription agreements prior to our IPO, (ii) in the concurrent private placement to certain of our existing investors in connection with our IPO, (iii) through our dividend reinvestment plan or (iv) in the open market. We are registering the shares to permit the stockholders and their pledgees, donees, transferees and other successors-in-interest that receive their shares from a stockholder as a gift, partnership distribution or other non-sale related transfer after the date of this prospectus to resell the shares when and as they deem appropriate. We do not know how long the stockholders will hold the shares before selling them, if at all, or how many shares they will sell, if any, and we currently have no agreements, arrangements or understandings with any of the stockholders regarding the sale of any of the resale shares.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900" w:hanging="325"/>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name of the stockholders;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number and percentage of shares of our common stock that the stockholders beneficially owned prior to the offering for resale of the shares under this prospectus;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number of shares of our common stock that may be offered for resale for the account of the stockholders under this prospectus; and</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number and percentage of shares of our common stock to be beneficially owned by the stockholders after the offering of the resale shares (assuming all of the offered resale shares are sold by the stockholders).</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number of shares in the column “Number of Shares Being Offered” represents all of the shares that each stockholder may offer under this prospectus. The shares offered by this prospectus may be offered from time to time by the stockholders listed below.</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table is prepared solely based on information supplied to us by the listed stockholders and any public documents filed with the SEC. The applicable percentages of beneficial ownership are based on an aggregate of 53,347,891 shares of our common stock issued and outstanding on July 28, 2014, adjusted as may be required by rules promulgated by the SEC. Certain selling stockholders have affiliations with broker-dealers, but received the shares in the ordinary course of business and, at the time of receipt, had no agreements or understandings, directly or indirectly, with any person to distribute the shares. No selling stockholder has, or within the past three years has had, any position, office, or other material relationship with us.</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Beneficial ownership has been determined in accordance with the rules and regulations of the SEC and includes voting or investment power (including the power to dispose) with respect to the securities.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20" w:type="dxa"/>
            <w:vAlign w:val="bottom"/>
            <w:gridSpan w:val="4"/>
            <w:vMerge w:val="restart"/>
          </w:tcPr>
          <w:p>
            <w:pPr>
              <w:jc w:val="center"/>
              <w:ind w:right="580"/>
              <w:spacing w:after="0"/>
              <w:rPr>
                <w:sz w:val="20"/>
                <w:szCs w:val="20"/>
                <w:color w:val="auto"/>
              </w:rPr>
            </w:pPr>
            <w:r>
              <w:rPr>
                <w:rFonts w:ascii="Arial" w:cs="Arial" w:eastAsia="Arial" w:hAnsi="Arial"/>
                <w:sz w:val="14"/>
                <w:szCs w:val="14"/>
                <w:b w:val="1"/>
                <w:bCs w:val="1"/>
                <w:color w:val="auto"/>
                <w:w w:val="92"/>
              </w:rPr>
              <w:t>Shares Beneficially Owned</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w:t>
            </w:r>
          </w:p>
        </w:tc>
        <w:tc>
          <w:tcPr>
            <w:tcW w:w="2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124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Shares</w:t>
            </w:r>
          </w:p>
        </w:tc>
        <w:tc>
          <w:tcPr>
            <w:tcW w:w="20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Prior to Offering</w:t>
            </w:r>
          </w:p>
        </w:tc>
        <w:tc>
          <w:tcPr>
            <w:tcW w:w="560" w:type="dxa"/>
            <w:vAlign w:val="bottom"/>
            <w:vMerge w:val="restart"/>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9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After Offering</w:t>
            </w:r>
          </w:p>
        </w:tc>
        <w:tc>
          <w:tcPr>
            <w:tcW w:w="1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5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4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Being</w:t>
            </w:r>
          </w:p>
        </w:tc>
        <w:tc>
          <w:tcPr>
            <w:tcW w:w="194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2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Stockholders</w:t>
            </w:r>
          </w:p>
        </w:tc>
        <w:tc>
          <w:tcPr>
            <w:tcW w:w="380" w:type="dxa"/>
            <w:vAlign w:val="bottom"/>
          </w:tcPr>
          <w:p>
            <w:pPr>
              <w:spacing w:after="0"/>
              <w:rPr>
                <w:sz w:val="2"/>
                <w:szCs w:val="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7"/>
              </w:rPr>
              <w:t>Percent</w:t>
            </w:r>
          </w:p>
        </w:tc>
        <w:tc>
          <w:tcPr>
            <w:tcW w:w="1240" w:type="dxa"/>
            <w:vAlign w:val="bottom"/>
            <w:gridSpan w:val="2"/>
            <w:vMerge w:val="continue"/>
          </w:tcPr>
          <w:p>
            <w:pPr>
              <w:spacing w:after="0"/>
              <w:rPr>
                <w:sz w:val="2"/>
                <w:szCs w:val="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line="20" w:lineRule="exact"/>
              <w:rPr>
                <w:sz w:val="1"/>
                <w:szCs w:val="1"/>
                <w:color w:val="auto"/>
              </w:rPr>
            </w:pPr>
          </w:p>
        </w:tc>
      </w:tr>
      <w:tr>
        <w:trPr>
          <w:trHeight w:val="171"/>
        </w:trPr>
        <w:tc>
          <w:tcPr>
            <w:tcW w:w="5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Offered</w:t>
            </w:r>
          </w:p>
        </w:tc>
        <w:tc>
          <w:tcPr>
            <w:tcW w:w="12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MSSB TPG Specialty Lending Onshore Feeder</w:t>
            </w:r>
          </w:p>
        </w:tc>
        <w:tc>
          <w:tcPr>
            <w:tcW w:w="3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Fund LP (1)</w:t>
            </w:r>
          </w:p>
        </w:tc>
        <w:tc>
          <w:tcPr>
            <w:tcW w:w="1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5,994,646</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5,994,646</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Universities Superannuation Scheme Limited</w:t>
            </w:r>
          </w:p>
        </w:tc>
        <w:tc>
          <w:tcPr>
            <w:tcW w:w="1760" w:type="dxa"/>
            <w:vAlign w:val="bottom"/>
            <w:gridSpan w:val="3"/>
          </w:tcPr>
          <w:p>
            <w:pPr>
              <w:ind w:left="560"/>
              <w:spacing w:after="0"/>
              <w:rPr>
                <w:sz w:val="20"/>
                <w:szCs w:val="20"/>
                <w:color w:val="auto"/>
              </w:rPr>
            </w:pPr>
            <w:r>
              <w:rPr>
                <w:rFonts w:ascii="Arial" w:cs="Arial" w:eastAsia="Arial" w:hAnsi="Arial"/>
                <w:sz w:val="18"/>
                <w:szCs w:val="18"/>
                <w:color w:val="auto"/>
              </w:rPr>
              <w:t>3,911,472</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3,911,472</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p>
        </w:tc>
        <w:tc>
          <w:tcPr>
            <w:tcW w:w="1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3,080,410</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3,080,410</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Arizona State Retirement System</w:t>
            </w:r>
          </w:p>
        </w:tc>
        <w:tc>
          <w:tcPr>
            <w:tcW w:w="1760" w:type="dxa"/>
            <w:vAlign w:val="bottom"/>
            <w:gridSpan w:val="3"/>
          </w:tcPr>
          <w:p>
            <w:pPr>
              <w:ind w:left="560"/>
              <w:spacing w:after="0"/>
              <w:rPr>
                <w:sz w:val="20"/>
                <w:szCs w:val="20"/>
                <w:color w:val="auto"/>
              </w:rPr>
            </w:pPr>
            <w:r>
              <w:rPr>
                <w:rFonts w:ascii="Arial" w:cs="Arial" w:eastAsia="Arial" w:hAnsi="Arial"/>
                <w:sz w:val="18"/>
                <w:szCs w:val="18"/>
                <w:color w:val="auto"/>
              </w:rPr>
              <w:t>2,218,555</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2,218,555</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Charles and Lynn Schusterman Family Foundation</w:t>
            </w:r>
          </w:p>
        </w:tc>
        <w:tc>
          <w:tcPr>
            <w:tcW w:w="1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1,136,716</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1,136,716</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130</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9"/>
              </w:rPr>
              <w:t>Shares Beneficially Owned</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2060" w:type="dxa"/>
            <w:vAlign w:val="bottom"/>
            <w:gridSpan w:val="4"/>
          </w:tcPr>
          <w:p>
            <w:pPr>
              <w:ind w:left="16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62"/>
        </w:trPr>
        <w:tc>
          <w:tcPr>
            <w:tcW w:w="5500" w:type="dxa"/>
            <w:vAlign w:val="bottom"/>
            <w:gridSpan w:val="2"/>
            <w:vMerge w:val="restart"/>
          </w:tcPr>
          <w:p>
            <w:pPr>
              <w:ind w:left="2160"/>
              <w:spacing w:after="0"/>
              <w:rPr>
                <w:sz w:val="20"/>
                <w:szCs w:val="20"/>
                <w:color w:val="auto"/>
              </w:rPr>
            </w:pPr>
            <w:r>
              <w:rPr>
                <w:rFonts w:ascii="Arial" w:cs="Arial" w:eastAsia="Arial" w:hAnsi="Arial"/>
                <w:sz w:val="14"/>
                <w:szCs w:val="14"/>
                <w:b w:val="1"/>
                <w:bCs w:val="1"/>
                <w:color w:val="auto"/>
              </w:rPr>
              <w:t>Stockholders</w:t>
            </w:r>
          </w:p>
        </w:tc>
        <w:tc>
          <w:tcPr>
            <w:tcW w:w="254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Prior to Offering</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Shares Being</w:t>
            </w:r>
          </w:p>
        </w:tc>
        <w:tc>
          <w:tcPr>
            <w:tcW w:w="2060" w:type="dxa"/>
            <w:vAlign w:val="bottom"/>
            <w:gridSpan w:val="4"/>
          </w:tcPr>
          <w:p>
            <w:pPr>
              <w:ind w:left="54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14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600" w:type="dxa"/>
            <w:vAlign w:val="bottom"/>
          </w:tcPr>
          <w:p>
            <w:pPr>
              <w:spacing w:after="0"/>
              <w:rPr>
                <w:sz w:val="12"/>
                <w:szCs w:val="12"/>
                <w:color w:val="auto"/>
              </w:rPr>
            </w:pPr>
          </w:p>
        </w:tc>
        <w:tc>
          <w:tcPr>
            <w:tcW w:w="13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Offered</w:t>
            </w:r>
          </w:p>
        </w:tc>
        <w:tc>
          <w:tcPr>
            <w:tcW w:w="12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Silver Creek Special Opportunities Fund</w:t>
            </w:r>
          </w:p>
        </w:tc>
        <w:tc>
          <w:tcPr>
            <w:tcW w:w="3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Cayman III, L.P.</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1,059,859</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1,059,859</w:t>
            </w:r>
          </w:p>
        </w:tc>
        <w:tc>
          <w:tcPr>
            <w:tcW w:w="4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Silver Creek Special Opportunities Fund III, L.P.</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892,335</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892,335</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Mousserena, L.P.</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704,407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704,407</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Silver Creek Credit Opportunities III B Master Fund L.P.</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696,168</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696,168</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Peregrine Multi-Manager Fund, LP</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633,251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633,251</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Silver Creek Credit Opportunities II A Master Fund, L.P.</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529,689</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529,689</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Millennium Trust FBO – DCM Investments LP</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TPGSL</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275,382</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275,382</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DCM TPGSL Fund LLC</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235,204</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235,204</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Pipeline Industry Pension Fund</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192,395</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192,395</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International Union, UAW Strike Trust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153,890</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153,890</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Union, UAW Master Pension Trust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153,890</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153,890</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PFI II, LLC</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140,665</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140,665</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Iron Workers District Council of Southern Ohio</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&amp; Vicinity Pension Trust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128,197</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128,197</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Harold Charles Price</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76,945</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76,945</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Huan Piao Chen &amp; Ann Pao Chen</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59,472</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59,472</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All Other Selling Stockholders</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19,766,977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19,766,977</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ind w:left="460" w:right="520" w:hanging="452"/>
        <w:spacing w:after="0" w:line="261"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General Partner of MSSB TPG Specialty Lending Onshore Feeder Fund LP is an affiliate of each of Morgan Stanley Smith Barney LLC and Morgan Stanley &amp; Co. LLC, each a registered broker-dealer.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80"/>
          </w:cols>
          <w:pgMar w:left="240" w:top="460" w:right="3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that or preferred stock that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April 1, 2014 may be eligible for look-through tax treatment if Congress extends certain rules to apply to such taxable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900" w:right="180" w:hanging="325"/>
        <w:spacing w:after="0" w:line="286" w:lineRule="auto"/>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70" w:lineRule="exact"/>
        <w:rPr>
          <w:rFonts w:ascii="Arial" w:cs="Arial" w:eastAsia="Arial" w:hAnsi="Arial"/>
          <w:sz w:val="17"/>
          <w:szCs w:val="17"/>
          <w:color w:val="auto"/>
        </w:rPr>
      </w:pPr>
    </w:p>
    <w:p>
      <w:pPr>
        <w:ind w:left="900" w:right="300" w:hanging="325"/>
        <w:spacing w:after="0" w:line="264"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We generally expect to distribute substantially all of our earnings on a quarterly basis, but will reinvest dividends on behalf of those investors that do not elect to receive their dividends in cash. See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900" w:right="100" w:hanging="325"/>
        <w:spacing w:after="0" w:line="312" w:lineRule="auto"/>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75"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92" w:lineRule="exact"/>
        <w:rPr>
          <w:sz w:val="20"/>
          <w:szCs w:val="20"/>
          <w:color w:val="auto"/>
        </w:rPr>
      </w:pPr>
    </w:p>
    <w:p>
      <w:pPr>
        <w:ind w:left="900" w:right="200" w:hanging="325"/>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rules expired for taxable years beginning after December 31, 2013. Further legislation is required to make the exemption available with respect to taxable years that commence after December 31, 2013. We cannot assure you that Congress will enact an extension or that any such extension will apply to all dividends that we distribute with respect to taxable years commencing after December 31, 2013. If Congress does extend the exemption, dividends that we designate as “interest-related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or preferred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53,347,891 shares are outstanding as of May 7, 2014, and 100,000,000 shares of preferred stock, par value $0.01 per share, of which no shares are outstanding as of May 7, 2014.</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May 7,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 Held by Us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Outstanding</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Exclusive of Amount Held by</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or for Our 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5"/>
              </w:rPr>
              <w:t>Us or for 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999</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53,347,891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included a $100 million capital commitment by our Adviser. Our existing investors’ obligations to purchase additional shares from the undrawn portion of their capital commitments terminated upon the completion of the IPO.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amended and restated certification of incorporation limits our directors’ liability to the fullest extent permitted under Delaware corporate law and the 1940 Act. Specifically, our directors will not be personally liable to us or our stockholders for any breach of fiduciary duty as a director, except for any liability:</w:t>
      </w:r>
    </w:p>
    <w:p>
      <w:pPr>
        <w:spacing w:after="0" w:line="87" w:lineRule="exact"/>
        <w:rPr>
          <w:sz w:val="20"/>
          <w:szCs w:val="20"/>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60" w:right="2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64"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w:t>
      </w:r>
    </w:p>
    <w:p>
      <w:pPr>
        <w:spacing w:after="0" w:line="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purposes of calculating “a majority of the outstanding voting securities” under our certificate of incorporation, each class and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shares will vote together as a single class, except to the extent required by the 1940 Act or our certificate of incorporation, with respect to any class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of shares. If a separate class vote is required, the applicable proportion of shares of the class or series, voting as a separate class or series, also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211"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Subscription Rights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60"/>
          </w:cols>
          <w:pgMar w:left="240" w:top="460" w:right="29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Dilutive Effects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25.0% of our outstanding voting securities.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40"/>
          </w:cols>
          <w:pgMar w:left="240" w:top="459" w:right="3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they will receive payments on their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On the last business day of each of twenty-four consecutive calendar months, we have an asset coverage of less than 100%, giving effect to any exemptive relief granted to us by the SEC.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 if an Event of Default Occurs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5580" w:hanging="5005"/>
        <w:spacing w:after="0" w:line="44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 160</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80" w:hanging="325"/>
        <w:spacing w:after="0" w:line="259"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60"/>
          </w:cols>
          <w:pgMar w:left="240" w:top="459" w:right="2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foreign exchange controls and potential illiquidity in the secondary market. These risks will vary depending upon the currency or currencies involved and will be more fully described in the applicable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More information about DTC can be found at </w:t>
      </w:r>
      <w:r>
        <w:rPr>
          <w:rFonts w:ascii="Arial" w:cs="Arial" w:eastAsia="Arial" w:hAnsi="Arial"/>
          <w:sz w:val="18"/>
          <w:szCs w:val="18"/>
          <w:i w:val="1"/>
          <w:iCs w:val="1"/>
          <w:color w:val="auto"/>
        </w:rPr>
        <w:t>www.dtcc.com</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connection with our IPO on March 20, 2014, we, the Adviser, our directors, executive officers and substantially all of our existing stockholders agreed with the underwriters in the IPO that, without the prior written consent of J.P. Morgan Securities LLC, Merrill Lynch, Pierce, Fenner &amp; Smith Incorporated and Goldman, Sachs &amp; Co., we and they will not, subject to certain exceptions and extensions, during certain lock-up periods as described below, (1) offer, pledge, sell, contract to sell, sell any option or contract to purchase, purchase any option or contract to sell, grant any option, right or warrant to purchase or otherwise transfer or dispose of, directly or indirectly, any shares of our common stock or 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 The lock-ups apply to all shares of our common stock acquired prior to the date of the IPO, as well as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 in the IPO.</w:t>
      </w:r>
    </w:p>
    <w:p>
      <w:pPr>
        <w:spacing w:after="0" w:line="17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case of the Company, the lock-up period in the previous paragraph is the period ending 180 days after the date of the IPO. In the case of our Adviser, including shares of common stock beneficially owned by our executive officers through the Adviser, the lock-up period is the period ending 365 days after the date of the IPO. In the case of our directors and existing stockholders, the lock-up period in the previous paragraph is 180 days after the date of the IPO for all shares of common stock held by those stockholders and 270 days after the date of the IPO for 50% of the shares of common stock held by those stockholders. Each lock-up period is subject to extension in certain circumstances.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the Adviser, our officers and directors, our existing stockholders and any selling stockholders may enter into additional lock-up agreements in connection with offerings pursuant to this prospectus. The specific terms of any lock-up provisions in respect of any given offering will be described in the applicable prospectus supplement.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60"/>
          </w:cols>
          <w:pgMar w:left="24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our asset coverage was 300.1% and 232.9%,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7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Further, if we are granted exemptive relief, we would undertake that, in connection with any commitment to a co-investment, a “required majority” (as defined in Section 57(o) of the 1940 Act) of Independent Directors would make certain conclusions, including that:</w:t>
      </w:r>
    </w:p>
    <w:p>
      <w:pPr>
        <w:spacing w:after="0" w:line="76" w:lineRule="exact"/>
        <w:rPr>
          <w:sz w:val="20"/>
          <w:szCs w:val="20"/>
          <w:color w:val="auto"/>
        </w:rPr>
      </w:pPr>
    </w:p>
    <w:p>
      <w:pPr>
        <w:ind w:left="900" w:hanging="325"/>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cannot assure you, however, when or whether the SEC will grant our exemptive relief request or that, if granted, it will be on the terms set forth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59" w:right="2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00" w:hanging="325"/>
        <w:spacing w:after="0" w:line="259"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1"/>
          <w:numId w:val="197"/>
        </w:numPr>
        <w:rPr>
          <w:rFonts w:ascii="Arial" w:cs="Arial" w:eastAsia="Arial" w:hAnsi="Arial"/>
          <w:sz w:val="15"/>
          <w:szCs w:val="15"/>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75" w:lineRule="exact"/>
        <w:rPr>
          <w:rFonts w:ascii="Arial" w:cs="Arial" w:eastAsia="Arial" w:hAnsi="Arial"/>
          <w:sz w:val="15"/>
          <w:szCs w:val="15"/>
          <w:color w:val="auto"/>
        </w:rPr>
      </w:pPr>
    </w:p>
    <w:p>
      <w:pPr>
        <w:ind w:left="1480" w:right="180" w:hanging="446"/>
        <w:spacing w:after="0" w:line="264" w:lineRule="auto"/>
        <w:tabs>
          <w:tab w:leader="none" w:pos="1480" w:val="left"/>
        </w:tabs>
        <w:numPr>
          <w:ilvl w:val="1"/>
          <w:numId w:val="197"/>
        </w:numPr>
        <w:rPr>
          <w:rFonts w:ascii="Arial" w:cs="Arial" w:eastAsia="Arial" w:hAnsi="Arial"/>
          <w:sz w:val="15"/>
          <w:szCs w:val="15"/>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5"/>
          <w:szCs w:val="15"/>
          <w:color w:val="auto"/>
        </w:rPr>
      </w:pPr>
    </w:p>
    <w:p>
      <w:pPr>
        <w:ind w:left="1480" w:hanging="446"/>
        <w:spacing w:after="0"/>
        <w:tabs>
          <w:tab w:leader="none" w:pos="1480" w:val="left"/>
        </w:tabs>
        <w:numPr>
          <w:ilvl w:val="1"/>
          <w:numId w:val="197"/>
        </w:numPr>
        <w:rPr>
          <w:rFonts w:ascii="Arial" w:cs="Arial" w:eastAsia="Arial" w:hAnsi="Arial"/>
          <w:sz w:val="14"/>
          <w:szCs w:val="14"/>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42" w:lineRule="exact"/>
        <w:rPr>
          <w:rFonts w:ascii="Arial" w:cs="Arial" w:eastAsia="Arial" w:hAnsi="Arial"/>
          <w:sz w:val="14"/>
          <w:szCs w:val="14"/>
          <w:color w:val="auto"/>
        </w:rPr>
      </w:pPr>
    </w:p>
    <w:p>
      <w:pPr>
        <w:ind w:left="900" w:hanging="325"/>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 70%</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a code of ethics which applies to, among others, our and our Adviser’s executive officers, including our Chief Executive Officer and Chief Financial Officer, as well as our and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You may also obtain copies of the code of ethics, after paying a duplicating fee, by electronic request at the following e-mail address: publicinfo@sec.gov, or by writing the SEC’s Public Reference Section at 100 F Street, Room 1580 N.E. Washington, D.C. 20549. We also hereby undertake to provide a copy of this code to any person, without charge, upon request. Requests for a copy of the code may be made in writing addressed to our Secretary, Jennifer Mello, 345 California Street, Suite 3300 San Francisco, CA 94104, Attention: TSL Investor Relations, or by emailing us at </w:t>
      </w:r>
      <w:r>
        <w:rPr>
          <w:rFonts w:ascii="Arial" w:cs="Arial" w:eastAsia="Arial" w:hAnsi="Arial"/>
          <w:sz w:val="17"/>
          <w:szCs w:val="17"/>
          <w:i w:val="1"/>
          <w:iCs w:val="1"/>
          <w:color w:val="auto"/>
        </w:rPr>
        <w:t>IRTSL@tpg.com</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180" w:hanging="325"/>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70" w:lineRule="exact"/>
        <w:rPr>
          <w:rFonts w:ascii="Arial" w:cs="Arial" w:eastAsia="Arial" w:hAnsi="Arial"/>
          <w:sz w:val="17"/>
          <w:szCs w:val="17"/>
          <w:color w:val="auto"/>
        </w:rPr>
      </w:pPr>
    </w:p>
    <w:p>
      <w:pPr>
        <w:ind w:left="900" w:right="120" w:hanging="325"/>
        <w:spacing w:after="0" w:line="286" w:lineRule="auto"/>
        <w:tabs>
          <w:tab w:leader="none" w:pos="9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2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2" w:lineRule="exact"/>
        <w:rPr>
          <w:sz w:val="20"/>
          <w:szCs w:val="20"/>
          <w:color w:val="auto"/>
        </w:rPr>
      </w:pPr>
    </w:p>
    <w:p>
      <w:pPr>
        <w:ind w:left="900" w:right="580" w:hanging="325"/>
        <w:spacing w:after="0" w:line="27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Although we expect to become a large accelerated filer at the end of this fiscal year, we currently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securities less attractive as a result of our taking advantage of exemptions available to emerging growth companies. The result may be a less active trading market for our securities and the price of our securities may be more volatile.</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NYSE has adopted corporate governance rules that listed companies must comply with. We are in compliance with these rules.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 345 California Street, Suite 3300 San Francisco, CA 94104, Attention: TSL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IRTSL@tpg.com.</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20"/>
          </w:cols>
          <w:pgMar w:left="240" w:top="459" w:right="3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or a combination of these methods. In addition, this prospectus relates to 42,040,525 shares of our common stock that may be sold by the selling stockholders identified under “Selling Stockholders.”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or the selling stockholders may sell the securities through underwriters or dealers, directly to one or more purchasers, including existing stockholders in a rights offering, through agents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or the selling stockholders will receive from the sale; any over-allotment options under which underwriters may purchase additional securities from us or the selling stockholders;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sale of the securities, underwriters or agents may receive compensation from us, the selling stockholders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or the selling stockholders and any profit realized by them on the resale of the securities may be deemed to be underwriting discounts and commissions under the Securities Act. Any such underwriter or agent will be identified and any such compensation received from us or the selling stockholders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or the selling stockholders, as applicable, may also reimburse the underwriter or agent for certain fees and legal expenses incurred by it.</w:t>
      </w:r>
    </w:p>
    <w:p>
      <w:pPr>
        <w:spacing w:after="0" w:line="16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the agent will act on a best-efforts basis for the period of its appointment.</w:t>
      </w:r>
    </w:p>
    <w:p>
      <w:pPr>
        <w:spacing w:after="0" w:line="166"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agreements that we or the selling stockholders may enter, underwriters, dealers and agents who participate in the distribution of the securities may be entitled to indemnification by us or the selling stockholders, as applicable,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so indicated in the applicable prospectus supplement, we or the selling stockholders will authorize underwriters or other persons acting as agents to solicit offers by certain institutions to purchase securities from us or the selling stockholders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or the selling stockholders, as applicable.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the selling stockholders or borrowed from us, the selling stockholders or others to settle those sales or to close out any related open borrowings of stock, and may use securities received from us or the selling stockholders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80"/>
          </w:cols>
          <w:pgMar w:left="240" w:top="459" w:right="2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2013 and 2012, and for each of the years in the three-year period ended December 31, 2013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07"/>
        </w:trPr>
        <w:tc>
          <w:tcPr>
            <w:tcW w:w="952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12"/>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445"/>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278">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79">
              <w:r>
                <w:rPr>
                  <w:rFonts w:ascii="Arial" w:cs="Arial" w:eastAsia="Arial" w:hAnsi="Arial"/>
                  <w:sz w:val="18"/>
                  <w:szCs w:val="18"/>
                  <w:color w:val="0000EE"/>
                  <w:w w:val="88"/>
                </w:rPr>
                <w:t>Consolidated Balance Sheets as of December 31, 2013 and 2012</w:t>
              </w:r>
            </w:hyperlink>
          </w:p>
        </w:tc>
        <w:tc>
          <w:tcPr>
            <w:tcW w:w="48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80">
              <w:r>
                <w:rPr>
                  <w:rFonts w:ascii="Arial" w:cs="Arial" w:eastAsia="Arial" w:hAnsi="Arial"/>
                  <w:sz w:val="18"/>
                  <w:szCs w:val="18"/>
                  <w:color w:val="0000EE"/>
                  <w:w w:val="89"/>
                </w:rPr>
                <w:t>Consolidated Statements of Operations for the Years Ended December 31, 2013, 2012 and 2011</w:t>
              </w:r>
            </w:hyperlink>
          </w:p>
        </w:tc>
        <w:tc>
          <w:tcPr>
            <w:tcW w:w="262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81">
              <w:r>
                <w:rPr>
                  <w:rFonts w:ascii="Arial" w:cs="Arial" w:eastAsia="Arial" w:hAnsi="Arial"/>
                  <w:sz w:val="18"/>
                  <w:szCs w:val="18"/>
                  <w:color w:val="0000EE"/>
                </w:rPr>
                <w:t>Consolidated Schedules of Investments as of December 31, 2013 and 2012</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Consolidated Statements of Changes in Net Assets for the Years Ended December 31, 2013, 2012 and 2011</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196"/>
        </w:trPr>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289">
              <w:r>
                <w:rPr>
                  <w:rFonts w:ascii="Arial" w:cs="Arial" w:eastAsia="Arial" w:hAnsi="Arial"/>
                  <w:sz w:val="18"/>
                  <w:szCs w:val="18"/>
                  <w:color w:val="0000EE"/>
                  <w:w w:val="99"/>
                </w:rPr>
                <w:t>Consolidated Statements of Cash Flows for the Years Ended December 31, 2013, 2012 and 2011</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90">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25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330"/>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314">
              <w:r>
                <w:rPr>
                  <w:rFonts w:ascii="Arial" w:cs="Arial" w:eastAsia="Arial" w:hAnsi="Arial"/>
                  <w:sz w:val="18"/>
                  <w:szCs w:val="18"/>
                  <w:color w:val="0000EE"/>
                </w:rPr>
                <w:t>Consolidated Balance Sheets as of March 31, 2014 and December 31, 2013</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F-38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315">
              <w:r>
                <w:rPr>
                  <w:rFonts w:ascii="Arial" w:cs="Arial" w:eastAsia="Arial" w:hAnsi="Arial"/>
                  <w:sz w:val="18"/>
                  <w:szCs w:val="18"/>
                  <w:color w:val="0000EE"/>
                </w:rPr>
                <w:t>Consolidated Statements of Operations for the Three Months Ended March 31, 2014 and 2013</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68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316">
              <w:r>
                <w:rPr>
                  <w:rFonts w:ascii="Arial" w:cs="Arial" w:eastAsia="Arial" w:hAnsi="Arial"/>
                  <w:sz w:val="18"/>
                  <w:szCs w:val="18"/>
                  <w:color w:val="0000EE"/>
                  <w:w w:val="98"/>
                </w:rPr>
                <w:t>Consolidated Schedules of Investments as of March 31, 2014 and December 31, 2013</w:t>
              </w:r>
            </w:hyperlink>
          </w:p>
        </w:tc>
        <w:tc>
          <w:tcPr>
            <w:tcW w:w="272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325">
              <w:r>
                <w:rPr>
                  <w:rFonts w:ascii="Arial" w:cs="Arial" w:eastAsia="Arial" w:hAnsi="Arial"/>
                  <w:sz w:val="18"/>
                  <w:szCs w:val="18"/>
                  <w:color w:val="0000EE"/>
                </w:rPr>
                <w:t>Consolidated Statements of Changes in Net Assets for the Three Months Ended March 31, 2014 and 2013</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F-49</w:t>
            </w:r>
          </w:p>
        </w:tc>
      </w:tr>
      <w:tr>
        <w:trPr>
          <w:trHeight w:val="196"/>
        </w:trPr>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26">
              <w:r>
                <w:rPr>
                  <w:rFonts w:ascii="Arial" w:cs="Arial" w:eastAsia="Arial" w:hAnsi="Arial"/>
                  <w:sz w:val="18"/>
                  <w:szCs w:val="18"/>
                  <w:color w:val="0000EE"/>
                </w:rPr>
                <w:t>Consolidated Statements of Cash Flows for the Three Months Ended March 31, 2014 and 2013</w:t>
              </w:r>
            </w:hyperlink>
          </w:p>
        </w:tc>
        <w:tc>
          <w:tcPr>
            <w:tcW w:w="188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r>
      <w:tr>
        <w:trPr>
          <w:trHeight w:val="196"/>
        </w:trPr>
        <w:tc>
          <w:tcPr>
            <w:tcW w:w="6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27">
              <w:r>
                <w:rPr>
                  <w:rFonts w:ascii="Arial" w:cs="Arial" w:eastAsia="Arial" w:hAnsi="Arial"/>
                  <w:sz w:val="18"/>
                  <w:szCs w:val="18"/>
                  <w:color w:val="0000EE"/>
                </w:rPr>
                <w:t>Notes to Consolidated Financial Statements</w:t>
              </w:r>
            </w:hyperlink>
          </w:p>
        </w:tc>
        <w:tc>
          <w:tcPr>
            <w:tcW w:w="26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F-51</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8"/>
          </w:tcPr>
          <w:p>
            <w:pPr>
              <w:jc w:val="center"/>
              <w:ind w:right="354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1,016,451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3,471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1,039,150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432,267</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1,974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2,668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rPr>
              <w:t>Common stock, $0.01 par value; 100,000,000 shares authorized, 37,027,022 and 31,583,953 shares issued,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respectively; and 37,026,023 and 31,582,954 shares outstanding, respectively (1)</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552,436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17,910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1,039,150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Income</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Investment income from non-controlled, non-affiliated investments: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90,374</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46,402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2,233</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630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cash and cash equivalents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Total investment income from non-controlled, non-affiliated</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60" w:type="dxa"/>
            <w:vAlign w:val="bottom"/>
          </w:tcPr>
          <w:p>
            <w:pPr>
              <w:ind w:left="80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92,610</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47,046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Investment income from non-controlled, affiliated investments: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Interest from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2,724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 income</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1,231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non-controlled, affiliated investments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3,965</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6"/>
                <w:szCs w:val="16"/>
                <w:b w:val="1"/>
                <w:bCs w:val="1"/>
                <w:color w:val="auto"/>
              </w:rPr>
              <w:t>Total Investment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92,610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51,011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10,469</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6,020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Initial organization</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Management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13,376</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8,892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Incentive fees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11,790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6,996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Professional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2,881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Directors’ fees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287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Other general and administrative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42,045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26,640</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80" w:type="dxa"/>
            <w:vAlign w:val="bottom"/>
            <w:gridSpan w:val="2"/>
          </w:tcPr>
          <w:p>
            <w:pPr>
              <w:spacing w:after="0"/>
              <w:rPr>
                <w:sz w:val="20"/>
                <w:szCs w:val="20"/>
                <w:color w:val="auto"/>
              </w:rPr>
            </w:pPr>
            <w:r>
              <w:rPr>
                <w:rFonts w:ascii="Arial" w:cs="Arial" w:eastAsia="Arial" w:hAnsi="Arial"/>
                <w:sz w:val="16"/>
                <w:szCs w:val="16"/>
                <w:color w:val="auto"/>
              </w:rPr>
              <w:t>Management fees waived (Note 3)</w:t>
            </w: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(7,135)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6"/>
                <w:szCs w:val="16"/>
                <w:color w:val="auto"/>
              </w:rPr>
              <w:t>(3,704)</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Net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34,910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22,936</w:t>
            </w: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Net Investment Income (Loss) Before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57,700</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28,075</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Income taxes, including excise taxes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Net Investment Income (Loss)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57,501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28,029</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Unrealized and 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Net change in unrealized gains (losses):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7,372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Non-controlled, affiliated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6"/>
                <w:szCs w:val="16"/>
                <w:color w:val="auto"/>
              </w:rPr>
              <w:t>(161)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forward contracts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(1,244)</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6"/>
                <w:szCs w:val="16"/>
                <w:color w:val="auto"/>
              </w:rPr>
              <w:t>Total net change in unrealized gains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7,211</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4,255</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affiliated investments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Foreign currency forward contracts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realized gains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6"/>
                <w:szCs w:val="16"/>
                <w:b w:val="1"/>
                <w:bCs w:val="1"/>
                <w:color w:val="auto"/>
              </w:rPr>
              <w:t>Total Unrealized and Realized Gains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11,566</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Increase in Net Assets Resulting from Operations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66,983</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39,595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Earnings per common share—basic and diluted </w:t>
            </w:r>
            <w:r>
              <w:rPr>
                <w:rFonts w:ascii="Arial" w:cs="Arial" w:eastAsia="Arial" w:hAnsi="Arial"/>
                <w:sz w:val="27"/>
                <w:szCs w:val="27"/>
                <w:color w:val="auto"/>
                <w:vertAlign w:val="superscript"/>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gridSpan w:val="2"/>
            <w:vMerge w:val="continue"/>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w:t>
            </w:r>
          </w:p>
        </w:tc>
        <w:tc>
          <w:tcPr>
            <w:tcW w:w="500" w:type="dxa"/>
            <w:vAlign w:val="bottom"/>
          </w:tcPr>
          <w:p>
            <w:pPr>
              <w:spacing w:after="0"/>
              <w:rPr>
                <w:sz w:val="17"/>
                <w:szCs w:val="17"/>
                <w:color w:val="auto"/>
              </w:rPr>
            </w:pP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Weighted average shares of common stock outstanding—basic and diluted </w:t>
            </w:r>
            <w:r>
              <w:rPr>
                <w:rFonts w:ascii="Arial" w:cs="Arial" w:eastAsia="Arial" w:hAnsi="Arial"/>
                <w:sz w:val="23"/>
                <w:szCs w:val="23"/>
                <w:color w:val="auto"/>
                <w:vertAlign w:val="superscript"/>
              </w:rPr>
              <w:t>(1)</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34,635,208</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20,541,475</w:t>
            </w: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3,347,602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220" w:hanging="452"/>
        <w:spacing w:after="0" w:line="277"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4"/>
                <w:szCs w:val="14"/>
                <w:color w:val="auto"/>
              </w:rPr>
            </w:pPr>
          </w:p>
        </w:tc>
        <w:tc>
          <w:tcPr>
            <w:tcW w:w="6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660" w:type="dxa"/>
            <w:vAlign w:val="bottom"/>
          </w:tcPr>
          <w:p>
            <w:pPr>
              <w:jc w:val="right"/>
              <w:ind w:right="22"/>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Arial" w:cs="Arial" w:eastAsia="Arial" w:hAnsi="Arial"/>
                <w:sz w:val="16"/>
                <w:szCs w:val="16"/>
                <w:b w:val="1"/>
                <w:bCs w:val="1"/>
                <w:color w:val="auto"/>
              </w:rPr>
              <w:t>Aerospace and defense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MSC Software Corporation </w:t>
            </w:r>
            <w:r>
              <w:rPr>
                <w:rFonts w:ascii="Arial" w:cs="Arial" w:eastAsia="Arial" w:hAnsi="Arial"/>
                <w:sz w:val="23"/>
                <w:szCs w:val="23"/>
                <w:color w:val="auto"/>
                <w:vertAlign w:val="superscript"/>
              </w:rPr>
              <w:t>(3)(4)(6)</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($53,452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11/2017)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12/23/2011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52,828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$ 53,720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Arial" w:cs="Arial" w:eastAsia="Arial" w:hAnsi="Arial"/>
                <w:sz w:val="16"/>
                <w:szCs w:val="16"/>
                <w:b w:val="1"/>
                <w:bCs w:val="1"/>
                <w:color w:val="auto"/>
              </w:rPr>
              <w:t>Automotive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Heartland Automotive Holdings,</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(3)(4)</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($36,733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6/2017)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8/28/2012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36,182</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revolving</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loan ($4,611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6/2017)</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10.75%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8/28/2012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4,500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4,528</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Sage Automotive Interiors, Inc. </w:t>
            </w:r>
            <w:r>
              <w:rPr>
                <w:rFonts w:ascii="Arial" w:cs="Arial" w:eastAsia="Arial" w:hAnsi="Arial"/>
                <w:sz w:val="22"/>
                <w:szCs w:val="22"/>
                <w:color w:val="auto"/>
                <w:vertAlign w:val="superscript"/>
              </w:rPr>
              <w:t>(3)(4)(6)</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($21,553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12/2016)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12/31/2012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21,336</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61,838</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62,155</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Beverage, food and tobacco</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AFS Technologies, Inc. </w:t>
            </w:r>
            <w:r>
              <w:rPr>
                <w:rFonts w:ascii="Arial" w:cs="Arial" w:eastAsia="Arial" w:hAnsi="Arial"/>
                <w:sz w:val="22"/>
                <w:szCs w:val="22"/>
                <w:color w:val="auto"/>
                <w:vertAlign w:val="superscript"/>
              </w:rPr>
              <w:t>(3)(4)(6)</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($44,394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8/2015)</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7.75%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8/31/2011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43,837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45,837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Business services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Actian Corporation </w:t>
            </w:r>
            <w:r>
              <w:rPr>
                <w:rFonts w:ascii="Arial" w:cs="Arial" w:eastAsia="Arial" w:hAnsi="Arial"/>
                <w:sz w:val="22"/>
                <w:szCs w:val="22"/>
                <w:color w:val="auto"/>
                <w:vertAlign w:val="superscript"/>
              </w:rPr>
              <w:t>(3)(4)(6)</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($67,933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4/2018)</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8.50%</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4/11/2013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65,762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66,405</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Aptean Holdings, Inc. f/k/a Consona Holdings, Inc. </w:t>
            </w:r>
            <w:r>
              <w:rPr>
                <w:rFonts w:ascii="Arial" w:cs="Arial" w:eastAsia="Arial" w:hAnsi="Arial"/>
                <w:sz w:val="22"/>
                <w:szCs w:val="22"/>
                <w:color w:val="auto"/>
                <w:vertAlign w:val="superscript"/>
              </w:rPr>
              <w:t>(3)(4)</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($29,625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8/2018)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8/13/2012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29,477</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97"/>
        </w:trPr>
        <w:tc>
          <w:tcPr>
            <w:tcW w:w="4460" w:type="dxa"/>
            <w:vAlign w:val="bottom"/>
            <w:gridSpan w:val="3"/>
          </w:tcPr>
          <w:p>
            <w:pPr>
              <w:spacing w:after="0"/>
              <w:rPr>
                <w:sz w:val="20"/>
                <w:szCs w:val="20"/>
                <w:color w:val="auto"/>
              </w:rPr>
            </w:pPr>
            <w:r>
              <w:rPr>
                <w:rFonts w:ascii="Arial" w:cs="Arial" w:eastAsia="Arial" w:hAnsi="Arial"/>
                <w:sz w:val="16"/>
                <w:szCs w:val="16"/>
                <w:color w:val="auto"/>
              </w:rPr>
              <w:t>Beyond Trust Software Holding</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tcPr>
          <w:p>
            <w:pPr>
              <w:ind w:left="160"/>
              <w:spacing w:after="0" w:line="205" w:lineRule="exact"/>
              <w:rPr>
                <w:sz w:val="20"/>
                <w:szCs w:val="20"/>
                <w:color w:val="auto"/>
              </w:rPr>
            </w:pPr>
            <w:r>
              <w:rPr>
                <w:rFonts w:ascii="Arial" w:cs="Arial" w:eastAsia="Arial" w:hAnsi="Arial"/>
                <w:sz w:val="14"/>
                <w:szCs w:val="14"/>
                <w:color w:val="auto"/>
              </w:rPr>
              <w:t xml:space="preserve">Group, Inc. </w:t>
            </w:r>
            <w:r>
              <w:rPr>
                <w:rFonts w:ascii="Arial" w:cs="Arial" w:eastAsia="Arial" w:hAnsi="Arial"/>
                <w:sz w:val="23"/>
                <w:szCs w:val="23"/>
                <w:color w:val="auto"/>
                <w:vertAlign w:val="superscript"/>
              </w:rPr>
              <w:t>(3)(6)</w:t>
            </w:r>
          </w:p>
        </w:tc>
        <w:tc>
          <w:tcPr>
            <w:tcW w:w="1740" w:type="dxa"/>
            <w:vAlign w:val="bottom"/>
            <w:gridSpan w:val="2"/>
          </w:tcPr>
          <w:p>
            <w:pPr>
              <w:spacing w:after="0"/>
              <w:rPr>
                <w:sz w:val="20"/>
                <w:szCs w:val="20"/>
                <w:color w:val="auto"/>
              </w:rPr>
            </w:pPr>
            <w:r>
              <w:rPr>
                <w:rFonts w:ascii="Arial" w:cs="Arial" w:eastAsia="Arial" w:hAnsi="Arial"/>
                <w:sz w:val="16"/>
                <w:szCs w:val="16"/>
                <w:color w:val="auto"/>
              </w:rPr>
              <w:t>($42,500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12/2019)</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7.25%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12/18/2013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41,462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41,437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Network Merchants, Inc </w:t>
            </w:r>
            <w:r>
              <w:rPr>
                <w:rFonts w:ascii="Arial" w:cs="Arial" w:eastAsia="Arial" w:hAnsi="Arial"/>
                <w:sz w:val="22"/>
                <w:szCs w:val="22"/>
                <w:color w:val="auto"/>
                <w:vertAlign w:val="superscript"/>
              </w:rPr>
              <w:t>(3)(4)</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($29,659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9/2018)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9/12/2013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165,608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166,521</w:t>
            </w: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Construction and building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Mannington Mills, Inc. </w:t>
            </w:r>
            <w:r>
              <w:rPr>
                <w:rFonts w:ascii="Arial" w:cs="Arial" w:eastAsia="Arial" w:hAnsi="Arial"/>
                <w:sz w:val="22"/>
                <w:szCs w:val="22"/>
                <w:color w:val="auto"/>
                <w:vertAlign w:val="superscript"/>
              </w:rPr>
              <w:t>(3)(4)</w:t>
            </w:r>
          </w:p>
        </w:tc>
        <w:tc>
          <w:tcPr>
            <w:tcW w:w="1740" w:type="dxa"/>
            <w:vAlign w:val="bottom"/>
            <w:gridSpan w:val="2"/>
          </w:tcPr>
          <w:p>
            <w:pPr>
              <w:spacing w:after="0"/>
              <w:rPr>
                <w:sz w:val="20"/>
                <w:szCs w:val="20"/>
                <w:color w:val="auto"/>
              </w:rPr>
            </w:pPr>
            <w:r>
              <w:rPr>
                <w:rFonts w:ascii="Arial" w:cs="Arial" w:eastAsia="Arial" w:hAnsi="Arial"/>
                <w:sz w:val="16"/>
                <w:szCs w:val="16"/>
                <w:color w:val="auto"/>
              </w:rPr>
              <w:t>Second-lien loan</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14.00%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($47,430 par,</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(incl. 2.00%</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3/2017)</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PIK)</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3/2/2012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46,545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51,817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Containers and packaging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The Newark Group, Inc. </w:t>
            </w:r>
            <w:r>
              <w:rPr>
                <w:rFonts w:ascii="Arial" w:cs="Arial" w:eastAsia="Arial" w:hAnsi="Arial"/>
                <w:sz w:val="22"/>
                <w:szCs w:val="22"/>
                <w:color w:val="auto"/>
                <w:vertAlign w:val="superscript"/>
              </w:rPr>
              <w:t>(3)(4)</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($46,560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2/2018)</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8.50%</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2/8/2013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46,164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47,142</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Education</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Arial" w:cs="Arial" w:eastAsia="Arial" w:hAnsi="Arial"/>
                <w:sz w:val="16"/>
                <w:szCs w:val="16"/>
                <w:color w:val="auto"/>
              </w:rPr>
              <w:t>Campus Management,</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tcPr>
          <w:p>
            <w:pPr>
              <w:ind w:left="16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(3)(4)(6)</w:t>
            </w:r>
          </w:p>
        </w:tc>
        <w:tc>
          <w:tcPr>
            <w:tcW w:w="1740" w:type="dxa"/>
            <w:vAlign w:val="bottom"/>
            <w:gridSpan w:val="2"/>
          </w:tcPr>
          <w:p>
            <w:pPr>
              <w:spacing w:after="0"/>
              <w:rPr>
                <w:sz w:val="20"/>
                <w:szCs w:val="20"/>
                <w:color w:val="auto"/>
              </w:rPr>
            </w:pPr>
            <w:r>
              <w:rPr>
                <w:rFonts w:ascii="Arial" w:cs="Arial" w:eastAsia="Arial" w:hAnsi="Arial"/>
                <w:sz w:val="16"/>
                <w:szCs w:val="16"/>
                <w:color w:val="auto"/>
              </w:rPr>
              <w:t>($29,625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9/2018)</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8.75%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9/30/2013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28,931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29,032</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Amortized</w:t>
            </w: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8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Interest</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Financial services</w:t>
            </w: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Embarcadero Technologies, Inc. </w:t>
            </w:r>
            <w:r>
              <w:rPr>
                <w:rFonts w:ascii="Arial" w:cs="Arial" w:eastAsia="Arial" w:hAnsi="Arial"/>
                <w:sz w:val="22"/>
                <w:szCs w:val="22"/>
                <w:color w:val="auto"/>
                <w:vertAlign w:val="superscript"/>
              </w:rPr>
              <w:t>(3)(4)(6)</w:t>
            </w: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loan ($42,479</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par, due 12/2017)</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8.00%</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41,597</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42,372</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Rogue Wave Holdings, Inc. </w:t>
            </w:r>
            <w:r>
              <w:rPr>
                <w:rFonts w:ascii="Arial" w:cs="Arial" w:eastAsia="Arial" w:hAnsi="Arial"/>
                <w:sz w:val="22"/>
                <w:szCs w:val="22"/>
                <w:color w:val="auto"/>
                <w:vertAlign w:val="superscript"/>
              </w:rPr>
              <w:t>(3)(4)(6)</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($76,337</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12/2018)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11/21/2012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75,764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116,349</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118,136</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Healthcare and pharmaceuticals</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Mediware Information Systems, Inc. </w:t>
            </w:r>
            <w:r>
              <w:rPr>
                <w:rFonts w:ascii="Arial" w:cs="Arial" w:eastAsia="Arial" w:hAnsi="Arial"/>
                <w:sz w:val="22"/>
                <w:szCs w:val="22"/>
                <w:color w:val="auto"/>
                <w:vertAlign w:val="superscript"/>
              </w:rPr>
              <w:t>(3)(4)(6)</w:t>
            </w: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loan ($71,634</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par, due 5/2018)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8.00%</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11/9/2012</w:t>
            </w:r>
          </w:p>
        </w:tc>
        <w:tc>
          <w:tcPr>
            <w:tcW w:w="660" w:type="dxa"/>
            <w:vAlign w:val="bottom"/>
          </w:tcPr>
          <w:p>
            <w:pPr>
              <w:jc w:val="right"/>
              <w:spacing w:after="0"/>
              <w:rPr>
                <w:sz w:val="20"/>
                <w:szCs w:val="20"/>
                <w:color w:val="auto"/>
              </w:rPr>
            </w:pPr>
            <w:r>
              <w:rPr>
                <w:rFonts w:ascii="Arial" w:cs="Arial" w:eastAsia="Arial" w:hAnsi="Arial"/>
                <w:sz w:val="16"/>
                <w:szCs w:val="16"/>
                <w:color w:val="auto"/>
              </w:rPr>
              <w:t>70,120</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71,097</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SRS Software, LLC </w:t>
            </w:r>
            <w:r>
              <w:rPr>
                <w:rFonts w:ascii="Arial" w:cs="Arial" w:eastAsia="Arial" w:hAnsi="Arial"/>
                <w:sz w:val="22"/>
                <w:szCs w:val="22"/>
                <w:color w:val="auto"/>
                <w:vertAlign w:val="superscript"/>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($35,625</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12/2017)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revolving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($2,000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due 12/2017)</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106,902</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Arial" w:cs="Arial" w:eastAsia="Arial" w:hAnsi="Arial"/>
                <w:sz w:val="16"/>
                <w:szCs w:val="16"/>
                <w:b w:val="1"/>
                <w:bCs w:val="1"/>
                <w:color w:val="auto"/>
              </w:rPr>
              <w:t>Hotel, gaming, and leisure</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AMF Bowling Worldwide,</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($14,813</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6/2018)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7/2/2013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1"/>
        </w:trPr>
        <w:tc>
          <w:tcPr>
            <w:tcW w:w="43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Centaur, LLC </w:t>
            </w:r>
            <w:r>
              <w:rPr>
                <w:rFonts w:ascii="Arial" w:cs="Arial" w:eastAsia="Arial" w:hAnsi="Arial"/>
                <w:sz w:val="27"/>
                <w:szCs w:val="27"/>
                <w:color w:val="auto"/>
                <w:vertAlign w:val="superscript"/>
              </w:rPr>
              <w:t>(3)</w:t>
            </w:r>
          </w:p>
        </w:tc>
        <w:tc>
          <w:tcPr>
            <w:tcW w:w="1820" w:type="dxa"/>
            <w:vAlign w:val="bottom"/>
            <w:gridSpan w:val="2"/>
          </w:tcPr>
          <w:p>
            <w:pPr>
              <w:spacing w:after="0"/>
              <w:rPr>
                <w:sz w:val="20"/>
                <w:szCs w:val="20"/>
                <w:color w:val="auto"/>
              </w:rPr>
            </w:pPr>
            <w:r>
              <w:rPr>
                <w:rFonts w:ascii="Arial" w:cs="Arial" w:eastAsia="Arial" w:hAnsi="Arial"/>
                <w:sz w:val="16"/>
                <w:szCs w:val="16"/>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($10,000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due 2/2020)</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2/15/2013</w:t>
            </w:r>
          </w:p>
        </w:tc>
        <w:tc>
          <w:tcPr>
            <w:tcW w:w="660" w:type="dxa"/>
            <w:vAlign w:val="bottom"/>
          </w:tcPr>
          <w:p>
            <w:pPr>
              <w:jc w:val="right"/>
              <w:spacing w:after="0"/>
              <w:rPr>
                <w:sz w:val="20"/>
                <w:szCs w:val="20"/>
                <w:color w:val="auto"/>
              </w:rPr>
            </w:pPr>
            <w:r>
              <w:rPr>
                <w:rFonts w:ascii="Arial" w:cs="Arial" w:eastAsia="Arial" w:hAnsi="Arial"/>
                <w:sz w:val="16"/>
                <w:szCs w:val="16"/>
                <w:color w:val="auto"/>
              </w:rPr>
              <w:t>9,923</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10,250</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Mandalay Baseball Properties, LLC </w:t>
            </w:r>
            <w:r>
              <w:rPr>
                <w:rFonts w:ascii="Arial" w:cs="Arial" w:eastAsia="Arial" w:hAnsi="Arial"/>
                <w:sz w:val="22"/>
                <w:szCs w:val="22"/>
                <w:color w:val="auto"/>
                <w:vertAlign w:val="superscript"/>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($34,886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12.00%</w:t>
            </w: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3/2017)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(incl. 4.50%</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PIK)</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4/12/2012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01"/>
        </w:trPr>
        <w:tc>
          <w:tcPr>
            <w:tcW w:w="43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Soho House </w:t>
            </w:r>
            <w:r>
              <w:rPr>
                <w:rFonts w:ascii="Arial" w:cs="Arial" w:eastAsia="Arial" w:hAnsi="Arial"/>
                <w:sz w:val="27"/>
                <w:szCs w:val="27"/>
                <w:color w:val="auto"/>
                <w:vertAlign w:val="superscript"/>
              </w:rPr>
              <w:t>(5)</w:t>
            </w:r>
          </w:p>
        </w:tc>
        <w:tc>
          <w:tcPr>
            <w:tcW w:w="1820" w:type="dxa"/>
            <w:vAlign w:val="bottom"/>
            <w:gridSpan w:val="2"/>
          </w:tcPr>
          <w:p>
            <w:pPr>
              <w:spacing w:after="0"/>
              <w:rPr>
                <w:sz w:val="20"/>
                <w:szCs w:val="20"/>
                <w:color w:val="auto"/>
              </w:rPr>
            </w:pPr>
            <w:r>
              <w:rPr>
                <w:rFonts w:ascii="Arial" w:cs="Arial" w:eastAsia="Arial" w:hAnsi="Arial"/>
                <w:sz w:val="16"/>
                <w:szCs w:val="16"/>
                <w:color w:val="auto"/>
              </w:rPr>
              <w:t>Second-lien bond (GBP</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7,000 par, due 10/2018)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9.13%</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9/20/2013</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11,200</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11,913</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69,113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Arial" w:cs="Arial" w:eastAsia="Arial" w:hAnsi="Arial"/>
                <w:sz w:val="16"/>
                <w:szCs w:val="16"/>
                <w:b w:val="1"/>
                <w:bCs w:val="1"/>
                <w:color w:val="auto"/>
              </w:rPr>
              <w:t>Human resource support services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Pai Group, Inc. </w:t>
            </w:r>
            <w:r>
              <w:rPr>
                <w:rFonts w:ascii="Arial" w:cs="Arial" w:eastAsia="Arial" w:hAnsi="Arial"/>
                <w:sz w:val="23"/>
                <w:szCs w:val="23"/>
                <w:color w:val="auto"/>
                <w:vertAlign w:val="superscript"/>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($34,737</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5/2018)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5/8/2013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01"/>
        </w:trPr>
        <w:tc>
          <w:tcPr>
            <w:tcW w:w="43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SumTotal Systems, LLC </w:t>
            </w:r>
            <w:r>
              <w:rPr>
                <w:rFonts w:ascii="Arial" w:cs="Arial" w:eastAsia="Arial" w:hAnsi="Arial"/>
                <w:sz w:val="27"/>
                <w:szCs w:val="27"/>
                <w:color w:val="auto"/>
                <w:vertAlign w:val="superscript"/>
              </w:rPr>
              <w:t>(3)(4)</w:t>
            </w: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loan ($7,483</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par, due 11/2018)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6.25%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11/16/2012</w:t>
            </w:r>
          </w:p>
        </w:tc>
        <w:tc>
          <w:tcPr>
            <w:tcW w:w="660" w:type="dxa"/>
            <w:vAlign w:val="bottom"/>
          </w:tcPr>
          <w:p>
            <w:pPr>
              <w:jc w:val="right"/>
              <w:spacing w:after="0"/>
              <w:rPr>
                <w:sz w:val="20"/>
                <w:szCs w:val="20"/>
                <w:color w:val="auto"/>
              </w:rPr>
            </w:pPr>
            <w:r>
              <w:rPr>
                <w:rFonts w:ascii="Arial" w:cs="Arial" w:eastAsia="Arial" w:hAnsi="Arial"/>
                <w:sz w:val="16"/>
                <w:szCs w:val="16"/>
                <w:color w:val="auto"/>
              </w:rPr>
              <w:t>7,405</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7,371</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Second-lien loan</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($12,000 par,</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5/2019)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11/16/2012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11,932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11,790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53,316</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53,302</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780" w:type="dxa"/>
            <w:vAlign w:val="bottom"/>
          </w:tcPr>
          <w:p>
            <w:pPr>
              <w:spacing w:after="0"/>
              <w:rPr>
                <w:sz w:val="12"/>
                <w:szCs w:val="12"/>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Interest</w:t>
            </w:r>
          </w:p>
        </w:tc>
        <w:tc>
          <w:tcPr>
            <w:tcW w:w="18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right"/>
              <w:ind w:right="2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2"/>
            <w:shd w:val="clear" w:color="auto" w:fill="CCEEFF"/>
          </w:tcPr>
          <w:p>
            <w:pPr>
              <w:ind w:left="340"/>
              <w:spacing w:after="0" w:line="183" w:lineRule="exact"/>
              <w:rPr>
                <w:sz w:val="20"/>
                <w:szCs w:val="20"/>
                <w:color w:val="auto"/>
              </w:rPr>
            </w:pPr>
            <w:r>
              <w:rPr>
                <w:rFonts w:ascii="Arial" w:cs="Arial" w:eastAsia="Arial" w:hAnsi="Arial"/>
                <w:sz w:val="16"/>
                <w:szCs w:val="16"/>
                <w:b w:val="1"/>
                <w:bCs w:val="1"/>
                <w:color w:val="auto"/>
              </w:rPr>
              <w:t>Insurance</w:t>
            </w:r>
          </w:p>
        </w:tc>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Infogix, Inc. </w:t>
            </w:r>
            <w:r>
              <w:rPr>
                <w:rFonts w:ascii="Arial" w:cs="Arial" w:eastAsia="Arial" w:hAnsi="Arial"/>
                <w:sz w:val="22"/>
                <w:szCs w:val="22"/>
                <w:color w:val="auto"/>
                <w:vertAlign w:val="superscript"/>
              </w:rPr>
              <w:t>(3)(4)</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($31,888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6/2017)</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6/1/2012</w:t>
            </w:r>
          </w:p>
        </w:tc>
        <w:tc>
          <w:tcPr>
            <w:tcW w:w="660" w:type="dxa"/>
            <w:vAlign w:val="bottom"/>
          </w:tcPr>
          <w:p>
            <w:pPr>
              <w:jc w:val="right"/>
              <w:spacing w:after="0"/>
              <w:rPr>
                <w:sz w:val="20"/>
                <w:szCs w:val="20"/>
                <w:color w:val="auto"/>
              </w:rPr>
            </w:pPr>
            <w:r>
              <w:rPr>
                <w:rFonts w:ascii="Arial" w:cs="Arial" w:eastAsia="Arial" w:hAnsi="Arial"/>
                <w:sz w:val="16"/>
                <w:szCs w:val="16"/>
                <w:color w:val="auto"/>
              </w:rPr>
              <w:t>31,433</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31,808</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First-lien revolving</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loan ($850 par,</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due 6/2017)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180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32,215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32,646</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Manufacturing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Jeeves Information</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 (SEK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180"/>
              <w:spacing w:after="0" w:line="205" w:lineRule="exact"/>
              <w:rPr>
                <w:sz w:val="20"/>
                <w:szCs w:val="20"/>
                <w:color w:val="auto"/>
              </w:rPr>
            </w:pPr>
            <w:r>
              <w:rPr>
                <w:rFonts w:ascii="Arial" w:cs="Arial" w:eastAsia="Arial" w:hAnsi="Arial"/>
                <w:sz w:val="14"/>
                <w:szCs w:val="14"/>
                <w:color w:val="auto"/>
              </w:rPr>
              <w:t xml:space="preserve">Systems AB </w:t>
            </w:r>
            <w:r>
              <w:rPr>
                <w:rFonts w:ascii="Arial" w:cs="Arial" w:eastAsia="Arial" w:hAnsi="Arial"/>
                <w:sz w:val="23"/>
                <w:szCs w:val="23"/>
                <w:color w:val="auto"/>
                <w:vertAlign w:val="superscript"/>
              </w:rPr>
              <w:t>(3)(5)</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177,161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6/2018)</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9.25%</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6/5/2013</w:t>
            </w:r>
          </w:p>
        </w:tc>
        <w:tc>
          <w:tcPr>
            <w:tcW w:w="660" w:type="dxa"/>
            <w:vAlign w:val="bottom"/>
          </w:tcPr>
          <w:p>
            <w:pPr>
              <w:jc w:val="right"/>
              <w:spacing w:after="0"/>
              <w:rPr>
                <w:sz w:val="20"/>
                <w:szCs w:val="20"/>
                <w:color w:val="auto"/>
              </w:rPr>
            </w:pPr>
            <w:r>
              <w:rPr>
                <w:rFonts w:ascii="Arial" w:cs="Arial" w:eastAsia="Arial" w:hAnsi="Arial"/>
                <w:sz w:val="16"/>
                <w:szCs w:val="16"/>
                <w:color w:val="auto"/>
              </w:rPr>
              <w:t>26,486</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27,170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Metals and mining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Metalico, Inc. </w:t>
            </w:r>
            <w:r>
              <w:rPr>
                <w:rFonts w:ascii="Arial" w:cs="Arial" w:eastAsia="Arial" w:hAnsi="Arial"/>
                <w:sz w:val="22"/>
                <w:szCs w:val="22"/>
                <w:color w:val="auto"/>
                <w:vertAlign w:val="superscript"/>
              </w:rPr>
              <w:t>(3)(6)</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($35,650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11/2019)</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9.50%</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w w:val="94"/>
              </w:rPr>
              <w:t>11/21/2013</w:t>
            </w:r>
          </w:p>
        </w:tc>
        <w:tc>
          <w:tcPr>
            <w:tcW w:w="660" w:type="dxa"/>
            <w:vAlign w:val="bottom"/>
          </w:tcPr>
          <w:p>
            <w:pPr>
              <w:jc w:val="right"/>
              <w:spacing w:after="0"/>
              <w:rPr>
                <w:sz w:val="20"/>
                <w:szCs w:val="20"/>
                <w:color w:val="auto"/>
              </w:rPr>
            </w:pPr>
            <w:r>
              <w:rPr>
                <w:rFonts w:ascii="Arial" w:cs="Arial" w:eastAsia="Arial" w:hAnsi="Arial"/>
                <w:sz w:val="16"/>
                <w:szCs w:val="16"/>
                <w:color w:val="auto"/>
              </w:rPr>
              <w:t>33,523</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33,841</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Office products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Ecommerce Industries, Inc. </w:t>
            </w:r>
            <w:r>
              <w:rPr>
                <w:rFonts w:ascii="Arial" w:cs="Arial" w:eastAsia="Arial" w:hAnsi="Arial"/>
                <w:sz w:val="22"/>
                <w:szCs w:val="22"/>
                <w:color w:val="auto"/>
                <w:vertAlign w:val="superscript"/>
              </w:rPr>
              <w:t>(3)(4)(6)</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($19,936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10/2016)</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10/17/2011</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19,764</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20,086</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Oil, gas and consumable fuels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Global Geophysical </w:t>
            </w:r>
            <w:r>
              <w:rPr>
                <w:rFonts w:ascii="Arial" w:cs="Arial" w:eastAsia="Arial" w:hAnsi="Arial"/>
                <w:sz w:val="22"/>
                <w:szCs w:val="22"/>
                <w:color w:val="auto"/>
                <w:vertAlign w:val="superscript"/>
              </w:rPr>
              <w:t>(3)(4)</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($40,883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9/2016)</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10.75%</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9/30/2013</w:t>
            </w:r>
          </w:p>
        </w:tc>
        <w:tc>
          <w:tcPr>
            <w:tcW w:w="660" w:type="dxa"/>
            <w:vAlign w:val="bottom"/>
          </w:tcPr>
          <w:p>
            <w:pPr>
              <w:jc w:val="right"/>
              <w:spacing w:after="0"/>
              <w:rPr>
                <w:sz w:val="20"/>
                <w:szCs w:val="20"/>
                <w:color w:val="auto"/>
              </w:rPr>
            </w:pPr>
            <w:r>
              <w:rPr>
                <w:rFonts w:ascii="Arial" w:cs="Arial" w:eastAsia="Arial" w:hAnsi="Arial"/>
                <w:sz w:val="16"/>
                <w:szCs w:val="16"/>
                <w:color w:val="auto"/>
              </w:rPr>
              <w:t>39,617</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40,065</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Transportation</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Kewill, Ltd. </w:t>
            </w:r>
            <w:r>
              <w:rPr>
                <w:rFonts w:ascii="Arial" w:cs="Arial" w:eastAsia="Arial" w:hAnsi="Arial"/>
                <w:sz w:val="22"/>
                <w:szCs w:val="22"/>
                <w:color w:val="auto"/>
                <w:vertAlign w:val="superscript"/>
              </w:rPr>
              <w:t>(3)(5)</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Second-lien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($52,500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10/2019)</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9.50%</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10/2/2013</w:t>
            </w:r>
          </w:p>
        </w:tc>
        <w:tc>
          <w:tcPr>
            <w:tcW w:w="660" w:type="dxa"/>
            <w:vAlign w:val="bottom"/>
          </w:tcPr>
          <w:p>
            <w:pPr>
              <w:jc w:val="right"/>
              <w:spacing w:after="0"/>
              <w:rPr>
                <w:sz w:val="20"/>
                <w:szCs w:val="20"/>
                <w:color w:val="auto"/>
              </w:rPr>
            </w:pPr>
            <w:r>
              <w:rPr>
                <w:rFonts w:ascii="Arial" w:cs="Arial" w:eastAsia="Arial" w:hAnsi="Arial"/>
                <w:sz w:val="16"/>
                <w:szCs w:val="16"/>
                <w:color w:val="auto"/>
              </w:rPr>
              <w:t>51,482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51,713</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Total Debt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994,518</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1,014,647</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315"/>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Equity Investments</w:t>
            </w: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Business services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Arial" w:cs="Arial" w:eastAsia="Arial" w:hAnsi="Arial"/>
                <w:sz w:val="16"/>
                <w:szCs w:val="16"/>
                <w:color w:val="auto"/>
              </w:rPr>
              <w:t>Network Merchants, Inc</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Non-Voting Preferred</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Units (774,099 units)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9/12/2013</w:t>
            </w:r>
          </w:p>
        </w:tc>
        <w:tc>
          <w:tcPr>
            <w:tcW w:w="660" w:type="dxa"/>
            <w:vAlign w:val="bottom"/>
          </w:tcPr>
          <w:p>
            <w:pPr>
              <w:jc w:val="right"/>
              <w:spacing w:after="0"/>
              <w:rPr>
                <w:sz w:val="20"/>
                <w:szCs w:val="20"/>
                <w:color w:val="auto"/>
              </w:rPr>
            </w:pPr>
            <w:r>
              <w:rPr>
                <w:rFonts w:ascii="Arial" w:cs="Arial" w:eastAsia="Arial" w:hAnsi="Arial"/>
                <w:sz w:val="16"/>
                <w:szCs w:val="16"/>
                <w:color w:val="auto"/>
              </w:rPr>
              <w:t>780</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780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Healthcare and pharmaceuticals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Arial" w:cs="Arial" w:eastAsia="Arial" w:hAnsi="Arial"/>
                <w:sz w:val="16"/>
                <w:szCs w:val="16"/>
                <w:color w:val="auto"/>
              </w:rPr>
              <w:t>SRS Parent Corp.</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Common Shares</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Class A (1,980 shares)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1,980</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Common Shares</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Class B</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(2,953,020 shares)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w w:val="94"/>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1,024</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Total Equity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Total Investments</w:t>
            </w: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9"/>
              </w:rPr>
              <w:t>$ 997,298</w:t>
            </w:r>
          </w:p>
        </w:tc>
        <w:tc>
          <w:tcPr>
            <w:tcW w:w="28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1,016,451</w:t>
            </w:r>
          </w:p>
        </w:tc>
        <w:tc>
          <w:tcPr>
            <w:tcW w:w="280" w:type="dxa"/>
            <w:vAlign w:val="bottom"/>
            <w:vMerge w:val="continue"/>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6"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240" w:hanging="452"/>
        <w:spacing w:after="0" w:line="261"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hanging="452"/>
        <w:spacing w:after="0" w:line="256" w:lineRule="auto"/>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460" w:right="560" w:hanging="452"/>
        <w:spacing w:after="0" w:line="250" w:lineRule="auto"/>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hanging="452"/>
        <w:spacing w:after="0" w:line="281" w:lineRule="auto"/>
        <w:tabs>
          <w:tab w:leader="none" w:pos="4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20" w:hanging="452"/>
        <w:spacing w:after="0" w:line="261" w:lineRule="auto"/>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gridSpan w:val="3"/>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w:t>
            </w: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Arial" w:cs="Arial" w:eastAsia="Arial" w:hAnsi="Arial"/>
                <w:sz w:val="16"/>
                <w:szCs w:val="16"/>
                <w:b w:val="1"/>
                <w:bCs w:val="1"/>
                <w:color w:val="auto"/>
              </w:rPr>
              <w:t>Aerospace and defense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MSC.Software Corporation </w:t>
            </w:r>
            <w:r>
              <w:rPr>
                <w:rFonts w:ascii="Arial" w:cs="Arial" w:eastAsia="Arial" w:hAnsi="Arial"/>
                <w:sz w:val="23"/>
                <w:szCs w:val="23"/>
                <w:color w:val="auto"/>
                <w:vertAlign w:val="superscript"/>
              </w:rPr>
              <w:t>(3)(4)(5)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($56,266</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12/23/2011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5"/>
              </w:rPr>
              <w:t>$  55,423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55,984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Arial" w:cs="Arial" w:eastAsia="Arial" w:hAnsi="Arial"/>
                <w:sz w:val="16"/>
                <w:szCs w:val="16"/>
                <w:b w:val="1"/>
                <w:bCs w:val="1"/>
                <w:color w:val="auto"/>
              </w:rPr>
              <w:t>Automotive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Heartland Automotive Holdings, LLC </w:t>
            </w:r>
            <w:r>
              <w:rPr>
                <w:rFonts w:ascii="Arial" w:cs="Arial" w:eastAsia="Arial" w:hAnsi="Arial"/>
                <w:sz w:val="23"/>
                <w:szCs w:val="23"/>
                <w:color w:val="auto"/>
                <w:vertAlign w:val="superscript"/>
              </w:rPr>
              <w:t>(3)(5)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($38,951</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6/2017)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8/28/2012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37,998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38,075</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revolving loan ($555</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6/2017)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8/28/2012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431</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Sage Automotive Interiors, Inc. </w:t>
            </w:r>
            <w:r>
              <w:rPr>
                <w:rFonts w:ascii="Arial" w:cs="Arial" w:eastAsia="Arial" w:hAnsi="Arial"/>
                <w:sz w:val="22"/>
                <w:szCs w:val="22"/>
                <w:color w:val="auto"/>
                <w:vertAlign w:val="superscript"/>
              </w:rPr>
              <w:t>(3)(4)(5)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($19,878</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12/2016)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12/31/2012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19,679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58,128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58,185</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Beverage, food and tobacco</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AFS Technologies, Inc. </w:t>
            </w:r>
            <w:r>
              <w:rPr>
                <w:rFonts w:ascii="Arial" w:cs="Arial" w:eastAsia="Arial" w:hAnsi="Arial"/>
                <w:sz w:val="22"/>
                <w:szCs w:val="22"/>
                <w:color w:val="auto"/>
                <w:vertAlign w:val="superscript"/>
              </w:rPr>
              <w:t>(3)(4)(5)</w:t>
            </w: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 loan ($46,884</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8/2015)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7.75%</w:t>
            </w:r>
          </w:p>
        </w:tc>
        <w:tc>
          <w:tcPr>
            <w:tcW w:w="780" w:type="dxa"/>
            <w:vAlign w:val="bottom"/>
          </w:tcPr>
          <w:p>
            <w:pPr>
              <w:jc w:val="right"/>
              <w:spacing w:after="0"/>
              <w:rPr>
                <w:sz w:val="20"/>
                <w:szCs w:val="20"/>
                <w:color w:val="auto"/>
              </w:rPr>
            </w:pPr>
            <w:r>
              <w:rPr>
                <w:rFonts w:ascii="Arial" w:cs="Arial" w:eastAsia="Arial" w:hAnsi="Arial"/>
                <w:sz w:val="16"/>
                <w:szCs w:val="16"/>
                <w:color w:val="auto"/>
              </w:rPr>
              <w:t>8/31/2011</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45,987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46,532</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Checkers Drive-In Restaurants, Inc. </w:t>
            </w:r>
            <w:r>
              <w:rPr>
                <w:rFonts w:ascii="Arial" w:cs="Arial" w:eastAsia="Arial" w:hAnsi="Arial"/>
                <w:sz w:val="22"/>
                <w:szCs w:val="22"/>
                <w:color w:val="auto"/>
                <w:vertAlign w:val="superscript"/>
              </w:rPr>
              <w:t>(5)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Second-lien bond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($10,000 par,</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12/2017)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11/16/2012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10,025</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56,004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56,557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Business services</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Consona Holdings, Inc. </w:t>
            </w:r>
            <w:r>
              <w:rPr>
                <w:rFonts w:ascii="Arial" w:cs="Arial" w:eastAsia="Arial" w:hAnsi="Arial"/>
                <w:sz w:val="22"/>
                <w:szCs w:val="22"/>
                <w:color w:val="auto"/>
                <w:vertAlign w:val="superscript"/>
              </w:rPr>
              <w:t>(3)(5)</w:t>
            </w: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 loan ($29,925</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8/2018)</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7.25%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8/13/2012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29,514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29,925</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Attachmate Corporation </w:t>
            </w:r>
            <w:r>
              <w:rPr>
                <w:rFonts w:ascii="Arial" w:cs="Arial" w:eastAsia="Arial" w:hAnsi="Arial"/>
                <w:sz w:val="22"/>
                <w:szCs w:val="22"/>
                <w:color w:val="auto"/>
                <w:vertAlign w:val="superscript"/>
              </w:rPr>
              <w:t>(3)(5)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($926</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6/25/2012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30,458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30,819</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Capital equipment</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Federal Signal Corporation </w:t>
            </w:r>
            <w:r>
              <w:rPr>
                <w:rFonts w:ascii="Arial" w:cs="Arial" w:eastAsia="Arial" w:hAnsi="Arial"/>
                <w:sz w:val="22"/>
                <w:szCs w:val="22"/>
                <w:color w:val="auto"/>
                <w:vertAlign w:val="superscript"/>
              </w:rPr>
              <w:t>(3)(5)</w:t>
            </w: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 loan ($41,608</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2/2017)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2/22/2012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40,897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43,064</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International Equipment Solutions, Inc. </w:t>
            </w:r>
            <w:r>
              <w:rPr>
                <w:rFonts w:ascii="Arial" w:cs="Arial" w:eastAsia="Arial" w:hAnsi="Arial"/>
                <w:sz w:val="22"/>
                <w:szCs w:val="22"/>
                <w:color w:val="auto"/>
                <w:vertAlign w:val="superscript"/>
              </w:rPr>
              <w:t>(3)(5)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($29,391</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9/2016)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9/18/2012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28,732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28,876</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69,629</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71,940</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Construction and building</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Mannington Mills, Inc. </w:t>
            </w:r>
            <w:r>
              <w:rPr>
                <w:rFonts w:ascii="Arial" w:cs="Arial" w:eastAsia="Arial" w:hAnsi="Arial"/>
                <w:sz w:val="22"/>
                <w:szCs w:val="22"/>
                <w:color w:val="auto"/>
                <w:vertAlign w:val="superscript"/>
              </w:rPr>
              <w:t>(3)(5)</w:t>
            </w:r>
          </w:p>
        </w:tc>
        <w:tc>
          <w:tcPr>
            <w:tcW w:w="1780" w:type="dxa"/>
            <w:vAlign w:val="bottom"/>
            <w:gridSpan w:val="2"/>
          </w:tcPr>
          <w:p>
            <w:pPr>
              <w:spacing w:after="0"/>
              <w:rPr>
                <w:sz w:val="20"/>
                <w:szCs w:val="20"/>
                <w:color w:val="auto"/>
              </w:rPr>
            </w:pPr>
            <w:r>
              <w:rPr>
                <w:rFonts w:ascii="Arial" w:cs="Arial" w:eastAsia="Arial" w:hAnsi="Arial"/>
                <w:sz w:val="16"/>
                <w:szCs w:val="16"/>
                <w:color w:val="auto"/>
              </w:rPr>
              <w:t>Second-lien loan</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($50,537 par,</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(incl. 2.00%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due 3/2017)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3/2/2012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49,551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53,190</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620" w:type="dxa"/>
            <w:vAlign w:val="bottom"/>
          </w:tcPr>
          <w:p>
            <w:pPr>
              <w:spacing w:after="0"/>
              <w:rPr>
                <w:sz w:val="12"/>
                <w:szCs w:val="12"/>
                <w:color w:val="auto"/>
              </w:rPr>
            </w:pP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Interest</w:t>
            </w:r>
          </w:p>
        </w:tc>
        <w:tc>
          <w:tcPr>
            <w:tcW w:w="17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(2)</w:t>
            </w:r>
          </w:p>
        </w:tc>
        <w:tc>
          <w:tcPr>
            <w:tcW w:w="90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Environmental Services</w:t>
            </w:r>
          </w:p>
        </w:tc>
        <w:tc>
          <w:tcPr>
            <w:tcW w:w="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Synagro Technologies, Inc. </w:t>
            </w:r>
            <w:r>
              <w:rPr>
                <w:rFonts w:ascii="Arial" w:cs="Arial" w:eastAsia="Arial" w:hAnsi="Arial"/>
                <w:sz w:val="22"/>
                <w:szCs w:val="22"/>
                <w:color w:val="auto"/>
                <w:vertAlign w:val="superscript"/>
              </w:rPr>
              <w:t>(3)</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 ($3,134</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par, due 10/2014)</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2.31%</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rPr>
              <w:t>11/8/2012</w:t>
            </w:r>
          </w:p>
        </w:tc>
        <w:tc>
          <w:tcPr>
            <w:tcW w:w="660" w:type="dxa"/>
            <w:vAlign w:val="bottom"/>
          </w:tcPr>
          <w:p>
            <w:pPr>
              <w:jc w:val="right"/>
              <w:spacing w:after="0"/>
              <w:rPr>
                <w:sz w:val="20"/>
                <w:szCs w:val="20"/>
                <w:color w:val="auto"/>
              </w:rPr>
            </w:pPr>
            <w:r>
              <w:rPr>
                <w:rFonts w:ascii="Arial" w:cs="Arial" w:eastAsia="Arial" w:hAnsi="Arial"/>
                <w:sz w:val="16"/>
                <w:szCs w:val="16"/>
                <w:color w:val="auto"/>
              </w:rPr>
              <w:t>2,759</w:t>
            </w:r>
          </w:p>
        </w:tc>
        <w:tc>
          <w:tcPr>
            <w:tcW w:w="2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2,813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Second-lien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($5,670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10/2014)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9/14/2012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5,573</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4,330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Financial services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Embarcadero Technologies, Inc. </w:t>
            </w:r>
            <w:r>
              <w:rPr>
                <w:rFonts w:ascii="Arial" w:cs="Arial" w:eastAsia="Arial" w:hAnsi="Arial"/>
                <w:sz w:val="22"/>
                <w:szCs w:val="22"/>
                <w:color w:val="auto"/>
                <w:vertAlign w:val="superscript"/>
              </w:rPr>
              <w:t>(3)(4)(5)</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($59,714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12/2017)</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58,223</w:t>
            </w:r>
          </w:p>
        </w:tc>
        <w:tc>
          <w:tcPr>
            <w:tcW w:w="2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58,221</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Rogue Wave Holdings, Inc. </w:t>
            </w:r>
            <w:r>
              <w:rPr>
                <w:rFonts w:ascii="Arial" w:cs="Arial" w:eastAsia="Arial" w:hAnsi="Arial"/>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($40,000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11/2017)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8.25%</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w w:val="94"/>
              </w:rPr>
              <w:t>11/21/2012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97,170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97,821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Healthcare and pharmaceuticals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eResearch Technology, Inc. </w:t>
            </w:r>
            <w:r>
              <w:rPr>
                <w:rFonts w:ascii="Arial" w:cs="Arial" w:eastAsia="Arial" w:hAnsi="Arial"/>
                <w:sz w:val="22"/>
                <w:szCs w:val="22"/>
                <w:color w:val="auto"/>
                <w:vertAlign w:val="superscript"/>
              </w:rPr>
              <w:t>(3)(5)</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($24,937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5/2018)</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rPr>
              <w:t>7/3/2012</w:t>
            </w:r>
          </w:p>
        </w:tc>
        <w:tc>
          <w:tcPr>
            <w:tcW w:w="660" w:type="dxa"/>
            <w:vAlign w:val="bottom"/>
          </w:tcPr>
          <w:p>
            <w:pPr>
              <w:jc w:val="right"/>
              <w:spacing w:after="0"/>
              <w:rPr>
                <w:sz w:val="20"/>
                <w:szCs w:val="20"/>
                <w:color w:val="auto"/>
              </w:rPr>
            </w:pPr>
            <w:r>
              <w:rPr>
                <w:rFonts w:ascii="Arial" w:cs="Arial" w:eastAsia="Arial" w:hAnsi="Arial"/>
                <w:sz w:val="16"/>
                <w:szCs w:val="16"/>
                <w:color w:val="auto"/>
              </w:rPr>
              <w:t>24,006</w:t>
            </w:r>
          </w:p>
        </w:tc>
        <w:tc>
          <w:tcPr>
            <w:tcW w:w="2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24,626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Mediware Information Systems, Inc. </w:t>
            </w:r>
            <w:r>
              <w:rPr>
                <w:rFonts w:ascii="Arial" w:cs="Arial" w:eastAsia="Arial" w:hAnsi="Arial"/>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($50,500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5/2018)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11/9/2012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49,218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01"/>
        </w:trPr>
        <w:tc>
          <w:tcPr>
            <w:tcW w:w="354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SRS Software, LLC </w:t>
            </w:r>
            <w:r>
              <w:rPr>
                <w:rFonts w:ascii="Arial" w:cs="Arial" w:eastAsia="Arial" w:hAnsi="Arial"/>
                <w:sz w:val="27"/>
                <w:szCs w:val="27"/>
                <w:color w:val="auto"/>
                <w:vertAlign w:val="superscript"/>
              </w:rPr>
              <w:t>(3)(5)</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($37,500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12/2017)</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8.75%</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36,439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36,563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109,675</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110,407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Hotel, gaming, and leisure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Mandalay Baseball Properties, LLC </w:t>
            </w:r>
            <w:r>
              <w:rPr>
                <w:rFonts w:ascii="Arial" w:cs="Arial" w:eastAsia="Arial" w:hAnsi="Arial"/>
                <w:sz w:val="23"/>
                <w:szCs w:val="23"/>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12.00%</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($28,414 par,</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(incl. 4.00%</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3/2017)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PIK)</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4/12/2012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28,556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Human resource support services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SumTotal Systems, LLC </w:t>
            </w:r>
            <w:r>
              <w:rPr>
                <w:rFonts w:ascii="Arial" w:cs="Arial" w:eastAsia="Arial" w:hAnsi="Arial"/>
                <w:sz w:val="23"/>
                <w:szCs w:val="23"/>
                <w:color w:val="auto"/>
                <w:vertAlign w:val="superscript"/>
              </w:rPr>
              <w:t>(3)</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($10,000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11/2018)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6.25%</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w w:val="94"/>
              </w:rPr>
              <w:t>11/16/2012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9,925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Second-lien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($5,000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5/2018)</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10.25%</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w w:val="94"/>
              </w:rPr>
              <w:t>11/16/2012</w:t>
            </w:r>
          </w:p>
        </w:tc>
        <w:tc>
          <w:tcPr>
            <w:tcW w:w="660" w:type="dxa"/>
            <w:vAlign w:val="bottom"/>
          </w:tcPr>
          <w:p>
            <w:pPr>
              <w:jc w:val="right"/>
              <w:spacing w:after="0"/>
              <w:rPr>
                <w:sz w:val="20"/>
                <w:szCs w:val="20"/>
                <w:color w:val="auto"/>
              </w:rPr>
            </w:pPr>
            <w:r>
              <w:rPr>
                <w:rFonts w:ascii="Arial" w:cs="Arial" w:eastAsia="Arial" w:hAnsi="Arial"/>
                <w:sz w:val="16"/>
                <w:szCs w:val="16"/>
                <w:color w:val="auto"/>
              </w:rPr>
              <w:t>4,950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14,817</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Insurance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Infogix, Inc. </w:t>
            </w:r>
            <w:r>
              <w:rPr>
                <w:rFonts w:ascii="Arial" w:cs="Arial" w:eastAsia="Arial" w:hAnsi="Arial"/>
                <w:sz w:val="23"/>
                <w:szCs w:val="23"/>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($30,613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6/2017)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30,346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Office products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Ecommerce Industries, Inc. </w:t>
            </w:r>
            <w:r>
              <w:rPr>
                <w:rFonts w:ascii="Arial" w:cs="Arial" w:eastAsia="Arial" w:hAnsi="Arial"/>
                <w:sz w:val="23"/>
                <w:szCs w:val="23"/>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($21,562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10/2016)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w w:val="94"/>
              </w:rPr>
              <w:t>10/17/2011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21,808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Transportation</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Teletrac, Inc. </w:t>
            </w:r>
            <w:r>
              <w:rPr>
                <w:rFonts w:ascii="Arial" w:cs="Arial" w:eastAsia="Arial" w:hAnsi="Arial"/>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($17,413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7/2017)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6.65%</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7/23/2012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Total Debt Investments</w:t>
            </w: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642,421</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651,944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Amortized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6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90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Equity Investments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ind w:left="340"/>
              <w:spacing w:after="0"/>
              <w:rPr>
                <w:sz w:val="20"/>
                <w:szCs w:val="20"/>
                <w:color w:val="auto"/>
              </w:rPr>
            </w:pPr>
            <w:r>
              <w:rPr>
                <w:rFonts w:ascii="Arial" w:cs="Arial" w:eastAsia="Arial" w:hAnsi="Arial"/>
                <w:sz w:val="16"/>
                <w:szCs w:val="16"/>
                <w:b w:val="1"/>
                <w:bCs w:val="1"/>
                <w:color w:val="auto"/>
              </w:rPr>
              <w:t>Healthcare and pharmaceuticals</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SRS Parent Corp.</w:t>
            </w: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A (1,980 shares)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12/28/2012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1,980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1,980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01"/>
        </w:trPr>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Common Shares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Class B</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(2,953,020 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12/28/2012</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20</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Total Equity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2,000</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2,000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Investments</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$ 644,421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$ 653,944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53"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spacing w:after="0" w:line="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80" w:hanging="452"/>
        <w:spacing w:after="0" w:line="250"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460" w:hanging="452"/>
        <w:spacing w:after="0" w:line="265" w:lineRule="auto"/>
        <w:tabs>
          <w:tab w:leader="none" w:pos="4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ind w:left="460" w:right="600" w:hanging="452"/>
        <w:spacing w:after="0" w:line="261" w:lineRule="auto"/>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57,501</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28,029</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66,983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39,595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Resulting from Capital Share Transactions</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56,857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287,692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9,194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(48,301)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(26,997)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58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Increase in Net Assets Resulting from Capital Share</w:t>
            </w: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80" w:type="dxa"/>
            <w:vAlign w:val="bottom"/>
          </w:tcPr>
          <w:p>
            <w:pPr>
              <w:ind w:left="540"/>
              <w:spacing w:after="0"/>
              <w:rPr>
                <w:sz w:val="20"/>
                <w:szCs w:val="20"/>
                <w:color w:val="auto"/>
              </w:rPr>
            </w:pPr>
            <w:r>
              <w:rPr>
                <w:rFonts w:ascii="Arial" w:cs="Arial" w:eastAsia="Arial" w:hAnsi="Arial"/>
                <w:sz w:val="18"/>
                <w:szCs w:val="18"/>
                <w:b w:val="1"/>
                <w:bCs w:val="1"/>
                <w:color w:val="auto"/>
              </w:rPr>
              <w:t>Transactions</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94,893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306,711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574,696</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479,803</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Arial" w:cs="Arial" w:eastAsia="Arial" w:hAnsi="Arial"/>
                <w:sz w:val="18"/>
                <w:szCs w:val="18"/>
                <w:b w:val="1"/>
                <w:bCs w:val="1"/>
                <w:color w:val="auto"/>
              </w:rPr>
              <w:t>End of the Period</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3,981</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(1,016)</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December 31, 2011</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66,983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39,595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increase in net assets resulting from operations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net cash used in operating activities: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Net change in unrealized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(9,630)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(7,211)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r>
      <w:tr>
        <w:trPr>
          <w:trHeight w:val="202"/>
        </w:trPr>
        <w:tc>
          <w:tcPr>
            <w:tcW w:w="56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change in unrealized loss on foreign currency forward</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contracts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1,244</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Net 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(1,061)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(4,355)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gains on foreign currency forward contracts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Net amortization of discount on securities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(6,728)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(4,489)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Purchases of investments,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(602,988)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(760,668)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(184,196)</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investments,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46,390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119,126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Repayments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214,293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190,594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Paid-in-kind interest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receivable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(6,292)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Management fees payable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Incentive fees payable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2,083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3,706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Payable to affiliate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1,324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(289,631)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(430,099)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(182,128)</w:t>
            </w:r>
          </w:p>
        </w:tc>
      </w:tr>
      <w:tr>
        <w:trPr>
          <w:trHeight w:val="223"/>
        </w:trPr>
        <w:tc>
          <w:tcPr>
            <w:tcW w:w="5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1,332,688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(801,569)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(1,155,852)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(149,000)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56,857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287,692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(24,396)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(10,968)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Financing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131,277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448,232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325,819</w:t>
            </w:r>
          </w:p>
        </w:tc>
      </w:tr>
      <w:tr>
        <w:trPr>
          <w:trHeight w:val="223"/>
        </w:trPr>
        <w:tc>
          <w:tcPr>
            <w:tcW w:w="5640" w:type="dxa"/>
            <w:vAlign w:val="bottom"/>
          </w:tcPr>
          <w:p>
            <w:pPr>
              <w:ind w:left="7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(158,354)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143,691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161,825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143,692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5640" w:type="dxa"/>
            <w:vAlign w:val="bottom"/>
          </w:tcPr>
          <w:p>
            <w:pPr>
              <w:ind w:left="7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Interest paid during the period</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8,792</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3,580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Excise taxes paid during the period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Dividends declared during the period</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55,385</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29,770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Reinvestment of dividends during the period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26,438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9,194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Pr>
          <w:p>
            <w:pPr>
              <w:ind w:left="720"/>
              <w:spacing w:after="0"/>
              <w:rPr>
                <w:sz w:val="20"/>
                <w:szCs w:val="20"/>
                <w:color w:val="auto"/>
              </w:rPr>
            </w:pPr>
            <w:r>
              <w:rPr>
                <w:rFonts w:ascii="Arial" w:cs="Arial" w:eastAsia="Arial" w:hAnsi="Arial"/>
                <w:sz w:val="18"/>
                <w:szCs w:val="18"/>
                <w:color w:val="auto"/>
              </w:rPr>
              <w:t>Subscription receivable from common stockholders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1,870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7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 During this time the Company was devoting substantially all of its efforts to establishing the business and its planned principal operations had not commenced. All losses accumulated during the six months ended June 30, 2011, have been considered a part of the Company’s development stage activities.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February 18, 2014, we filed a registration statement on Form N-2 (File No. 333-193986) with the Securities and Exchange Commission related to an initial public offering of the Company’s common stock. The timing of the Company’s initial public offering is uncertain. The SEC has not declared this registration statement effective and securities may not be sold, nor may offers to buy the securities be accepted, prior to the time this registration statement becomes effective.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77"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60" w:right="2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hanging="325"/>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66"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contractual life of the respective security using the effective yield method. The amortized cost of investments represents the original cost adjusted for the amortization of discounts and premiums, if any.</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2011, the Financial Accounting Standards Board (“FASB”) issued Accounting Standards Update No. 2011-11 (“ASU 2011-11”),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which requires entities to disclose information about offsetting and related arrangements to enable users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financial statements to understand the effect of those arrangements on the statement of assets and liabilities. In January 2013, the FASB issued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Update No. 2013-01 (“ASU 2013-01”),“</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types of instruments and transactions that are subject to the disclosure requirements established by ASU 2011-11. The Company’s adoption of ASU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 and ASU 2013-01 did not have a significant impact on the Company’s financial statements. See Note 5 for additional disclosure resulting from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adoption of ASU 2011-11 and ASU 2013-01.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2013, 2012 and 2011, Management Fees were $13.4 million, $8.9 million, and $1.6 million, respectively.</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2013, 2012, and 2011, Management Fees of $7.1 million, $3.7 million, and $7 thousand, respectively, were waived.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spacing w:after="0" w:line="261" w:lineRule="auto"/>
        <w:rPr>
          <w:rFonts w:ascii="Arial" w:cs="Arial" w:eastAsia="Arial" w:hAnsi="Arial"/>
          <w:sz w:val="16"/>
          <w:szCs w:val="16"/>
          <w:color w:val="auto"/>
        </w:rPr>
      </w:pPr>
      <w:r>
        <w:rPr>
          <w:rFonts w:ascii="Arial" w:cs="Arial" w:eastAsia="Arial" w:hAnsi="Arial"/>
          <w:sz w:val="18"/>
          <w:szCs w:val="18"/>
          <w:color w:val="auto"/>
        </w:rPr>
        <w:t>1.5% quarterly “hurdle rate” the calculation of which is further explained below, until the Adviser has received 15% of the total pre-Incentive Fee net investment income for that quarter (17.5% subsequent to an IPO) and, for pre-Incentive Fee net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6" w:lineRule="auto"/>
        <w:rPr>
          <w:sz w:val="20"/>
          <w:szCs w:val="20"/>
          <w:color w:val="auto"/>
        </w:rPr>
      </w:pPr>
      <w:r>
        <w:rPr>
          <w:rFonts w:ascii="Arial" w:cs="Arial" w:eastAsia="Arial" w:hAnsi="Arial"/>
          <w:sz w:val="17"/>
          <w:szCs w:val="17"/>
          <w:color w:val="auto"/>
        </w:rPr>
        <w:t>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 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64"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88" w:lineRule="auto"/>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2013, 2012 and 2011, were $5.0 million, $3.8 million and $2.3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2013</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2"/>
                <w:szCs w:val="12"/>
                <w:b w:val="1"/>
                <w:bCs w:val="1"/>
                <w:color w:val="auto"/>
              </w:rPr>
              <w:t>(1)</w:t>
            </w:r>
          </w:p>
        </w:tc>
        <w:tc>
          <w:tcPr>
            <w:tcW w:w="540" w:type="dxa"/>
            <w:vAlign w:val="bottom"/>
          </w:tcPr>
          <w:p>
            <w:pPr>
              <w:spacing w:after="0"/>
              <w:rPr>
                <w:sz w:val="10"/>
                <w:szCs w:val="10"/>
                <w:color w:val="auto"/>
              </w:rPr>
            </w:pPr>
          </w:p>
        </w:tc>
        <w:tc>
          <w:tcPr>
            <w:tcW w:w="12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877,164</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131,082</w:t>
            </w:r>
          </w:p>
        </w:tc>
        <w:tc>
          <w:tcPr>
            <w:tcW w:w="280" w:type="dxa"/>
            <w:vAlign w:val="bottom"/>
          </w:tcPr>
          <w:p>
            <w:pPr>
              <w:spacing w:after="0"/>
              <w:rPr>
                <w:sz w:val="18"/>
                <w:szCs w:val="18"/>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8"/>
                <w:szCs w:val="18"/>
                <w:color w:val="auto"/>
              </w:rPr>
              <w:t>137,482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1,805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7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997,298</w:t>
            </w:r>
          </w:p>
        </w:tc>
        <w:tc>
          <w:tcPr>
            <w:tcW w:w="28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December 31, 2012</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3"/>
              </w:rPr>
              <w:t xml:space="preserve">Amortized Cost </w:t>
            </w:r>
            <w:r>
              <w:rPr>
                <w:rFonts w:ascii="Arial" w:cs="Arial" w:eastAsia="Arial" w:hAnsi="Arial"/>
                <w:sz w:val="12"/>
                <w:szCs w:val="12"/>
                <w:b w:val="1"/>
                <w:bCs w:val="1"/>
                <w:color w:val="auto"/>
                <w:w w:val="93"/>
              </w:rPr>
              <w:t>(1)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67,332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69,657</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2,325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3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644,421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0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9,523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line="277" w:lineRule="auto"/>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2013</w:t>
            </w:r>
          </w:p>
        </w:tc>
        <w:tc>
          <w:tcPr>
            <w:tcW w:w="1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Automotive</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6.1%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Business services</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16.5%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5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5.1%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Education</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5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Financial services</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10.8%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7.2%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Insurance</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3.2%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Metals and mining</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3.9%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136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1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gridSpan w:val="4"/>
          </w:tcPr>
          <w:p>
            <w:pPr>
              <w:jc w:val="right"/>
              <w:ind w:right="1260"/>
              <w:spacing w:after="0"/>
              <w:rPr>
                <w:sz w:val="20"/>
                <w:szCs w:val="20"/>
                <w:color w:val="auto"/>
              </w:rPr>
            </w:pPr>
            <w:r>
              <w:rPr>
                <w:rFonts w:ascii="Arial" w:cs="Arial" w:eastAsia="Arial" w:hAnsi="Arial"/>
                <w:sz w:val="18"/>
                <w:szCs w:val="18"/>
                <w:color w:val="auto"/>
                <w:w w:val="90"/>
              </w:rPr>
              <w:t>The geographic composition of Investments at fair value at December 31, 2013 and 2012 is as follows: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50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8"/>
              </w:rPr>
              <w:t>December 31, 2013</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CCEEFF"/>
              <w:left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Midwest</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14.2%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21.7%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South</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19.7%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Europe</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8.9%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72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investments in Jeeves Information Systems AB (SEK) and Soho House Bond Ltd. (GBP).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Amount (in ‘000s)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 Forward Contracts</w:t>
            </w:r>
          </w:p>
        </w:tc>
        <w:tc>
          <w:tcPr>
            <w:tcW w:w="1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 Date</w:t>
            </w:r>
          </w:p>
        </w:tc>
        <w:tc>
          <w:tcPr>
            <w:tcW w:w="15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Financial</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Transaction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Settlement Date</w:t>
            </w:r>
          </w:p>
        </w:tc>
        <w:tc>
          <w:tcPr>
            <w:tcW w:w="2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Swedish Kronor (SEK)</w:t>
            </w:r>
          </w:p>
        </w:tc>
        <w:tc>
          <w:tcPr>
            <w:tcW w:w="19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January 24, 2014</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7"/>
              </w:rPr>
              <w:t>(28,440)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0"/>
              </w:rPr>
              <w:t>(29,366)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7,000 sold</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(11,274)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(11,592)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(39,714)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(40,958)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81"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2013 and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11"/>
          </w:tcPr>
          <w:p>
            <w:pPr>
              <w:ind w:left="300"/>
              <w:spacing w:after="0"/>
              <w:rPr>
                <w:sz w:val="20"/>
                <w:szCs w:val="20"/>
                <w:color w:val="auto"/>
              </w:rPr>
            </w:pPr>
            <w:r>
              <w:rPr>
                <w:rFonts w:ascii="Arial" w:cs="Arial" w:eastAsia="Arial" w:hAnsi="Arial"/>
                <w:sz w:val="14"/>
                <w:szCs w:val="14"/>
                <w:b w:val="1"/>
                <w:bCs w:val="1"/>
                <w:color w:val="auto"/>
              </w:rPr>
              <w:t>Fair Value Hierarchy at December 31, 2013</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$854,972</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877,164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33,952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103,530</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4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19"/>
                <w:szCs w:val="19"/>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56,144</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1,016,451</w:t>
            </w:r>
          </w:p>
        </w:tc>
        <w:tc>
          <w:tcPr>
            <w:tcW w:w="8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30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(1,244)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20"/>
                <w:szCs w:val="20"/>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1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1,015,207</w:t>
            </w:r>
          </w:p>
        </w:tc>
        <w:tc>
          <w:tcPr>
            <w:tcW w:w="8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3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1"/>
          </w:tcPr>
          <w:p>
            <w:pPr>
              <w:ind w:left="300"/>
              <w:spacing w:after="0"/>
              <w:rPr>
                <w:sz w:val="20"/>
                <w:szCs w:val="20"/>
                <w:color w:val="auto"/>
              </w:rPr>
            </w:pPr>
            <w:r>
              <w:rPr>
                <w:rFonts w:ascii="Arial" w:cs="Arial" w:eastAsia="Arial" w:hAnsi="Arial"/>
                <w:sz w:val="14"/>
                <w:szCs w:val="14"/>
                <w:b w:val="1"/>
                <w:bCs w:val="1"/>
                <w:color w:val="auto"/>
              </w:rPr>
              <w:t>Fair Value Hierarchy at December 31, 2012</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 —</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$68,183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16,467</w:t>
            </w:r>
          </w:p>
        </w:tc>
        <w:tc>
          <w:tcPr>
            <w:tcW w:w="300" w:type="dxa"/>
            <w:vAlign w:val="bottom"/>
          </w:tcPr>
          <w:p>
            <w:pPr>
              <w:spacing w:after="0"/>
              <w:rPr>
                <w:sz w:val="18"/>
                <w:szCs w:val="18"/>
                <w:color w:val="auto"/>
              </w:rPr>
            </w:pPr>
          </w:p>
        </w:tc>
        <w:tc>
          <w:tcPr>
            <w:tcW w:w="1400" w:type="dxa"/>
            <w:vAlign w:val="bottom"/>
            <w:gridSpan w:val="4"/>
          </w:tcPr>
          <w:p>
            <w:pPr>
              <w:jc w:val="right"/>
              <w:ind w:right="440"/>
              <w:spacing w:after="0"/>
              <w:rPr>
                <w:sz w:val="20"/>
                <w:szCs w:val="20"/>
                <w:color w:val="auto"/>
              </w:rPr>
            </w:pPr>
            <w:r>
              <w:rPr>
                <w:rFonts w:ascii="Arial" w:cs="Arial" w:eastAsia="Arial" w:hAnsi="Arial"/>
                <w:sz w:val="18"/>
                <w:szCs w:val="18"/>
                <w:color w:val="auto"/>
              </w:rPr>
              <w:t>53,190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69,657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0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r>
      <w:tr>
        <w:trPr>
          <w:trHeight w:val="27"/>
        </w:trPr>
        <w:tc>
          <w:tcPr>
            <w:tcW w:w="3940" w:type="dxa"/>
            <w:vAlign w:val="bottom"/>
          </w:tcPr>
          <w:p>
            <w:pPr>
              <w:spacing w:after="0"/>
              <w:rPr>
                <w:sz w:val="2"/>
                <w:szCs w:val="2"/>
                <w:color w:val="auto"/>
              </w:rPr>
            </w:pPr>
          </w:p>
        </w:tc>
        <w:tc>
          <w:tcPr>
            <w:tcW w:w="2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 —</w:t>
            </w: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84,650</w:t>
            </w:r>
          </w:p>
        </w:tc>
        <w:tc>
          <w:tcPr>
            <w:tcW w:w="3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569,294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740" w:type="dxa"/>
            <w:vAlign w:val="bottom"/>
            <w:gridSpan w:val="3"/>
          </w:tcPr>
          <w:p>
            <w:pPr>
              <w:ind w:left="1140"/>
              <w:spacing w:after="0"/>
              <w:rPr>
                <w:sz w:val="20"/>
                <w:szCs w:val="20"/>
                <w:color w:val="auto"/>
              </w:rPr>
            </w:pPr>
            <w:r>
              <w:rPr>
                <w:rFonts w:ascii="Arial" w:cs="Arial" w:eastAsia="Arial" w:hAnsi="Arial"/>
                <w:sz w:val="18"/>
                <w:szCs w:val="18"/>
                <w:color w:val="auto"/>
              </w:rPr>
              <w:t>F-24</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2013 and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6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507,056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51,270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780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(178,831)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6,054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(975)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29,925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$ 854,972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$ 103,530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$ 960,307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6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575,936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94,608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(51,185)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(45,905)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(179,800)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(10,000)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3,795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3,807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$ 514,104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$ 569,294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Rare Restaurant Group, LLC transferred out of Level 3 during the year ended December 31, 2012, as a result of changes in the observability of inputs into its valuation.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4260" w:type="dxa"/>
            <w:vAlign w:val="bottom"/>
          </w:tcPr>
          <w:p>
            <w:pPr>
              <w:spacing w:after="0"/>
              <w:rPr>
                <w:sz w:val="12"/>
                <w:szCs w:val="12"/>
                <w:color w:val="auto"/>
              </w:rPr>
            </w:pPr>
          </w:p>
        </w:tc>
        <w:tc>
          <w:tcPr>
            <w:tcW w:w="342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1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4"/>
              </w:rPr>
              <w:t>for the Year Ended</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1"/>
              </w:rPr>
              <w:t>December 31, 2013 on</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 2012 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2012</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4"/>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3320" w:type="dxa"/>
            <w:vAlign w:val="bottom"/>
            <w:gridSpan w:val="2"/>
          </w:tcPr>
          <w:p>
            <w:pPr>
              <w:jc w:val="right"/>
              <w:ind w:right="1600"/>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8"/>
                <w:szCs w:val="18"/>
                <w:color w:val="auto"/>
              </w:rPr>
            </w:pPr>
          </w:p>
        </w:tc>
        <w:tc>
          <w:tcPr>
            <w:tcW w:w="1800" w:type="dxa"/>
            <w:vAlign w:val="bottom"/>
            <w:gridSpan w:val="2"/>
          </w:tcPr>
          <w:p>
            <w:pPr>
              <w:ind w:left="1300"/>
              <w:spacing w:after="0"/>
              <w:rPr>
                <w:sz w:val="20"/>
                <w:szCs w:val="20"/>
                <w:color w:val="auto"/>
              </w:rPr>
            </w:pPr>
            <w:r>
              <w:rPr>
                <w:rFonts w:ascii="Arial" w:cs="Arial" w:eastAsia="Arial" w:hAnsi="Arial"/>
                <w:sz w:val="18"/>
                <w:szCs w:val="18"/>
                <w:color w:val="auto"/>
              </w:rPr>
              <w:t>3,638</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3320" w:type="dxa"/>
            <w:vAlign w:val="bottom"/>
            <w:gridSpan w:val="2"/>
          </w:tcPr>
          <w:p>
            <w:pPr>
              <w:jc w:val="right"/>
              <w:ind w:right="154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7,918</w:t>
            </w:r>
          </w:p>
        </w:tc>
      </w:tr>
      <w:tr>
        <w:trPr>
          <w:trHeight w:val="20"/>
        </w:trPr>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0"/>
              </w:rPr>
              <w:t>December 31, 2013</w:t>
            </w:r>
          </w:p>
        </w:tc>
        <w:tc>
          <w:tcPr>
            <w:tcW w:w="1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Valuation</w:t>
            </w:r>
          </w:p>
        </w:tc>
        <w:tc>
          <w:tcPr>
            <w:tcW w:w="18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Unobservable</w:t>
            </w:r>
          </w:p>
        </w:tc>
        <w:tc>
          <w:tcPr>
            <w:tcW w:w="212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92"/>
              </w:rPr>
              <w:t>Range (Weighted</w:t>
            </w:r>
          </w:p>
        </w:tc>
        <w:tc>
          <w:tcPr>
            <w:tcW w:w="13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9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from an Increase to</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Technique</w:t>
            </w: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Input</w:t>
            </w:r>
          </w:p>
        </w:tc>
        <w:tc>
          <w:tcPr>
            <w:tcW w:w="212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93"/>
              </w:rPr>
              <w:t>Average)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854,972</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Arial" w:cs="Arial" w:eastAsia="Arial" w:hAnsi="Arial"/>
                <w:sz w:val="15"/>
                <w:szCs w:val="15"/>
                <w:color w:val="auto"/>
              </w:rPr>
              <w:t>Income Approach</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8"/>
              </w:rPr>
              <w:t>5.50% — 13.12% (9.81%</w:t>
            </w:r>
          </w:p>
        </w:tc>
        <w:tc>
          <w:tcPr>
            <w:tcW w:w="440" w:type="dxa"/>
            <w:vAlign w:val="bottom"/>
            <w:tcBorders>
              <w:top w:val="single" w:sz="8" w:color="CCEEFF"/>
            </w:tcBorders>
            <w:shd w:val="clear" w:color="auto" w:fill="CCEEFF"/>
          </w:tcPr>
          <w:p>
            <w:pPr>
              <w:jc w:val="right"/>
              <w:ind w:right="303"/>
              <w:spacing w:after="0" w:line="156" w:lineRule="exact"/>
              <w:rPr>
                <w:sz w:val="20"/>
                <w:szCs w:val="20"/>
                <w:color w:val="auto"/>
              </w:rPr>
            </w:pPr>
            <w:r>
              <w:rPr>
                <w:rFonts w:ascii="Arial" w:cs="Arial" w:eastAsia="Arial" w:hAnsi="Arial"/>
                <w:sz w:val="15"/>
                <w:szCs w:val="15"/>
                <w:color w:val="auto"/>
                <w:w w:val="79"/>
              </w:rPr>
              <w:t>)</w:t>
            </w: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Second-lien debt investments</w:t>
            </w:r>
          </w:p>
        </w:tc>
        <w:tc>
          <w:tcPr>
            <w:tcW w:w="1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9"/>
              </w:rPr>
              <w:t>103,530</w:t>
            </w:r>
          </w:p>
        </w:tc>
        <w:tc>
          <w:tcPr>
            <w:tcW w:w="190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Income Approach</w:t>
            </w:r>
          </w:p>
        </w:tc>
        <w:tc>
          <w:tcPr>
            <w:tcW w:w="1820" w:type="dxa"/>
            <w:vAlign w:val="bottom"/>
            <w:gridSpan w:val="2"/>
          </w:tcPr>
          <w:p>
            <w:pPr>
              <w:spacing w:after="0" w:line="162" w:lineRule="exact"/>
              <w:rPr>
                <w:sz w:val="20"/>
                <w:szCs w:val="20"/>
                <w:color w:val="auto"/>
              </w:rPr>
            </w:pPr>
            <w:r>
              <w:rPr>
                <w:rFonts w:ascii="Arial" w:cs="Arial" w:eastAsia="Arial" w:hAnsi="Arial"/>
                <w:sz w:val="15"/>
                <w:szCs w:val="15"/>
                <w:color w:val="auto"/>
              </w:rPr>
              <w:t>Market Yield</w:t>
            </w:r>
          </w:p>
        </w:tc>
        <w:tc>
          <w:tcPr>
            <w:tcW w:w="2120" w:type="dxa"/>
            <w:vAlign w:val="bottom"/>
            <w:gridSpan w:val="2"/>
          </w:tcPr>
          <w:p>
            <w:pPr>
              <w:jc w:val="right"/>
              <w:ind w:right="303"/>
              <w:spacing w:after="0" w:line="162" w:lineRule="exact"/>
              <w:rPr>
                <w:sz w:val="20"/>
                <w:szCs w:val="20"/>
                <w:color w:val="auto"/>
              </w:rPr>
            </w:pPr>
            <w:r>
              <w:rPr>
                <w:rFonts w:ascii="Arial" w:cs="Arial" w:eastAsia="Arial" w:hAnsi="Arial"/>
                <w:sz w:val="15"/>
                <w:szCs w:val="15"/>
                <w:color w:val="auto"/>
              </w:rPr>
              <w:t>9.32% —9.87% (9.59%)</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5"/>
                <w:szCs w:val="15"/>
                <w:color w:val="auto"/>
              </w:rPr>
              <w:t>Equity investments</w:t>
            </w:r>
          </w:p>
        </w:tc>
        <w:tc>
          <w:tcPr>
            <w:tcW w:w="140" w:type="dxa"/>
            <w:vAlign w:val="bottom"/>
          </w:tcPr>
          <w:p>
            <w:pPr>
              <w:spacing w:after="0" w:line="14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1,805</w:t>
            </w:r>
          </w:p>
        </w:tc>
        <w:tc>
          <w:tcPr>
            <w:tcW w:w="1900" w:type="dxa"/>
            <w:vAlign w:val="bottom"/>
            <w:gridSpan w:val="2"/>
          </w:tcPr>
          <w:p>
            <w:pPr>
              <w:ind w:left="40"/>
              <w:spacing w:after="0" w:line="149" w:lineRule="exact"/>
              <w:rPr>
                <w:sz w:val="20"/>
                <w:szCs w:val="20"/>
                <w:color w:val="auto"/>
              </w:rPr>
            </w:pPr>
            <w:r>
              <w:rPr>
                <w:rFonts w:ascii="Arial" w:cs="Arial" w:eastAsia="Arial" w:hAnsi="Arial"/>
                <w:sz w:val="15"/>
                <w:szCs w:val="15"/>
                <w:color w:val="auto"/>
              </w:rPr>
              <w:t>Income Approach</w:t>
            </w:r>
          </w:p>
        </w:tc>
        <w:tc>
          <w:tcPr>
            <w:tcW w:w="1820" w:type="dxa"/>
            <w:vAlign w:val="bottom"/>
            <w:gridSpan w:val="2"/>
          </w:tcPr>
          <w:p>
            <w:pPr>
              <w:spacing w:after="0" w:line="149" w:lineRule="exact"/>
              <w:rPr>
                <w:sz w:val="20"/>
                <w:szCs w:val="20"/>
                <w:color w:val="auto"/>
              </w:rPr>
            </w:pPr>
            <w:r>
              <w:rPr>
                <w:rFonts w:ascii="Arial" w:cs="Arial" w:eastAsia="Arial" w:hAnsi="Arial"/>
                <w:sz w:val="15"/>
                <w:szCs w:val="15"/>
                <w:color w:val="auto"/>
              </w:rPr>
              <w:t>Weighted</w:t>
            </w:r>
          </w:p>
        </w:tc>
        <w:tc>
          <w:tcPr>
            <w:tcW w:w="2120" w:type="dxa"/>
            <w:vAlign w:val="bottom"/>
            <w:gridSpan w:val="2"/>
          </w:tcPr>
          <w:p>
            <w:pPr>
              <w:jc w:val="right"/>
              <w:ind w:right="363"/>
              <w:spacing w:after="0" w:line="149" w:lineRule="exact"/>
              <w:rPr>
                <w:sz w:val="20"/>
                <w:szCs w:val="20"/>
                <w:color w:val="auto"/>
              </w:rPr>
            </w:pPr>
            <w:r>
              <w:rPr>
                <w:rFonts w:ascii="Arial" w:cs="Arial" w:eastAsia="Arial" w:hAnsi="Arial"/>
                <w:sz w:val="15"/>
                <w:szCs w:val="15"/>
                <w:color w:val="auto"/>
              </w:rPr>
              <w:t>12.1% — 15.3% (14.0%)</w:t>
            </w: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2"/>
          </w:tcPr>
          <w:p>
            <w:pPr>
              <w:spacing w:after="0" w:line="162" w:lineRule="exact"/>
              <w:rPr>
                <w:sz w:val="20"/>
                <w:szCs w:val="20"/>
                <w:color w:val="auto"/>
              </w:rPr>
            </w:pPr>
            <w:r>
              <w:rPr>
                <w:rFonts w:ascii="Arial" w:cs="Arial" w:eastAsia="Arial" w:hAnsi="Arial"/>
                <w:sz w:val="15"/>
                <w:szCs w:val="15"/>
                <w:color w:val="auto"/>
              </w:rPr>
              <w:t>Average Cost of</w:t>
            </w: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5"/>
                <w:szCs w:val="15"/>
                <w:color w:val="auto"/>
              </w:rPr>
              <w:t>Capital (WACC)</w:t>
            </w: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gridSpan w:val="4"/>
            <w:shd w:val="clear" w:color="auto" w:fill="CCEEFF"/>
          </w:tcPr>
          <w:p>
            <w:pPr>
              <w:ind w:left="660"/>
              <w:spacing w:after="0" w:line="162" w:lineRule="exact"/>
              <w:rPr>
                <w:sz w:val="20"/>
                <w:szCs w:val="20"/>
                <w:color w:val="auto"/>
              </w:rPr>
            </w:pPr>
            <w:r>
              <w:rPr>
                <w:rFonts w:ascii="Arial" w:cs="Arial" w:eastAsia="Arial" w:hAnsi="Arial"/>
                <w:sz w:val="15"/>
                <w:szCs w:val="15"/>
                <w:b w:val="1"/>
                <w:bCs w:val="1"/>
                <w:color w:val="auto"/>
              </w:rPr>
              <w:t>December 31, 2012</w:t>
            </w:r>
          </w:p>
        </w:tc>
        <w:tc>
          <w:tcPr>
            <w:tcW w:w="13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0"/>
              </w:rPr>
              <w:t>Unobservable</w:t>
            </w:r>
          </w:p>
        </w:tc>
        <w:tc>
          <w:tcPr>
            <w:tcW w:w="1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right"/>
              <w:spacing w:after="0" w:line="138" w:lineRule="exact"/>
              <w:rPr>
                <w:sz w:val="20"/>
                <w:szCs w:val="20"/>
                <w:color w:val="auto"/>
              </w:rPr>
            </w:pPr>
            <w:r>
              <w:rPr>
                <w:rFonts w:ascii="Arial" w:cs="Arial" w:eastAsia="Arial" w:hAnsi="Arial"/>
                <w:sz w:val="15"/>
                <w:szCs w:val="15"/>
                <w:b w:val="1"/>
                <w:bCs w:val="1"/>
                <w:color w:val="auto"/>
                <w:w w:val="92"/>
              </w:rPr>
              <w:t>Impact to Valuation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center"/>
              <w:ind w:right="540"/>
              <w:spacing w:after="0" w:line="152" w:lineRule="exact"/>
              <w:rPr>
                <w:sz w:val="20"/>
                <w:szCs w:val="20"/>
                <w:color w:val="auto"/>
              </w:rPr>
            </w:pPr>
            <w:r>
              <w:rPr>
                <w:rFonts w:ascii="Arial" w:cs="Arial" w:eastAsia="Arial" w:hAnsi="Arial"/>
                <w:sz w:val="15"/>
                <w:szCs w:val="15"/>
                <w:b w:val="1"/>
                <w:bCs w:val="1"/>
                <w:color w:val="auto"/>
                <w:w w:val="94"/>
              </w:rPr>
              <w:t>Valuation</w:t>
            </w:r>
          </w:p>
        </w:tc>
        <w:tc>
          <w:tcPr>
            <w:tcW w:w="1820" w:type="dxa"/>
            <w:vAlign w:val="bottom"/>
            <w:gridSpan w:val="2"/>
            <w:vMerge w:val="continue"/>
          </w:tcPr>
          <w:p>
            <w:pPr>
              <w:spacing w:after="0"/>
              <w:rPr>
                <w:sz w:val="13"/>
                <w:szCs w:val="13"/>
                <w:color w:val="auto"/>
              </w:rPr>
            </w:pPr>
          </w:p>
        </w:tc>
        <w:tc>
          <w:tcPr>
            <w:tcW w:w="2120" w:type="dxa"/>
            <w:vAlign w:val="bottom"/>
            <w:gridSpan w:val="2"/>
          </w:tcPr>
          <w:p>
            <w:pPr>
              <w:jc w:val="center"/>
              <w:ind w:right="363"/>
              <w:spacing w:after="0" w:line="152" w:lineRule="exact"/>
              <w:rPr>
                <w:sz w:val="20"/>
                <w:szCs w:val="20"/>
                <w:color w:val="auto"/>
              </w:rPr>
            </w:pPr>
            <w:r>
              <w:rPr>
                <w:rFonts w:ascii="Arial" w:cs="Arial" w:eastAsia="Arial" w:hAnsi="Arial"/>
                <w:sz w:val="15"/>
                <w:szCs w:val="15"/>
                <w:b w:val="1"/>
                <w:bCs w:val="1"/>
                <w:color w:val="auto"/>
                <w:w w:val="91"/>
              </w:rPr>
              <w:t>Range (Weighted</w:t>
            </w:r>
          </w:p>
        </w:tc>
        <w:tc>
          <w:tcPr>
            <w:tcW w:w="1400" w:type="dxa"/>
            <w:vAlign w:val="bottom"/>
            <w:gridSpan w:val="2"/>
          </w:tcPr>
          <w:p>
            <w:pPr>
              <w:jc w:val="right"/>
              <w:ind w:right="120"/>
              <w:spacing w:after="0" w:line="152" w:lineRule="exact"/>
              <w:rPr>
                <w:sz w:val="20"/>
                <w:szCs w:val="20"/>
                <w:color w:val="auto"/>
              </w:rPr>
            </w:pPr>
            <w:r>
              <w:rPr>
                <w:rFonts w:ascii="Arial" w:cs="Arial" w:eastAsia="Arial" w:hAnsi="Arial"/>
                <w:sz w:val="15"/>
                <w:szCs w:val="15"/>
                <w:b w:val="1"/>
                <w:bCs w:val="1"/>
                <w:color w:val="auto"/>
                <w:w w:val="91"/>
              </w:rPr>
              <w:t>from an Increase to</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5"/>
                <w:szCs w:val="15"/>
                <w:b w:val="1"/>
                <w:bCs w:val="1"/>
                <w:color w:val="auto"/>
              </w:rPr>
              <w:t>Fair Value</w:t>
            </w:r>
          </w:p>
        </w:tc>
        <w:tc>
          <w:tcPr>
            <w:tcW w:w="1900" w:type="dxa"/>
            <w:vAlign w:val="bottom"/>
            <w:gridSpan w:val="2"/>
          </w:tcPr>
          <w:p>
            <w:pPr>
              <w:jc w:val="center"/>
              <w:ind w:right="540"/>
              <w:spacing w:after="0"/>
              <w:rPr>
                <w:sz w:val="20"/>
                <w:szCs w:val="20"/>
                <w:color w:val="auto"/>
              </w:rPr>
            </w:pPr>
            <w:r>
              <w:rPr>
                <w:rFonts w:ascii="Arial" w:cs="Arial" w:eastAsia="Arial" w:hAnsi="Arial"/>
                <w:sz w:val="15"/>
                <w:szCs w:val="15"/>
                <w:b w:val="1"/>
                <w:bCs w:val="1"/>
                <w:color w:val="auto"/>
                <w:w w:val="90"/>
              </w:rPr>
              <w:t>Technique</w:t>
            </w:r>
          </w:p>
        </w:tc>
        <w:tc>
          <w:tcPr>
            <w:tcW w:w="18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8"/>
              </w:rPr>
              <w:t>Input</w:t>
            </w:r>
          </w:p>
        </w:tc>
        <w:tc>
          <w:tcPr>
            <w:tcW w:w="2120" w:type="dxa"/>
            <w:vAlign w:val="bottom"/>
            <w:gridSpan w:val="2"/>
          </w:tcPr>
          <w:p>
            <w:pPr>
              <w:jc w:val="center"/>
              <w:ind w:right="363"/>
              <w:spacing w:after="0"/>
              <w:rPr>
                <w:sz w:val="20"/>
                <w:szCs w:val="20"/>
                <w:color w:val="auto"/>
              </w:rPr>
            </w:pPr>
            <w:r>
              <w:rPr>
                <w:rFonts w:ascii="Arial" w:cs="Arial" w:eastAsia="Arial" w:hAnsi="Arial"/>
                <w:sz w:val="15"/>
                <w:szCs w:val="15"/>
                <w:b w:val="1"/>
                <w:bCs w:val="1"/>
                <w:color w:val="auto"/>
                <w:w w:val="93"/>
              </w:rPr>
              <w:t>Average)</w:t>
            </w:r>
          </w:p>
        </w:tc>
        <w:tc>
          <w:tcPr>
            <w:tcW w:w="14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514,104</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Arial" w:cs="Arial" w:eastAsia="Arial" w:hAnsi="Arial"/>
                <w:sz w:val="15"/>
                <w:szCs w:val="15"/>
                <w:color w:val="auto"/>
                <w:w w:val="92"/>
              </w:rPr>
              <w:t>Income Approach (1)</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ind w:left="680"/>
              <w:spacing w:after="0" w:line="156" w:lineRule="exact"/>
              <w:rPr>
                <w:sz w:val="20"/>
                <w:szCs w:val="20"/>
                <w:color w:val="auto"/>
              </w:rPr>
            </w:pPr>
            <w:r>
              <w:rPr>
                <w:rFonts w:ascii="Arial" w:cs="Arial" w:eastAsia="Arial" w:hAnsi="Arial"/>
                <w:sz w:val="15"/>
                <w:szCs w:val="15"/>
                <w:color w:val="auto"/>
                <w:w w:val="93"/>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7.00% - 11.29% (9.71%)</w:t>
            </w:r>
          </w:p>
        </w:tc>
        <w:tc>
          <w:tcPr>
            <w:tcW w:w="44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Second-lien debt investments</w:t>
            </w:r>
          </w:p>
        </w:tc>
        <w:tc>
          <w:tcPr>
            <w:tcW w:w="1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53,190</w:t>
            </w:r>
          </w:p>
        </w:tc>
        <w:tc>
          <w:tcPr>
            <w:tcW w:w="190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Income Approach</w:t>
            </w:r>
          </w:p>
        </w:tc>
        <w:tc>
          <w:tcPr>
            <w:tcW w:w="1820" w:type="dxa"/>
            <w:vAlign w:val="bottom"/>
            <w:gridSpan w:val="2"/>
          </w:tcPr>
          <w:p>
            <w:pPr>
              <w:ind w:left="680"/>
              <w:spacing w:after="0" w:line="162" w:lineRule="exact"/>
              <w:rPr>
                <w:sz w:val="20"/>
                <w:szCs w:val="20"/>
                <w:color w:val="auto"/>
              </w:rPr>
            </w:pPr>
            <w:r>
              <w:rPr>
                <w:rFonts w:ascii="Arial" w:cs="Arial" w:eastAsia="Arial" w:hAnsi="Arial"/>
                <w:sz w:val="15"/>
                <w:szCs w:val="15"/>
                <w:color w:val="auto"/>
              </w:rPr>
              <w:t>Market Yield</w:t>
            </w:r>
          </w:p>
        </w:tc>
        <w:tc>
          <w:tcPr>
            <w:tcW w:w="2120" w:type="dxa"/>
            <w:vAlign w:val="bottom"/>
            <w:gridSpan w:val="2"/>
          </w:tcPr>
          <w:p>
            <w:pPr>
              <w:jc w:val="right"/>
              <w:ind w:right="363"/>
              <w:spacing w:after="0" w:line="162" w:lineRule="exact"/>
              <w:rPr>
                <w:sz w:val="20"/>
                <w:szCs w:val="20"/>
                <w:color w:val="auto"/>
              </w:rPr>
            </w:pPr>
            <w:r>
              <w:rPr>
                <w:rFonts w:ascii="Arial" w:cs="Arial" w:eastAsia="Arial" w:hAnsi="Arial"/>
                <w:sz w:val="15"/>
                <w:szCs w:val="15"/>
                <w:color w:val="auto"/>
                <w:w w:val="94"/>
              </w:rPr>
              <w:t>10.78% -10.78% (10.78%)</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00" w:type="dxa"/>
            <w:vAlign w:val="bottom"/>
          </w:tcPr>
          <w:p>
            <w:pPr>
              <w:spacing w:after="0" w:line="164" w:lineRule="exact"/>
              <w:rPr>
                <w:sz w:val="20"/>
                <w:szCs w:val="20"/>
                <w:color w:val="auto"/>
              </w:rPr>
            </w:pPr>
            <w:r>
              <w:rPr>
                <w:rFonts w:ascii="Arial" w:cs="Arial" w:eastAsia="Arial" w:hAnsi="Arial"/>
                <w:sz w:val="15"/>
                <w:szCs w:val="15"/>
                <w:color w:val="auto"/>
              </w:rPr>
              <w:t>Equity investments</w:t>
            </w:r>
          </w:p>
        </w:tc>
        <w:tc>
          <w:tcPr>
            <w:tcW w:w="140" w:type="dxa"/>
            <w:vAlign w:val="bottom"/>
          </w:tcPr>
          <w:p>
            <w:pPr>
              <w:spacing w:after="0" w:line="164"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4" w:lineRule="exact"/>
              <w:rPr>
                <w:sz w:val="20"/>
                <w:szCs w:val="20"/>
                <w:color w:val="auto"/>
              </w:rPr>
            </w:pPr>
            <w:r>
              <w:rPr>
                <w:rFonts w:ascii="Arial" w:cs="Arial" w:eastAsia="Arial" w:hAnsi="Arial"/>
                <w:sz w:val="15"/>
                <w:szCs w:val="15"/>
                <w:color w:val="auto"/>
              </w:rPr>
              <w:t>2,000</w:t>
            </w:r>
          </w:p>
        </w:tc>
        <w:tc>
          <w:tcPr>
            <w:tcW w:w="1900" w:type="dxa"/>
            <w:vAlign w:val="bottom"/>
            <w:gridSpan w:val="2"/>
          </w:tcPr>
          <w:p>
            <w:pPr>
              <w:ind w:left="120"/>
              <w:spacing w:after="0" w:line="164" w:lineRule="exact"/>
              <w:rPr>
                <w:sz w:val="20"/>
                <w:szCs w:val="20"/>
                <w:color w:val="auto"/>
              </w:rPr>
            </w:pPr>
            <w:r>
              <w:rPr>
                <w:rFonts w:ascii="Arial" w:cs="Arial" w:eastAsia="Arial" w:hAnsi="Arial"/>
                <w:sz w:val="15"/>
                <w:szCs w:val="15"/>
                <w:color w:val="auto"/>
              </w:rPr>
              <w:t>Market Approach (2)</w:t>
            </w: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60" w:right="380" w:hanging="452"/>
        <w:spacing w:after="0" w:line="249"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Valued at cost due to the proximity of the transaction relative to the measurement date.</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66,836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100,000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331,836</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40" w:right="2380" w:hanging="4627"/>
        <w:spacing w:after="0" w:line="449" w:lineRule="auto"/>
        <w:tabs>
          <w:tab w:leader="none" w:pos="147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F-27</w:t>
      </w:r>
    </w:p>
    <w:p>
      <w:pPr>
        <w:sectPr>
          <w:pgSz w:w="11900" w:h="16838" w:orient="portrait"/>
          <w:cols w:equalWidth="0" w:num="1">
            <w:col w:w="11380"/>
          </w:cols>
          <w:pgMar w:left="240" w:top="459" w:right="2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2013, 2012 and 2011,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8"/>
              </w:rPr>
              <w:t>Year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38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Commitment fees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1,496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10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6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78"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76" w:lineRule="exact"/>
        <w:rPr>
          <w:sz w:val="20"/>
          <w:szCs w:val="20"/>
          <w:color w:val="auto"/>
        </w:rPr>
      </w:pPr>
    </w:p>
    <w:p>
      <w:pPr>
        <w:ind w:left="900" w:hanging="325"/>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Amounts drawn under the amended and restated Revolving Credit Facility (Natixis) and the original credit and security agreement bear interest at LIBOR plus a margin or base rate plus a margin or, in the case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amended and restated Revolving Credit Facility (Natixis), the lenders’ cost of funds plus a margin, in each case at TPG SL SPV’s option. TPG SL SPV’s ability to borrow at lenders’ cost of funds plus a margin lowers our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58"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8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the Company’s existing investors.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December 31, 2013 and 2012, the Company had the following commitments to fund investments: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7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0"/>
              </w:rPr>
              <w:t>December 31, 2013</w:t>
            </w:r>
          </w:p>
        </w:tc>
        <w:tc>
          <w:tcPr>
            <w:tcW w:w="5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2012</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36,600</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14,500</w:t>
            </w:r>
          </w:p>
        </w:tc>
      </w:tr>
      <w:tr>
        <w:trPr>
          <w:trHeight w:val="27"/>
        </w:trPr>
        <w:tc>
          <w:tcPr>
            <w:tcW w:w="5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32,000</w:t>
            </w: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and 2012, the Company had $1.5 billion and $1.4 billion, respectively, in total capital commitments from investors ($1.0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billion and $0.9 billion unfunded, respectively). Of these amounts, $117.1 million and $114.1 million, respectively, is from the Adviser and its affiliates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($76.7 million and $76.6 million unfunded, respectively). These unfunded commitments will no longer remain in effect following the completion of an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of the Company’s common stock. See Note 1.</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89"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Year Ended</w:t>
      </w:r>
    </w:p>
    <w:p>
      <w:pPr>
        <w:jc w:val="center"/>
        <w:ind w:left="5300"/>
        <w:spacing w:after="0" w:line="236" w:lineRule="auto"/>
        <w:rPr>
          <w:sz w:val="20"/>
          <w:szCs w:val="20"/>
          <w:color w:val="auto"/>
        </w:rPr>
      </w:pPr>
      <w:r>
        <w:rPr>
          <w:rFonts w:ascii="Arial" w:cs="Arial" w:eastAsia="Arial" w:hAnsi="Arial"/>
          <w:sz w:val="14"/>
          <w:szCs w:val="14"/>
          <w:b w:val="1"/>
          <w:bCs w:val="1"/>
          <w:color w:val="auto"/>
        </w:rPr>
        <w:t>December 31, 2013</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Shares Issued </w:t>
            </w:r>
            <w:r>
              <w:rPr>
                <w:rFonts w:ascii="Arial" w:cs="Arial" w:eastAsia="Arial" w:hAnsi="Arial"/>
                <w:sz w:val="12"/>
                <w:szCs w:val="12"/>
                <w:b w:val="1"/>
                <w:bCs w:val="1"/>
                <w:color w:val="auto"/>
                <w:w w:val="88"/>
              </w:rPr>
              <w:t>(1)</w:t>
            </w:r>
          </w:p>
        </w:tc>
        <w:tc>
          <w:tcPr>
            <w:tcW w:w="21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2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September 26, 2013</w:t>
            </w:r>
          </w:p>
        </w:tc>
        <w:tc>
          <w:tcPr>
            <w:tcW w:w="2180" w:type="dxa"/>
            <w:vAlign w:val="bottom"/>
            <w:gridSpan w:val="2"/>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1,633,829</w:t>
            </w:r>
          </w:p>
        </w:tc>
        <w:tc>
          <w:tcPr>
            <w:tcW w:w="1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21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3,713,053</w:t>
            </w:r>
          </w:p>
        </w:tc>
        <w:tc>
          <w:tcPr>
            <w:tcW w:w="13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200" w:type="dxa"/>
            <w:vAlign w:val="bottom"/>
            <w:gridSpan w:val="3"/>
          </w:tcPr>
          <w:p>
            <w:pPr>
              <w:jc w:val="right"/>
              <w:ind w:right="1850"/>
              <w:spacing w:after="0"/>
              <w:rPr>
                <w:sz w:val="20"/>
                <w:szCs w:val="20"/>
                <w:color w:val="auto"/>
              </w:rPr>
            </w:pPr>
            <w:r>
              <w:rPr>
                <w:rFonts w:ascii="Arial" w:cs="Arial" w:eastAsia="Arial" w:hAnsi="Arial"/>
                <w:sz w:val="18"/>
                <w:szCs w:val="18"/>
                <w:color w:val="auto"/>
              </w:rPr>
              <w:t>F-31</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Year Ended</w:t>
      </w:r>
    </w:p>
    <w:p>
      <w:pPr>
        <w:jc w:val="center"/>
        <w:ind w:left="5400"/>
        <w:spacing w:after="0" w:line="236" w:lineRule="auto"/>
        <w:rPr>
          <w:sz w:val="20"/>
          <w:szCs w:val="20"/>
          <w:color w:val="auto"/>
        </w:rPr>
      </w:pPr>
      <w:r>
        <w:rPr>
          <w:rFonts w:ascii="Arial" w:cs="Arial" w:eastAsia="Arial" w:hAnsi="Arial"/>
          <w:sz w:val="14"/>
          <w:szCs w:val="14"/>
          <w:b w:val="1"/>
          <w:bCs w:val="1"/>
          <w:color w:val="auto"/>
        </w:rPr>
        <w:t>December 31, 2012</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Shares Issued </w:t>
            </w:r>
            <w:r>
              <w:rPr>
                <w:rFonts w:ascii="Arial" w:cs="Arial" w:eastAsia="Arial" w:hAnsi="Arial"/>
                <w:sz w:val="12"/>
                <w:szCs w:val="12"/>
                <w:b w:val="1"/>
                <w:bCs w:val="1"/>
                <w:color w:val="auto"/>
                <w:w w:val="88"/>
              </w:rPr>
              <w:t>(1)</w:t>
            </w:r>
          </w:p>
        </w:tc>
        <w:tc>
          <w:tcPr>
            <w:tcW w:w="2060" w:type="dxa"/>
            <w:vAlign w:val="bottom"/>
            <w:tcBorders>
              <w:top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15, 2012</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February 22,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2,368,398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May 31,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892,058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September 26,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1,496,143</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21, 2012 </w:t>
            </w:r>
            <w:r>
              <w:rPr>
                <w:rFonts w:ascii="Arial" w:cs="Arial" w:eastAsia="Arial" w:hAnsi="Arial"/>
                <w:sz w:val="15"/>
                <w:szCs w:val="15"/>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19,199,421</w:t>
            </w:r>
          </w:p>
        </w:tc>
        <w:tc>
          <w:tcPr>
            <w:tcW w:w="9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1920" w:hanging="440"/>
        <w:spacing w:after="0" w:line="258" w:lineRule="auto"/>
        <w:tabs>
          <w:tab w:leader="none" w:pos="19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 w:lineRule="exact"/>
        <w:rPr>
          <w:rFonts w:ascii="Arial" w:cs="Arial" w:eastAsia="Arial" w:hAnsi="Arial"/>
          <w:sz w:val="18"/>
          <w:szCs w:val="18"/>
          <w:color w:val="auto"/>
        </w:rPr>
      </w:pPr>
    </w:p>
    <w:p>
      <w:pPr>
        <w:ind w:left="1920" w:right="440" w:hanging="440"/>
        <w:spacing w:after="0" w:line="261" w:lineRule="auto"/>
        <w:tabs>
          <w:tab w:leader="none" w:pos="19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8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229"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Year Ended</w:t>
      </w:r>
    </w:p>
    <w:p>
      <w:pPr>
        <w:jc w:val="center"/>
        <w:ind w:left="3720"/>
        <w:spacing w:after="0" w:line="236" w:lineRule="auto"/>
        <w:rPr>
          <w:sz w:val="20"/>
          <w:szCs w:val="20"/>
          <w:color w:val="auto"/>
        </w:rPr>
      </w:pPr>
      <w:r>
        <w:rPr>
          <w:rFonts w:ascii="Arial" w:cs="Arial" w:eastAsia="Arial" w:hAnsi="Arial"/>
          <w:sz w:val="14"/>
          <w:szCs w:val="14"/>
          <w:b w:val="1"/>
          <w:bCs w:val="1"/>
          <w:color w:val="auto"/>
        </w:rPr>
        <w:t>December 31, 2013</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0"/>
                <w:szCs w:val="10"/>
                <w:color w:val="auto"/>
              </w:rPr>
            </w:pPr>
          </w:p>
        </w:tc>
        <w:tc>
          <w:tcPr>
            <w:tcW w:w="1540" w:type="dxa"/>
            <w:vAlign w:val="bottom"/>
            <w:tcBorders>
              <w:top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580" w:type="dxa"/>
            <w:vAlign w:val="bottom"/>
            <w:tcBorders>
              <w:top w:val="single" w:sz="8" w:color="auto"/>
            </w:tcBorders>
            <w:vMerge w:val="restart"/>
          </w:tcPr>
          <w:p>
            <w:pPr>
              <w:spacing w:after="0"/>
              <w:rPr>
                <w:sz w:val="10"/>
                <w:szCs w:val="10"/>
                <w:color w:val="auto"/>
              </w:rPr>
            </w:pPr>
          </w:p>
        </w:tc>
        <w:tc>
          <w:tcPr>
            <w:tcW w:w="2460" w:type="dxa"/>
            <w:vAlign w:val="bottom"/>
            <w:tcBorders>
              <w:top w:val="single" w:sz="8" w:color="auto"/>
            </w:tcBorders>
            <w:gridSpan w:val="2"/>
          </w:tcPr>
          <w:p>
            <w:pPr>
              <w:jc w:val="right"/>
              <w:ind w:right="1600"/>
              <w:spacing w:after="0" w:line="119" w:lineRule="exact"/>
              <w:rPr>
                <w:sz w:val="20"/>
                <w:szCs w:val="20"/>
                <w:color w:val="auto"/>
              </w:rPr>
            </w:pPr>
            <w:r>
              <w:rPr>
                <w:rFonts w:ascii="Arial" w:cs="Arial" w:eastAsia="Arial" w:hAnsi="Arial"/>
                <w:sz w:val="13"/>
                <w:szCs w:val="13"/>
                <w:b w:val="1"/>
                <w:bCs w:val="1"/>
                <w:color w:val="auto"/>
              </w:rPr>
              <w:t>Date</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 xml:space="preserve">Shares Issued </w:t>
            </w:r>
            <w:r>
              <w:rPr>
                <w:rFonts w:ascii="Arial" w:cs="Arial" w:eastAsia="Arial" w:hAnsi="Arial"/>
                <w:sz w:val="12"/>
                <w:szCs w:val="12"/>
                <w:b w:val="1"/>
                <w:bCs w:val="1"/>
                <w:color w:val="auto"/>
                <w:w w:val="89"/>
              </w:rPr>
              <w:t>(1)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CCEEFF"/>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Shares Issued</w:t>
            </w:r>
          </w:p>
        </w:tc>
        <w:tc>
          <w:tcPr>
            <w:tcW w:w="10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December 31, 2012</w:t>
            </w: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12, 2013</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212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2013</w:t>
            </w:r>
          </w:p>
        </w:tc>
        <w:tc>
          <w:tcPr>
            <w:tcW w:w="2460" w:type="dxa"/>
            <w:vAlign w:val="bottom"/>
            <w:gridSpan w:val="2"/>
          </w:tcPr>
          <w:p>
            <w:pPr>
              <w:jc w:val="right"/>
              <w:ind w:right="1020"/>
              <w:spacing w:after="0"/>
              <w:rPr>
                <w:sz w:val="20"/>
                <w:szCs w:val="20"/>
                <w:color w:val="auto"/>
              </w:rPr>
            </w:pPr>
            <w:r>
              <w:rPr>
                <w:rFonts w:ascii="Arial" w:cs="Arial" w:eastAsia="Arial" w:hAnsi="Arial"/>
                <w:sz w:val="18"/>
                <w:szCs w:val="18"/>
                <w:color w:val="auto"/>
              </w:rPr>
              <w:t>May 7, 2013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2013</w:t>
            </w:r>
          </w:p>
        </w:tc>
        <w:tc>
          <w:tcPr>
            <w:tcW w:w="2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August 6, 2013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1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September 30, 2013</w:t>
            </w:r>
          </w:p>
        </w:tc>
        <w:tc>
          <w:tcPr>
            <w:tcW w:w="2460" w:type="dxa"/>
            <w:vAlign w:val="bottom"/>
            <w:gridSpan w:val="2"/>
          </w:tcPr>
          <w:p>
            <w:pPr>
              <w:jc w:val="right"/>
              <w:ind w:right="1020"/>
              <w:spacing w:after="0"/>
              <w:rPr>
                <w:sz w:val="20"/>
                <w:szCs w:val="20"/>
                <w:color w:val="auto"/>
              </w:rPr>
            </w:pPr>
            <w:r>
              <w:rPr>
                <w:rFonts w:ascii="Arial" w:cs="Arial" w:eastAsia="Arial" w:hAnsi="Arial"/>
                <w:sz w:val="18"/>
                <w:szCs w:val="18"/>
                <w:color w:val="auto"/>
                <w:w w:val="95"/>
              </w:rPr>
              <w:t>November 5, 2013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right="60" w:hanging="567"/>
        <w:spacing w:after="0" w:line="277" w:lineRule="auto"/>
        <w:tabs>
          <w:tab w:leader="none" w:pos="14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6"/>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4"/>
                <w:szCs w:val="14"/>
                <w:b w:val="1"/>
                <w:bCs w:val="1"/>
                <w:color w:val="auto"/>
                <w:w w:val="93"/>
              </w:rPr>
              <w:t>December 31, 2012</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94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Record Date</w:t>
            </w:r>
          </w:p>
        </w:tc>
        <w:tc>
          <w:tcPr>
            <w:tcW w:w="56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Date Shares Issued</w:t>
            </w:r>
          </w:p>
        </w:tc>
        <w:tc>
          <w:tcPr>
            <w:tcW w:w="10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Shares Issued </w:t>
            </w:r>
            <w:r>
              <w:rPr>
                <w:rFonts w:ascii="Arial" w:cs="Arial" w:eastAsia="Arial" w:hAnsi="Arial"/>
                <w:sz w:val="12"/>
                <w:szCs w:val="12"/>
                <w:b w:val="1"/>
                <w:bCs w:val="1"/>
                <w:color w:val="auto"/>
                <w:w w:val="88"/>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December 31, 2011 </w:t>
            </w:r>
            <w:r>
              <w:rPr>
                <w:rFonts w:ascii="Arial" w:cs="Arial" w:eastAsia="Arial" w:hAnsi="Arial"/>
                <w:sz w:val="15"/>
                <w:szCs w:val="15"/>
                <w:color w:val="auto"/>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December 31, 2011</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 2012</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2012</w:t>
            </w:r>
          </w:p>
        </w:tc>
        <w:tc>
          <w:tcPr>
            <w:tcW w:w="2540" w:type="dxa"/>
            <w:vAlign w:val="bottom"/>
            <w:gridSpan w:val="2"/>
          </w:tcPr>
          <w:p>
            <w:pPr>
              <w:jc w:val="right"/>
              <w:ind w:right="1020"/>
              <w:spacing w:after="0"/>
              <w:rPr>
                <w:sz w:val="20"/>
                <w:szCs w:val="20"/>
                <w:color w:val="auto"/>
              </w:rPr>
            </w:pPr>
            <w:r>
              <w:rPr>
                <w:rFonts w:ascii="Arial" w:cs="Arial" w:eastAsia="Arial" w:hAnsi="Arial"/>
                <w:sz w:val="18"/>
                <w:szCs w:val="18"/>
                <w:color w:val="auto"/>
              </w:rPr>
              <w:t>May 16, 2012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2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June 30, 2012</w:t>
            </w:r>
          </w:p>
        </w:tc>
        <w:tc>
          <w:tcPr>
            <w:tcW w:w="25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August 7, 2012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September 30, 2012</w:t>
            </w:r>
          </w:p>
        </w:tc>
        <w:tc>
          <w:tcPr>
            <w:tcW w:w="2540" w:type="dxa"/>
            <w:vAlign w:val="bottom"/>
            <w:gridSpan w:val="2"/>
          </w:tcPr>
          <w:p>
            <w:pPr>
              <w:jc w:val="right"/>
              <w:ind w:right="1020"/>
              <w:spacing w:after="0"/>
              <w:rPr>
                <w:sz w:val="20"/>
                <w:szCs w:val="20"/>
                <w:color w:val="auto"/>
              </w:rPr>
            </w:pPr>
            <w:r>
              <w:rPr>
                <w:rFonts w:ascii="Arial" w:cs="Arial" w:eastAsia="Arial" w:hAnsi="Arial"/>
                <w:sz w:val="18"/>
                <w:szCs w:val="18"/>
                <w:color w:val="auto"/>
                <w:w w:val="94"/>
              </w:rPr>
              <w:t>November 13, 2012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tabs>
          <w:tab w:leader="none" w:pos="14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On March 20, 2012, 1,934 shares were issued to the Adviser in connection with its then participation in the dividend reinvestment plan.</w:t>
      </w:r>
    </w:p>
    <w:p>
      <w:pPr>
        <w:spacing w:after="0" w:line="46" w:lineRule="exact"/>
        <w:rPr>
          <w:rFonts w:ascii="Arial" w:cs="Arial" w:eastAsia="Arial" w:hAnsi="Arial"/>
          <w:sz w:val="16"/>
          <w:szCs w:val="16"/>
          <w:color w:val="auto"/>
        </w:rPr>
      </w:pPr>
    </w:p>
    <w:p>
      <w:pPr>
        <w:ind w:left="1480" w:right="40" w:hanging="567"/>
        <w:spacing w:after="0" w:line="261" w:lineRule="auto"/>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8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number of shares issued through the dividend reinvestment plan was determined by dividing the total dollar amount of the dividend payable to such investor by the net asset value per share of the Common Stock 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20"/>
          </w:cols>
          <w:pgMar w:left="240" w:top="459" w:right="3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record date of the dividend. The Common Stock issued through the dividend reinvestment plan was rounded down to the nearest whole share to avoid the issuance of fractional shares, and fractional shares were paid in cash.</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2380" w:type="dxa"/>
            <w:vAlign w:val="bottom"/>
            <w:gridSpan w:val="3"/>
          </w:tcPr>
          <w:p>
            <w:pPr>
              <w:ind w:left="1220"/>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 xml:space="preserve">outstanding—basic and diluted </w:t>
            </w:r>
            <w:r>
              <w:rPr>
                <w:rFonts w:ascii="Arial" w:cs="Arial" w:eastAsia="Arial" w:hAnsi="Arial"/>
                <w:sz w:val="15"/>
                <w:szCs w:val="15"/>
                <w:color w:val="auto"/>
              </w:rPr>
              <w:t>(1)</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34,635,208</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20,541,475</w:t>
            </w:r>
          </w:p>
        </w:tc>
        <w:tc>
          <w:tcPr>
            <w:tcW w:w="10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5"/>
                <w:szCs w:val="15"/>
                <w:color w:val="auto"/>
              </w:rPr>
              <w:t>(1)</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1920" w:right="160" w:hanging="440"/>
        <w:spacing w:after="0" w:line="277" w:lineRule="auto"/>
        <w:tabs>
          <w:tab w:leader="none" w:pos="19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20" w:type="dxa"/>
            <w:vAlign w:val="bottom"/>
            <w:vMerge w:val="restart"/>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w w:val="91"/>
              </w:rPr>
              <w:t>December 31, 2013</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2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 xml:space="preserve">Dividend per Share </w:t>
            </w:r>
            <w:r>
              <w:rPr>
                <w:rFonts w:ascii="Arial" w:cs="Arial" w:eastAsia="Arial" w:hAnsi="Arial"/>
                <w:sz w:val="12"/>
                <w:szCs w:val="12"/>
                <w:b w:val="1"/>
                <w:bCs w:val="1"/>
                <w:color w:val="auto"/>
                <w:w w:val="91"/>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rPr>
              <w:t>June 30, 2013</w:t>
            </w: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July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September 30, 2013</w:t>
            </w:r>
          </w:p>
        </w:tc>
        <w:tc>
          <w:tcPr>
            <w:tcW w:w="24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w w:val="93"/>
              </w:rPr>
              <w:t>October 31, 2013</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5"/>
                <w:szCs w:val="15"/>
                <w:color w:val="auto"/>
              </w:rPr>
              <w:t>(1)</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December 31, 2013</w:t>
            </w: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w w:val="93"/>
              </w:rPr>
              <w:t>January 30, 2014</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1480" w:right="80" w:hanging="567"/>
        <w:spacing w:after="0" w:line="261" w:lineRule="auto"/>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59" w:right="31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40" w:type="dxa"/>
            <w:vAlign w:val="bottom"/>
            <w:vMerge w:val="restart"/>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December 31, 2012</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4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 xml:space="preserve">Dividend per Share </w:t>
            </w:r>
            <w:r>
              <w:rPr>
                <w:rFonts w:ascii="Arial" w:cs="Arial" w:eastAsia="Arial" w:hAnsi="Arial"/>
                <w:sz w:val="12"/>
                <w:szCs w:val="12"/>
                <w:b w:val="1"/>
                <w:bCs w:val="1"/>
                <w:color w:val="auto"/>
                <w:w w:val="91"/>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May 7, 2012</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rPr>
              <w:t>June 30, 2012</w:t>
            </w:r>
          </w:p>
        </w:tc>
        <w:tc>
          <w:tcPr>
            <w:tcW w:w="2460" w:type="dxa"/>
            <w:vAlign w:val="bottom"/>
            <w:gridSpan w:val="2"/>
          </w:tcPr>
          <w:p>
            <w:pPr>
              <w:jc w:val="right"/>
              <w:ind w:right="1160"/>
              <w:spacing w:after="0"/>
              <w:rPr>
                <w:sz w:val="20"/>
                <w:szCs w:val="20"/>
                <w:color w:val="auto"/>
              </w:rPr>
            </w:pPr>
            <w:r>
              <w:rPr>
                <w:rFonts w:ascii="Arial" w:cs="Arial" w:eastAsia="Arial" w:hAnsi="Arial"/>
                <w:sz w:val="18"/>
                <w:szCs w:val="18"/>
                <w:color w:val="auto"/>
              </w:rPr>
              <w:t>August 3, 2012</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September 30, 2012</w:t>
            </w:r>
          </w:p>
        </w:tc>
        <w:tc>
          <w:tcPr>
            <w:tcW w:w="24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w w:val="91"/>
              </w:rPr>
              <w:t>October 30, 2012</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5"/>
                <w:szCs w:val="15"/>
                <w:color w:val="auto"/>
              </w:rPr>
              <w:t>(1)</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December 31, 2012</w:t>
            </w:r>
          </w:p>
        </w:tc>
        <w:tc>
          <w:tcPr>
            <w:tcW w:w="2460" w:type="dxa"/>
            <w:vAlign w:val="bottom"/>
            <w:gridSpan w:val="2"/>
          </w:tcPr>
          <w:p>
            <w:pPr>
              <w:jc w:val="right"/>
              <w:ind w:right="1160"/>
              <w:spacing w:after="0"/>
              <w:rPr>
                <w:sz w:val="20"/>
                <w:szCs w:val="20"/>
                <w:color w:val="auto"/>
              </w:rPr>
            </w:pPr>
            <w:r>
              <w:rPr>
                <w:rFonts w:ascii="Arial" w:cs="Arial" w:eastAsia="Arial" w:hAnsi="Arial"/>
                <w:sz w:val="18"/>
                <w:szCs w:val="18"/>
                <w:color w:val="auto"/>
                <w:w w:val="91"/>
              </w:rPr>
              <w:t>January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tabs>
          <w:tab w:leader="none" w:pos="14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23" w:lineRule="exact"/>
        <w:rPr>
          <w:rFonts w:ascii="Arial" w:cs="Arial" w:eastAsia="Arial" w:hAnsi="Arial"/>
          <w:sz w:val="18"/>
          <w:szCs w:val="18"/>
          <w:color w:val="auto"/>
        </w:rPr>
      </w:pPr>
    </w:p>
    <w:p>
      <w:pPr>
        <w:ind w:left="1480" w:right="140" w:hanging="567"/>
        <w:spacing w:after="0" w:line="261" w:lineRule="auto"/>
        <w:tabs>
          <w:tab w:leader="none" w:pos="14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8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long-term capital gains, determined on a tax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120" w:type="dxa"/>
            <w:vAlign w:val="bottom"/>
            <w:gridSpan w:val="6"/>
          </w:tcPr>
          <w:p>
            <w:pPr>
              <w:jc w:val="center"/>
              <w:ind w:right="960"/>
              <w:spacing w:after="0"/>
              <w:rPr>
                <w:sz w:val="20"/>
                <w:szCs w:val="20"/>
                <w:color w:val="auto"/>
              </w:rPr>
            </w:pPr>
            <w:r>
              <w:rPr>
                <w:rFonts w:ascii="Arial" w:cs="Arial" w:eastAsia="Arial" w:hAnsi="Arial"/>
                <w:sz w:val="14"/>
                <w:szCs w:val="14"/>
                <w:b w:val="1"/>
                <w:bCs w:val="1"/>
                <w:color w:val="auto"/>
                <w:w w:val="93"/>
              </w:rPr>
              <w:t>Year Ended</w:t>
            </w:r>
          </w:p>
        </w:tc>
        <w:tc>
          <w:tcPr>
            <w:tcW w:w="21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180" w:type="dxa"/>
            <w:vAlign w:val="bottom"/>
          </w:tcPr>
          <w:p>
            <w:pPr>
              <w:spacing w:after="0"/>
              <w:rPr>
                <w:sz w:val="14"/>
                <w:szCs w:val="14"/>
                <w:color w:val="auto"/>
              </w:rPr>
            </w:pPr>
          </w:p>
        </w:tc>
        <w:tc>
          <w:tcPr>
            <w:tcW w:w="2120" w:type="dxa"/>
            <w:vAlign w:val="bottom"/>
            <w:gridSpan w:val="6"/>
          </w:tcPr>
          <w:p>
            <w:pPr>
              <w:jc w:val="center"/>
              <w:ind w:right="960"/>
              <w:spacing w:after="0"/>
              <w:rPr>
                <w:sz w:val="20"/>
                <w:szCs w:val="20"/>
                <w:color w:val="auto"/>
              </w:rPr>
            </w:pPr>
            <w:r>
              <w:rPr>
                <w:rFonts w:ascii="Arial" w:cs="Arial" w:eastAsia="Arial" w:hAnsi="Arial"/>
                <w:sz w:val="14"/>
                <w:szCs w:val="14"/>
                <w:b w:val="1"/>
                <w:bCs w:val="1"/>
                <w:color w:val="auto"/>
                <w:w w:val="91"/>
              </w:rPr>
              <w:t>December 31, 2013</w:t>
            </w:r>
          </w:p>
        </w:tc>
        <w:tc>
          <w:tcPr>
            <w:tcW w:w="21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1"/>
              </w:rPr>
              <w:t>December 31, 2012</w:t>
            </w: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December 31, 2011</w:t>
            </w:r>
          </w:p>
        </w:tc>
      </w:tr>
      <w:tr>
        <w:trPr>
          <w:trHeight w:val="182"/>
        </w:trPr>
        <w:tc>
          <w:tcPr>
            <w:tcW w:w="4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$39,595</w:t>
            </w:r>
          </w:p>
        </w:tc>
        <w:tc>
          <w:tcPr>
            <w:tcW w:w="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Adjustments: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 on investments</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(8,386)</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(7,211)</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(2,312)</w:t>
            </w:r>
          </w:p>
        </w:tc>
      </w:tr>
      <w:tr>
        <w:trPr>
          <w:trHeight w:val="202"/>
        </w:trPr>
        <w:tc>
          <w:tcPr>
            <w:tcW w:w="4180" w:type="dxa"/>
            <w:vAlign w:val="bottom"/>
          </w:tcPr>
          <w:p>
            <w:pPr>
              <w:ind w:left="180"/>
              <w:spacing w:after="0" w:line="201" w:lineRule="exact"/>
              <w:rPr>
                <w:sz w:val="20"/>
                <w:szCs w:val="20"/>
                <w:color w:val="auto"/>
              </w:rPr>
            </w:pPr>
            <w:r>
              <w:rPr>
                <w:rFonts w:ascii="Arial" w:cs="Arial" w:eastAsia="Arial" w:hAnsi="Arial"/>
                <w:sz w:val="18"/>
                <w:szCs w:val="18"/>
                <w:color w:val="auto"/>
              </w:rPr>
              <w:t>Other income (expense) for tax</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18"/>
                <w:szCs w:val="18"/>
                <w:color w:val="auto"/>
              </w:rPr>
              <w:t>purposes, not book</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(670)</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organization costs</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1,425</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Other expenses not currently deductible</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book-tax differences</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9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r>
      <w:tr>
        <w:trPr>
          <w:trHeight w:val="223"/>
        </w:trPr>
        <w:tc>
          <w:tcPr>
            <w:tcW w:w="4180" w:type="dxa"/>
            <w:vAlign w:val="bottom"/>
          </w:tcPr>
          <w:p>
            <w:pPr>
              <w:ind w:left="360"/>
              <w:spacing w:after="0"/>
              <w:rPr>
                <w:sz w:val="20"/>
                <w:szCs w:val="20"/>
                <w:color w:val="auto"/>
              </w:rPr>
            </w:pPr>
            <w:r>
              <w:rPr>
                <w:rFonts w:ascii="Arial" w:cs="Arial" w:eastAsia="Arial" w:hAnsi="Arial"/>
                <w:sz w:val="18"/>
                <w:szCs w:val="18"/>
                <w:b w:val="1"/>
                <w:bCs w:val="1"/>
                <w:color w:val="auto"/>
              </w:rPr>
              <w:t>Undistributed Taxable Income</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31,755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8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9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(3)(4)</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14.71</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at prices above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 value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Total from investment operations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from net investment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increase in net assets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5"/>
                <w:szCs w:val="15"/>
                <w:b w:val="1"/>
                <w:bCs w:val="1"/>
                <w:color w:val="auto"/>
              </w:rPr>
              <w:t>(4)</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37,026,023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31,582,954</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11,770,514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5"/>
                <w:szCs w:val="15"/>
                <w:b w:val="1"/>
                <w:bCs w:val="1"/>
                <w:color w:val="auto"/>
              </w:rPr>
              <w:t>(1)</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Ratio of net expenses to average net assets</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net investment income (loss) to</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net assets</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574,696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479,803</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173,092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34,635,208</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20,541,475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3,347,602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5"/>
                <w:szCs w:val="15"/>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1,402,970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1,211,246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total contributed capital to total</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committed capital, end of period</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Year of formation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right="80" w:hanging="452"/>
        <w:spacing w:after="0" w:line="286" w:lineRule="auto"/>
        <w:tabs>
          <w:tab w:leader="none" w:pos="4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1"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As of December 31, 2013, 2012 and 2011, the amount includes commitments from the Adviser and its affiliates of $117.1, $114.1 and $70.4 million, respectively.</w:t>
      </w:r>
    </w:p>
    <w:p>
      <w:pPr>
        <w:ind w:left="460" w:right="160" w:hanging="452"/>
        <w:spacing w:after="0" w:line="250" w:lineRule="auto"/>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w:t>
      </w:r>
    </w:p>
    <w:p>
      <w:pPr>
        <w:ind w:left="460" w:right="160" w:hanging="452"/>
        <w:spacing w:after="0" w:line="261" w:lineRule="auto"/>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23,298</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10,576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8,123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7,696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16,993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12,817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13,106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4,063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1,674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21,056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16,259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14,208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15,461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15.29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r>
        <w:trPr>
          <w:trHeight w:val="350"/>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14,554</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7,277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6,637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4,711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10,892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3,169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12,460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13,581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 (1)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r>
      <w:tr>
        <w:trPr>
          <w:trHeight w:val="350"/>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2,835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1,789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(1,554)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Unrealized Gains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(1,554)</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(Liability) Value per Share as of the End of the Quarter (1)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(23.31)</w:t>
            </w:r>
          </w:p>
        </w:tc>
      </w:tr>
    </w:tbl>
    <w:p>
      <w:pPr>
        <w:spacing w:after="0" w:line="93" w:lineRule="exact"/>
        <w:rPr>
          <w:sz w:val="20"/>
          <w:szCs w:val="20"/>
          <w:color w:val="auto"/>
        </w:rPr>
      </w:pPr>
    </w:p>
    <w:p>
      <w:pPr>
        <w:ind w:left="900" w:hanging="446"/>
        <w:spacing w:after="0" w:line="277"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00"/>
          </w:cols>
          <w:pgMar w:left="24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36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$1,172,442 and $997,298,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1,195,539</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28,804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8,936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1,251,464</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402,077</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1,772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7,526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19,717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Payable on foreign currency forward contracts</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446,709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464,454</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$0.01 par value; 400,000,000 shares authorized, 51,888,707 and 37,027,022 shares issued,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 and 51,887,708 and 37,026,023 shares outstanding, respectively</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776,706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2,620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 and foreign currency translation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Undistributed net realized gains on investments, including foreign currency forward contracts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804,755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1,251,464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15.51</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March 31, 2014</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2013</w:t>
            </w: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31,118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20,624</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2,363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cash and cash equivalents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33,481</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3,824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Incentive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4,473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2,729</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Directors’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Net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21,251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13,110</w:t>
            </w: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21,242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3,944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net change in unrealized gains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8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realized gains (losses)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Unrealized and Realized Gains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w:t>
            </w:r>
          </w:p>
        </w:tc>
      </w:tr>
      <w:tr>
        <w:trPr>
          <w:trHeight w:val="223"/>
        </w:trPr>
        <w:tc>
          <w:tcPr>
            <w:tcW w:w="20" w:type="dxa"/>
            <w:vAlign w:val="bottom"/>
          </w:tcPr>
          <w:p>
            <w:pPr>
              <w:spacing w:after="0"/>
              <w:rPr>
                <w:sz w:val="19"/>
                <w:szCs w:val="19"/>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 (1)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outstanding—basic and diluted (1)</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41,539,083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32,560,424</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460" w:right="280" w:hanging="452"/>
        <w:spacing w:after="0" w:line="277"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three months ended March 31, 2013 have been retroactively adjusted for the stock split which was effected in the form of a stock dividend.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Schedule of Investments as of March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440" w:type="dxa"/>
            <w:vAlign w:val="bottom"/>
          </w:tcPr>
          <w:p>
            <w:pPr>
              <w:spacing w:after="0"/>
              <w:rPr>
                <w:sz w:val="14"/>
                <w:szCs w:val="14"/>
                <w:color w:val="auto"/>
              </w:rPr>
            </w:pP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Cost (2)</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4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Aerospace and defense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 (3)(4)(6)</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($53,452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11/2017)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12/23/2011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$ 52,875</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($33,910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33,281</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32,977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loan ($4,611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6/2017)</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4,508</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4,458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 Inc. (3)(4)(6)</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($21,330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12/2016)</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12/31/2012</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58,919</w:t>
            </w:r>
          </w:p>
        </w:tc>
        <w:tc>
          <w:tcPr>
            <w:tcW w:w="1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58,872</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($65,000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3/2020)</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3/3/2014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63,551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63,538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($66,933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4/2018)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4/11/2013</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64,891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66,933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Beyond Trust Software Holding Group, Inc. (3)(6)</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($42,234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12/2019)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12/18/2013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41,268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41,390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 (3)(4)</w:t>
            </w: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($29,659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9/2018)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9/12/2013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29,354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137,677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Construction and building</w:t>
            </w: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Mannington Mills, Inc. (3)(4)</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Second-lien loan</w:t>
            </w:r>
          </w:p>
        </w:tc>
        <w:tc>
          <w:tcPr>
            <w:tcW w:w="9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14.00%</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($47,366 par, due</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(incl.</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3/2017)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PIK)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3/2/2012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46,540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51,156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Containers and packaging</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Newark Group, Inc. (3)(4)</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($46,080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2/2018)</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2/8/2013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45,708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46,771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gridSpan w:val="2"/>
          </w:tcPr>
          <w:p>
            <w:pPr>
              <w:ind w:left="1000"/>
              <w:spacing w:after="0"/>
              <w:rPr>
                <w:sz w:val="20"/>
                <w:szCs w:val="20"/>
                <w:color w:val="auto"/>
              </w:rPr>
            </w:pPr>
            <w:r>
              <w:rPr>
                <w:rFonts w:ascii="Arial" w:cs="Arial" w:eastAsia="Arial" w:hAnsi="Arial"/>
                <w:sz w:val="18"/>
                <w:szCs w:val="18"/>
                <w:color w:val="auto"/>
              </w:rPr>
              <w:t>F-40</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Acquisition</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Cost (2)</w:t>
            </w: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Education</w:t>
            </w:r>
          </w:p>
        </w:tc>
        <w:tc>
          <w:tcPr>
            <w:tcW w:w="38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 (3)(4)(6)</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($29,250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9/2018)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28,594</w:t>
            </w:r>
          </w:p>
        </w:tc>
        <w:tc>
          <w:tcPr>
            <w:tcW w:w="640" w:type="dxa"/>
            <w:vAlign w:val="bottom"/>
          </w:tcPr>
          <w:p>
            <w:pPr>
              <w:jc w:val="right"/>
              <w:spacing w:after="0"/>
              <w:rPr>
                <w:sz w:val="20"/>
                <w:szCs w:val="20"/>
                <w:color w:val="auto"/>
              </w:rPr>
            </w:pPr>
            <w:r>
              <w:rPr>
                <w:rFonts w:ascii="Arial" w:cs="Arial" w:eastAsia="Arial" w:hAnsi="Arial"/>
                <w:sz w:val="18"/>
                <w:szCs w:val="18"/>
                <w:color w:val="auto"/>
              </w:rPr>
              <w:t>28,811</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Electronics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My Alarm Center, LLC (3)(4)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($52,550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1/9/2014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51,514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51,743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Mezzanine loan</w:t>
            </w:r>
          </w:p>
        </w:tc>
        <w:tc>
          <w:tcPr>
            <w:tcW w:w="8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8"/>
              </w:rPr>
              <w:t>16.25%</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($4,688 par, due</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(incl.</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56,157</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56,407</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Embarcadero Technologies, Inc. (3)(4)(6)</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($42,479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41,641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42,478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Rogue Wave Holdings, Inc. (3)(4)(6)</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($68,174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12/2018)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67,663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108,461</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110,141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 (3)(4)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term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($25,000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3/2020)</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24,442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24,438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Mediware Information Systems, Inc. (3)(4)(6)</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($70,975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5/2018)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69,543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SRS Software, LLC (3)(4)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($35,156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34,452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35,244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($2,000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12/2017)</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130,353</w:t>
            </w:r>
          </w:p>
        </w:tc>
        <w:tc>
          <w:tcPr>
            <w:tcW w:w="2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132,662</w:t>
            </w:r>
          </w:p>
        </w:tc>
        <w:tc>
          <w:tcPr>
            <w:tcW w:w="30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gridSpan w:val="2"/>
          </w:tcPr>
          <w:p>
            <w:pPr>
              <w:ind w:left="880"/>
              <w:spacing w:after="0"/>
              <w:rPr>
                <w:sz w:val="20"/>
                <w:szCs w:val="20"/>
                <w:color w:val="auto"/>
              </w:rPr>
            </w:pPr>
            <w:r>
              <w:rPr>
                <w:rFonts w:ascii="Arial" w:cs="Arial" w:eastAsia="Arial" w:hAnsi="Arial"/>
                <w:sz w:val="18"/>
                <w:szCs w:val="18"/>
                <w:color w:val="auto"/>
              </w:rPr>
              <w:t>F-41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Acquisition</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Cost (2)</w:t>
            </w: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Hotel, gaming, and leisure</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AMF Bowling Worldwide, Inc.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($14,719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6/2018)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13,651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14,676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Centaur, LLC (3)</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2/2020)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Mandalay Baseball Properties, LLC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($35,279 par, due</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3/2017)</w:t>
            </w: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4/12/2012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34,734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36,601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Soho House (5)</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bond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(GBP 7,000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10/2018)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69,509</w:t>
            </w:r>
          </w:p>
        </w:tc>
        <w:tc>
          <w:tcPr>
            <w:tcW w:w="30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73,821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Human resource support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($34,413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5/2018)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33,696</w:t>
            </w:r>
          </w:p>
        </w:tc>
        <w:tc>
          <w:tcPr>
            <w:tcW w:w="640" w:type="dxa"/>
            <w:vAlign w:val="bottom"/>
          </w:tcPr>
          <w:p>
            <w:pPr>
              <w:jc w:val="right"/>
              <w:spacing w:after="0"/>
              <w:rPr>
                <w:sz w:val="20"/>
                <w:szCs w:val="20"/>
                <w:color w:val="auto"/>
              </w:rPr>
            </w:pPr>
            <w:r>
              <w:rPr>
                <w:rFonts w:ascii="Arial" w:cs="Arial" w:eastAsia="Arial" w:hAnsi="Arial"/>
                <w:sz w:val="18"/>
                <w:szCs w:val="18"/>
                <w:color w:val="auto"/>
              </w:rPr>
              <w:t>34,118</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($7,463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11/2018)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11/16/2012</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($12,000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5/2019)</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10.25%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11/16/2012</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11,943</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11,895</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53,429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Internet Services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28,698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($36,900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36,372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loan ($650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6/2017)</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6/1/2012</w:t>
            </w:r>
          </w:p>
        </w:tc>
        <w:tc>
          <w:tcPr>
            <w:tcW w:w="66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37,550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211,066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6/2018)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31,440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(3)(4)(6)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($35,435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11/2019)</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11/21/2013</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33,391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34,049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Arial" w:cs="Arial" w:eastAsia="Arial" w:hAnsi="Arial"/>
                <w:sz w:val="18"/>
                <w:szCs w:val="18"/>
                <w:color w:val="auto"/>
              </w:rPr>
              <w:t>F-42</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Acquisition</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Amortized</w:t>
            </w: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(2)</w:t>
            </w:r>
          </w:p>
        </w:tc>
        <w:tc>
          <w:tcPr>
            <w:tcW w:w="110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Office products</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Ecommerce Industries, Inc. (3)(4)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($35,657</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par, due 3/2019)</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35,309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35,059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 gas and consumable fuels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Global Geophysical (3)(4)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($40,883</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par, due 9/2016)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39,916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40,269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Trident Exploration Corp. (3)(4)(5)</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($64,838 par, due</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10/2017)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2/5/2014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62,960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66,296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102,876</w:t>
            </w:r>
          </w:p>
        </w:tc>
        <w:tc>
          <w:tcPr>
            <w:tcW w:w="30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106,565</w:t>
            </w:r>
          </w:p>
        </w:tc>
        <w:tc>
          <w:tcPr>
            <w:tcW w:w="28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Transportation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Kewill, Ltd. (3)(5)</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($52,500 par, due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10/2019)</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10/2/2013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51,516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51,974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1,169,162</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1,193,199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23"/>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Equity Investments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Business services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Non-Voting Preferred</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9/12/2013</w:t>
            </w:r>
          </w:p>
        </w:tc>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780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 (3)(4)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 (495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(187.5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Borders>
              <w:left w:val="single" w:sz="8" w:color="CCEEFF"/>
            </w:tcBorders>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 (1,980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820" w:type="dxa"/>
            <w:vAlign w:val="bottom"/>
          </w:tcPr>
          <w:p>
            <w:pPr>
              <w:jc w:val="right"/>
              <w:spacing w:after="0"/>
              <w:rPr>
                <w:sz w:val="20"/>
                <w:szCs w:val="20"/>
                <w:color w:val="auto"/>
              </w:rPr>
            </w:pPr>
            <w:r>
              <w:rPr>
                <w:rFonts w:ascii="Arial" w:cs="Arial" w:eastAsia="Arial" w:hAnsi="Arial"/>
                <w:sz w:val="18"/>
                <w:szCs w:val="18"/>
                <w:color w:val="auto"/>
              </w:rPr>
              <w:t>1,980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1,059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(2,953,020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1,560</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Equity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1,172,442</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1,195,539</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right="180" w:hanging="572"/>
        <w:spacing w:after="0" w:line="256" w:lineRule="auto"/>
        <w:tabs>
          <w:tab w:leader="none" w:pos="5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March 31, 2014, the Company does not “control” any of the portfolio companies nor are any of its portfolio companies considered to be “affiliates”—see Note 4. Certain portfolio company investments are subject to contractual restrictions on sales.</w:t>
      </w:r>
    </w:p>
    <w:p>
      <w:pPr>
        <w:ind w:left="580" w:right="120" w:hanging="572"/>
        <w:spacing w:after="0" w:line="261" w:lineRule="auto"/>
        <w:tabs>
          <w:tab w:leader="none" w:pos="5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line="254" w:lineRule="auto"/>
        <w:tabs>
          <w:tab w:leader="none" w:pos="5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2" w:lineRule="exact"/>
        <w:rPr>
          <w:rFonts w:ascii="Arial" w:cs="Arial" w:eastAsia="Arial" w:hAnsi="Arial"/>
          <w:sz w:val="18"/>
          <w:szCs w:val="18"/>
          <w:color w:val="auto"/>
        </w:rPr>
      </w:pPr>
    </w:p>
    <w:p>
      <w:pPr>
        <w:ind w:left="580" w:right="340" w:hanging="572"/>
        <w:spacing w:after="0" w:line="250" w:lineRule="auto"/>
        <w:tabs>
          <w:tab w:leader="none" w:pos="5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40" w:hanging="572"/>
        <w:spacing w:after="0" w:line="250" w:lineRule="auto"/>
        <w:tabs>
          <w:tab w:leader="none" w:pos="5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580" w:right="200" w:hanging="572"/>
        <w:spacing w:after="0" w:line="261" w:lineRule="auto"/>
        <w:tabs>
          <w:tab w:leader="none" w:pos="5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80"/>
          </w:cols>
          <w:pgMar w:left="240" w:top="459" w:right="3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4"/>
                <w:szCs w:val="14"/>
                <w:color w:val="auto"/>
                <w:w w:val="92"/>
              </w:rPr>
              <w:t>(2)</w:t>
            </w: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b w:val="1"/>
                <w:bCs w:val="1"/>
                <w:color w:val="auto"/>
              </w:rPr>
              <w:t>Aerospace and defense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 (3)(4)(6)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12/23/2011</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$ 52,828</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8/28/2012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36,002</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36,182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loan ($4,611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8/28/2012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4,528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 Inc. (3)(4)(6)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12/31/2012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61,838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62,155</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8/31/2011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43,837</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45,837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4/11/2013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65,762</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66,405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Aptean Holdings, Inc. f/k/a Consona Holdings,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8/13/2012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29,279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29,477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Beyond Trust Software Holding Group, Inc. (3)(6)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12/18/2013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41,462</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41,437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165,608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166,521</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Construction and building</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Mannington Mills, Inc.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14.00%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3/2/2012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46,545</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51,817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Arial" w:cs="Arial" w:eastAsia="Arial" w:hAnsi="Arial"/>
                <w:sz w:val="18"/>
                <w:szCs w:val="18"/>
                <w:color w:val="auto"/>
              </w:rPr>
              <w:t>F-45</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6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17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gridSpan w:val="3"/>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4"/>
                <w:szCs w:val="14"/>
                <w:color w:val="auto"/>
                <w:w w:val="92"/>
              </w:rPr>
              <w:t>(2)</w:t>
            </w: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Containers</w:t>
            </w:r>
          </w:p>
        </w:tc>
        <w:tc>
          <w:tcPr>
            <w:tcW w:w="300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and packaging</w:t>
            </w:r>
          </w:p>
        </w:tc>
        <w:tc>
          <w:tcPr>
            <w:tcW w:w="1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The Newark Group, Inc. (3)(4)</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($46,560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2/2018)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46,164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47,142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Education</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 (3)(4)(6)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($29,625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9/2018)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28,931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29,032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Embarcadero Technologies, Inc. (3)(4)(6)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($42,479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12/2017)</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41,597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42,372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Rogue Wave Holdings, Inc. (3)(4)(6)</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($76,337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12/2018)</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75,764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116,349</w:t>
            </w:r>
          </w:p>
        </w:tc>
        <w:tc>
          <w:tcPr>
            <w:tcW w:w="2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118,136</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Mediware Information Systems, Inc. (3)(4)(6)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($71,634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5/2018)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70,120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71,097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Software, LLC (3)(4)</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($35,625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12/2017)</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34,782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Arial" w:cs="Arial" w:eastAsia="Arial" w:hAnsi="Arial"/>
                <w:sz w:val="16"/>
                <w:szCs w:val="16"/>
                <w:color w:val="auto"/>
                <w:w w:val="98"/>
              </w:rPr>
              <w:t>First-lien revolving loan</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($2,000 par,</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due 12/2017)</w:t>
            </w:r>
          </w:p>
        </w:tc>
        <w:tc>
          <w:tcPr>
            <w:tcW w:w="1900" w:type="dxa"/>
            <w:vAlign w:val="bottom"/>
            <w:gridSpan w:val="3"/>
          </w:tcPr>
          <w:p>
            <w:pPr>
              <w:jc w:val="right"/>
              <w:ind w:right="240"/>
              <w:spacing w:after="0"/>
              <w:rPr>
                <w:sz w:val="20"/>
                <w:szCs w:val="20"/>
                <w:color w:val="auto"/>
              </w:rPr>
            </w:pPr>
            <w:r>
              <w:rPr>
                <w:rFonts w:ascii="Arial" w:cs="Arial" w:eastAsia="Arial" w:hAnsi="Arial"/>
                <w:sz w:val="16"/>
                <w:szCs w:val="16"/>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12/28/2012</w:t>
            </w:r>
          </w:p>
        </w:tc>
        <w:tc>
          <w:tcPr>
            <w:tcW w:w="680" w:type="dxa"/>
            <w:vAlign w:val="bottom"/>
          </w:tcPr>
          <w:p>
            <w:pPr>
              <w:jc w:val="right"/>
              <w:spacing w:after="0"/>
              <w:rPr>
                <w:sz w:val="20"/>
                <w:szCs w:val="20"/>
                <w:color w:val="auto"/>
              </w:rPr>
            </w:pPr>
            <w:r>
              <w:rPr>
                <w:rFonts w:ascii="Arial" w:cs="Arial" w:eastAsia="Arial" w:hAnsi="Arial"/>
                <w:sz w:val="16"/>
                <w:szCs w:val="16"/>
                <w:color w:val="auto"/>
              </w:rPr>
              <w:t>2,000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106,902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23"/>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Hotel, gaming, and leisure</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AMF Bowling Worldwide, Inc. (3)(4)</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($14,813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6/2018)</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7/2/2013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13,687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14,821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Centaur, LLC (3)</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Second-lien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($10,000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2/2020)</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2/15/2013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9,923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10,250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Mandalay Baseball Properties, LLC (3)(4)</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90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12.00%</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($34,886 par,</w:t>
            </w:r>
          </w:p>
        </w:tc>
        <w:tc>
          <w:tcPr>
            <w:tcW w:w="1900" w:type="dxa"/>
            <w:vAlign w:val="bottom"/>
            <w:gridSpan w:val="3"/>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3/2017)</w:t>
            </w:r>
          </w:p>
        </w:tc>
        <w:tc>
          <w:tcPr>
            <w:tcW w:w="1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(incl. 4.50% 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34,303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35,758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Soho House (5)</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Second-lien bond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(GBP 7,000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10/2018)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9.13%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9/20/2013</w:t>
            </w:r>
          </w:p>
        </w:tc>
        <w:tc>
          <w:tcPr>
            <w:tcW w:w="680" w:type="dxa"/>
            <w:vAlign w:val="bottom"/>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11,913</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69,113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gridSpan w:val="3"/>
          </w:tcPr>
          <w:p>
            <w:pPr>
              <w:jc w:val="right"/>
              <w:ind w:right="1480"/>
              <w:spacing w:after="0"/>
              <w:rPr>
                <w:sz w:val="20"/>
                <w:szCs w:val="20"/>
                <w:color w:val="auto"/>
              </w:rPr>
            </w:pPr>
            <w:r>
              <w:rPr>
                <w:rFonts w:ascii="Arial" w:cs="Arial" w:eastAsia="Arial" w:hAnsi="Arial"/>
                <w:sz w:val="18"/>
                <w:szCs w:val="18"/>
                <w:color w:val="auto"/>
              </w:rPr>
              <w:t>F-46</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Amortized</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860" w:type="dxa"/>
            <w:vAlign w:val="bottom"/>
          </w:tcPr>
          <w:p>
            <w:pPr>
              <w:spacing w:after="0"/>
              <w:rPr>
                <w:sz w:val="12"/>
                <w:szCs w:val="12"/>
                <w:color w:val="auto"/>
              </w:rPr>
            </w:pP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4"/>
                <w:szCs w:val="14"/>
                <w:color w:val="auto"/>
              </w:rPr>
              <w:t>(2)</w:t>
            </w:r>
          </w:p>
        </w:tc>
        <w:tc>
          <w:tcPr>
            <w:tcW w:w="108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Human resource support services</w:t>
            </w: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27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Arial" w:cs="Arial" w:eastAsia="Arial" w:hAnsi="Arial"/>
                <w:sz w:val="18"/>
                <w:szCs w:val="18"/>
                <w:color w:val="auto"/>
              </w:rPr>
              <w:t>($34,737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00" w:type="dxa"/>
            <w:vAlign w:val="bottom"/>
            <w:gridSpan w:val="3"/>
          </w:tcPr>
          <w:p>
            <w:pPr>
              <w:ind w:left="860"/>
              <w:spacing w:after="0"/>
              <w:rPr>
                <w:sz w:val="20"/>
                <w:szCs w:val="20"/>
                <w:color w:val="auto"/>
              </w:rPr>
            </w:pPr>
            <w:r>
              <w:rPr>
                <w:rFonts w:ascii="Arial" w:cs="Arial" w:eastAsia="Arial" w:hAnsi="Arial"/>
                <w:sz w:val="18"/>
                <w:szCs w:val="18"/>
                <w:color w:val="auto"/>
              </w:rPr>
              <w:t>due 5/2018)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33,979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34,141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 ($7,483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par, due 11/2018)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Second-lien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($12,000 par,</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5"/>
              </w:rPr>
              <w:t>11/16/2012</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due 5/2019)</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10.25%</w:t>
            </w:r>
          </w:p>
        </w:tc>
        <w:tc>
          <w:tcPr>
            <w:tcW w:w="1180" w:type="dxa"/>
            <w:vAlign w:val="bottom"/>
            <w:gridSpan w:val="2"/>
            <w:vMerge w:val="continue"/>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11,932</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11,790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53,302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Insurance</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($31,888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6/2017)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31,433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31,808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First-lien revolving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6/1/2012</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($850 par, due 6/2017)</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10.00%</w:t>
            </w:r>
          </w:p>
        </w:tc>
        <w:tc>
          <w:tcPr>
            <w:tcW w:w="118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838</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32,646</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177,161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6/2018)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26,486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27,170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(3)(6)</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($35,650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11/2019)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33,523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Office products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Ecommerce Industries, Inc. (3)(4)(6)</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($19,936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10/2016)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10/17/2011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19,764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20,086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Oil, gas and consumable fuels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 Geophysical (3)(4)</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($40,883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par, due 9/2016)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39,617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40,065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Transportation</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Kewill, Ltd. (3)(5)</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($52,500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10/2019)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51,482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51,713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Total Debt Investments</w:t>
            </w: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994,518</w:t>
            </w:r>
          </w:p>
        </w:tc>
        <w:tc>
          <w:tcPr>
            <w:tcW w:w="30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1,014,647</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8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340"/>
              <w:spacing w:after="0"/>
              <w:rPr>
                <w:sz w:val="20"/>
                <w:szCs w:val="20"/>
                <w:color w:val="auto"/>
              </w:rPr>
            </w:pPr>
            <w:r>
              <w:rPr>
                <w:rFonts w:ascii="Arial" w:cs="Arial" w:eastAsia="Arial" w:hAnsi="Arial"/>
                <w:sz w:val="18"/>
                <w:szCs w:val="18"/>
                <w:b w:val="1"/>
                <w:bCs w:val="1"/>
                <w:color w:val="auto"/>
              </w:rPr>
              <w:t>Business services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Non-Voting Preferred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Units (774,099 units)</w:t>
            </w: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gridSpan w:val="2"/>
          </w:tcPr>
          <w:p>
            <w:pPr>
              <w:ind w:left="1060"/>
              <w:spacing w:after="0"/>
              <w:rPr>
                <w:sz w:val="20"/>
                <w:szCs w:val="20"/>
                <w:color w:val="auto"/>
              </w:rPr>
            </w:pPr>
            <w:r>
              <w:rPr>
                <w:rFonts w:ascii="Arial" w:cs="Arial" w:eastAsia="Arial" w:hAnsi="Arial"/>
                <w:sz w:val="18"/>
                <w:szCs w:val="18"/>
                <w:color w:val="auto"/>
              </w:rPr>
              <w:t>F-47</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(1)</w:t>
            </w:r>
          </w:p>
        </w:tc>
        <w:tc>
          <w:tcPr>
            <w:tcW w:w="640" w:type="dxa"/>
            <w:vAlign w:val="bottom"/>
          </w:tcPr>
          <w:p>
            <w:pPr>
              <w:spacing w:after="0"/>
              <w:rPr>
                <w:sz w:val="12"/>
                <w:szCs w:val="12"/>
                <w:color w:val="auto"/>
              </w:rPr>
            </w:pPr>
          </w:p>
        </w:tc>
        <w:tc>
          <w:tcPr>
            <w:tcW w:w="20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Healthcare</w:t>
            </w:r>
          </w:p>
        </w:tc>
        <w:tc>
          <w:tcPr>
            <w:tcW w:w="2500" w:type="dxa"/>
            <w:vAlign w:val="bottom"/>
            <w:tcBorders>
              <w:top w:val="single" w:sz="8" w:color="CCEEFF"/>
            </w:tcBorders>
            <w:shd w:val="clear" w:color="auto" w:fill="CCEEFF"/>
          </w:tcPr>
          <w:p>
            <w:pPr>
              <w:jc w:val="center"/>
              <w:ind w:right="650"/>
              <w:spacing w:after="0" w:line="196" w:lineRule="exact"/>
              <w:rPr>
                <w:sz w:val="20"/>
                <w:szCs w:val="20"/>
                <w:color w:val="auto"/>
              </w:rPr>
            </w:pPr>
            <w:r>
              <w:rPr>
                <w:rFonts w:ascii="Arial" w:cs="Arial" w:eastAsia="Arial" w:hAnsi="Arial"/>
                <w:sz w:val="18"/>
                <w:szCs w:val="18"/>
                <w:b w:val="1"/>
                <w:bCs w:val="1"/>
                <w:color w:val="auto"/>
                <w:w w:val="89"/>
              </w:rPr>
              <w:t>and pharmaceuticals</w:t>
            </w:r>
          </w:p>
        </w:tc>
        <w:tc>
          <w:tcPr>
            <w:tcW w:w="6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2640" w:type="dxa"/>
            <w:vAlign w:val="bottom"/>
            <w:gridSpan w:val="3"/>
          </w:tcPr>
          <w:p>
            <w:pPr>
              <w:ind w:left="640"/>
              <w:spacing w:after="0" w:line="201" w:lineRule="exact"/>
              <w:rPr>
                <w:sz w:val="20"/>
                <w:szCs w:val="20"/>
                <w:color w:val="auto"/>
              </w:rPr>
            </w:pPr>
            <w:r>
              <w:rPr>
                <w:rFonts w:ascii="Arial" w:cs="Arial" w:eastAsia="Arial" w:hAnsi="Arial"/>
                <w:sz w:val="18"/>
                <w:szCs w:val="18"/>
                <w:color w:val="auto"/>
              </w:rPr>
              <w:t>Common Shares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40" w:type="dxa"/>
            <w:vAlign w:val="bottom"/>
            <w:gridSpan w:val="3"/>
          </w:tcPr>
          <w:p>
            <w:pPr>
              <w:ind w:left="640"/>
              <w:spacing w:after="0"/>
              <w:rPr>
                <w:sz w:val="20"/>
                <w:szCs w:val="20"/>
                <w:color w:val="auto"/>
              </w:rPr>
            </w:pPr>
            <w:r>
              <w:rPr>
                <w:rFonts w:ascii="Arial" w:cs="Arial" w:eastAsia="Arial" w:hAnsi="Arial"/>
                <w:sz w:val="18"/>
                <w:szCs w:val="18"/>
                <w:color w:val="auto"/>
              </w:rPr>
              <w:t>Class A (1,980 shares)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12/28/2012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93"/>
        </w:trPr>
        <w:tc>
          <w:tcPr>
            <w:tcW w:w="8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6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Common Shares Class B</w:t>
            </w: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(2,953,020 shares)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12/28/2012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4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Total Equity Investments</w:t>
            </w: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997,298</w:t>
            </w:r>
          </w:p>
        </w:tc>
        <w:tc>
          <w:tcPr>
            <w:tcW w:w="4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1,016,451</w:t>
            </w:r>
          </w:p>
        </w:tc>
        <w:tc>
          <w:tcPr>
            <w:tcW w:w="42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6"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240" w:hanging="452"/>
        <w:spacing w:after="0" w:line="250"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Structuring Credit Facility (see Note 7).</w:t>
      </w:r>
    </w:p>
    <w:p>
      <w:pPr>
        <w:jc w:val="both"/>
        <w:ind w:left="460" w:right="40" w:hanging="452"/>
        <w:spacing w:after="0" w:line="281" w:lineRule="auto"/>
        <w:tabs>
          <w:tab w:leader="none" w:pos="4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61" w:lineRule="auto"/>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5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21,242</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Total realized gains (losses)</w:t>
            </w: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25,348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7,794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(19,717)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204,711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230,059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39,542</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804,755</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519,345</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 Period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2,620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Three Months</w:t>
            </w:r>
          </w:p>
        </w:tc>
        <w:tc>
          <w:tcPr>
            <w:tcW w:w="40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25,348</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reconcile increase in net assets resulting from operations to net cash provided by (used in)</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(5,715)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Net realized losses on foreign currency forward contracts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investments, net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(325,289)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Proceeds from investments,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50,035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103,567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Paid-in-kind interest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Interest receivable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(4,003)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Management fees payable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Incentive fees payable to affiliate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Payables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(151,519)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Borrowings on debt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487,378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(517,042)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(3,101)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216,634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(7,017)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176,852</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Increase in Cash and Cash Equivalents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25,333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Cash and Cash Equivalents, End of Period</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28,804</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164,666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2,781</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Excise taxes paid during the period</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19,717</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7,794</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80"/>
          </w:cols>
          <w:pgMar w:left="240" w:top="459" w:right="2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80"/>
          </w:cols>
          <w:pgMar w:left="240" w:top="459" w:right="27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7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520" w:hanging="325"/>
        <w:spacing w:after="0" w:line="277" w:lineRule="auto"/>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459" w:right="2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did not have a material effect on the Company’s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March 15, 2011, the Company entered into the Administration Agreement with the Adviser. Under the terms of the Administration Agreement, the Adviser provides administrative services to the Company.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8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the three months ended March 31, 2014 and 2013, the Company incurred expenses of $0.6 million and $0.3 million, respectively, for administrative services payable to the Adviser under the terms of the Administration Agreement.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three months ended March 31, 2014 and 2013, Management Fees were $4.2 million and $3.0 million, of which $1.8 million and $1.6 million were payable at March 31, 2014 and 2013, respectively.</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For the three months ended March 31, 2014 and 2013, Management Fees of $2.5 million and $1.5 million, respectively, were waived. 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40" w:hanging="446"/>
        <w:spacing w:after="0" w:line="254" w:lineRule="auto"/>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84"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89" w:lineRule="auto"/>
        <w:tabs>
          <w:tab w:leader="none" w:pos="90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through March 31, 2014, equals 15%, and beginning April 1, 2014,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three months ended March 31, 2014, Incentive Fees were $4.5 million, of which $3.7 million were realized and payable to the Adviser. For the three months ended March 31, 2013, Incentive Fees were $2.7 million, of which $2.4 million were realized and payable to the Adviser.</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8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months ended March 31, 2014 and 2013 were $1.5 million and $0.9 million, respectively.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has entered into an agreement (the “10b5-1 Plan”) with Goldman, Sachs &amp; Co.,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March 31,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March 31, 2014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970,436</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984,670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194,083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203,865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4,643</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3,280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1,172,442</w:t>
            </w:r>
          </w:p>
        </w:tc>
        <w:tc>
          <w:tcPr>
            <w:tcW w:w="2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1,195,539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880" w:type="dxa"/>
            <w:vAlign w:val="bottom"/>
            <w:gridSpan w:val="6"/>
            <w:vMerge w:val="restart"/>
          </w:tcPr>
          <w:p>
            <w:pPr>
              <w:ind w:left="1380"/>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2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131,082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137,483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997,298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March 31,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5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March 31, 2014</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8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Automotive</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4.9%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Business services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11.6%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3.9%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Electronics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11.2%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4.5%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Internet services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Metals and mining</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2.9%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8.9%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8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500" w:type="dxa"/>
            <w:vAlign w:val="bottom"/>
            <w:gridSpan w:val="3"/>
          </w:tcPr>
          <w:p>
            <w:pPr>
              <w:jc w:val="right"/>
              <w:ind w:right="2280"/>
              <w:spacing w:after="0"/>
              <w:rPr>
                <w:sz w:val="20"/>
                <w:szCs w:val="20"/>
                <w:color w:val="auto"/>
              </w:rPr>
            </w:pPr>
            <w:r>
              <w:rPr>
                <w:rFonts w:ascii="Arial" w:cs="Arial" w:eastAsia="Arial" w:hAnsi="Arial"/>
                <w:sz w:val="18"/>
                <w:szCs w:val="18"/>
                <w:color w:val="auto"/>
              </w:rPr>
              <w:t>F-60</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59" w:right="67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composition of Investments at fair value as of March 31,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6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12.5%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South</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17.7%</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Europe</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8.1%</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three months ended March 31, 2014 and year ended December 31, 2013 had terms of approximately one to two months. Risks may arise as a result of the potential inability of the counterparties to meet the terms of their contracts. The Company attempts to limit this risk by dealing with only creditworthy counterparties.</w:t>
      </w:r>
    </w:p>
    <w:p>
      <w:pPr>
        <w:spacing w:after="0" w:line="192"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During the three months ended March 31, 2014, the Company settled its foreign currency forward contracts related to its investments in Jeeves Information Systems AB and Soho House Bond Ltd., which in total generated a realized loss of $1.6 million. The Company did not enter into new foreign currency forward contracts related to these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Depreciation</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Amount (in 000’s)</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USD Value at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presented in</w:t>
            </w:r>
          </w:p>
        </w:tc>
        <w:tc>
          <w:tcPr>
            <w:tcW w:w="0" w:type="dxa"/>
            <w:vAlign w:val="bottom"/>
          </w:tcPr>
          <w:p>
            <w:pPr>
              <w:spacing w:after="0"/>
              <w:rPr>
                <w:sz w:val="1"/>
                <w:szCs w:val="1"/>
                <w:color w:val="auto"/>
              </w:rPr>
            </w:pPr>
          </w:p>
        </w:tc>
      </w:tr>
      <w:tr>
        <w:trPr>
          <w:trHeight w:val="144"/>
        </w:trPr>
        <w:tc>
          <w:tcPr>
            <w:tcW w:w="2640" w:type="dxa"/>
            <w:vAlign w:val="bottom"/>
            <w:gridSpan w:val="2"/>
            <w:vMerge w:val="continue"/>
          </w:tcPr>
          <w:p>
            <w:pPr>
              <w:spacing w:after="0"/>
              <w:rPr>
                <w:sz w:val="12"/>
                <w:szCs w:val="12"/>
                <w:color w:val="auto"/>
              </w:rPr>
            </w:pPr>
          </w:p>
        </w:tc>
        <w:tc>
          <w:tcPr>
            <w:tcW w:w="1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 Date</w:t>
            </w:r>
          </w:p>
        </w:tc>
        <w:tc>
          <w:tcPr>
            <w:tcW w:w="17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Consolidated Financial</w:t>
            </w:r>
          </w:p>
        </w:tc>
        <w:tc>
          <w:tcPr>
            <w:tcW w:w="0" w:type="dxa"/>
            <w:vAlign w:val="bottom"/>
          </w:tcPr>
          <w:p>
            <w:pPr>
              <w:spacing w:after="0"/>
              <w:rPr>
                <w:sz w:val="1"/>
                <w:szCs w:val="1"/>
                <w:color w:val="auto"/>
              </w:rPr>
            </w:pPr>
          </w:p>
        </w:tc>
      </w:tr>
      <w:tr>
        <w:trPr>
          <w:trHeight w:val="176"/>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Forward Contracts</w:t>
            </w:r>
          </w:p>
        </w:tc>
        <w:tc>
          <w:tcPr>
            <w:tcW w:w="1960" w:type="dxa"/>
            <w:vAlign w:val="bottom"/>
            <w:gridSpan w:val="2"/>
            <w:vMerge w:val="continue"/>
          </w:tcPr>
          <w:p>
            <w:pPr>
              <w:spacing w:after="0"/>
              <w:rPr>
                <w:sz w:val="15"/>
                <w:szCs w:val="15"/>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and Transaction</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Settlement Date</w:t>
            </w:r>
          </w:p>
        </w:tc>
        <w:tc>
          <w:tcPr>
            <w:tcW w:w="30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Swedish Krona</w:t>
            </w:r>
          </w:p>
        </w:tc>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(SEK)</w:t>
            </w:r>
          </w:p>
        </w:tc>
        <w:tc>
          <w:tcPr>
            <w:tcW w:w="1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January 24, 2014</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7"/>
              </w:rPr>
              <w:t>(28,440)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7"/>
              </w:rPr>
              <w:t>(29,366)</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7,000 sold</w:t>
            </w: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(11,274)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(11,592)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(39,714)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(40,958)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March 31, 2014 and December 31,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w w:val="96"/>
              </w:rPr>
              <w:t>Fair Value Hierarchy at March 31, 2014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$22,093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962,577</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984,670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34,438</w:t>
            </w:r>
          </w:p>
        </w:tc>
        <w:tc>
          <w:tcPr>
            <w:tcW w:w="2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169,427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203,865</w:t>
            </w: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4,664</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Equity investments</w:t>
            </w: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2,340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56,531</w:t>
            </w: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1,139,008</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1,195,539</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6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Fair Value Hierarchy at December 31, 2013</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$22,192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$854,972</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33,952</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103,531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137,483</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Equity investments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w:t>
            </w: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$56,144</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1,016,451</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(1,244)</w:t>
            </w:r>
          </w:p>
        </w:tc>
      </w:tr>
      <w:tr>
        <w:trPr>
          <w:trHeight w:val="27"/>
        </w:trPr>
        <w:tc>
          <w:tcPr>
            <w:tcW w:w="62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1,016,207</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months ended March 31,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and for the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Three Months Ended March 31, 2014</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First-lien</w:t>
            </w:r>
          </w:p>
        </w:tc>
        <w:tc>
          <w:tcPr>
            <w:tcW w:w="9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Second-lien</w:t>
            </w:r>
          </w:p>
        </w:tc>
        <w:tc>
          <w:tcPr>
            <w:tcW w:w="280" w:type="dxa"/>
            <w:vAlign w:val="bottom"/>
          </w:tcPr>
          <w:p>
            <w:pPr>
              <w:spacing w:after="0"/>
              <w:rPr>
                <w:sz w:val="10"/>
                <w:szCs w:val="10"/>
                <w:color w:val="auto"/>
              </w:rPr>
            </w:pPr>
          </w:p>
        </w:tc>
        <w:tc>
          <w:tcPr>
            <w:tcW w:w="12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debt</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debt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investments</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$ 854,972</w:t>
            </w:r>
          </w:p>
        </w:tc>
        <w:tc>
          <w:tcPr>
            <w:tcW w:w="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$ 103,531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Purchases</w:t>
            </w:r>
          </w:p>
        </w:tc>
        <w:tc>
          <w:tcPr>
            <w:tcW w:w="2540" w:type="dxa"/>
            <w:vAlign w:val="bottom"/>
            <w:gridSpan w:val="4"/>
          </w:tcPr>
          <w:p>
            <w:pPr>
              <w:jc w:val="right"/>
              <w:ind w:right="500"/>
              <w:spacing w:after="0"/>
              <w:rPr>
                <w:sz w:val="20"/>
                <w:szCs w:val="20"/>
                <w:color w:val="auto"/>
              </w:rPr>
            </w:pPr>
            <w:r>
              <w:rPr>
                <w:rFonts w:ascii="Arial" w:cs="Arial" w:eastAsia="Arial" w:hAnsi="Arial"/>
                <w:sz w:val="18"/>
                <w:szCs w:val="18"/>
                <w:color w:val="auto"/>
              </w:rPr>
              <w:t>257,098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63,050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4,641</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325,289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5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(51,642)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(51,642)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540" w:type="dxa"/>
            <w:vAlign w:val="bottom"/>
            <w:gridSpan w:val="4"/>
          </w:tcPr>
          <w:p>
            <w:pPr>
              <w:jc w:val="right"/>
              <w:ind w:right="440"/>
              <w:spacing w:after="0"/>
              <w:rPr>
                <w:sz w:val="20"/>
                <w:szCs w:val="20"/>
                <w:color w:val="auto"/>
              </w:rPr>
            </w:pPr>
            <w:r>
              <w:rPr>
                <w:rFonts w:ascii="Arial" w:cs="Arial" w:eastAsia="Arial" w:hAnsi="Arial"/>
                <w:sz w:val="18"/>
                <w:szCs w:val="18"/>
                <w:color w:val="auto"/>
              </w:rPr>
              <w:t>(102,989)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(103,453)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25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392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2540" w:type="dxa"/>
            <w:vAlign w:val="bottom"/>
            <w:gridSpan w:val="4"/>
          </w:tcPr>
          <w:p>
            <w:pPr>
              <w:jc w:val="right"/>
              <w:ind w:right="500"/>
              <w:spacing w:after="0"/>
              <w:rPr>
                <w:sz w:val="20"/>
                <w:szCs w:val="20"/>
                <w:color w:val="auto"/>
              </w:rPr>
            </w:pPr>
            <w:r>
              <w:rPr>
                <w:rFonts w:ascii="Arial" w:cs="Arial" w:eastAsia="Arial" w:hAnsi="Arial"/>
                <w:sz w:val="18"/>
                <w:szCs w:val="18"/>
                <w:color w:val="auto"/>
              </w:rPr>
              <w:t>542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25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4,204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$ 962,577</w:t>
            </w:r>
          </w:p>
        </w:tc>
        <w:tc>
          <w:tcPr>
            <w:tcW w:w="5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$ 169,427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1,139,008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540" w:type="dxa"/>
            <w:vAlign w:val="bottom"/>
            <w:gridSpan w:val="4"/>
          </w:tcPr>
          <w:p>
            <w:pPr>
              <w:jc w:val="right"/>
              <w:ind w:right="940"/>
              <w:spacing w:after="0"/>
              <w:rPr>
                <w:sz w:val="20"/>
                <w:szCs w:val="20"/>
                <w:color w:val="auto"/>
              </w:rPr>
            </w:pPr>
            <w:r>
              <w:rPr>
                <w:rFonts w:ascii="Arial" w:cs="Arial" w:eastAsia="Arial" w:hAnsi="Arial"/>
                <w:sz w:val="18"/>
                <w:szCs w:val="18"/>
                <w:color w:val="auto"/>
              </w:rPr>
              <w:t>F-62</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As of and for the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center"/>
              <w:ind w:right="112"/>
              <w:spacing w:after="0"/>
              <w:rPr>
                <w:sz w:val="20"/>
                <w:szCs w:val="20"/>
                <w:color w:val="auto"/>
              </w:rPr>
            </w:pPr>
            <w:r>
              <w:rPr>
                <w:rFonts w:ascii="Arial" w:cs="Arial" w:eastAsia="Arial" w:hAnsi="Arial"/>
                <w:sz w:val="14"/>
                <w:szCs w:val="14"/>
                <w:b w:val="1"/>
                <w:bCs w:val="1"/>
                <w:color w:val="auto"/>
                <w:w w:val="95"/>
              </w:rPr>
              <w:t>Three Months Ended March 31, 2013</w:t>
            </w: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4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16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debt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5"/>
              </w:rPr>
              <w:t>investments</w:t>
            </w:r>
          </w:p>
        </w:tc>
        <w:tc>
          <w:tcPr>
            <w:tcW w:w="5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$ 514,104</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53,190</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4"/>
              </w:rPr>
              <w:t>2,000</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Purchases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64,720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64,540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(48,993)</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(3,181)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(52,174)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1,351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$ 502,510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50,458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2,000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554,968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2014 and 2013:</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Net Change in Unrealized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2820" w:type="dxa"/>
            <w:vAlign w:val="bottom"/>
          </w:tcPr>
          <w:p>
            <w:pPr>
              <w:spacing w:after="0"/>
              <w:rPr>
                <w:sz w:val="12"/>
                <w:szCs w:val="12"/>
                <w:color w:val="auto"/>
              </w:rPr>
            </w:pPr>
          </w:p>
        </w:tc>
        <w:tc>
          <w:tcPr>
            <w:tcW w:w="2500" w:type="dxa"/>
            <w:vAlign w:val="bottom"/>
            <w:gridSpan w:val="3"/>
          </w:tcPr>
          <w:p>
            <w:pPr>
              <w:jc w:val="center"/>
              <w:ind w:left="619"/>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2440" w:type="dxa"/>
            <w:vAlign w:val="bottom"/>
            <w:gridSpan w:val="4"/>
          </w:tcPr>
          <w:p>
            <w:pPr>
              <w:jc w:val="center"/>
              <w:ind w:left="359"/>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540" w:type="dxa"/>
            <w:vAlign w:val="bottom"/>
          </w:tcPr>
          <w:p>
            <w:pPr>
              <w:spacing w:after="0"/>
              <w:rPr>
                <w:sz w:val="12"/>
                <w:szCs w:val="12"/>
                <w:color w:val="auto"/>
              </w:rPr>
            </w:pPr>
          </w:p>
        </w:tc>
        <w:tc>
          <w:tcPr>
            <w:tcW w:w="1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 the Three Months Ended</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March 31, 2014 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March 31, 2013 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March 31, 2014</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2013</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2,908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Equity investments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tables present the Level 3 Investments at fair value and the significant unobservable inputs used in the valuations as of March 31, 2014 and December 31,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March 31, 2014</w:t>
            </w:r>
          </w:p>
        </w:tc>
        <w:tc>
          <w:tcPr>
            <w:tcW w:w="1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8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200" w:type="dxa"/>
            <w:vAlign w:val="bottom"/>
          </w:tcPr>
          <w:p>
            <w:pPr>
              <w:spacing w:after="0"/>
              <w:rPr>
                <w:sz w:val="12"/>
                <w:szCs w:val="12"/>
                <w:color w:val="auto"/>
              </w:rPr>
            </w:pPr>
          </w:p>
        </w:tc>
        <w:tc>
          <w:tcPr>
            <w:tcW w:w="1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Unobservable Input</w:t>
            </w:r>
          </w:p>
        </w:tc>
        <w:tc>
          <w:tcPr>
            <w:tcW w:w="2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Range (Weighted Average)</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962,577</w:t>
            </w:r>
          </w:p>
        </w:tc>
        <w:tc>
          <w:tcPr>
            <w:tcW w:w="2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2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7.56% — 13.27%</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(9.87%)</w:t>
            </w:r>
          </w:p>
        </w:tc>
        <w:tc>
          <w:tcPr>
            <w:tcW w:w="2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81"/>
              </w:rPr>
              <w:t>Decrease</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169,427</w:t>
            </w:r>
          </w:p>
        </w:tc>
        <w:tc>
          <w:tcPr>
            <w:tcW w:w="28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Market Yield</w:t>
            </w:r>
          </w:p>
        </w:tc>
        <w:tc>
          <w:tcPr>
            <w:tcW w:w="1240" w:type="dxa"/>
            <w:vAlign w:val="bottom"/>
          </w:tcPr>
          <w:p>
            <w:pPr>
              <w:jc w:val="right"/>
              <w:spacing w:after="0"/>
              <w:rPr>
                <w:sz w:val="20"/>
                <w:szCs w:val="20"/>
                <w:color w:val="auto"/>
              </w:rPr>
            </w:pPr>
            <w:r>
              <w:rPr>
                <w:rFonts w:ascii="Arial" w:cs="Arial" w:eastAsia="Arial" w:hAnsi="Arial"/>
                <w:sz w:val="16"/>
                <w:szCs w:val="16"/>
                <w:color w:val="auto"/>
                <w:w w:val="96"/>
              </w:rPr>
              <w:t>9.30% — 10.51%</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(9.90%)</w:t>
            </w:r>
          </w:p>
        </w:tc>
        <w:tc>
          <w:tcPr>
            <w:tcW w:w="1360" w:type="dxa"/>
            <w:vAlign w:val="bottom"/>
            <w:gridSpan w:val="2"/>
          </w:tcPr>
          <w:p>
            <w:pPr>
              <w:ind w:left="680"/>
              <w:spacing w:after="0"/>
              <w:rPr>
                <w:sz w:val="20"/>
                <w:szCs w:val="20"/>
                <w:color w:val="auto"/>
              </w:rPr>
            </w:pPr>
            <w:r>
              <w:rPr>
                <w:rFonts w:ascii="Arial" w:cs="Arial" w:eastAsia="Arial" w:hAnsi="Arial"/>
                <w:sz w:val="16"/>
                <w:szCs w:val="16"/>
                <w:color w:val="auto"/>
                <w:w w:val="96"/>
              </w:rPr>
              <w:t>Decrease</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Market Yield</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17.38%</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w w:val="96"/>
              </w:rPr>
              <w:t>Decrease</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Arial" w:cs="Arial" w:eastAsia="Arial" w:hAnsi="Arial"/>
                <w:sz w:val="16"/>
                <w:szCs w:val="16"/>
                <w:color w:val="auto"/>
              </w:rPr>
              <w:t>Equity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2,340</w:t>
            </w:r>
          </w:p>
        </w:tc>
        <w:tc>
          <w:tcPr>
            <w:tcW w:w="2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Income Approach (1)</w:t>
            </w: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Weighted</w:t>
            </w:r>
          </w:p>
        </w:tc>
        <w:tc>
          <w:tcPr>
            <w:tcW w:w="1240" w:type="dxa"/>
            <w:vAlign w:val="bottom"/>
          </w:tcPr>
          <w:p>
            <w:pPr>
              <w:jc w:val="right"/>
              <w:spacing w:after="0"/>
              <w:rPr>
                <w:sz w:val="20"/>
                <w:szCs w:val="20"/>
                <w:color w:val="auto"/>
              </w:rPr>
            </w:pPr>
            <w:r>
              <w:rPr>
                <w:rFonts w:ascii="Arial" w:cs="Arial" w:eastAsia="Arial" w:hAnsi="Arial"/>
                <w:sz w:val="16"/>
                <w:szCs w:val="16"/>
                <w:color w:val="auto"/>
              </w:rPr>
              <w:t>10.6% — 15.3%</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(13.4%)</w:t>
            </w:r>
          </w:p>
        </w:tc>
        <w:tc>
          <w:tcPr>
            <w:tcW w:w="1360" w:type="dxa"/>
            <w:vAlign w:val="bottom"/>
            <w:gridSpan w:val="2"/>
          </w:tcPr>
          <w:p>
            <w:pPr>
              <w:ind w:left="680"/>
              <w:spacing w:after="0"/>
              <w:rPr>
                <w:sz w:val="20"/>
                <w:szCs w:val="20"/>
                <w:color w:val="auto"/>
              </w:rPr>
            </w:pPr>
            <w:r>
              <w:rPr>
                <w:rFonts w:ascii="Arial" w:cs="Arial" w:eastAsia="Arial" w:hAnsi="Arial"/>
                <w:sz w:val="16"/>
                <w:szCs w:val="16"/>
                <w:color w:val="auto"/>
                <w:w w:val="96"/>
              </w:rPr>
              <w:t>Decrease</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Average Cost of</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Capital (WACC)</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340" w:hanging="332"/>
        <w:spacing w:after="0"/>
        <w:tabs>
          <w:tab w:leader="none" w:pos="34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Includes $0.5 million equity investment which, due to the proximity of the transaction relative to the measurement date, was valued using the cost of the investment.</w:t>
      </w:r>
    </w:p>
    <w:p>
      <w:pPr>
        <w:spacing w:after="0" w:line="174"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F-63</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9"/>
              </w:rPr>
              <w:t>December 31, 2013</w:t>
            </w: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Range (Weighted</w:t>
            </w:r>
          </w:p>
        </w:tc>
        <w:tc>
          <w:tcPr>
            <w:tcW w:w="12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Impact to Valuation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7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Valuation Technique</w:t>
            </w:r>
          </w:p>
        </w:tc>
        <w:tc>
          <w:tcPr>
            <w:tcW w:w="220" w:type="dxa"/>
            <w:vAlign w:val="bottom"/>
          </w:tcPr>
          <w:p>
            <w:pPr>
              <w:spacing w:after="0"/>
              <w:rPr>
                <w:sz w:val="12"/>
                <w:szCs w:val="12"/>
                <w:color w:val="auto"/>
              </w:rPr>
            </w:pPr>
          </w:p>
        </w:tc>
        <w:tc>
          <w:tcPr>
            <w:tcW w:w="1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Unobservable Input</w:t>
            </w:r>
          </w:p>
        </w:tc>
        <w:tc>
          <w:tcPr>
            <w:tcW w:w="2020" w:type="dxa"/>
            <w:vAlign w:val="bottom"/>
            <w:gridSpan w:val="2"/>
            <w:vMerge w:val="continue"/>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854,972</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5.50% —13.12% (9.81%)</w:t>
            </w: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Decrease</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103,531</w:t>
            </w:r>
          </w:p>
        </w:tc>
        <w:tc>
          <w:tcPr>
            <w:tcW w:w="3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Market Yield</w:t>
            </w:r>
          </w:p>
        </w:tc>
        <w:tc>
          <w:tcPr>
            <w:tcW w:w="2020" w:type="dxa"/>
            <w:vAlign w:val="bottom"/>
            <w:gridSpan w:val="2"/>
          </w:tcPr>
          <w:p>
            <w:pPr>
              <w:jc w:val="right"/>
              <w:ind w:right="280"/>
              <w:spacing w:after="0"/>
              <w:rPr>
                <w:sz w:val="20"/>
                <w:szCs w:val="20"/>
                <w:color w:val="auto"/>
              </w:rPr>
            </w:pPr>
            <w:r>
              <w:rPr>
                <w:rFonts w:ascii="Arial" w:cs="Arial" w:eastAsia="Arial" w:hAnsi="Arial"/>
                <w:sz w:val="16"/>
                <w:szCs w:val="16"/>
                <w:color w:val="auto"/>
              </w:rPr>
              <w:t>9.32% —9.87% (9.59%)</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20" w:type="dxa"/>
            <w:vAlign w:val="bottom"/>
          </w:tcPr>
          <w:p>
            <w:pPr>
              <w:spacing w:after="0"/>
              <w:rPr>
                <w:sz w:val="20"/>
                <w:szCs w:val="20"/>
                <w:color w:val="auto"/>
              </w:rPr>
            </w:pPr>
            <w:r>
              <w:rPr>
                <w:rFonts w:ascii="Arial" w:cs="Arial" w:eastAsia="Arial" w:hAnsi="Arial"/>
                <w:sz w:val="16"/>
                <w:szCs w:val="16"/>
                <w:color w:val="auto"/>
              </w:rPr>
              <w:t>Equity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1,804</w:t>
            </w:r>
          </w:p>
        </w:tc>
        <w:tc>
          <w:tcPr>
            <w:tcW w:w="30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Weighted</w:t>
            </w:r>
          </w:p>
        </w:tc>
        <w:tc>
          <w:tcPr>
            <w:tcW w:w="2020" w:type="dxa"/>
            <w:vAlign w:val="bottom"/>
            <w:gridSpan w:val="2"/>
          </w:tcPr>
          <w:p>
            <w:pPr>
              <w:jc w:val="right"/>
              <w:ind w:right="280"/>
              <w:spacing w:after="0"/>
              <w:rPr>
                <w:sz w:val="20"/>
                <w:szCs w:val="20"/>
                <w:color w:val="auto"/>
              </w:rPr>
            </w:pPr>
            <w:r>
              <w:rPr>
                <w:rFonts w:ascii="Arial" w:cs="Arial" w:eastAsia="Arial" w:hAnsi="Arial"/>
                <w:sz w:val="16"/>
                <w:szCs w:val="16"/>
                <w:color w:val="auto"/>
              </w:rPr>
              <w:t>12.1% —15.3% (14.0%)</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Average Cost of Capital</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(WACC)</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March 31, 2014 and December 31, 2013, approximates its carrying value as the outstanding balances are callable at carrying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2014 and December 31, 2013, the Company’s asset coverage was 300.1% and 232.9%,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March 31,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4"/>
              </w:rPr>
              <w:t>March 31, 2014</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 (2)</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153,225</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581,250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248,852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332,398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756,250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402,077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335,862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 (4)</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SPV Asset Facility (2)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On January 21, 2014, the Company amended the SPV Asset Facility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On February 27, 2014, the Company amended the Revolving Credit Facility to increase the size of the facility to $581.3 million.</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three months ended March 31, 2014 and 2013, the components of interest expense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r>
      <w:tr>
        <w:trPr>
          <w:trHeight w:val="171"/>
        </w:trPr>
        <w:tc>
          <w:tcPr>
            <w:tcW w:w="448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1,335</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Commitment fees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2,250</w:t>
            </w:r>
          </w:p>
        </w:tc>
        <w:tc>
          <w:tcPr>
            <w:tcW w:w="2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188.0</w:t>
            </w:r>
          </w:p>
        </w:tc>
        <w:tc>
          <w:tcPr>
            <w:tcW w:w="200" w:type="dxa"/>
            <w:vAlign w:val="bottom"/>
            <w:shd w:val="clear" w:color="auto" w:fill="CCEEFF"/>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Net proceeds received from the closing of the IPO and concurrent private placement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may borrow amounts in U.S. dollars or certain other permitted currencies. In connection with the Company settling its foreign currency forward contracts related to its investments in Jeeves Information Systems AB and Soho House Bond Ltd., during the three months ended March 31, 2014 the Company borrowed in foreign currencies from its Revolving Credit Facility. As of March 31, 2014, the Company has outstanding debt denominated in Swedish Krona (“SEK”) of 218,379,000 and outstanding debt denominated in Pound Sterling (“GBP”) of 7,000,000 on its Revolving Credit Facility, included in the Borrowings Outstanding amount in the table above.</w:t>
      </w:r>
    </w:p>
    <w:p>
      <w:pPr>
        <w:spacing w:after="0" w:line="18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Revolving Credit Facility is guaranteed by TC Lending, LLC and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60" w:hanging="325"/>
        <w:spacing w:after="0" w:line="264" w:lineRule="auto"/>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59" w:right="2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116" w:lineRule="exact"/>
        <w:rPr>
          <w:sz w:val="20"/>
          <w:szCs w:val="20"/>
          <w:color w:val="auto"/>
        </w:rPr>
      </w:pPr>
    </w:p>
    <w:p>
      <w:pPr>
        <w:ind w:left="900" w:hanging="325"/>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92"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TPG SL SPV had $8.5 million and $6.3 million, respectively, in restricted cash, a component of prepaid expenses and other assets, in the accompanying consolidated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March 31, 2014 and December 31, 2013,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2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31,985</w:t>
            </w:r>
          </w:p>
        </w:tc>
        <w:tc>
          <w:tcPr>
            <w:tcW w:w="1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55,685</w:t>
            </w:r>
          </w:p>
        </w:tc>
        <w:tc>
          <w:tcPr>
            <w:tcW w:w="1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2014,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three months ended March 31, 2014 and 2013:</w:t>
      </w:r>
    </w:p>
    <w:p>
      <w:pPr>
        <w:spacing w:after="0" w:line="189"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Three Months Ended</w:t>
      </w:r>
    </w:p>
    <w:p>
      <w:pPr>
        <w:jc w:val="center"/>
        <w:ind w:left="5600"/>
        <w:spacing w:after="0" w:line="236"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Borders>
              <w:top w:val="single" w:sz="8" w:color="auto"/>
            </w:tcBorders>
            <w:gridSpan w:val="4"/>
          </w:tcPr>
          <w:p>
            <w:pPr>
              <w:jc w:val="right"/>
              <w:ind w:right="880"/>
              <w:spacing w:after="0" w:line="142" w:lineRule="exact"/>
              <w:rPr>
                <w:sz w:val="20"/>
                <w:szCs w:val="20"/>
                <w:color w:val="auto"/>
              </w:rPr>
            </w:pPr>
            <w:r>
              <w:rPr>
                <w:rFonts w:ascii="Arial" w:cs="Arial" w:eastAsia="Arial" w:hAnsi="Arial"/>
                <w:sz w:val="14"/>
                <w:szCs w:val="14"/>
                <w:b w:val="1"/>
                <w:bCs w:val="1"/>
                <w:color w:val="auto"/>
                <w:w w:val="88"/>
              </w:rPr>
              <w:t>Shares Issued</w:t>
            </w:r>
          </w:p>
        </w:tc>
        <w:tc>
          <w:tcPr>
            <w:tcW w:w="11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15, 2014</w:t>
            </w:r>
          </w:p>
        </w:tc>
        <w:tc>
          <w:tcPr>
            <w:tcW w:w="1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4,234,501</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4,234,501</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3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center"/>
              <w:ind w:left="256"/>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96"/>
              </w:rPr>
              <w:t>March 31, 2013</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00" w:type="dxa"/>
            <w:vAlign w:val="bottom"/>
            <w:gridSpan w:val="5"/>
          </w:tcPr>
          <w:p>
            <w:pPr>
              <w:jc w:val="right"/>
              <w:ind w:right="1060"/>
              <w:spacing w:after="0" w:line="142" w:lineRule="exact"/>
              <w:rPr>
                <w:sz w:val="20"/>
                <w:szCs w:val="20"/>
                <w:color w:val="auto"/>
              </w:rPr>
            </w:pPr>
            <w:r>
              <w:rPr>
                <w:rFonts w:ascii="Arial" w:cs="Arial" w:eastAsia="Arial" w:hAnsi="Arial"/>
                <w:sz w:val="14"/>
                <w:szCs w:val="14"/>
                <w:b w:val="1"/>
                <w:bCs w:val="1"/>
                <w:color w:val="auto"/>
                <w:w w:val="87"/>
              </w:rPr>
              <w:t>Shares Issued (1)</w:t>
            </w: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1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2,079,224</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shareholders who have not opted out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three months ended March 31, 2014 and 2013:</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96"/>
              </w:rPr>
              <w:t>March 31, 2014</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Date</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Issued</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Issued</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December 31, 2013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February 13, 2014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4"/>
                <w:szCs w:val="14"/>
                <w:b w:val="1"/>
                <w:bCs w:val="1"/>
                <w:color w:val="auto"/>
                <w:w w:val="96"/>
              </w:rPr>
              <w:t>March 31, 2013</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200" w:type="dxa"/>
            <w:vAlign w:val="bottom"/>
            <w:gridSpan w:val="2"/>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Date</w:t>
            </w: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1"/>
              </w:rPr>
              <w:t>Shares Issued (1)</w:t>
            </w:r>
          </w:p>
        </w:tc>
        <w:tc>
          <w:tcPr>
            <w:tcW w:w="10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gridSpan w:val="2"/>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660" w:type="dxa"/>
            <w:vAlign w:val="bottom"/>
            <w:tcBorders>
              <w:bottom w:val="single" w:sz="8" w:color="CCEEFF"/>
            </w:tcBorders>
            <w:gridSpan w:val="2"/>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December 31, 2012</w:t>
            </w:r>
          </w:p>
        </w:tc>
        <w:tc>
          <w:tcPr>
            <w:tcW w:w="2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44"/>
              <w:spacing w:after="0"/>
              <w:rPr>
                <w:sz w:val="20"/>
                <w:szCs w:val="20"/>
                <w:color w:val="auto"/>
              </w:rPr>
            </w:pPr>
            <w:r>
              <w:rPr>
                <w:rFonts w:ascii="Arial" w:cs="Arial" w:eastAsia="Arial" w:hAnsi="Arial"/>
                <w:sz w:val="18"/>
                <w:szCs w:val="18"/>
                <w:color w:val="auto"/>
                <w:w w:val="92"/>
              </w:rPr>
              <w:t>March 12, 2013</w:t>
            </w:r>
          </w:p>
        </w:tc>
        <w:tc>
          <w:tcPr>
            <w:tcW w:w="660" w:type="dxa"/>
            <w:vAlign w:val="bottom"/>
            <w:gridSpan w:val="2"/>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343,981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7" w:lineRule="auto"/>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December 3, 2013, the Board approved a stock split in the form of a stock dividend pursuant to which the Company’s stockholders of record as of December 4, 2013 received 65.676 additional shares of common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360"/>
          </w:cols>
          <w:pgMar w:left="240" w:top="460" w:right="29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May 1, 2014, pursuant to its dividend reinvestment plan, the Company issued 410,183 shares in connection with the dividend that was paid on April 30, 2014. This dividend was declared on March 26, 2014 for shareholders of record on March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31, 2014</w:t>
            </w:r>
          </w:p>
        </w:tc>
        <w:tc>
          <w:tcPr>
            <w:tcW w:w="1760" w:type="dxa"/>
            <w:vAlign w:val="bottom"/>
            <w:tcBorders>
              <w:top w:val="single" w:sz="8" w:color="auto"/>
            </w:tcBorders>
            <w:gridSpan w:val="3"/>
          </w:tcPr>
          <w:p>
            <w:pPr>
              <w:ind w:left="800"/>
              <w:spacing w:after="0" w:line="142" w:lineRule="exact"/>
              <w:rPr>
                <w:sz w:val="20"/>
                <w:szCs w:val="20"/>
                <w:color w:val="auto"/>
              </w:rPr>
            </w:pPr>
            <w:r>
              <w:rPr>
                <w:rFonts w:ascii="Arial" w:cs="Arial" w:eastAsia="Arial" w:hAnsi="Arial"/>
                <w:sz w:val="14"/>
                <w:szCs w:val="14"/>
                <w:b w:val="1"/>
                <w:bCs w:val="1"/>
                <w:color w:val="auto"/>
                <w:w w:val="94"/>
              </w:rPr>
              <w:t>March 31, 2013</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8"/>
              </w:rPr>
              <w:t>Weighted average shares of common stock outstanding - basic and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diluted (1)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41,539,083</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32,560,424</w:t>
            </w:r>
          </w:p>
        </w:tc>
        <w:tc>
          <w:tcPr>
            <w:tcW w:w="1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 (1)</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right="160" w:hanging="452"/>
        <w:spacing w:after="0" w:line="277" w:lineRule="auto"/>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three months ended March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80" w:type="dxa"/>
            <w:vAlign w:val="bottom"/>
            <w:vMerge w:val="restart"/>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March 31, 2014</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April 30, 2014</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80" w:type="dxa"/>
            <w:vAlign w:val="bottom"/>
            <w:vMerge w:val="restart"/>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4"/>
              </w:rPr>
              <w:t>March 31, 2013</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 (1)</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March 31, 2013</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24"/>
              <w:spacing w:after="0"/>
              <w:rPr>
                <w:sz w:val="20"/>
                <w:szCs w:val="20"/>
                <w:color w:val="auto"/>
              </w:rPr>
            </w:pPr>
            <w:r>
              <w:rPr>
                <w:rFonts w:ascii="Arial" w:cs="Arial" w:eastAsia="Arial" w:hAnsi="Arial"/>
                <w:sz w:val="18"/>
                <w:szCs w:val="18"/>
                <w:color w:val="auto"/>
                <w:w w:val="92"/>
              </w:rPr>
              <w:t>May 6, 2013</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dividends declared during the three months ended March 31, 2014 and 2013, were derived from net investment income determined on a tax basis.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three months ended March 31, 2014, the Company has accrued $9 thousand for U.S federal excise tax. For the three months ended March 31, 2013, we accrued $4 thousand for U.S federal excise tax.</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the three months ended March 31, 2014, the Company declared an ordinary dividend of $19.7 million, $17.2 million of the dividend constitutes interest-related dividends for U.S. federal nonresident withholding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00"/>
          </w:cols>
          <w:pgMar w:left="240" w:top="459" w:right="2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purposes. For the three months ended March 31, 2013, the Company declared an ordinary dividend of $13.0 million, $12.5 million of the dividend constitutes interest-related dividends for U.S. federal nonresident withholding tax purposes.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total net assets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During the three months ended March 31, 2014, permanent differences of $1.6 million were principally attributable to foreign currency reclassifications, $1.0 million of recharacterization of prepayment penalties for tax purposes between ordinary income and capital gains, as well as $9 thousand attributed to accrued U.S. federal excise taxes. During the three months ended March 31, 2013, permanent differences of $46 thousand were attributable to accrued U.S. federal excise taxes.</w:t>
      </w:r>
    </w:p>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March 31, 2014 and December 31, 2013,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share of Common Stock outstanding during the three months ended March 31,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8"/>
              </w:rPr>
              <w:t>March 31, 2014</w:t>
            </w:r>
          </w:p>
        </w:tc>
        <w:tc>
          <w:tcPr>
            <w:tcW w:w="580" w:type="dxa"/>
            <w:vAlign w:val="bottom"/>
          </w:tcPr>
          <w:p>
            <w:pPr>
              <w:spacing w:after="0"/>
              <w:rPr>
                <w:sz w:val="14"/>
                <w:szCs w:val="14"/>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March 31, 2013 (6)</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15.52</w:t>
            </w:r>
          </w:p>
        </w:tc>
        <w:tc>
          <w:tcPr>
            <w:tcW w:w="72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0.51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Net realized and unrealized gains (1)</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from investment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Issuances of common stock, net of offering costs (1)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(0.24)</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Total (decrease) increase in net assets</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return based on net asset value (4)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2.38%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51,887,708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34,006,160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Ratios/Supplemental Data</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 (5)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13.8%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804,755</w:t>
            </w:r>
          </w:p>
        </w:tc>
        <w:tc>
          <w:tcPr>
            <w:tcW w:w="72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519,345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Total return is calculated as the change in market value per share during the period plus declared dividends per share, divided by the beginning market value per share.</w:t>
      </w:r>
    </w:p>
    <w:p>
      <w:pPr>
        <w:ind w:left="580" w:right="180" w:hanging="572"/>
        <w:spacing w:after="0" w:line="250" w:lineRule="auto"/>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80" w:right="200" w:hanging="572"/>
        <w:spacing w:after="0" w:line="261" w:lineRule="auto"/>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00"/>
          </w:cols>
          <w:pgMar w:left="240" w:top="459" w:right="259" w:bottom="1440" w:gutter="0" w:footer="0" w:header="0"/>
        </w:sectPr>
      </w:pPr>
    </w:p>
    <w:bookmarkStart w:id="348" w:name="page349"/>
    <w:bookmarkEnd w:id="3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5,000,000 Shares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1692910</wp:posOffset>
            </wp:positionV>
            <wp:extent cx="151765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492125</wp:posOffset>
            </wp:positionV>
            <wp:extent cx="1346200" cy="660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88"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Goldman, Sachs &amp; Co.</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563245</wp:posOffset>
            </wp:positionV>
            <wp:extent cx="151765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i w:val="1"/>
          <w:iCs w:val="1"/>
          <w:color w:val="auto"/>
        </w:rPr>
        <w:t>Co-Managers</w:t>
      </w:r>
    </w:p>
    <w:p>
      <w:pPr>
        <w:spacing w:after="0" w:line="97"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TPG Capital BD, LLC</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SunTrust Robinson Humphrey</w:t>
      </w:r>
    </w:p>
    <w:p>
      <w:pPr>
        <w:spacing w:after="0" w:line="152"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Imperial Capital</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HSBC</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Mizuho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560705</wp:posOffset>
            </wp:positionV>
            <wp:extent cx="151765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00"/>
        <w:spacing w:after="0"/>
        <w:tabs>
          <w:tab w:leader="none" w:pos="5860" w:val="left"/>
        </w:tabs>
        <w:rPr>
          <w:sz w:val="20"/>
          <w:szCs w:val="20"/>
          <w:color w:val="auto"/>
        </w:rPr>
      </w:pPr>
      <w:r>
        <w:rPr>
          <w:rFonts w:ascii="Arial" w:cs="Arial" w:eastAsia="Arial" w:hAnsi="Arial"/>
          <w:sz w:val="18"/>
          <w:szCs w:val="18"/>
          <w:b w:val="1"/>
          <w:bCs w:val="1"/>
          <w:color w:val="auto"/>
        </w:rPr>
        <w:t>August</w:t>
        <w:tab/>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97E3E4"/>
    <w:multiLevelType w:val="hybridMultilevel"/>
    <w:lvl w:ilvl="0">
      <w:lvlJc w:val="left"/>
      <w:lvlText w:val="(%1)"/>
      <w:numFmt w:val="decimal"/>
      <w:start w:val="1"/>
    </w:lvl>
  </w:abstractNum>
  <w:abstractNum w:abstractNumId="1">
    <w:nsid w:val="53B0A9E"/>
    <w:multiLevelType w:val="hybridMultilevel"/>
    <w:lvl w:ilvl="0">
      <w:lvlJc w:val="left"/>
      <w:lvlText w:val="(%1)"/>
      <w:numFmt w:val="decimal"/>
      <w:start w:val="2"/>
    </w:lvl>
  </w:abstractNum>
  <w:abstractNum w:abstractNumId="2">
    <w:nsid w:val="34FD6B4F"/>
    <w:multiLevelType w:val="hybridMultilevel"/>
    <w:lvl w:ilvl="0">
      <w:lvlJc w:val="left"/>
      <w:lvlText w:val="•"/>
      <w:numFmt w:val="bullet"/>
      <w:start w:val="1"/>
    </w:lvl>
  </w:abstractNum>
  <w:abstractNum w:abstractNumId="3">
    <w:nsid w:val="5915FF32"/>
    <w:multiLevelType w:val="hybridMultilevel"/>
    <w:lvl w:ilvl="0">
      <w:lvlJc w:val="left"/>
      <w:lvlText w:val="•"/>
      <w:numFmt w:val="bullet"/>
      <w:start w:val="1"/>
    </w:lvl>
  </w:abstractNum>
  <w:abstractNum w:abstractNumId="4">
    <w:nsid w:val="56438D15"/>
    <w:multiLevelType w:val="hybridMultilevel"/>
    <w:lvl w:ilvl="0">
      <w:lvlJc w:val="left"/>
      <w:lvlText w:val="(%1)"/>
      <w:numFmt w:val="decimal"/>
      <w:start w:val="1"/>
    </w:lvl>
  </w:abstractNum>
  <w:abstractNum w:abstractNumId="5">
    <w:nsid w:val="519E3149"/>
    <w:multiLevelType w:val="hybridMultilevel"/>
    <w:lvl w:ilvl="0">
      <w:lvlJc w:val="left"/>
      <w:lvlText w:val="(%1)"/>
      <w:numFmt w:val="decimal"/>
      <w:start w:val="6"/>
    </w:lvl>
  </w:abstractNum>
  <w:abstractNum w:abstractNumId="6">
    <w:nsid w:val="2C6E4AFD"/>
    <w:multiLevelType w:val="hybridMultilevel"/>
    <w:lvl w:ilvl="0">
      <w:lvlJc w:val="left"/>
      <w:lvlText w:val="(%1)"/>
      <w:numFmt w:val="decimal"/>
      <w:start w:val="1"/>
    </w:lvl>
  </w:abstractNum>
  <w:abstractNum w:abstractNumId="7">
    <w:nsid w:val="17A1B582"/>
    <w:multiLevelType w:val="hybridMultilevel"/>
    <w:lvl w:ilvl="0">
      <w:lvlJc w:val="left"/>
      <w:lvlText w:val="(%1)"/>
      <w:numFmt w:val="decimal"/>
      <w:start w:val="1"/>
    </w:lvl>
  </w:abstractNum>
  <w:abstractNum w:abstractNumId="8">
    <w:nsid w:val="4DF72E4E"/>
    <w:multiLevelType w:val="hybridMultilevel"/>
    <w:lvl w:ilvl="0">
      <w:lvlJc w:val="left"/>
      <w:lvlText w:val="(%1)"/>
      <w:numFmt w:val="decimal"/>
      <w:start w:val="1"/>
    </w:lvl>
  </w:abstractNum>
  <w:abstractNum w:abstractNumId="9">
    <w:nsid w:val="5046B5A9"/>
    <w:multiLevelType w:val="hybridMultilevel"/>
    <w:lvl w:ilvl="0">
      <w:lvlJc w:val="left"/>
      <w:lvlText w:val="*"/>
      <w:numFmt w:val="bullet"/>
      <w:start w:val="1"/>
    </w:lvl>
  </w:abstractNum>
  <w:abstractNum w:abstractNumId="10">
    <w:nsid w:val="5D888A08"/>
    <w:multiLevelType w:val="hybridMultilevel"/>
    <w:lvl w:ilvl="0">
      <w:lvlJc w:val="left"/>
      <w:lvlText w:val="**"/>
      <w:numFmt w:val="bullet"/>
      <w:start w:val="1"/>
    </w:lvl>
  </w:abstractNum>
  <w:abstractNum w:abstractNumId="11">
    <w:nsid w:val="2A082C70"/>
    <w:multiLevelType w:val="hybridMultilevel"/>
    <w:lvl w:ilvl="0">
      <w:lvlJc w:val="left"/>
      <w:lvlText w:val="(%1)"/>
      <w:numFmt w:val="decimal"/>
      <w:start w:val="1"/>
    </w:lvl>
  </w:abstractNum>
  <w:abstractNum w:abstractNumId="12">
    <w:nsid w:val="5EC6AFD4"/>
    <w:multiLevelType w:val="hybridMultilevel"/>
    <w:lvl w:ilvl="0">
      <w:lvlJc w:val="left"/>
      <w:lvlText w:val="(%1)"/>
      <w:numFmt w:val="decimal"/>
      <w:start w:val="1"/>
    </w:lvl>
  </w:abstractNum>
  <w:abstractNum w:abstractNumId="13">
    <w:nsid w:val="19E21BB2"/>
    <w:multiLevelType w:val="hybridMultilevel"/>
    <w:lvl w:ilvl="0">
      <w:lvlJc w:val="left"/>
      <w:lvlText w:val="•"/>
      <w:numFmt w:val="bullet"/>
      <w:start w:val="1"/>
    </w:lvl>
  </w:abstractNum>
  <w:abstractNum w:abstractNumId="14">
    <w:nsid w:val="75E0858A"/>
    <w:multiLevelType w:val="hybridMultilevel"/>
    <w:lvl w:ilvl="0">
      <w:lvlJc w:val="left"/>
      <w:lvlText w:val="•"/>
      <w:numFmt w:val="bullet"/>
      <w:start w:val="1"/>
    </w:lvl>
  </w:abstractNum>
  <w:abstractNum w:abstractNumId="15">
    <w:nsid w:val="57A61A29"/>
    <w:multiLevelType w:val="hybridMultilevel"/>
    <w:lvl w:ilvl="0">
      <w:lvlJc w:val="left"/>
      <w:lvlText w:val="•"/>
      <w:numFmt w:val="bullet"/>
      <w:start w:val="1"/>
    </w:lvl>
  </w:abstractNum>
  <w:abstractNum w:abstractNumId="16">
    <w:nsid w:val="5399C654"/>
    <w:multiLevelType w:val="hybridMultilevel"/>
    <w:lvl w:ilvl="0">
      <w:lvlJc w:val="left"/>
      <w:lvlText w:val="•"/>
      <w:numFmt w:val="bullet"/>
      <w:start w:val="1"/>
    </w:lvl>
  </w:abstractNum>
  <w:abstractNum w:abstractNumId="17">
    <w:nsid w:val="20EE1348"/>
    <w:multiLevelType w:val="hybridMultilevel"/>
    <w:lvl w:ilvl="0">
      <w:lvlJc w:val="left"/>
      <w:lvlText w:val="(%1)"/>
      <w:numFmt w:val="decimal"/>
      <w:start w:val="1"/>
    </w:lvl>
  </w:abstractNum>
  <w:abstractNum w:abstractNumId="18">
    <w:nsid w:val="4427069A"/>
    <w:multiLevelType w:val="hybridMultilevel"/>
    <w:lvl w:ilvl="0">
      <w:lvlJc w:val="left"/>
      <w:lvlText w:val="•"/>
      <w:numFmt w:val="bullet"/>
      <w:start w:val="1"/>
    </w:lvl>
  </w:abstractNum>
  <w:abstractNum w:abstractNumId="19">
    <w:nsid w:val="B37E80A"/>
    <w:multiLevelType w:val="hybridMultilevel"/>
    <w:lvl w:ilvl="0">
      <w:lvlJc w:val="left"/>
      <w:lvlText w:val="•"/>
      <w:numFmt w:val="bullet"/>
      <w:start w:val="1"/>
    </w:lvl>
  </w:abstractNum>
  <w:abstractNum w:abstractNumId="20">
    <w:nsid w:val="2157F6BC"/>
    <w:multiLevelType w:val="hybridMultilevel"/>
    <w:lvl w:ilvl="0">
      <w:lvlJc w:val="left"/>
      <w:lvlText w:val="(%1)"/>
      <w:numFmt w:val="decimal"/>
      <w:start w:val="1"/>
    </w:lvl>
  </w:abstractNum>
  <w:abstractNum w:abstractNumId="21">
    <w:nsid w:val="704E1DD5"/>
    <w:multiLevelType w:val="hybridMultilevel"/>
    <w:lvl w:ilvl="0">
      <w:lvlJc w:val="left"/>
      <w:lvlText w:val="•"/>
      <w:numFmt w:val="bullet"/>
      <w:start w:val="1"/>
    </w:lvl>
  </w:abstractNum>
  <w:abstractNum w:abstractNumId="22">
    <w:nsid w:val="57D2F10E"/>
    <w:multiLevelType w:val="hybridMultilevel"/>
    <w:lvl w:ilvl="0">
      <w:lvlJc w:val="left"/>
      <w:lvlText w:val="(%1)"/>
      <w:numFmt w:val="decimal"/>
      <w:start w:val="1"/>
    </w:lvl>
  </w:abstractNum>
  <w:abstractNum w:abstractNumId="23">
    <w:nsid w:val="BFFAE18"/>
    <w:multiLevelType w:val="hybridMultilevel"/>
    <w:lvl w:ilvl="0">
      <w:lvlJc w:val="left"/>
      <w:lvlText w:val="•"/>
      <w:numFmt w:val="bullet"/>
      <w:start w:val="1"/>
    </w:lvl>
    <w:lvl w:ilvl="1">
      <w:lvlJc w:val="left"/>
      <w:lvlText w:val="•"/>
      <w:numFmt w:val="bullet"/>
      <w:start w:val="1"/>
    </w:lvl>
  </w:abstractNum>
  <w:abstractNum w:abstractNumId="24">
    <w:nsid w:val="E3E47A8"/>
    <w:multiLevelType w:val="hybridMultilevel"/>
    <w:lvl w:ilvl="0">
      <w:lvlJc w:val="left"/>
      <w:lvlText w:val="•"/>
      <w:numFmt w:val="bullet"/>
      <w:start w:val="1"/>
    </w:lvl>
  </w:abstractNum>
  <w:abstractNum w:abstractNumId="25">
    <w:nsid w:val="2E48F044"/>
    <w:multiLevelType w:val="hybridMultilevel"/>
    <w:lvl w:ilvl="0">
      <w:lvlJc w:val="left"/>
      <w:lvlText w:val="•"/>
      <w:numFmt w:val="bullet"/>
      <w:start w:val="1"/>
    </w:lvl>
  </w:abstractNum>
  <w:abstractNum w:abstractNumId="26">
    <w:nsid w:val="49D0FEAC"/>
    <w:multiLevelType w:val="hybridMultilevel"/>
    <w:lvl w:ilvl="0">
      <w:lvlJc w:val="left"/>
      <w:lvlText w:val="•"/>
      <w:numFmt w:val="bullet"/>
      <w:start w:val="1"/>
    </w:lvl>
  </w:abstractNum>
  <w:abstractNum w:abstractNumId="27">
    <w:nsid w:val="4BEE5A5B"/>
    <w:multiLevelType w:val="hybridMultilevel"/>
    <w:lvl w:ilvl="0">
      <w:lvlJc w:val="left"/>
      <w:lvlText w:val="•"/>
      <w:numFmt w:val="bullet"/>
      <w:start w:val="1"/>
    </w:lvl>
  </w:abstractNum>
  <w:abstractNum w:abstractNumId="28">
    <w:nsid w:val="5551B9F3"/>
    <w:multiLevelType w:val="hybridMultilevel"/>
    <w:lvl w:ilvl="0">
      <w:lvlJc w:val="left"/>
      <w:lvlText w:val="•"/>
      <w:numFmt w:val="bullet"/>
      <w:start w:val="1"/>
    </w:lvl>
  </w:abstractNum>
  <w:abstractNum w:abstractNumId="29">
    <w:nsid w:val="24F6AB8E"/>
    <w:multiLevelType w:val="hybridMultilevel"/>
    <w:lvl w:ilvl="0">
      <w:lvlJc w:val="left"/>
      <w:lvlText w:val="(%1)"/>
      <w:numFmt w:val="decimal"/>
      <w:start w:val="1"/>
    </w:lvl>
  </w:abstractNum>
  <w:abstractNum w:abstractNumId="30">
    <w:nsid w:val="634C574C"/>
    <w:multiLevelType w:val="hybridMultilevel"/>
    <w:lvl w:ilvl="0">
      <w:lvlJc w:val="left"/>
      <w:lvlText w:val="•"/>
      <w:numFmt w:val="bullet"/>
      <w:start w:val="1"/>
    </w:lvl>
  </w:abstractNum>
  <w:abstractNum w:abstractNumId="31">
    <w:nsid w:val="24E99DD7"/>
    <w:multiLevelType w:val="hybridMultilevel"/>
    <w:lvl w:ilvl="0">
      <w:lvlJc w:val="left"/>
      <w:lvlText w:val="*"/>
      <w:numFmt w:val="bullet"/>
      <w:start w:val="1"/>
    </w:lvl>
  </w:abstractNum>
  <w:abstractNum w:abstractNumId="32">
    <w:nsid w:val="2A31B62D"/>
    <w:multiLevelType w:val="hybridMultilevel"/>
    <w:lvl w:ilvl="0">
      <w:lvlJc w:val="left"/>
      <w:lvlText w:val="(%1)"/>
      <w:numFmt w:val="decimal"/>
      <w:start w:val="1"/>
    </w:lvl>
  </w:abstractNum>
  <w:abstractNum w:abstractNumId="33">
    <w:nsid w:val="1849C29B"/>
    <w:multiLevelType w:val="hybridMultilevel"/>
    <w:lvl w:ilvl="0">
      <w:lvlJc w:val="left"/>
      <w:lvlText w:val="(%1)"/>
      <w:numFmt w:val="decimal"/>
      <w:start w:val="1"/>
    </w:lvl>
  </w:abstractNum>
  <w:abstractNum w:abstractNumId="34">
    <w:nsid w:val="7DFF9D09"/>
    <w:multiLevelType w:val="hybridMultilevel"/>
    <w:lvl w:ilvl="0">
      <w:lvlJc w:val="left"/>
      <w:lvlText w:val="(%1)"/>
      <w:numFmt w:val="decimal"/>
      <w:start w:val="1"/>
    </w:lvl>
  </w:abstractNum>
  <w:abstractNum w:abstractNumId="35">
    <w:nsid w:val="754342"/>
    <w:multiLevelType w:val="hybridMultilevel"/>
    <w:lvl w:ilvl="0">
      <w:lvlJc w:val="left"/>
      <w:lvlText w:val="(%1)"/>
      <w:numFmt w:val="decimal"/>
      <w:start w:val="4"/>
    </w:lvl>
  </w:abstractNum>
  <w:abstractNum w:abstractNumId="36">
    <w:nsid w:val="69E7F3E5"/>
    <w:multiLevelType w:val="hybridMultilevel"/>
    <w:lvl w:ilvl="0">
      <w:lvlJc w:val="left"/>
      <w:lvlText w:val="(%1)"/>
      <w:numFmt w:val="lowerLetter"/>
      <w:start w:val="1"/>
    </w:lvl>
  </w:abstractNum>
  <w:abstractNum w:abstractNumId="37">
    <w:nsid w:val="2A6DE806"/>
    <w:multiLevelType w:val="hybridMultilevel"/>
    <w:lvl w:ilvl="0">
      <w:lvlJc w:val="left"/>
      <w:lvlText w:val="(%1)"/>
      <w:numFmt w:val="decimal"/>
      <w:start w:val="1"/>
    </w:lvl>
  </w:abstractNum>
  <w:abstractNum w:abstractNumId="38">
    <w:nsid w:val="1816F8C4"/>
    <w:multiLevelType w:val="hybridMultilevel"/>
    <w:lvl w:ilvl="0">
      <w:lvlJc w:val="left"/>
      <w:lvlText w:val="•"/>
      <w:numFmt w:val="bullet"/>
      <w:start w:val="1"/>
    </w:lvl>
  </w:abstractNum>
  <w:abstractNum w:abstractNumId="39">
    <w:nsid w:val="37DF2233"/>
    <w:multiLevelType w:val="hybridMultilevel"/>
    <w:lvl w:ilvl="0">
      <w:lvlJc w:val="left"/>
      <w:lvlText w:val="•"/>
      <w:numFmt w:val="bullet"/>
      <w:start w:val="1"/>
    </w:lvl>
  </w:abstractNum>
  <w:abstractNum w:abstractNumId="40">
    <w:nsid w:val="7AB49DAF"/>
    <w:multiLevelType w:val="hybridMultilevel"/>
    <w:lvl w:ilvl="0">
      <w:lvlJc w:val="left"/>
      <w:lvlText w:val="•"/>
      <w:numFmt w:val="bullet"/>
      <w:start w:val="1"/>
    </w:lvl>
  </w:abstractNum>
  <w:abstractNum w:abstractNumId="41">
    <w:nsid w:val="759F82CD"/>
    <w:multiLevelType w:val="hybridMultilevel"/>
    <w:lvl w:ilvl="0">
      <w:lvlJc w:val="left"/>
      <w:lvlText w:val="•"/>
      <w:numFmt w:val="bullet"/>
      <w:start w:val="1"/>
    </w:lvl>
  </w:abstractNum>
  <w:abstractNum w:abstractNumId="42">
    <w:nsid w:val="61E74EA3"/>
    <w:multiLevelType w:val="hybridMultilevel"/>
    <w:lvl w:ilvl="0">
      <w:lvlJc w:val="left"/>
      <w:lvlText w:val="(%1)"/>
      <w:numFmt w:val="lowerRoman"/>
      <w:start w:val="1"/>
    </w:lvl>
  </w:abstractNum>
  <w:abstractNum w:abstractNumId="43">
    <w:nsid w:val="597B4D84"/>
    <w:multiLevelType w:val="hybridMultilevel"/>
    <w:lvl w:ilvl="0">
      <w:lvlJc w:val="left"/>
      <w:lvlText w:val="(%1)"/>
      <w:numFmt w:val="lowerRoman"/>
      <w:start w:val="2"/>
    </w:lvl>
  </w:abstractNum>
  <w:abstractNum w:abstractNumId="44">
    <w:nsid w:val="F819E7F"/>
    <w:multiLevelType w:val="hybridMultilevel"/>
    <w:lvl w:ilvl="0">
      <w:lvlJc w:val="left"/>
      <w:lvlText w:val="•"/>
      <w:numFmt w:val="bullet"/>
      <w:start w:val="1"/>
    </w:lvl>
  </w:abstractNum>
  <w:abstractNum w:abstractNumId="45">
    <w:nsid w:val="57C7D42D"/>
    <w:multiLevelType w:val="hybridMultilevel"/>
    <w:lvl w:ilvl="0">
      <w:lvlJc w:val="left"/>
      <w:lvlText w:val="(%1)"/>
      <w:numFmt w:val="decimal"/>
      <w:start w:val="1"/>
    </w:lvl>
  </w:abstractNum>
  <w:abstractNum w:abstractNumId="46">
    <w:nsid w:val="312167AD"/>
    <w:multiLevelType w:val="hybridMultilevel"/>
    <w:lvl w:ilvl="0">
      <w:lvlJc w:val="left"/>
      <w:lvlText w:val="(%1)"/>
      <w:numFmt w:val="decimal"/>
      <w:start w:val="1"/>
    </w:lvl>
  </w:abstractNum>
  <w:abstractNum w:abstractNumId="47">
    <w:nsid w:val="631B64D4"/>
    <w:multiLevelType w:val="hybridMultilevel"/>
    <w:lvl w:ilvl="0">
      <w:lvlJc w:val="left"/>
      <w:lvlText w:val="(%1)"/>
      <w:numFmt w:val="decimal"/>
      <w:start w:val="1"/>
    </w:lvl>
  </w:abstractNum>
  <w:abstractNum w:abstractNumId="48">
    <w:nsid w:val="78B5E776"/>
    <w:multiLevelType w:val="hybridMultilevel"/>
    <w:lvl w:ilvl="0">
      <w:lvlJc w:val="left"/>
      <w:lvlText w:val="•"/>
      <w:numFmt w:val="bullet"/>
      <w:start w:val="1"/>
    </w:lvl>
    <w:lvl w:ilvl="1">
      <w:lvlJc w:val="left"/>
      <w:lvlText w:val="•"/>
      <w:numFmt w:val="bullet"/>
      <w:start w:val="1"/>
    </w:lvl>
  </w:abstractNum>
  <w:abstractNum w:abstractNumId="49">
    <w:nsid w:val="75486E47"/>
    <w:multiLevelType w:val="hybridMultilevel"/>
    <w:lvl w:ilvl="0">
      <w:lvlJc w:val="left"/>
      <w:lvlText w:val="•"/>
      <w:numFmt w:val="bullet"/>
      <w:start w:val="1"/>
    </w:lvl>
  </w:abstractNum>
  <w:abstractNum w:abstractNumId="50">
    <w:nsid w:val="6E534CDE"/>
    <w:multiLevelType w:val="hybridMultilevel"/>
    <w:lvl w:ilvl="0">
      <w:lvlJc w:val="left"/>
      <w:lvlText w:val="•"/>
      <w:numFmt w:val="bullet"/>
      <w:start w:val="1"/>
    </w:lvl>
  </w:abstractNum>
  <w:abstractNum w:abstractNumId="51">
    <w:nsid w:val="1A0DDE32"/>
    <w:multiLevelType w:val="hybridMultilevel"/>
    <w:lvl w:ilvl="0">
      <w:lvlJc w:val="left"/>
      <w:lvlText w:val="(%1)"/>
      <w:numFmt w:val="decimal"/>
      <w:start w:val="1"/>
    </w:lvl>
  </w:abstractNum>
  <w:abstractNum w:abstractNumId="52">
    <w:nsid w:val="65968C1C"/>
    <w:multiLevelType w:val="hybridMultilevel"/>
    <w:lvl w:ilvl="0">
      <w:lvlJc w:val="left"/>
      <w:lvlText w:val="(%1)"/>
      <w:numFmt w:val="decimal"/>
      <w:start w:val="1"/>
    </w:lvl>
  </w:abstractNum>
  <w:abstractNum w:abstractNumId="53">
    <w:nsid w:val="46263DEC"/>
    <w:multiLevelType w:val="hybridMultilevel"/>
    <w:lvl w:ilvl="0">
      <w:lvlJc w:val="left"/>
      <w:lvlText w:val="(%1)"/>
      <w:numFmt w:val="decimal"/>
      <w:start w:val="1"/>
    </w:lvl>
  </w:abstractNum>
  <w:abstractNum w:abstractNumId="54">
    <w:nsid w:val="260D8C4A"/>
    <w:multiLevelType w:val="hybridMultilevel"/>
    <w:lvl w:ilvl="0">
      <w:lvlJc w:val="left"/>
      <w:lvlText w:val="(%1)"/>
      <w:numFmt w:val="decimal"/>
      <w:start w:val="1"/>
    </w:lvl>
  </w:abstractNum>
  <w:abstractNum w:abstractNumId="55">
    <w:nsid w:val="73D4D3C4"/>
    <w:multiLevelType w:val="hybridMultilevel"/>
    <w:lvl w:ilvl="0">
      <w:lvlJc w:val="left"/>
      <w:lvlText w:val="(%1)"/>
      <w:numFmt w:val="decimal"/>
      <w:start w:val="1"/>
    </w:lvl>
  </w:abstractNum>
  <w:abstractNum w:abstractNumId="56">
    <w:nsid w:val="746F2E30"/>
    <w:multiLevelType w:val="hybridMultilevel"/>
    <w:lvl w:ilvl="0">
      <w:lvlJc w:val="left"/>
      <w:lvlText w:val="(%1)"/>
      <w:numFmt w:val="decimal"/>
      <w:start w:val="1"/>
    </w:lvl>
  </w:abstractNum>
  <w:abstractNum w:abstractNumId="57">
    <w:nsid w:val="6FDE8AF6"/>
    <w:multiLevelType w:val="hybridMultilevel"/>
    <w:lvl w:ilvl="0">
      <w:lvlJc w:val="left"/>
      <w:lvlText w:val="(%1)"/>
      <w:numFmt w:val="lowerRoman"/>
      <w:start w:val="3"/>
    </w:lvl>
  </w:abstractNum>
  <w:abstractNum w:abstractNumId="58">
    <w:nsid w:val="3FC32E20"/>
    <w:multiLevelType w:val="hybridMultilevel"/>
    <w:lvl w:ilvl="0">
      <w:lvlJc w:val="left"/>
      <w:lvlText w:val="•"/>
      <w:numFmt w:val="bullet"/>
      <w:start w:val="1"/>
    </w:lvl>
  </w:abstractNum>
  <w:abstractNum w:abstractNumId="59">
    <w:nsid w:val="49C0E823"/>
    <w:multiLevelType w:val="hybridMultilevel"/>
    <w:lvl w:ilvl="0">
      <w:lvlJc w:val="left"/>
      <w:lvlText w:val="•"/>
      <w:numFmt w:val="bullet"/>
      <w:start w:val="1"/>
    </w:lvl>
    <w:lvl w:ilvl="1">
      <w:lvlJc w:val="left"/>
      <w:lvlText w:val="•"/>
      <w:numFmt w:val="bullet"/>
      <w:start w:val="1"/>
    </w:lvl>
  </w:abstractNum>
  <w:abstractNum w:abstractNumId="60">
    <w:nsid w:val="14D53685"/>
    <w:multiLevelType w:val="hybridMultilevel"/>
    <w:lvl w:ilvl="0">
      <w:lvlJc w:val="left"/>
      <w:lvlText w:val="•"/>
      <w:numFmt w:val="bullet"/>
      <w:start w:val="1"/>
    </w:lvl>
  </w:abstractNum>
  <w:abstractNum w:abstractNumId="61">
    <w:nsid w:val="230F856C"/>
    <w:multiLevelType w:val="hybridMultilevel"/>
    <w:lvl w:ilvl="0">
      <w:lvlJc w:val="left"/>
      <w:lvlText w:val="•"/>
      <w:numFmt w:val="bullet"/>
      <w:start w:val="1"/>
    </w:lvl>
  </w:abstractNum>
  <w:abstractNum w:abstractNumId="62">
    <w:nsid w:val="6EAA85FB"/>
    <w:multiLevelType w:val="hybridMultilevel"/>
    <w:lvl w:ilvl="0">
      <w:lvlJc w:val="left"/>
      <w:lvlText w:val="•"/>
      <w:numFmt w:val="bullet"/>
      <w:start w:val="1"/>
    </w:lvl>
  </w:abstractNum>
  <w:abstractNum w:abstractNumId="63">
    <w:nsid w:val="3F06ECB2"/>
    <w:multiLevelType w:val="hybridMultilevel"/>
    <w:lvl w:ilvl="0">
      <w:lvlJc w:val="left"/>
      <w:lvlText w:val="•"/>
      <w:numFmt w:val="bullet"/>
      <w:start w:val="1"/>
    </w:lvl>
  </w:abstractNum>
  <w:abstractNum w:abstractNumId="64">
    <w:nsid w:val="3B594807"/>
    <w:multiLevelType w:val="hybridMultilevel"/>
    <w:lvl w:ilvl="0">
      <w:lvlJc w:val="left"/>
      <w:lvlText w:val="•"/>
      <w:numFmt w:val="bullet"/>
      <w:start w:val="1"/>
    </w:lvl>
  </w:abstractNum>
  <w:abstractNum w:abstractNumId="65">
    <w:nsid w:val="6CAA2304"/>
    <w:multiLevelType w:val="hybridMultilevel"/>
    <w:lvl w:ilvl="0">
      <w:lvlJc w:val="left"/>
      <w:lvlText w:val="•"/>
      <w:numFmt w:val="bullet"/>
      <w:start w:val="1"/>
    </w:lvl>
  </w:abstractNum>
  <w:abstractNum w:abstractNumId="66">
    <w:nsid w:val="3F7C2FF4"/>
    <w:multiLevelType w:val="hybridMultilevel"/>
    <w:lvl w:ilvl="0">
      <w:lvlJc w:val="left"/>
      <w:lvlText w:val="(%1)"/>
      <w:numFmt w:val="lowerLetter"/>
      <w:start w:val="2"/>
    </w:lvl>
  </w:abstractNum>
  <w:abstractNum w:abstractNumId="67">
    <w:nsid w:val="25413BEC"/>
    <w:multiLevelType w:val="hybridMultilevel"/>
    <w:lvl w:ilvl="0">
      <w:lvlJc w:val="left"/>
      <w:lvlText w:val="(%1)"/>
      <w:numFmt w:val="decimal"/>
      <w:start w:val="1"/>
    </w:lvl>
  </w:abstractNum>
  <w:abstractNum w:abstractNumId="68">
    <w:nsid w:val="17180B0B"/>
    <w:multiLevelType w:val="hybridMultilevel"/>
    <w:lvl w:ilvl="0">
      <w:lvlJc w:val="left"/>
      <w:lvlText w:val="(%1)"/>
      <w:numFmt w:val="decimal"/>
      <w:start w:val="7"/>
    </w:lvl>
  </w:abstractNum>
  <w:abstractNum w:abstractNumId="69">
    <w:nsid w:val="579328B9"/>
    <w:multiLevelType w:val="hybridMultilevel"/>
    <w:lvl w:ilvl="0">
      <w:lvlJc w:val="left"/>
      <w:lvlText w:val="(%1)"/>
      <w:numFmt w:val="decimal"/>
      <w:start w:val="1"/>
    </w:lvl>
  </w:abstractNum>
  <w:abstractNum w:abstractNumId="70">
    <w:nsid w:val="5D205E20"/>
    <w:multiLevelType w:val="hybridMultilevel"/>
    <w:lvl w:ilvl="0">
      <w:lvlJc w:val="left"/>
      <w:lvlText w:val="(%1)"/>
      <w:numFmt w:val="decimal"/>
      <w:start w:val="1"/>
    </w:lvl>
  </w:abstractNum>
  <w:abstractNum w:abstractNumId="71">
    <w:nsid w:val="11CCA8BA"/>
    <w:multiLevelType w:val="hybridMultilevel"/>
    <w:lvl w:ilvl="0">
      <w:lvlJc w:val="left"/>
      <w:lvlText w:val="(%1)"/>
      <w:numFmt w:val="decimal"/>
      <w:start w:val="1"/>
    </w:lvl>
  </w:abstractNum>
  <w:abstractNum w:abstractNumId="72">
    <w:nsid w:val="4D32AB86"/>
    <w:multiLevelType w:val="hybridMultilevel"/>
    <w:lvl w:ilvl="0">
      <w:lvlJc w:val="left"/>
      <w:lvlText w:val="•"/>
      <w:numFmt w:val="bullet"/>
      <w:start w:val="1"/>
    </w:lvl>
    <w:lvl w:ilvl="1">
      <w:lvlJc w:val="left"/>
      <w:lvlText w:val="•"/>
      <w:numFmt w:val="bullet"/>
      <w:start w:val="1"/>
    </w:lvl>
  </w:abstractNum>
  <w:abstractNum w:abstractNumId="73">
    <w:nsid w:val="3F07ACC3"/>
    <w:multiLevelType w:val="hybridMultilevel"/>
    <w:lvl w:ilvl="0">
      <w:lvlJc w:val="left"/>
      <w:lvlText w:val="•"/>
      <w:numFmt w:val="bullet"/>
      <w:start w:val="1"/>
    </w:lvl>
  </w:abstractNum>
  <w:abstractNum w:abstractNumId="74">
    <w:nsid w:val="6B47F63E"/>
    <w:multiLevelType w:val="hybridMultilevel"/>
    <w:lvl w:ilvl="0">
      <w:lvlJc w:val="left"/>
      <w:lvlText w:val="•"/>
      <w:numFmt w:val="bullet"/>
      <w:start w:val="1"/>
    </w:lvl>
  </w:abstractNum>
  <w:abstractNum w:abstractNumId="75">
    <w:nsid w:val="5CB44A05"/>
    <w:multiLevelType w:val="hybridMultilevel"/>
    <w:lvl w:ilvl="0">
      <w:lvlJc w:val="left"/>
      <w:lvlText w:val="•"/>
      <w:numFmt w:val="bullet"/>
      <w:start w:val="1"/>
    </w:lvl>
  </w:abstractNum>
  <w:abstractNum w:abstractNumId="76">
    <w:nsid w:val="16CF80F1"/>
    <w:multiLevelType w:val="hybridMultilevel"/>
    <w:lvl w:ilvl="0">
      <w:lvlJc w:val="left"/>
      <w:lvlText w:val="•"/>
      <w:numFmt w:val="bullet"/>
      <w:start w:val="1"/>
    </w:lvl>
  </w:abstractNum>
  <w:abstractNum w:abstractNumId="77">
    <w:nsid w:val="1C695DEC"/>
    <w:multiLevelType w:val="hybridMultilevel"/>
    <w:lvl w:ilvl="0">
      <w:lvlJc w:val="left"/>
      <w:lvlText w:val="•"/>
      <w:numFmt w:val="bullet"/>
      <w:start w:val="1"/>
    </w:lvl>
  </w:abstractNum>
  <w:abstractNum w:abstractNumId="78">
    <w:nsid w:val="3FCFAED9"/>
    <w:multiLevelType w:val="hybridMultilevel"/>
    <w:lvl w:ilvl="0">
      <w:lvlJc w:val="left"/>
      <w:lvlText w:val="•"/>
      <w:numFmt w:val="bullet"/>
      <w:start w:val="1"/>
    </w:lvl>
  </w:abstractNum>
  <w:abstractNum w:abstractNumId="79">
    <w:nsid w:val="F856867"/>
    <w:multiLevelType w:val="hybridMultilevel"/>
    <w:lvl w:ilvl="0">
      <w:lvlJc w:val="left"/>
      <w:lvlText w:val="•"/>
      <w:numFmt w:val="bullet"/>
      <w:start w:val="1"/>
    </w:lvl>
  </w:abstractNum>
  <w:abstractNum w:abstractNumId="80">
    <w:nsid w:val="11B1CC33"/>
    <w:multiLevelType w:val="hybridMultilevel"/>
    <w:lvl w:ilvl="0">
      <w:lvlJc w:val="left"/>
      <w:lvlText w:val="•"/>
      <w:numFmt w:val="bullet"/>
      <w:start w:val="1"/>
    </w:lvl>
  </w:abstractNum>
  <w:abstractNum w:abstractNumId="81">
    <w:nsid w:val="2E22FBB7"/>
    <w:multiLevelType w:val="hybridMultilevel"/>
    <w:lvl w:ilvl="0">
      <w:lvlJc w:val="left"/>
      <w:lvlText w:val="•"/>
      <w:numFmt w:val="bullet"/>
      <w:start w:val="1"/>
    </w:lvl>
  </w:abstractNum>
  <w:abstractNum w:abstractNumId="82">
    <w:nsid w:val="29934699"/>
    <w:multiLevelType w:val="hybridMultilevel"/>
    <w:lvl w:ilvl="0">
      <w:lvlJc w:val="left"/>
      <w:lvlText w:val="•"/>
      <w:numFmt w:val="bullet"/>
      <w:start w:val="1"/>
    </w:lvl>
  </w:abstractNum>
  <w:abstractNum w:abstractNumId="83">
    <w:nsid w:val="77485850"/>
    <w:multiLevelType w:val="hybridMultilevel"/>
    <w:lvl w:ilvl="0">
      <w:lvlJc w:val="left"/>
      <w:lvlText w:val="•"/>
      <w:numFmt w:val="bullet"/>
      <w:start w:val="1"/>
    </w:lvl>
  </w:abstractNum>
  <w:abstractNum w:abstractNumId="84">
    <w:nsid w:val="744939A3"/>
    <w:multiLevelType w:val="hybridMultilevel"/>
    <w:lvl w:ilvl="0">
      <w:lvlJc w:val="left"/>
      <w:lvlText w:val="(%1)"/>
      <w:numFmt w:val="decimal"/>
      <w:start w:val="1"/>
    </w:lvl>
  </w:abstractNum>
  <w:abstractNum w:abstractNumId="85">
    <w:nsid w:val="4FA0D2E3"/>
    <w:multiLevelType w:val="hybridMultilevel"/>
    <w:lvl w:ilvl="0">
      <w:lvlJc w:val="left"/>
      <w:lvlText w:val="*"/>
      <w:numFmt w:val="bullet"/>
      <w:start w:val="1"/>
    </w:lvl>
  </w:abstractNum>
  <w:abstractNum w:abstractNumId="86">
    <w:nsid w:val="6B1D2C14"/>
    <w:multiLevelType w:val="hybridMultilevel"/>
    <w:lvl w:ilvl="0">
      <w:lvlJc w:val="left"/>
      <w:lvlText w:val="(%1)"/>
      <w:numFmt w:val="decimal"/>
      <w:start w:val="1"/>
    </w:lvl>
  </w:abstractNum>
  <w:abstractNum w:abstractNumId="87">
    <w:nsid w:val="68B867D3"/>
    <w:multiLevelType w:val="hybridMultilevel"/>
    <w:lvl w:ilvl="0">
      <w:lvlJc w:val="left"/>
      <w:lvlText w:val="(%1)"/>
      <w:numFmt w:val="decimal"/>
      <w:start w:val="1"/>
    </w:lvl>
  </w:abstractNum>
  <w:abstractNum w:abstractNumId="88">
    <w:nsid w:val="3F7F5DD9"/>
    <w:multiLevelType w:val="hybridMultilevel"/>
    <w:lvl w:ilvl="0">
      <w:lvlJc w:val="left"/>
      <w:lvlText w:val="•"/>
      <w:numFmt w:val="bullet"/>
      <w:start w:val="1"/>
    </w:lvl>
  </w:abstractNum>
  <w:abstractNum w:abstractNumId="89">
    <w:nsid w:val="2AE05A34"/>
    <w:multiLevelType w:val="hybridMultilevel"/>
    <w:lvl w:ilvl="0">
      <w:lvlJc w:val="left"/>
      <w:lvlText w:val="•"/>
      <w:numFmt w:val="bullet"/>
      <w:start w:val="1"/>
    </w:lvl>
  </w:abstractNum>
  <w:abstractNum w:abstractNumId="90">
    <w:nsid w:val="32794FF7"/>
    <w:multiLevelType w:val="hybridMultilevel"/>
    <w:lvl w:ilvl="0">
      <w:lvlJc w:val="left"/>
      <w:lvlText w:val="•"/>
      <w:numFmt w:val="bullet"/>
      <w:start w:val="1"/>
    </w:lvl>
  </w:abstractNum>
  <w:abstractNum w:abstractNumId="91">
    <w:nsid w:val="5454945E"/>
    <w:multiLevelType w:val="hybridMultilevel"/>
    <w:lvl w:ilvl="0">
      <w:lvlJc w:val="left"/>
      <w:lvlText w:val="•"/>
      <w:numFmt w:val="bullet"/>
      <w:start w:val="1"/>
    </w:lvl>
  </w:abstractNum>
  <w:abstractNum w:abstractNumId="92">
    <w:nsid w:val="4DEFDFA0"/>
    <w:multiLevelType w:val="hybridMultilevel"/>
    <w:lvl w:ilvl="0">
      <w:lvlJc w:val="left"/>
      <w:lvlText w:val="(%1)"/>
      <w:numFmt w:val="decimal"/>
      <w:start w:val="1"/>
    </w:lvl>
  </w:abstractNum>
  <w:abstractNum w:abstractNumId="93">
    <w:nsid w:val="2123D5F2"/>
    <w:multiLevelType w:val="hybridMultilevel"/>
    <w:lvl w:ilvl="0">
      <w:lvlJc w:val="left"/>
      <w:lvlText w:val="•"/>
      <w:numFmt w:val="bullet"/>
      <w:start w:val="1"/>
    </w:lvl>
  </w:abstractNum>
  <w:abstractNum w:abstractNumId="94">
    <w:nsid w:val="135B8110"/>
    <w:multiLevelType w:val="hybridMultilevel"/>
    <w:lvl w:ilvl="0">
      <w:lvlJc w:val="left"/>
      <w:lvlText w:val="•"/>
      <w:numFmt w:val="bullet"/>
      <w:start w:val="1"/>
    </w:lvl>
  </w:abstractNum>
  <w:abstractNum w:abstractNumId="95">
    <w:nsid w:val="94927A8"/>
    <w:multiLevelType w:val="hybridMultilevel"/>
    <w:lvl w:ilvl="0">
      <w:lvlJc w:val="left"/>
      <w:lvlText w:val="•"/>
      <w:numFmt w:val="bullet"/>
      <w:start w:val="1"/>
    </w:lvl>
  </w:abstractNum>
  <w:abstractNum w:abstractNumId="96">
    <w:nsid w:val="DCDF8F6"/>
    <w:multiLevelType w:val="hybridMultilevel"/>
    <w:lvl w:ilvl="0">
      <w:lvlJc w:val="left"/>
      <w:lvlText w:val="•"/>
      <w:numFmt w:val="bullet"/>
      <w:start w:val="1"/>
    </w:lvl>
  </w:abstractNum>
  <w:abstractNum w:abstractNumId="97">
    <w:nsid w:val="52D7B105"/>
    <w:multiLevelType w:val="hybridMultilevel"/>
    <w:lvl w:ilvl="0">
      <w:lvlJc w:val="left"/>
      <w:lvlText w:val="(%1)"/>
      <w:numFmt w:val="decimal"/>
      <w:start w:val="1"/>
    </w:lvl>
  </w:abstractNum>
  <w:abstractNum w:abstractNumId="98">
    <w:nsid w:val="2E8A6394"/>
    <w:multiLevelType w:val="hybridMultilevel"/>
    <w:lvl w:ilvl="0">
      <w:lvlJc w:val="left"/>
      <w:lvlText w:val="•"/>
      <w:numFmt w:val="bullet"/>
      <w:start w:val="1"/>
    </w:lvl>
    <w:lvl w:ilvl="1">
      <w:lvlJc w:val="left"/>
      <w:lvlText w:val="•"/>
      <w:numFmt w:val="bullet"/>
      <w:start w:val="1"/>
    </w:lvl>
  </w:abstractNum>
  <w:abstractNum w:abstractNumId="99">
    <w:nsid w:val="24E60401"/>
    <w:multiLevelType w:val="hybridMultilevel"/>
    <w:lvl w:ilvl="0">
      <w:lvlJc w:val="left"/>
      <w:lvlText w:val="•"/>
      <w:numFmt w:val="bullet"/>
      <w:start w:val="1"/>
    </w:lvl>
  </w:abstractNum>
  <w:abstractNum w:abstractNumId="100">
    <w:nsid w:val="2A6AD9BE"/>
    <w:multiLevelType w:val="hybridMultilevel"/>
    <w:lvl w:ilvl="0">
      <w:lvlJc w:val="left"/>
      <w:lvlText w:val="•"/>
      <w:numFmt w:val="bullet"/>
      <w:start w:val="1"/>
    </w:lvl>
  </w:abstractNum>
  <w:abstractNum w:abstractNumId="101">
    <w:nsid w:val="BAAC1B4"/>
    <w:multiLevelType w:val="hybridMultilevel"/>
    <w:lvl w:ilvl="0">
      <w:lvlJc w:val="left"/>
      <w:lvlText w:val="•"/>
      <w:numFmt w:val="bullet"/>
      <w:start w:val="1"/>
    </w:lvl>
  </w:abstractNum>
  <w:abstractNum w:abstractNumId="102">
    <w:nsid w:val="36B2ACBC"/>
    <w:multiLevelType w:val="hybridMultilevel"/>
    <w:lvl w:ilvl="0">
      <w:lvlJc w:val="left"/>
      <w:lvlText w:val="(%1)"/>
      <w:numFmt w:val="decimal"/>
      <w:start w:val="1"/>
    </w:lvl>
  </w:abstractNum>
  <w:abstractNum w:abstractNumId="103">
    <w:nsid w:val="779D8544"/>
    <w:multiLevelType w:val="hybridMultilevel"/>
    <w:lvl w:ilvl="0">
      <w:lvlJc w:val="left"/>
      <w:lvlText w:val="(%1)"/>
      <w:numFmt w:val="decimal"/>
      <w:start w:val="1"/>
    </w:lvl>
  </w:abstractNum>
  <w:abstractNum w:abstractNumId="104">
    <w:nsid w:val="4AB26E78"/>
    <w:multiLevelType w:val="hybridMultilevel"/>
    <w:lvl w:ilvl="0">
      <w:lvlJc w:val="left"/>
      <w:lvlText w:val="•"/>
      <w:numFmt w:val="bullet"/>
      <w:start w:val="1"/>
    </w:lvl>
  </w:abstractNum>
  <w:abstractNum w:abstractNumId="105">
    <w:nsid w:val="21FAA2FA"/>
    <w:multiLevelType w:val="hybridMultilevel"/>
    <w:lvl w:ilvl="0">
      <w:lvlJc w:val="left"/>
      <w:lvlText w:val="•"/>
      <w:numFmt w:val="bullet"/>
      <w:start w:val="1"/>
    </w:lvl>
  </w:abstractNum>
  <w:abstractNum w:abstractNumId="106">
    <w:nsid w:val="5451CF49"/>
    <w:multiLevelType w:val="hybridMultilevel"/>
    <w:lvl w:ilvl="0">
      <w:lvlJc w:val="left"/>
      <w:lvlText w:val="•"/>
      <w:numFmt w:val="bullet"/>
      <w:start w:val="1"/>
    </w:lvl>
  </w:abstractNum>
  <w:abstractNum w:abstractNumId="107">
    <w:nsid w:val="6181EF69"/>
    <w:multiLevelType w:val="hybridMultilevel"/>
    <w:lvl w:ilvl="0">
      <w:lvlJc w:val="left"/>
      <w:lvlText w:val="•"/>
      <w:numFmt w:val="bullet"/>
      <w:start w:val="1"/>
    </w:lvl>
  </w:abstractNum>
  <w:abstractNum w:abstractNumId="108">
    <w:nsid w:val="3E6400E6"/>
    <w:multiLevelType w:val="hybridMultilevel"/>
    <w:lvl w:ilvl="0">
      <w:lvlJc w:val="left"/>
      <w:lvlText w:val="•"/>
      <w:numFmt w:val="bullet"/>
      <w:start w:val="1"/>
    </w:lvl>
  </w:abstractNum>
  <w:abstractNum w:abstractNumId="109">
    <w:nsid w:val="14217E23"/>
    <w:multiLevelType w:val="hybridMultilevel"/>
    <w:lvl w:ilvl="0">
      <w:lvlJc w:val="left"/>
      <w:lvlText w:val="•"/>
      <w:numFmt w:val="bullet"/>
      <w:start w:val="1"/>
    </w:lvl>
  </w:abstractNum>
  <w:abstractNum w:abstractNumId="110">
    <w:nsid w:val="710757D0"/>
    <w:multiLevelType w:val="hybridMultilevel"/>
    <w:lvl w:ilvl="0">
      <w:lvlJc w:val="left"/>
      <w:lvlText w:val="•"/>
      <w:numFmt w:val="bullet"/>
      <w:start w:val="1"/>
    </w:lvl>
  </w:abstractNum>
  <w:abstractNum w:abstractNumId="111">
    <w:nsid w:val="5015CD1A"/>
    <w:multiLevelType w:val="hybridMultilevel"/>
    <w:lvl w:ilvl="0">
      <w:lvlJc w:val="left"/>
      <w:lvlText w:val="(%1)"/>
      <w:numFmt w:val="decimal"/>
      <w:start w:val="1"/>
    </w:lvl>
  </w:abstractNum>
  <w:abstractNum w:abstractNumId="112">
    <w:nsid w:val="424479DA"/>
    <w:multiLevelType w:val="hybridMultilevel"/>
    <w:lvl w:ilvl="0">
      <w:lvlJc w:val="left"/>
      <w:lvlText w:val="•"/>
      <w:numFmt w:val="bullet"/>
      <w:start w:val="1"/>
    </w:lvl>
    <w:lvl w:ilvl="1">
      <w:lvlJc w:val="left"/>
      <w:lvlText w:val="•"/>
      <w:numFmt w:val="bullet"/>
      <w:start w:val="1"/>
    </w:lvl>
  </w:abstractNum>
  <w:abstractNum w:abstractNumId="113">
    <w:nsid w:val="1A9A9E69"/>
    <w:multiLevelType w:val="hybridMultilevel"/>
    <w:lvl w:ilvl="0">
      <w:lvlJc w:val="left"/>
      <w:lvlText w:val="•"/>
      <w:numFmt w:val="bullet"/>
      <w:start w:val="1"/>
    </w:lvl>
  </w:abstractNum>
  <w:abstractNum w:abstractNumId="114">
    <w:nsid w:val="475E256A"/>
    <w:multiLevelType w:val="hybridMultilevel"/>
    <w:lvl w:ilvl="0">
      <w:lvlJc w:val="left"/>
      <w:lvlText w:val="•"/>
      <w:numFmt w:val="bullet"/>
      <w:start w:val="1"/>
    </w:lvl>
  </w:abstractNum>
  <w:abstractNum w:abstractNumId="115">
    <w:nsid w:val="368DB37E"/>
    <w:multiLevelType w:val="hybridMultilevel"/>
    <w:lvl w:ilvl="0">
      <w:lvlJc w:val="left"/>
      <w:lvlText w:val="•"/>
      <w:numFmt w:val="bullet"/>
      <w:start w:val="1"/>
    </w:lvl>
  </w:abstractNum>
  <w:abstractNum w:abstractNumId="116">
    <w:nsid w:val="6A3B714C"/>
    <w:multiLevelType w:val="hybridMultilevel"/>
    <w:lvl w:ilvl="0">
      <w:lvlJc w:val="left"/>
      <w:lvlText w:val="•"/>
      <w:numFmt w:val="bullet"/>
      <w:start w:val="1"/>
    </w:lvl>
  </w:abstractNum>
  <w:abstractNum w:abstractNumId="117">
    <w:nsid w:val="327B517E"/>
    <w:multiLevelType w:val="hybridMultilevel"/>
    <w:lvl w:ilvl="0">
      <w:lvlJc w:val="left"/>
      <w:lvlText w:val="•"/>
      <w:numFmt w:val="bullet"/>
      <w:start w:val="1"/>
    </w:lvl>
  </w:abstractNum>
  <w:abstractNum w:abstractNumId="118">
    <w:nsid w:val="1F461B51"/>
    <w:multiLevelType w:val="hybridMultilevel"/>
    <w:lvl w:ilvl="0">
      <w:lvlJc w:val="left"/>
      <w:lvlText w:val="•"/>
      <w:numFmt w:val="bullet"/>
      <w:start w:val="1"/>
    </w:lvl>
  </w:abstractNum>
  <w:abstractNum w:abstractNumId="119">
    <w:nsid w:val="29BACF25"/>
    <w:multiLevelType w:val="hybridMultilevel"/>
    <w:lvl w:ilvl="0">
      <w:lvlJc w:val="left"/>
      <w:lvlText w:val="•"/>
      <w:numFmt w:val="bullet"/>
      <w:start w:val="1"/>
    </w:lvl>
  </w:abstractNum>
  <w:abstractNum w:abstractNumId="120">
    <w:nsid w:val="5D5BABB3"/>
    <w:multiLevelType w:val="hybridMultilevel"/>
    <w:lvl w:ilvl="0">
      <w:lvlJc w:val="left"/>
      <w:lvlText w:val="•"/>
      <w:numFmt w:val="bullet"/>
      <w:start w:val="1"/>
    </w:lvl>
  </w:abstractNum>
  <w:abstractNum w:abstractNumId="121">
    <w:nsid w:val="51BF6B48"/>
    <w:multiLevelType w:val="hybridMultilevel"/>
    <w:lvl w:ilvl="0">
      <w:lvlJc w:val="left"/>
      <w:lvlText w:val="•"/>
      <w:numFmt w:val="bullet"/>
      <w:start w:val="1"/>
    </w:lvl>
    <w:lvl w:ilvl="1">
      <w:lvlJc w:val="left"/>
      <w:lvlText w:val="¡"/>
      <w:numFmt w:val="bullet"/>
      <w:start w:val="1"/>
    </w:lvl>
  </w:abstractNum>
  <w:abstractNum w:abstractNumId="122">
    <w:nsid w:val="7E0F6384"/>
    <w:multiLevelType w:val="hybridMultilevel"/>
    <w:lvl w:ilvl="0">
      <w:lvlJc w:val="left"/>
      <w:lvlText w:val="•"/>
      <w:numFmt w:val="bullet"/>
      <w:start w:val="1"/>
    </w:lvl>
    <w:lvl w:ilvl="1">
      <w:lvlJc w:val="left"/>
      <w:lvlText w:val="¡"/>
      <w:numFmt w:val="bullet"/>
      <w:start w:val="1"/>
    </w:lvl>
  </w:abstractNum>
  <w:abstractNum w:abstractNumId="123">
    <w:nsid w:val="2B4B8B53"/>
    <w:multiLevelType w:val="hybridMultilevel"/>
    <w:lvl w:ilvl="0">
      <w:lvlJc w:val="left"/>
      <w:lvlText w:val="•"/>
      <w:numFmt w:val="bullet"/>
      <w:start w:val="1"/>
    </w:lvl>
  </w:abstractNum>
  <w:abstractNum w:abstractNumId="124">
    <w:nsid w:val="72E3413A"/>
    <w:multiLevelType w:val="hybridMultilevel"/>
    <w:lvl w:ilvl="0">
      <w:lvlJc w:val="left"/>
      <w:lvlText w:val="(%1)"/>
      <w:numFmt w:val="decimal"/>
      <w:start w:val="1"/>
    </w:lvl>
  </w:abstractNum>
  <w:abstractNum w:abstractNumId="125">
    <w:nsid w:val="116AE494"/>
    <w:multiLevelType w:val="hybridMultilevel"/>
    <w:lvl w:ilvl="0">
      <w:lvlJc w:val="left"/>
      <w:lvlText w:val="(%1)"/>
      <w:numFmt w:val="decimal"/>
      <w:start w:val="1"/>
    </w:lvl>
  </w:abstractNum>
  <w:abstractNum w:abstractNumId="126">
    <w:nsid w:val="3494B2FB"/>
    <w:multiLevelType w:val="hybridMultilevel"/>
    <w:lvl w:ilvl="0">
      <w:lvlJc w:val="left"/>
      <w:lvlText w:val="(%1)"/>
      <w:numFmt w:val="decimal"/>
      <w:start w:val="1"/>
    </w:lvl>
  </w:abstractNum>
  <w:abstractNum w:abstractNumId="127">
    <w:nsid w:val="B13A31"/>
    <w:multiLevelType w:val="hybridMultilevel"/>
    <w:lvl w:ilvl="0">
      <w:lvlJc w:val="left"/>
      <w:lvlText w:val="(%1)"/>
      <w:numFmt w:val="decimal"/>
      <w:start w:val="2"/>
    </w:lvl>
  </w:abstractNum>
  <w:abstractNum w:abstractNumId="128">
    <w:nsid w:val="64429599"/>
    <w:multiLevelType w:val="hybridMultilevel"/>
    <w:lvl w:ilvl="0">
      <w:lvlJc w:val="left"/>
      <w:lvlText w:val="•"/>
      <w:numFmt w:val="bullet"/>
      <w:start w:val="1"/>
    </w:lvl>
  </w:abstractNum>
  <w:abstractNum w:abstractNumId="129">
    <w:nsid w:val="631F1690"/>
    <w:multiLevelType w:val="hybridMultilevel"/>
    <w:lvl w:ilvl="0">
      <w:lvlJc w:val="left"/>
      <w:lvlText w:val="•"/>
      <w:numFmt w:val="bullet"/>
      <w:start w:val="1"/>
    </w:lvl>
  </w:abstractNum>
  <w:abstractNum w:abstractNumId="130">
    <w:nsid w:val="25973E32"/>
    <w:multiLevelType w:val="hybridMultilevel"/>
    <w:lvl w:ilvl="0">
      <w:lvlJc w:val="left"/>
      <w:lvlText w:val="•"/>
      <w:numFmt w:val="bullet"/>
      <w:start w:val="1"/>
    </w:lvl>
  </w:abstractNum>
  <w:abstractNum w:abstractNumId="131">
    <w:nsid w:val="EAD6F57"/>
    <w:multiLevelType w:val="hybridMultilevel"/>
    <w:lvl w:ilvl="0">
      <w:lvlJc w:val="left"/>
      <w:lvlText w:val="•"/>
      <w:numFmt w:val="bullet"/>
      <w:start w:val="1"/>
    </w:lvl>
  </w:abstractNum>
  <w:abstractNum w:abstractNumId="132">
    <w:nsid w:val="6EC9D844"/>
    <w:multiLevelType w:val="hybridMultilevel"/>
    <w:lvl w:ilvl="0">
      <w:lvlJc w:val="left"/>
      <w:lvlText w:val="•"/>
      <w:numFmt w:val="bullet"/>
      <w:start w:val="1"/>
    </w:lvl>
  </w:abstractNum>
  <w:abstractNum w:abstractNumId="133">
    <w:nsid w:val="5C49EAEE"/>
    <w:multiLevelType w:val="hybridMultilevel"/>
    <w:lvl w:ilvl="0">
      <w:lvlJc w:val="left"/>
      <w:lvlText w:val="•"/>
      <w:numFmt w:val="bullet"/>
      <w:start w:val="1"/>
    </w:lvl>
  </w:abstractNum>
  <w:abstractNum w:abstractNumId="134">
    <w:nsid w:val="64AF49B"/>
    <w:multiLevelType w:val="hybridMultilevel"/>
    <w:lvl w:ilvl="0">
      <w:lvlJc w:val="left"/>
      <w:lvlText w:val="•"/>
      <w:numFmt w:val="bullet"/>
      <w:start w:val="1"/>
    </w:lvl>
  </w:abstractNum>
  <w:abstractNum w:abstractNumId="135">
    <w:nsid w:val="397C46BC"/>
    <w:multiLevelType w:val="hybridMultilevel"/>
    <w:lvl w:ilvl="0">
      <w:lvlJc w:val="left"/>
      <w:lvlText w:val="•"/>
      <w:numFmt w:val="bullet"/>
      <w:start w:val="1"/>
    </w:lvl>
  </w:abstractNum>
  <w:abstractNum w:abstractNumId="136">
    <w:nsid w:val="7E448DE9"/>
    <w:multiLevelType w:val="hybridMultilevel"/>
    <w:lvl w:ilvl="0">
      <w:lvlJc w:val="left"/>
      <w:lvlText w:val="•"/>
      <w:numFmt w:val="bullet"/>
      <w:start w:val="1"/>
    </w:lvl>
  </w:abstractNum>
  <w:abstractNum w:abstractNumId="137">
    <w:nsid w:val="5A9CC3E5"/>
    <w:multiLevelType w:val="hybridMultilevel"/>
    <w:lvl w:ilvl="0">
      <w:lvlJc w:val="left"/>
      <w:lvlText w:val="•"/>
      <w:numFmt w:val="bullet"/>
      <w:start w:val="1"/>
    </w:lvl>
  </w:abstractNum>
  <w:abstractNum w:abstractNumId="138">
    <w:nsid w:val="1AFE3625"/>
    <w:multiLevelType w:val="hybridMultilevel"/>
    <w:lvl w:ilvl="0">
      <w:lvlJc w:val="left"/>
      <w:lvlText w:val="•"/>
      <w:numFmt w:val="bullet"/>
      <w:start w:val="1"/>
    </w:lvl>
  </w:abstractNum>
  <w:abstractNum w:abstractNumId="139">
    <w:nsid w:val="3CA88ECF"/>
    <w:multiLevelType w:val="hybridMultilevel"/>
    <w:lvl w:ilvl="0">
      <w:lvlJc w:val="left"/>
      <w:lvlText w:val="(%1)"/>
      <w:numFmt w:val="lowerRoman"/>
      <w:start w:val="1"/>
    </w:lvl>
  </w:abstractNum>
  <w:abstractNum w:abstractNumId="140">
    <w:nsid w:val="6EBE4208"/>
    <w:multiLevelType w:val="hybridMultilevel"/>
    <w:lvl w:ilvl="0">
      <w:lvlJc w:val="left"/>
      <w:lvlText w:val="(%1)"/>
      <w:numFmt w:val="lowerRoman"/>
      <w:start w:val="2"/>
    </w:lvl>
  </w:abstractNum>
  <w:abstractNum w:abstractNumId="141">
    <w:nsid w:val="C058DF5"/>
    <w:multiLevelType w:val="hybridMultilevel"/>
    <w:lvl w:ilvl="0">
      <w:lvlJc w:val="left"/>
      <w:lvlText w:val="•"/>
      <w:numFmt w:val="bullet"/>
      <w:start w:val="1"/>
    </w:lvl>
  </w:abstractNum>
  <w:abstractNum w:abstractNumId="142">
    <w:nsid w:val="CBE5BE9"/>
    <w:multiLevelType w:val="hybridMultilevel"/>
    <w:lvl w:ilvl="0">
      <w:lvlJc w:val="left"/>
      <w:lvlText w:val="•"/>
      <w:numFmt w:val="bullet"/>
      <w:start w:val="1"/>
    </w:lvl>
  </w:abstractNum>
  <w:abstractNum w:abstractNumId="143">
    <w:nsid w:val="3102BBE2"/>
    <w:multiLevelType w:val="hybridMultilevel"/>
    <w:lvl w:ilvl="0">
      <w:lvlJc w:val="left"/>
      <w:lvlText w:val="="/>
      <w:numFmt w:val="bullet"/>
      <w:start w:val="1"/>
    </w:lvl>
  </w:abstractNum>
  <w:abstractNum w:abstractNumId="144">
    <w:nsid w:val="26A02C5E"/>
    <w:multiLevelType w:val="hybridMultilevel"/>
    <w:lvl w:ilvl="0">
      <w:lvlJc w:val="left"/>
      <w:lvlText w:val="(%1)"/>
      <w:numFmt w:val="decimal"/>
    </w:lvl>
    <w:lvl w:ilvl="1">
      <w:lvlJc w:val="left"/>
      <w:lvlText w:val="="/>
      <w:numFmt w:val="bullet"/>
      <w:start w:val="1"/>
    </w:lvl>
  </w:abstractNum>
  <w:abstractNum w:abstractNumId="145">
    <w:nsid w:val="541C8153"/>
    <w:multiLevelType w:val="hybridMultilevel"/>
    <w:lvl w:ilvl="0">
      <w:lvlJc w:val="left"/>
      <w:lvlText w:val="(*)"/>
      <w:numFmt w:val="bullet"/>
      <w:start w:val="1"/>
    </w:lvl>
  </w:abstractNum>
  <w:abstractNum w:abstractNumId="146">
    <w:nsid w:val="67906F60"/>
    <w:multiLevelType w:val="hybridMultilevel"/>
    <w:lvl w:ilvl="0">
      <w:lvlJc w:val="left"/>
      <w:lvlText w:val="•"/>
      <w:numFmt w:val="bullet"/>
      <w:start w:val="1"/>
    </w:lvl>
  </w:abstractNum>
  <w:abstractNum w:abstractNumId="147">
    <w:nsid w:val="10DB9DAA"/>
    <w:multiLevelType w:val="hybridMultilevel"/>
    <w:lvl w:ilvl="0">
      <w:lvlJc w:val="left"/>
      <w:lvlText w:val="•"/>
      <w:numFmt w:val="bullet"/>
      <w:start w:val="1"/>
    </w:lvl>
  </w:abstractNum>
  <w:abstractNum w:abstractNumId="148">
    <w:nsid w:val="697D2D2"/>
    <w:multiLevelType w:val="hybridMultilevel"/>
    <w:lvl w:ilvl="0">
      <w:lvlJc w:val="left"/>
      <w:lvlText w:val="•"/>
      <w:numFmt w:val="bullet"/>
      <w:start w:val="1"/>
    </w:lvl>
  </w:abstractNum>
  <w:abstractNum w:abstractNumId="149">
    <w:nsid w:val="6D68AB2"/>
    <w:multiLevelType w:val="hybridMultilevel"/>
    <w:lvl w:ilvl="0">
      <w:lvlJc w:val="left"/>
      <w:lvlText w:val="•"/>
      <w:numFmt w:val="bullet"/>
      <w:start w:val="1"/>
    </w:lvl>
  </w:abstractNum>
  <w:abstractNum w:abstractNumId="150">
    <w:nsid w:val="3A966CD0"/>
    <w:multiLevelType w:val="hybridMultilevel"/>
    <w:lvl w:ilvl="0">
      <w:lvlJc w:val="left"/>
      <w:lvlText w:val="•"/>
      <w:numFmt w:val="bullet"/>
      <w:start w:val="1"/>
    </w:lvl>
  </w:abstractNum>
  <w:abstractNum w:abstractNumId="151">
    <w:nsid w:val="63F37E85"/>
    <w:multiLevelType w:val="hybridMultilevel"/>
    <w:lvl w:ilvl="0">
      <w:lvlJc w:val="left"/>
      <w:lvlText w:val="•"/>
      <w:numFmt w:val="bullet"/>
      <w:start w:val="1"/>
    </w:lvl>
  </w:abstractNum>
  <w:abstractNum w:abstractNumId="152">
    <w:nsid w:val="5895F5FA"/>
    <w:multiLevelType w:val="hybridMultilevel"/>
    <w:lvl w:ilvl="0">
      <w:lvlJc w:val="left"/>
      <w:lvlText w:val="•"/>
      <w:numFmt w:val="bullet"/>
      <w:start w:val="1"/>
    </w:lvl>
  </w:abstractNum>
  <w:abstractNum w:abstractNumId="153">
    <w:nsid w:val="38A5D054"/>
    <w:multiLevelType w:val="hybridMultilevel"/>
    <w:lvl w:ilvl="0">
      <w:lvlJc w:val="left"/>
      <w:lvlText w:val="•"/>
      <w:numFmt w:val="bullet"/>
      <w:start w:val="1"/>
    </w:lvl>
  </w:abstractNum>
  <w:abstractNum w:abstractNumId="154">
    <w:nsid w:val="F3F09D8"/>
    <w:multiLevelType w:val="hybridMultilevel"/>
    <w:lvl w:ilvl="0">
      <w:lvlJc w:val="left"/>
      <w:lvlText w:val="•"/>
      <w:numFmt w:val="bullet"/>
      <w:start w:val="1"/>
    </w:lvl>
  </w:abstractNum>
  <w:abstractNum w:abstractNumId="155">
    <w:nsid w:val="4B793735"/>
    <w:multiLevelType w:val="hybridMultilevel"/>
    <w:lvl w:ilvl="0">
      <w:lvlJc w:val="left"/>
      <w:lvlText w:val="•"/>
      <w:numFmt w:val="bullet"/>
      <w:start w:val="1"/>
    </w:lvl>
  </w:abstractNum>
  <w:abstractNum w:abstractNumId="156">
    <w:nsid w:val="4A10B4E8"/>
    <w:multiLevelType w:val="hybridMultilevel"/>
    <w:lvl w:ilvl="0">
      <w:lvlJc w:val="left"/>
      <w:lvlText w:val="•"/>
      <w:numFmt w:val="bullet"/>
      <w:start w:val="1"/>
    </w:lvl>
  </w:abstractNum>
  <w:abstractNum w:abstractNumId="157">
    <w:nsid w:val="43D3BCD4"/>
    <w:multiLevelType w:val="hybridMultilevel"/>
    <w:lvl w:ilvl="0">
      <w:lvlJc w:val="left"/>
      <w:lvlText w:val="*"/>
      <w:numFmt w:val="bullet"/>
      <w:start w:val="1"/>
    </w:lvl>
  </w:abstractNum>
  <w:abstractNum w:abstractNumId="158">
    <w:nsid w:val="4C2A7166"/>
    <w:multiLevelType w:val="hybridMultilevel"/>
    <w:lvl w:ilvl="0">
      <w:lvlJc w:val="left"/>
      <w:lvlText w:val="(%1)"/>
      <w:numFmt w:val="decimal"/>
      <w:start w:val="1"/>
    </w:lvl>
  </w:abstractNum>
  <w:abstractNum w:abstractNumId="159">
    <w:nsid w:val="2E534A82"/>
    <w:multiLevelType w:val="hybridMultilevel"/>
    <w:lvl w:ilvl="0">
      <w:lvlJc w:val="left"/>
      <w:lvlText w:val="(%1)"/>
      <w:numFmt w:val="decimal"/>
      <w:start w:val="2"/>
    </w:lvl>
  </w:abstractNum>
  <w:abstractNum w:abstractNumId="160">
    <w:nsid w:val="26F2D364"/>
    <w:multiLevelType w:val="hybridMultilevel"/>
    <w:lvl w:ilvl="0">
      <w:lvlJc w:val="left"/>
      <w:lvlText w:val="(%1)"/>
      <w:numFmt w:val="decimal"/>
      <w:start w:val="8"/>
    </w:lvl>
  </w:abstractNum>
  <w:abstractNum w:abstractNumId="161">
    <w:nsid w:val="71C1AF98"/>
    <w:multiLevelType w:val="hybridMultilevel"/>
    <w:lvl w:ilvl="0">
      <w:lvlJc w:val="left"/>
      <w:lvlText w:val="(%1)"/>
      <w:numFmt w:val="decimal"/>
      <w:start w:val="1"/>
    </w:lvl>
  </w:abstractNum>
  <w:abstractNum w:abstractNumId="162">
    <w:nsid w:val="3D00B9D9"/>
    <w:multiLevelType w:val="hybridMultilevel"/>
    <w:lvl w:ilvl="0">
      <w:lvlJc w:val="left"/>
      <w:lvlText w:val="•"/>
      <w:numFmt w:val="bullet"/>
      <w:start w:val="1"/>
    </w:lvl>
  </w:abstractNum>
  <w:abstractNum w:abstractNumId="163">
    <w:nsid w:val="15BCABA8"/>
    <w:multiLevelType w:val="hybridMultilevel"/>
    <w:lvl w:ilvl="0">
      <w:lvlJc w:val="left"/>
      <w:lvlText w:val="*"/>
      <w:numFmt w:val="bullet"/>
      <w:start w:val="1"/>
    </w:lvl>
  </w:abstractNum>
  <w:abstractNum w:abstractNumId="164">
    <w:nsid w:val="4E0B9A87"/>
    <w:multiLevelType w:val="hybridMultilevel"/>
    <w:lvl w:ilvl="0">
      <w:lvlJc w:val="left"/>
      <w:lvlText w:val="(%1)"/>
      <w:numFmt w:val="decimal"/>
      <w:start w:val="1"/>
    </w:lvl>
  </w:abstractNum>
  <w:abstractNum w:abstractNumId="165">
    <w:nsid w:val="434BAE75"/>
    <w:multiLevelType w:val="hybridMultilevel"/>
    <w:lvl w:ilvl="0">
      <w:lvlJc w:val="left"/>
      <w:lvlText w:val="•"/>
      <w:numFmt w:val="bullet"/>
      <w:start w:val="1"/>
    </w:lvl>
  </w:abstractNum>
  <w:abstractNum w:abstractNumId="166">
    <w:nsid w:val="4F38F265"/>
    <w:multiLevelType w:val="hybridMultilevel"/>
    <w:lvl w:ilvl="0">
      <w:lvlJc w:val="left"/>
      <w:lvlText w:val="•"/>
      <w:numFmt w:val="bullet"/>
      <w:start w:val="1"/>
    </w:lvl>
  </w:abstractNum>
  <w:abstractNum w:abstractNumId="167">
    <w:nsid w:val="4C502870"/>
    <w:multiLevelType w:val="hybridMultilevel"/>
    <w:lvl w:ilvl="0">
      <w:lvlJc w:val="left"/>
      <w:lvlText w:val="•"/>
      <w:numFmt w:val="bullet"/>
      <w:start w:val="1"/>
    </w:lvl>
  </w:abstractNum>
  <w:abstractNum w:abstractNumId="168">
    <w:nsid w:val="1DE8725A"/>
    <w:multiLevelType w:val="hybridMultilevel"/>
    <w:lvl w:ilvl="0">
      <w:lvlJc w:val="left"/>
      <w:lvlText w:val="•"/>
      <w:numFmt w:val="bullet"/>
      <w:start w:val="1"/>
    </w:lvl>
  </w:abstractNum>
  <w:abstractNum w:abstractNumId="169">
    <w:nsid w:val="6A37288A"/>
    <w:multiLevelType w:val="hybridMultilevel"/>
    <w:lvl w:ilvl="0">
      <w:lvlJc w:val="left"/>
      <w:lvlText w:val="•"/>
      <w:numFmt w:val="bullet"/>
      <w:start w:val="1"/>
    </w:lvl>
  </w:abstractNum>
  <w:abstractNum w:abstractNumId="170">
    <w:nsid w:val="8F8B73F"/>
    <w:multiLevelType w:val="hybridMultilevel"/>
    <w:lvl w:ilvl="0">
      <w:lvlJc w:val="left"/>
      <w:lvlText w:val="•"/>
      <w:numFmt w:val="bullet"/>
      <w:start w:val="1"/>
    </w:lvl>
  </w:abstractNum>
  <w:abstractNum w:abstractNumId="171">
    <w:nsid w:val="CA6B462"/>
    <w:multiLevelType w:val="hybridMultilevel"/>
    <w:lvl w:ilvl="0">
      <w:lvlJc w:val="left"/>
      <w:lvlText w:val="(%1)"/>
      <w:numFmt w:val="lowerRoman"/>
      <w:start w:val="1"/>
    </w:lvl>
  </w:abstractNum>
  <w:abstractNum w:abstractNumId="172">
    <w:nsid w:val="763CB680"/>
    <w:multiLevelType w:val="hybridMultilevel"/>
    <w:lvl w:ilvl="0">
      <w:lvlJc w:val="left"/>
      <w:lvlText w:val="•"/>
      <w:numFmt w:val="bullet"/>
      <w:start w:val="1"/>
    </w:lvl>
  </w:abstractNum>
  <w:abstractNum w:abstractNumId="173">
    <w:nsid w:val="15B71329"/>
    <w:multiLevelType w:val="hybridMultilevel"/>
    <w:lvl w:ilvl="0">
      <w:lvlJc w:val="left"/>
      <w:lvlText w:val="•"/>
      <w:numFmt w:val="bullet"/>
      <w:start w:val="1"/>
    </w:lvl>
  </w:abstractNum>
  <w:abstractNum w:abstractNumId="174">
    <w:nsid w:val="3DA97044"/>
    <w:multiLevelType w:val="hybridMultilevel"/>
    <w:lvl w:ilvl="0">
      <w:lvlJc w:val="left"/>
      <w:lvlText w:val="•"/>
      <w:numFmt w:val="bullet"/>
      <w:start w:val="1"/>
    </w:lvl>
  </w:abstractNum>
  <w:abstractNum w:abstractNumId="175">
    <w:nsid w:val="1CDCE2DE"/>
    <w:multiLevelType w:val="hybridMultilevel"/>
    <w:lvl w:ilvl="0">
      <w:lvlJc w:val="left"/>
      <w:lvlText w:val="•"/>
      <w:numFmt w:val="bullet"/>
      <w:start w:val="1"/>
    </w:lvl>
  </w:abstractNum>
  <w:abstractNum w:abstractNumId="176">
    <w:nsid w:val="69D3947C"/>
    <w:multiLevelType w:val="hybridMultilevel"/>
    <w:lvl w:ilvl="0">
      <w:lvlJc w:val="left"/>
      <w:lvlText w:val="•"/>
      <w:numFmt w:val="bullet"/>
      <w:start w:val="1"/>
    </w:lvl>
  </w:abstractNum>
  <w:abstractNum w:abstractNumId="177">
    <w:nsid w:val="2539DFA5"/>
    <w:multiLevelType w:val="hybridMultilevel"/>
    <w:lvl w:ilvl="0">
      <w:lvlJc w:val="left"/>
      <w:lvlText w:val="•"/>
      <w:numFmt w:val="bullet"/>
      <w:start w:val="1"/>
    </w:lvl>
  </w:abstractNum>
  <w:abstractNum w:abstractNumId="178">
    <w:nsid w:val="2DB88089"/>
    <w:multiLevelType w:val="hybridMultilevel"/>
    <w:lvl w:ilvl="0">
      <w:lvlJc w:val="left"/>
      <w:lvlText w:val="•"/>
      <w:numFmt w:val="bullet"/>
      <w:start w:val="1"/>
    </w:lvl>
  </w:abstractNum>
  <w:abstractNum w:abstractNumId="179">
    <w:nsid w:val="706B674E"/>
    <w:multiLevelType w:val="hybridMultilevel"/>
    <w:lvl w:ilvl="0">
      <w:lvlJc w:val="left"/>
      <w:lvlText w:val="•"/>
      <w:numFmt w:val="bullet"/>
      <w:start w:val="1"/>
    </w:lvl>
  </w:abstractNum>
  <w:abstractNum w:abstractNumId="180">
    <w:nsid w:val="2C106A57"/>
    <w:multiLevelType w:val="hybridMultilevel"/>
    <w:lvl w:ilvl="0">
      <w:lvlJc w:val="left"/>
      <w:lvlText w:val="•"/>
      <w:numFmt w:val="bullet"/>
      <w:start w:val="1"/>
    </w:lvl>
  </w:abstractNum>
  <w:abstractNum w:abstractNumId="181">
    <w:nsid w:val="684EED59"/>
    <w:multiLevelType w:val="hybridMultilevel"/>
    <w:lvl w:ilvl="0">
      <w:lvlJc w:val="left"/>
      <w:lvlText w:val="•"/>
      <w:numFmt w:val="bullet"/>
      <w:start w:val="1"/>
    </w:lvl>
  </w:abstractNum>
  <w:abstractNum w:abstractNumId="182">
    <w:nsid w:val="545EE5D3"/>
    <w:multiLevelType w:val="hybridMultilevel"/>
    <w:lvl w:ilvl="0">
      <w:lvlJc w:val="left"/>
      <w:lvlText w:val="•"/>
      <w:numFmt w:val="bullet"/>
      <w:start w:val="1"/>
    </w:lvl>
  </w:abstractNum>
  <w:abstractNum w:abstractNumId="183">
    <w:nsid w:val="4A66051"/>
    <w:multiLevelType w:val="hybridMultilevel"/>
    <w:lvl w:ilvl="0">
      <w:lvlJc w:val="left"/>
      <w:lvlText w:val="•"/>
      <w:numFmt w:val="bullet"/>
      <w:start w:val="1"/>
    </w:lvl>
  </w:abstractNum>
  <w:abstractNum w:abstractNumId="184">
    <w:nsid w:val="20F4BDAD"/>
    <w:multiLevelType w:val="hybridMultilevel"/>
    <w:lvl w:ilvl="0">
      <w:lvlJc w:val="left"/>
      <w:lvlText w:val="•"/>
      <w:numFmt w:val="bullet"/>
      <w:start w:val="1"/>
    </w:lvl>
  </w:abstractNum>
  <w:abstractNum w:abstractNumId="185">
    <w:nsid w:val="639DEFAC"/>
    <w:multiLevelType w:val="hybridMultilevel"/>
    <w:lvl w:ilvl="0">
      <w:lvlJc w:val="left"/>
      <w:lvlText w:val="•"/>
      <w:numFmt w:val="bullet"/>
      <w:start w:val="1"/>
    </w:lvl>
  </w:abstractNum>
  <w:abstractNum w:abstractNumId="186">
    <w:nsid w:val="501F9786"/>
    <w:multiLevelType w:val="hybridMultilevel"/>
    <w:lvl w:ilvl="0">
      <w:lvlJc w:val="left"/>
      <w:lvlText w:val="•"/>
      <w:numFmt w:val="bullet"/>
      <w:start w:val="1"/>
    </w:lvl>
  </w:abstractNum>
  <w:abstractNum w:abstractNumId="187">
    <w:nsid w:val="6B057295"/>
    <w:multiLevelType w:val="hybridMultilevel"/>
    <w:lvl w:ilvl="0">
      <w:lvlJc w:val="left"/>
      <w:lvlText w:val="•"/>
      <w:numFmt w:val="bullet"/>
      <w:start w:val="1"/>
    </w:lvl>
  </w:abstractNum>
  <w:abstractNum w:abstractNumId="188">
    <w:nsid w:val="2771AC80"/>
    <w:multiLevelType w:val="hybridMultilevel"/>
    <w:lvl w:ilvl="0">
      <w:lvlJc w:val="left"/>
      <w:lvlText w:val="•"/>
      <w:numFmt w:val="bullet"/>
      <w:start w:val="1"/>
    </w:lvl>
  </w:abstractNum>
  <w:abstractNum w:abstractNumId="189">
    <w:nsid w:val="1C4A08EC"/>
    <w:multiLevelType w:val="hybridMultilevel"/>
    <w:lvl w:ilvl="0">
      <w:lvlJc w:val="left"/>
      <w:lvlText w:val="•"/>
      <w:numFmt w:val="bullet"/>
      <w:start w:val="1"/>
    </w:lvl>
  </w:abstractNum>
  <w:abstractNum w:abstractNumId="190">
    <w:nsid w:val="1958BD17"/>
    <w:multiLevelType w:val="hybridMultilevel"/>
    <w:lvl w:ilvl="0">
      <w:lvlJc w:val="left"/>
      <w:lvlText w:val="•"/>
      <w:numFmt w:val="bullet"/>
      <w:start w:val="1"/>
    </w:lvl>
  </w:abstractNum>
  <w:abstractNum w:abstractNumId="191">
    <w:nsid w:val="4E647FE4"/>
    <w:multiLevelType w:val="hybridMultilevel"/>
    <w:lvl w:ilvl="0">
      <w:lvlJc w:val="left"/>
      <w:lvlText w:val="•"/>
      <w:numFmt w:val="bullet"/>
      <w:start w:val="1"/>
    </w:lvl>
  </w:abstractNum>
  <w:abstractNum w:abstractNumId="192">
    <w:nsid w:val="E0BB885"/>
    <w:multiLevelType w:val="hybridMultilevel"/>
    <w:lvl w:ilvl="0">
      <w:lvlJc w:val="left"/>
      <w:lvlText w:val="•"/>
      <w:numFmt w:val="bullet"/>
      <w:start w:val="1"/>
    </w:lvl>
  </w:abstractNum>
  <w:abstractNum w:abstractNumId="193">
    <w:nsid w:val="565976F1"/>
    <w:multiLevelType w:val="hybridMultilevel"/>
    <w:lvl w:ilvl="0">
      <w:lvlJc w:val="left"/>
      <w:lvlText w:val="•"/>
      <w:numFmt w:val="bullet"/>
      <w:start w:val="1"/>
    </w:lvl>
  </w:abstractNum>
  <w:abstractNum w:abstractNumId="194">
    <w:nsid w:val="64212B8C"/>
    <w:multiLevelType w:val="hybridMultilevel"/>
    <w:lvl w:ilvl="0">
      <w:lvlJc w:val="left"/>
      <w:lvlText w:val="•"/>
      <w:numFmt w:val="bullet"/>
      <w:start w:val="1"/>
    </w:lvl>
  </w:abstractNum>
  <w:abstractNum w:abstractNumId="195">
    <w:nsid w:val="5C17530C"/>
    <w:multiLevelType w:val="hybridMultilevel"/>
    <w:lvl w:ilvl="0">
      <w:lvlJc w:val="left"/>
      <w:lvlText w:val="•"/>
      <w:numFmt w:val="bullet"/>
      <w:start w:val="1"/>
    </w:lvl>
  </w:abstractNum>
  <w:abstractNum w:abstractNumId="196">
    <w:nsid w:val="19A52566"/>
    <w:multiLevelType w:val="hybridMultilevel"/>
    <w:lvl w:ilvl="0">
      <w:lvlJc w:val="left"/>
      <w:lvlText w:val="•"/>
      <w:numFmt w:val="bullet"/>
      <w:start w:val="1"/>
    </w:lvl>
    <w:lvl w:ilvl="1">
      <w:lvlJc w:val="left"/>
      <w:lvlText w:val="¡"/>
      <w:numFmt w:val="bullet"/>
      <w:start w:val="1"/>
    </w:lvl>
  </w:abstractNum>
  <w:abstractNum w:abstractNumId="197">
    <w:nsid w:val="335A1DF1"/>
    <w:multiLevelType w:val="hybridMultilevel"/>
    <w:lvl w:ilvl="0">
      <w:lvlJc w:val="left"/>
      <w:lvlText w:val="•"/>
      <w:numFmt w:val="bullet"/>
      <w:start w:val="1"/>
    </w:lvl>
  </w:abstractNum>
  <w:abstractNum w:abstractNumId="198">
    <w:nsid w:val="28677B7C"/>
    <w:multiLevelType w:val="hybridMultilevel"/>
    <w:lvl w:ilvl="0">
      <w:lvlJc w:val="left"/>
      <w:lvlText w:val="•"/>
      <w:numFmt w:val="bullet"/>
      <w:start w:val="1"/>
    </w:lvl>
  </w:abstractNum>
  <w:abstractNum w:abstractNumId="199">
    <w:nsid w:val="378D97C0"/>
    <w:multiLevelType w:val="hybridMultilevel"/>
    <w:lvl w:ilvl="0">
      <w:lvlJc w:val="left"/>
      <w:lvlText w:val="•"/>
      <w:numFmt w:val="bullet"/>
      <w:start w:val="1"/>
    </w:lvl>
  </w:abstractNum>
  <w:abstractNum w:abstractNumId="200">
    <w:nsid w:val="1D91467C"/>
    <w:multiLevelType w:val="hybridMultilevel"/>
    <w:lvl w:ilvl="0">
      <w:lvlJc w:val="left"/>
      <w:lvlText w:val="(%1)"/>
      <w:numFmt w:val="decimal"/>
      <w:start w:val="1"/>
    </w:lvl>
  </w:abstractNum>
  <w:abstractNum w:abstractNumId="201">
    <w:nsid w:val="316032BB"/>
    <w:multiLevelType w:val="hybridMultilevel"/>
    <w:lvl w:ilvl="0">
      <w:lvlJc w:val="left"/>
      <w:lvlText w:val="(%1)"/>
      <w:numFmt w:val="decimal"/>
      <w:start w:val="1"/>
    </w:lvl>
  </w:abstractNum>
  <w:abstractNum w:abstractNumId="202">
    <w:nsid w:val="44344C22"/>
    <w:multiLevelType w:val="hybridMultilevel"/>
    <w:lvl w:ilvl="0">
      <w:lvlJc w:val="left"/>
      <w:lvlText w:val="(%1)"/>
      <w:numFmt w:val="decimal"/>
      <w:start w:val="1"/>
    </w:lvl>
  </w:abstractNum>
  <w:abstractNum w:abstractNumId="203">
    <w:nsid w:val="13CDFCFC"/>
    <w:multiLevelType w:val="hybridMultilevel"/>
    <w:lvl w:ilvl="0">
      <w:lvlJc w:val="left"/>
      <w:lvlText w:val="(%1)"/>
      <w:numFmt w:val="decimal"/>
      <w:start w:val="3"/>
    </w:lvl>
  </w:abstractNum>
  <w:abstractNum w:abstractNumId="204">
    <w:nsid w:val="471745E4"/>
    <w:multiLevelType w:val="hybridMultilevel"/>
    <w:lvl w:ilvl="0">
      <w:lvlJc w:val="left"/>
      <w:lvlText w:val="(%1)"/>
      <w:numFmt w:val="decimal"/>
      <w:start w:val="1"/>
    </w:lvl>
  </w:abstractNum>
  <w:abstractNum w:abstractNumId="205">
    <w:nsid w:val="1DDBC66"/>
    <w:multiLevelType w:val="hybridMultilevel"/>
    <w:lvl w:ilvl="0">
      <w:lvlJc w:val="left"/>
      <w:lvlText w:val="•"/>
      <w:numFmt w:val="bullet"/>
      <w:start w:val="1"/>
    </w:lvl>
  </w:abstractNum>
  <w:abstractNum w:abstractNumId="206">
    <w:nsid w:val="30AADFDA"/>
    <w:multiLevelType w:val="hybridMultilevel"/>
    <w:lvl w:ilvl="0">
      <w:lvlJc w:val="left"/>
      <w:lvlText w:val="•"/>
      <w:numFmt w:val="bullet"/>
      <w:start w:val="1"/>
    </w:lvl>
  </w:abstractNum>
  <w:abstractNum w:abstractNumId="207">
    <w:nsid w:val="30EADA61"/>
    <w:multiLevelType w:val="hybridMultilevel"/>
    <w:lvl w:ilvl="0">
      <w:lvlJc w:val="left"/>
      <w:lvlText w:val="•"/>
      <w:numFmt w:val="bullet"/>
      <w:start w:val="1"/>
    </w:lvl>
  </w:abstractNum>
  <w:abstractNum w:abstractNumId="208">
    <w:nsid w:val="27179C0B"/>
    <w:multiLevelType w:val="hybridMultilevel"/>
    <w:lvl w:ilvl="0">
      <w:lvlJc w:val="left"/>
      <w:lvlText w:val="(%1)"/>
      <w:numFmt w:val="lowerRoman"/>
      <w:start w:val="1"/>
    </w:lvl>
  </w:abstractNum>
  <w:abstractNum w:abstractNumId="209">
    <w:nsid w:val="5E636063"/>
    <w:multiLevelType w:val="hybridMultilevel"/>
    <w:lvl w:ilvl="0">
      <w:lvlJc w:val="left"/>
      <w:lvlText w:val="(%1)"/>
      <w:numFmt w:val="lowerRoman"/>
      <w:start w:val="2"/>
    </w:lvl>
  </w:abstractNum>
  <w:abstractNum w:abstractNumId="210">
    <w:nsid w:val="215641AF"/>
    <w:multiLevelType w:val="hybridMultilevel"/>
    <w:lvl w:ilvl="0">
      <w:lvlJc w:val="left"/>
      <w:lvlText w:val="(%1)"/>
      <w:numFmt w:val="decimal"/>
      <w:start w:val="1"/>
    </w:lvl>
  </w:abstractNum>
  <w:abstractNum w:abstractNumId="211">
    <w:nsid w:val="53280662"/>
    <w:multiLevelType w:val="hybridMultilevel"/>
    <w:lvl w:ilvl="0">
      <w:lvlJc w:val="left"/>
      <w:lvlText w:val="(%1)"/>
      <w:numFmt w:val="decimal"/>
      <w:start w:val="1"/>
    </w:lvl>
  </w:abstractNum>
  <w:abstractNum w:abstractNumId="212">
    <w:nsid w:val="46B24DBC"/>
    <w:multiLevelType w:val="hybridMultilevel"/>
    <w:lvl w:ilvl="0">
      <w:lvlJc w:val="left"/>
      <w:lvlText w:val="(%1)"/>
      <w:numFmt w:val="decimal"/>
      <w:start w:val="1"/>
    </w:lvl>
  </w:abstractNum>
  <w:abstractNum w:abstractNumId="213">
    <w:nsid w:val="75B52783"/>
    <w:multiLevelType w:val="hybridMultilevel"/>
    <w:lvl w:ilvl="0">
      <w:lvlJc w:val="left"/>
      <w:lvlText w:val="•"/>
      <w:numFmt w:val="bullet"/>
      <w:start w:val="1"/>
    </w:lvl>
    <w:lvl w:ilvl="1">
      <w:lvlJc w:val="left"/>
      <w:lvlText w:val="•"/>
      <w:numFmt w:val="bullet"/>
      <w:start w:val="1"/>
    </w:lvl>
  </w:abstractNum>
  <w:abstractNum w:abstractNumId="214">
    <w:nsid w:val="57CE66B4"/>
    <w:multiLevelType w:val="hybridMultilevel"/>
    <w:lvl w:ilvl="0">
      <w:lvlJc w:val="left"/>
      <w:lvlText w:val="•"/>
      <w:numFmt w:val="bullet"/>
      <w:start w:val="1"/>
    </w:lvl>
  </w:abstractNum>
  <w:abstractNum w:abstractNumId="215">
    <w:nsid w:val="67A70B69"/>
    <w:multiLevelType w:val="hybridMultilevel"/>
    <w:lvl w:ilvl="0">
      <w:lvlJc w:val="left"/>
      <w:lvlText w:val="•"/>
      <w:numFmt w:val="bullet"/>
      <w:start w:val="1"/>
    </w:lvl>
  </w:abstractNum>
  <w:abstractNum w:abstractNumId="216">
    <w:nsid w:val="5953172F"/>
    <w:multiLevelType w:val="hybridMultilevel"/>
    <w:lvl w:ilvl="0">
      <w:lvlJc w:val="left"/>
      <w:lvlText w:val="(%1)"/>
      <w:numFmt w:val="decimal"/>
      <w:start w:val="1"/>
    </w:lvl>
  </w:abstractNum>
  <w:abstractNum w:abstractNumId="217">
    <w:nsid w:val="27EDFE3A"/>
    <w:multiLevelType w:val="hybridMultilevel"/>
    <w:lvl w:ilvl="0">
      <w:lvlJc w:val="left"/>
      <w:lvlText w:val="(%1)"/>
      <w:numFmt w:val="decimal"/>
      <w:start w:val="1"/>
    </w:lvl>
  </w:abstractNum>
  <w:abstractNum w:abstractNumId="218">
    <w:nsid w:val="52AC7DFF"/>
    <w:multiLevelType w:val="hybridMultilevel"/>
    <w:lvl w:ilvl="0">
      <w:lvlJc w:val="left"/>
      <w:lvlText w:val="(%1)"/>
      <w:numFmt w:val="decimal"/>
      <w:start w:val="1"/>
    </w:lvl>
  </w:abstractNum>
  <w:abstractNum w:abstractNumId="219">
    <w:nsid w:val="C4C3AF"/>
    <w:multiLevelType w:val="hybridMultilevel"/>
    <w:lvl w:ilvl="0">
      <w:lvlJc w:val="left"/>
      <w:lvlText w:val="(%1)"/>
      <w:numFmt w:val="decimal"/>
      <w:start w:val="1"/>
    </w:lvl>
  </w:abstractNum>
  <w:abstractNum w:abstractNumId="220">
    <w:nsid w:val="44380727"/>
    <w:multiLevelType w:val="hybridMultilevel"/>
    <w:lvl w:ilvl="0">
      <w:lvlJc w:val="left"/>
      <w:lvlText w:val="(%1)"/>
      <w:numFmt w:val="decimal"/>
      <w:start w:val="1"/>
    </w:lvl>
  </w:abstractNum>
  <w:abstractNum w:abstractNumId="221">
    <w:nsid w:val="6C053B16"/>
    <w:multiLevelType w:val="hybridMultilevel"/>
    <w:lvl w:ilvl="0">
      <w:lvlJc w:val="left"/>
      <w:lvlText w:val="(%1)"/>
      <w:numFmt w:val="decimal"/>
      <w:start w:val="1"/>
    </w:lvl>
  </w:abstractNum>
  <w:abstractNum w:abstractNumId="222">
    <w:nsid w:val="4F294393"/>
    <w:multiLevelType w:val="hybridMultilevel"/>
    <w:lvl w:ilvl="0">
      <w:lvlJc w:val="left"/>
      <w:lvlText w:val="(%1)"/>
      <w:numFmt w:val="decimal"/>
      <w:start w:val="1"/>
    </w:lvl>
  </w:abstractNum>
  <w:abstractNum w:abstractNumId="223">
    <w:nsid w:val="5243BFAC"/>
    <w:multiLevelType w:val="hybridMultilevel"/>
    <w:lvl w:ilvl="0">
      <w:lvlJc w:val="left"/>
      <w:lvlText w:val="(%1)"/>
      <w:numFmt w:val="decimal"/>
      <w:start w:val="1"/>
    </w:lvl>
  </w:abstractNum>
  <w:abstractNum w:abstractNumId="224">
    <w:nsid w:val="425EB207"/>
    <w:multiLevelType w:val="hybridMultilevel"/>
    <w:lvl w:ilvl="0">
      <w:lvlJc w:val="left"/>
      <w:lvlText w:val="(%1)"/>
      <w:numFmt w:val="decimal"/>
      <w:start w:val="1"/>
    </w:lvl>
  </w:abstractNum>
  <w:abstractNum w:abstractNumId="225">
    <w:nsid w:val="334A6F1F"/>
    <w:multiLevelType w:val="hybridMultilevel"/>
    <w:lvl w:ilvl="0">
      <w:lvlJc w:val="left"/>
      <w:lvlText w:val="(%1)"/>
      <w:numFmt w:val="decimal"/>
      <w:start w:val="1"/>
    </w:lvl>
  </w:abstractNum>
  <w:abstractNum w:abstractNumId="226">
    <w:nsid w:val="2E5B12B8"/>
    <w:multiLevelType w:val="hybridMultilevel"/>
    <w:lvl w:ilvl="0">
      <w:lvlJc w:val="left"/>
      <w:lvlText w:val="(%1)"/>
      <w:numFmt w:val="decimal"/>
      <w:start w:val="3"/>
    </w:lvl>
  </w:abstractNum>
  <w:abstractNum w:abstractNumId="227">
    <w:nsid w:val="5C03D76D"/>
    <w:multiLevelType w:val="hybridMultilevel"/>
    <w:lvl w:ilvl="0">
      <w:lvlJc w:val="left"/>
      <w:lvlText w:val="(%1)"/>
      <w:numFmt w:val="decimal"/>
      <w:start w:val="1"/>
    </w:lvl>
  </w:abstractNum>
  <w:abstractNum w:abstractNumId="228">
    <w:nsid w:val="66A48D11"/>
    <w:multiLevelType w:val="hybridMultilevel"/>
    <w:lvl w:ilvl="0">
      <w:lvlJc w:val="left"/>
      <w:lvlText w:val="•"/>
      <w:numFmt w:val="bullet"/>
      <w:start w:val="1"/>
    </w:lvl>
  </w:abstractNum>
  <w:abstractNum w:abstractNumId="229">
    <w:nsid w:val="56C28E34"/>
    <w:multiLevelType w:val="hybridMultilevel"/>
    <w:lvl w:ilvl="0">
      <w:lvlJc w:val="left"/>
      <w:lvlText w:val="•"/>
      <w:numFmt w:val="bullet"/>
      <w:start w:val="1"/>
    </w:lvl>
  </w:abstractNum>
  <w:abstractNum w:abstractNumId="230">
    <w:nsid w:val="13916F2D"/>
    <w:multiLevelType w:val="hybridMultilevel"/>
    <w:lvl w:ilvl="0">
      <w:lvlJc w:val="left"/>
      <w:lvlText w:val="•"/>
      <w:numFmt w:val="bullet"/>
      <w:start w:val="1"/>
    </w:lvl>
  </w:abstractNum>
  <w:abstractNum w:abstractNumId="231">
    <w:nsid w:val="435D38D"/>
    <w:multiLevelType w:val="hybridMultilevel"/>
    <w:lvl w:ilvl="0">
      <w:lvlJc w:val="left"/>
      <w:lvlText w:val="•"/>
      <w:numFmt w:val="bullet"/>
      <w:start w:val="1"/>
    </w:lvl>
  </w:abstractNum>
  <w:abstractNum w:abstractNumId="232">
    <w:nsid w:val="822C0EF"/>
    <w:multiLevelType w:val="hybridMultilevel"/>
    <w:lvl w:ilvl="0">
      <w:lvlJc w:val="left"/>
      <w:lvlText w:val="(%1)"/>
      <w:numFmt w:val="lowerRoman"/>
      <w:start w:val="1"/>
    </w:lvl>
  </w:abstractNum>
  <w:abstractNum w:abstractNumId="233">
    <w:nsid w:val="57C5BB4F"/>
    <w:multiLevelType w:val="hybridMultilevel"/>
    <w:lvl w:ilvl="0">
      <w:lvlJc w:val="left"/>
      <w:lvlText w:val="(%1)"/>
      <w:numFmt w:val="lowerRoman"/>
      <w:start w:val="2"/>
    </w:lvl>
  </w:abstractNum>
  <w:abstractNum w:abstractNumId="234">
    <w:nsid w:val="1803D089"/>
    <w:multiLevelType w:val="hybridMultilevel"/>
    <w:lvl w:ilvl="0">
      <w:lvlJc w:val="left"/>
      <w:lvlText w:val="•"/>
      <w:numFmt w:val="bullet"/>
      <w:start w:val="1"/>
    </w:lvl>
  </w:abstractNum>
  <w:abstractNum w:abstractNumId="235">
    <w:nsid w:val="4F3A06D4"/>
    <w:multiLevelType w:val="hybridMultilevel"/>
    <w:lvl w:ilvl="0">
      <w:lvlJc w:val="left"/>
      <w:lvlText w:val="(%1)"/>
      <w:numFmt w:val="decimal"/>
      <w:start w:val="1"/>
    </w:lvl>
  </w:abstractNum>
  <w:abstractNum w:abstractNumId="236">
    <w:nsid w:val="59A377B6"/>
    <w:multiLevelType w:val="hybridMultilevel"/>
    <w:lvl w:ilvl="0">
      <w:lvlJc w:val="left"/>
      <w:lvlText w:val="(%1)"/>
      <w:numFmt w:val="decimal"/>
      <w:start w:val="1"/>
    </w:lvl>
  </w:abstractNum>
  <w:abstractNum w:abstractNumId="237">
    <w:nsid w:val="48AEB063"/>
    <w:multiLevelType w:val="hybridMultilevel"/>
    <w:lvl w:ilvl="0">
      <w:lvlJc w:val="left"/>
      <w:lvlText w:val="(%1)"/>
      <w:numFmt w:val="decimal"/>
      <w:start w:val="1"/>
    </w:lvl>
  </w:abstractNum>
  <w:abstractNum w:abstractNumId="238">
    <w:nsid w:val="24E135"/>
    <w:multiLevelType w:val="hybridMultilevel"/>
    <w:lvl w:ilvl="0">
      <w:lvlJc w:val="left"/>
      <w:lvlText w:val="•"/>
      <w:numFmt w:val="bullet"/>
      <w:start w:val="1"/>
    </w:lvl>
    <w:lvl w:ilvl="1">
      <w:lvlJc w:val="left"/>
      <w:lvlText w:val="•"/>
      <w:numFmt w:val="bullet"/>
      <w:start w:val="1"/>
    </w:lvl>
  </w:abstractNum>
  <w:abstractNum w:abstractNumId="239">
    <w:nsid w:val="BB13C1"/>
    <w:multiLevelType w:val="hybridMultilevel"/>
    <w:lvl w:ilvl="0">
      <w:lvlJc w:val="left"/>
      <w:lvlText w:val="•"/>
      <w:numFmt w:val="bullet"/>
      <w:start w:val="1"/>
    </w:lvl>
  </w:abstractNum>
  <w:abstractNum w:abstractNumId="240">
    <w:nsid w:val="271210C7"/>
    <w:multiLevelType w:val="hybridMultilevel"/>
    <w:lvl w:ilvl="0">
      <w:lvlJc w:val="left"/>
      <w:lvlText w:val="•"/>
      <w:numFmt w:val="bullet"/>
      <w:start w:val="1"/>
    </w:lvl>
  </w:abstractNum>
  <w:abstractNum w:abstractNumId="241">
    <w:nsid w:val="217B22E4"/>
    <w:multiLevelType w:val="hybridMultilevel"/>
    <w:lvl w:ilvl="0">
      <w:lvlJc w:val="left"/>
      <w:lvlText w:val="(%1)"/>
      <w:numFmt w:val="decimal"/>
      <w:start w:val="1"/>
    </w:lvl>
  </w:abstractNum>
  <w:abstractNum w:abstractNumId="242">
    <w:nsid w:val="53E31A24"/>
    <w:multiLevelType w:val="hybridMultilevel"/>
    <w:lvl w:ilvl="0">
      <w:lvlJc w:val="left"/>
      <w:lvlText w:val="(%1)"/>
      <w:numFmt w:val="decimal"/>
      <w:start w:val="1"/>
    </w:lvl>
  </w:abstractNum>
  <w:abstractNum w:abstractNumId="243">
    <w:nsid w:val="6DC45E83"/>
    <w:multiLevelType w:val="hybridMultilevel"/>
    <w:lvl w:ilvl="0">
      <w:lvlJc w:val="left"/>
      <w:lvlText w:val="(%1)"/>
      <w:numFmt w:val="decimal"/>
      <w:start w:val="1"/>
    </w:lvl>
  </w:abstractNum>
  <w:abstractNum w:abstractNumId="244">
    <w:nsid w:val="17304A67"/>
    <w:multiLevelType w:val="hybridMultilevel"/>
    <w:lvl w:ilvl="0">
      <w:lvlJc w:val="left"/>
      <w:lvlText w:val="(%1)"/>
      <w:numFmt w:val="decimal"/>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2019-12-07T23:53:43Z</dcterms:created>
  <dcterms:modified xsi:type="dcterms:W3CDTF">2019-12-07T23:53:43Z</dcterms:modified>
</cp:coreProperties>
</file>