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640" w:type="dxa"/>
            <w:vAlign w:val="bottom"/>
          </w:tcPr>
          <w:p>
            <w:pPr>
              <w:jc w:val="center"/>
              <w:ind w:right="1859"/>
              <w:spacing w:after="0"/>
              <w:rPr>
                <w:sz w:val="20"/>
                <w:szCs w:val="20"/>
                <w:color w:val="auto"/>
              </w:rPr>
            </w:pPr>
            <w:r>
              <w:rPr>
                <w:rFonts w:ascii="Arial" w:cs="Arial" w:eastAsia="Arial" w:hAnsi="Arial"/>
                <w:sz w:val="18"/>
                <w:szCs w:val="18"/>
                <w:b w:val="1"/>
                <w:bCs w:val="1"/>
                <w:color w:val="auto"/>
                <w:w w:val="93"/>
              </w:rPr>
              <w:t>Delaware</w:t>
            </w:r>
          </w:p>
        </w:tc>
        <w:tc>
          <w:tcPr>
            <w:tcW w:w="2380" w:type="dxa"/>
            <w:vAlign w:val="bottom"/>
          </w:tcPr>
          <w:p>
            <w:pPr>
              <w:ind w:left="560"/>
              <w:spacing w:after="0"/>
              <w:rPr>
                <w:sz w:val="20"/>
                <w:szCs w:val="20"/>
                <w:color w:val="auto"/>
              </w:rPr>
            </w:pPr>
            <w:r>
              <w:rPr>
                <w:rFonts w:ascii="Arial" w:cs="Arial" w:eastAsia="Arial" w:hAnsi="Arial"/>
                <w:sz w:val="18"/>
                <w:szCs w:val="18"/>
                <w:b w:val="1"/>
                <w:bCs w:val="1"/>
                <w:color w:val="auto"/>
              </w:rPr>
              <w:t>001-36364</w:t>
            </w:r>
          </w:p>
        </w:tc>
        <w:tc>
          <w:tcPr>
            <w:tcW w:w="2780" w:type="dxa"/>
            <w:vAlign w:val="bottom"/>
          </w:tcPr>
          <w:p>
            <w:pPr>
              <w:jc w:val="center"/>
              <w:ind w:left="1561"/>
              <w:spacing w:after="0"/>
              <w:rPr>
                <w:sz w:val="20"/>
                <w:szCs w:val="20"/>
                <w:color w:val="auto"/>
              </w:rPr>
            </w:pPr>
            <w:r>
              <w:rPr>
                <w:rFonts w:ascii="Arial" w:cs="Arial" w:eastAsia="Arial" w:hAnsi="Arial"/>
                <w:sz w:val="18"/>
                <w:szCs w:val="18"/>
                <w:b w:val="1"/>
                <w:bCs w:val="1"/>
                <w:color w:val="auto"/>
                <w:w w:val="89"/>
              </w:rPr>
              <w:t>27-3380000</w:t>
            </w:r>
          </w:p>
        </w:tc>
      </w:tr>
      <w:tr>
        <w:trPr>
          <w:trHeight w:val="148"/>
        </w:trPr>
        <w:tc>
          <w:tcPr>
            <w:tcW w:w="3640" w:type="dxa"/>
            <w:vAlign w:val="bottom"/>
          </w:tcPr>
          <w:p>
            <w:pPr>
              <w:jc w:val="center"/>
              <w:ind w:right="18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780" w:type="dxa"/>
            <w:vAlign w:val="bottom"/>
          </w:tcPr>
          <w:p>
            <w:pPr>
              <w:jc w:val="center"/>
              <w:ind w:left="15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85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780" w:type="dxa"/>
            <w:vAlign w:val="bottom"/>
          </w:tcPr>
          <w:p>
            <w:pPr>
              <w:jc w:val="center"/>
              <w:ind w:left="1561"/>
              <w:spacing w:after="0"/>
              <w:rPr>
                <w:sz w:val="20"/>
                <w:szCs w:val="20"/>
                <w:color w:val="auto"/>
              </w:rPr>
            </w:pPr>
            <w:r>
              <w:rPr>
                <w:rFonts w:ascii="Arial" w:cs="Arial" w:eastAsia="Arial" w:hAnsi="Arial"/>
                <w:sz w:val="14"/>
                <w:szCs w:val="14"/>
                <w:b w:val="1"/>
                <w:bCs w:val="1"/>
                <w:color w:val="auto"/>
                <w:w w:val="96"/>
              </w:rPr>
              <w:t>Identification No.)</w:t>
            </w:r>
          </w:p>
        </w:tc>
      </w:tr>
      <w:tr>
        <w:trPr>
          <w:trHeight w:val="453"/>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0"/>
              </w:rPr>
              <w:t>2100 McKinney Avenue, Suite 1500</w:t>
            </w:r>
          </w:p>
        </w:tc>
        <w:tc>
          <w:tcPr>
            <w:tcW w:w="23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5"/>
        </w:trPr>
        <w:tc>
          <w:tcPr>
            <w:tcW w:w="3640" w:type="dxa"/>
            <w:vAlign w:val="bottom"/>
          </w:tcPr>
          <w:p>
            <w:pPr>
              <w:jc w:val="center"/>
              <w:ind w:right="59"/>
              <w:spacing w:after="0"/>
              <w:rPr>
                <w:sz w:val="20"/>
                <w:szCs w:val="20"/>
                <w:color w:val="auto"/>
              </w:rPr>
            </w:pPr>
            <w:r>
              <w:rPr>
                <w:rFonts w:ascii="Arial" w:cs="Arial" w:eastAsia="Arial" w:hAnsi="Arial"/>
                <w:sz w:val="18"/>
                <w:szCs w:val="18"/>
                <w:b w:val="1"/>
                <w:bCs w:val="1"/>
                <w:color w:val="auto"/>
                <w:w w:val="95"/>
              </w:rPr>
              <w:t>Dallas, TX</w:t>
            </w:r>
          </w:p>
        </w:tc>
        <w:tc>
          <w:tcPr>
            <w:tcW w:w="2380" w:type="dxa"/>
            <w:vAlign w:val="bottom"/>
          </w:tcPr>
          <w:p>
            <w:pPr>
              <w:spacing w:after="0"/>
              <w:rPr>
                <w:sz w:val="19"/>
                <w:szCs w:val="19"/>
                <w:color w:val="auto"/>
              </w:rPr>
            </w:pPr>
          </w:p>
        </w:tc>
        <w:tc>
          <w:tcPr>
            <w:tcW w:w="2780" w:type="dxa"/>
            <w:vAlign w:val="bottom"/>
          </w:tcPr>
          <w:p>
            <w:pPr>
              <w:jc w:val="right"/>
              <w:ind w:right="1181"/>
              <w:spacing w:after="0"/>
              <w:rPr>
                <w:sz w:val="20"/>
                <w:szCs w:val="20"/>
                <w:color w:val="auto"/>
              </w:rPr>
            </w:pPr>
            <w:r>
              <w:rPr>
                <w:rFonts w:ascii="Arial" w:cs="Arial" w:eastAsia="Arial" w:hAnsi="Arial"/>
                <w:sz w:val="18"/>
                <w:szCs w:val="18"/>
                <w:b w:val="1"/>
                <w:bCs w:val="1"/>
                <w:color w:val="auto"/>
              </w:rPr>
              <w:t>75201</w:t>
            </w:r>
          </w:p>
        </w:tc>
      </w:tr>
      <w:tr>
        <w:trPr>
          <w:trHeight w:val="186"/>
        </w:trPr>
        <w:tc>
          <w:tcPr>
            <w:tcW w:w="3640" w:type="dxa"/>
            <w:vAlign w:val="bottom"/>
          </w:tcPr>
          <w:p>
            <w:pPr>
              <w:jc w:val="center"/>
              <w:ind w:right="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780" w:type="dxa"/>
            <w:vAlign w:val="bottom"/>
          </w:tcPr>
          <w:p>
            <w:pPr>
              <w:jc w:val="center"/>
              <w:ind w:right="10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hanging="444"/>
        <w:spacing w:after="0"/>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0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4"/>
        </w:trPr>
        <w:tc>
          <w:tcPr>
            <w:tcW w:w="374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rPr>
              <w:t>TSLX</w:t>
            </w:r>
          </w:p>
        </w:tc>
        <w:tc>
          <w:tcPr>
            <w:tcW w:w="100" w:type="dxa"/>
            <w:vAlign w:val="bottom"/>
          </w:tcPr>
          <w:p>
            <w:pPr>
              <w:spacing w:after="0"/>
              <w:rPr>
                <w:sz w:val="19"/>
                <w:szCs w:val="19"/>
                <w:color w:val="auto"/>
              </w:rPr>
            </w:pP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68580"/>
                    </a:xfrm>
                    <a:prstGeom prst="rect">
                      <a:avLst/>
                    </a:prstGeom>
                    <a:noFill/>
                  </pic:spPr>
                </pic:pic>
              </a:graphicData>
            </a:graphic>
          </wp:anchor>
        </w:drawing>
        <w:t>Item 7.01 – Regulation FD Disclosure</w:t>
      </w:r>
    </w:p>
    <w:p>
      <w:pPr>
        <w:spacing w:after="0" w:line="12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In connection with the announced public offering of shares of its common stock, Sixth Street Specialty Lending, Inc. (the “Company”) is providing certain additional information, which information is expected to be included in the prospectus supplement for the proposed offering.</w:t>
      </w:r>
    </w:p>
    <w:p>
      <w:pPr>
        <w:spacing w:after="0" w:line="14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March 31, 2023, the Company reported total principal debt outstanding of $1,629 million and total stockholders’ equity of $1,356 million, corresponding to a debt-to-equity ratio at quarter-end of 1.20x. Total principal debt outstanding included $981.9 million outstanding on the Company’s Revolving Credit Facility and total liquidity was $612.7 million, including unrestricted cash. From March 31, 2023 through May 8, 2023, the Company’s net fundings totaled $130.5 million, including $159.4 million of new investments funded and $28.9 million of paydowns. The Company believes these new investments will generate risk-adjusted returns in excess of the Company’s estimated cost of capital.</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May 8, 2023, $1,121 million was drawn on the Revolving Credit Facility. Adjusted for the incremental net fundings, the Company’s estimated debt-to-equity ratio as of May 8, 2023 was approximately 1.30x. The Company intends to use 100% of the net proceeds of this offering to pay down a portion of the outstanding indebtedness on the Revolving Credit Facility on or about the date of the closing of this offering. Based on the expected total proceeds from the offering of $79.2 million, the Company estimates its debt-to-equity ratio will decrease to approximately 1.18x, which is within its previously stated target range.</w:t>
      </w:r>
    </w:p>
    <w:p>
      <w:pPr>
        <w:spacing w:after="0" w:line="18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disclosed under this Item 7.01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ectPr>
          <w:pgSz w:w="11900" w:h="16838" w:orient="portrait"/>
          <w:cols w:equalWidth="0" w:num="1">
            <w:col w:w="10940"/>
          </w:cols>
          <w:pgMar w:left="440" w:top="513" w:right="51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SIXTH STREET SPECIALTY LENDING,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24"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35"/>
          <w:szCs w:val="35"/>
          <w:color w:val="auto"/>
          <w:vertAlign w:val="subscript"/>
        </w:rPr>
        <w:t>Date: May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17780</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260"/>
      </w:cols>
      <w:pgMar w:left="440" w:top="51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2023-05-11T06:28:17Z</dcterms:created>
  <dcterms:modified xsi:type="dcterms:W3CDTF">2023-05-11T06:28:17Z</dcterms:modified>
</cp:coreProperties>
</file>