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Hershey John 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00" w:type="dxa"/>
            <w:vAlign w:val="bottom"/>
            <w:tcBorders>
              <w:top w:val="single" w:sz="8" w:color="0000EE"/>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06/30/2025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Sixth Street Specialty Lending,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TSLX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C/O SIXTH STREET SPECIALTY LENDING,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2100 MCKINNEY AVENUE,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21,693</w:t>
            </w: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jc w:val="right"/>
              <w:ind w:right="337"/>
              <w:spacing w:after="0"/>
              <w:rPr>
                <w:sz w:val="20"/>
                <w:szCs w:val="20"/>
                <w:color w:val="auto"/>
              </w:rPr>
            </w:pPr>
            <w:r>
              <w:rPr>
                <w:rFonts w:ascii="Times New Roman" w:cs="Times New Roman" w:eastAsia="Times New Roman" w:hAnsi="Times New Roman"/>
                <w:sz w:val="20"/>
                <w:szCs w:val="20"/>
                <w:color w:val="0000FF"/>
              </w:rPr>
              <w:t>2,242</w:t>
            </w:r>
          </w:p>
        </w:tc>
        <w:tc>
          <w:tcPr>
            <w:tcW w:w="1080" w:type="dxa"/>
            <w:vAlign w:val="bottom"/>
            <w:gridSpan w:val="2"/>
          </w:tcPr>
          <w:p>
            <w:pPr>
              <w:ind w:left="960"/>
              <w:spacing w:after="0"/>
              <w:rPr>
                <w:sz w:val="20"/>
                <w:szCs w:val="20"/>
                <w:color w:val="auto"/>
              </w:rPr>
            </w:pPr>
            <w:r>
              <w:rPr>
                <w:rFonts w:ascii="Times New Roman" w:cs="Times New Roman" w:eastAsia="Times New Roman" w:hAnsi="Times New Roman"/>
                <w:sz w:val="20"/>
                <w:szCs w:val="20"/>
                <w:color w:val="0000FF"/>
              </w:rPr>
              <w:t>I</w:t>
            </w:r>
          </w:p>
        </w:tc>
        <w:tc>
          <w:tcPr>
            <w:tcW w:w="186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0000FF"/>
              </w:rPr>
              <w:t>401K Plan</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120" w:firstLine="5"/>
        <w:spacing w:after="0" w:line="259" w:lineRule="auto"/>
        <w:tabs>
          <w:tab w:leader="none" w:pos="253"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Anton Brett is signing on behalf of John Hershey pursuant to a Power of Attorney dated June 30, 2025, which is attached hereto as an exhibit. Exhibit List Exhibit 24- Power of Attorney</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Anton Brett, on behalf</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07/03/2025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John Hershey (1)</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 FOR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16 REPORTING OBLIGATIONS</w:t>
      </w:r>
    </w:p>
    <w:p>
      <w:pPr>
        <w:spacing w:after="0" w:line="230"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David Stiepleman, Jennifer Gordon, Ian Simmonds, Anton Brett, Joshua Peck, and Steven Pluss or any of them acting singly, and with full power of substitution and re-substitution,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(each of such persons and their substitutes being referred to herein as the “Attorney-in-Fact”), with full power to act for the undersigned and in the undersigned’s name, place and stead, in any and all capacities, to:</w:t>
      </w:r>
    </w:p>
    <w:p>
      <w:pPr>
        <w:spacing w:after="0" w:line="224" w:lineRule="exact"/>
        <w:rPr>
          <w:sz w:val="20"/>
          <w:szCs w:val="20"/>
          <w:color w:val="auto"/>
        </w:rPr>
      </w:pPr>
    </w:p>
    <w:p>
      <w:pPr>
        <w:jc w:val="both"/>
        <w:spacing w:after="0" w:line="261" w:lineRule="auto"/>
        <w:tabs>
          <w:tab w:leader="none" w:pos="21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amended (the “Exchange Act”), or any rule or regulation promulgated by the SEC;</w:t>
      </w:r>
    </w:p>
    <w:p>
      <w:pPr>
        <w:spacing w:after="0" w:line="200" w:lineRule="exact"/>
        <w:rPr>
          <w:rFonts w:ascii="Times New Roman" w:cs="Times New Roman" w:eastAsia="Times New Roman" w:hAnsi="Times New Roman"/>
          <w:sz w:val="20"/>
          <w:szCs w:val="20"/>
          <w:color w:val="auto"/>
        </w:rPr>
      </w:pPr>
    </w:p>
    <w:p>
      <w:pPr>
        <w:jc w:val="both"/>
        <w:spacing w:after="0" w:line="258" w:lineRule="auto"/>
        <w:tabs>
          <w:tab w:leader="none" w:pos="2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to the SEC, Sixth Street Specialty Lending, Inc., a Delaware corporation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w:t>
      </w:r>
    </w:p>
    <w:p>
      <w:pPr>
        <w:spacing w:after="0" w:line="204" w:lineRule="exact"/>
        <w:rPr>
          <w:rFonts w:ascii="Times New Roman" w:cs="Times New Roman" w:eastAsia="Times New Roman" w:hAnsi="Times New Roman"/>
          <w:sz w:val="20"/>
          <w:szCs w:val="20"/>
          <w:color w:val="auto"/>
        </w:rPr>
      </w:pPr>
    </w:p>
    <w:p>
      <w:pPr>
        <w:jc w:val="both"/>
        <w:ind w:right="20"/>
        <w:spacing w:after="0" w:line="266" w:lineRule="auto"/>
        <w:tabs>
          <w:tab w:leader="none" w:pos="20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Form 144 or other form or report, and timely file such form or report with the SEC, the NASDAQ Stock Market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spacing w:after="0" w:line="266" w:lineRule="auto"/>
        <w:tabs>
          <w:tab w:leader="none" w:pos="22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spacing w:after="0" w:line="282" w:lineRule="auto"/>
        <w:tabs>
          <w:tab w:leader="none" w:pos="20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179" w:lineRule="exact"/>
        <w:rPr>
          <w:rFonts w:ascii="Times New Roman" w:cs="Times New Roman" w:eastAsia="Times New Roman" w:hAnsi="Times New Roman"/>
          <w:sz w:val="20"/>
          <w:szCs w:val="20"/>
          <w:color w:val="auto"/>
        </w:rPr>
      </w:pPr>
    </w:p>
    <w:p>
      <w:pPr>
        <w:spacing w:after="0" w:line="282" w:lineRule="auto"/>
        <w:tabs>
          <w:tab w:leader="none" w:pos="20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9" w:lineRule="exact"/>
        <w:rPr>
          <w:rFonts w:ascii="Times New Roman" w:cs="Times New Roman" w:eastAsia="Times New Roman" w:hAnsi="Times New Roman"/>
          <w:sz w:val="20"/>
          <w:szCs w:val="20"/>
          <w:color w:val="auto"/>
        </w:rPr>
      </w:pPr>
    </w:p>
    <w:p>
      <w:pPr>
        <w:jc w:val="both"/>
        <w:spacing w:after="0" w:line="266" w:lineRule="auto"/>
        <w:tabs>
          <w:tab w:leader="none" w:pos="24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5" w:lineRule="exact"/>
        <w:rPr>
          <w:rFonts w:ascii="Times New Roman" w:cs="Times New Roman" w:eastAsia="Times New Roman" w:hAnsi="Times New Roman"/>
          <w:sz w:val="20"/>
          <w:szCs w:val="20"/>
          <w:color w:val="auto"/>
        </w:rPr>
      </w:pPr>
    </w:p>
    <w:p>
      <w:pPr>
        <w:jc w:val="both"/>
        <w:ind w:right="20"/>
        <w:spacing w:after="0" w:line="266" w:lineRule="auto"/>
        <w:tabs>
          <w:tab w:leader="none" w:pos="20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if personally present,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965835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3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or in the event any Attorney-in-Fact ceases to be an employee of the Company, this Power of Attorney shall cease to have effect in relation to such Attorney-in-Fact upon such cessation but shall continue in full force and effect in relation to any remaining Attorney-in-Fact. This Power of Attorney revokes all previous powers of attorney with respect to the subject matter of this Power of Attorney.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as of June 30, 2025.</w:t>
      </w:r>
    </w:p>
    <w:p>
      <w:pPr>
        <w:spacing w:after="0" w:line="250"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20"/>
          <w:szCs w:val="20"/>
          <w:color w:val="auto"/>
        </w:rPr>
        <w:t>/s/ John Hershey</w:t>
      </w:r>
    </w:p>
    <w:p>
      <w:pPr>
        <w:spacing w:after="0" w:line="30"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20"/>
          <w:szCs w:val="20"/>
          <w:color w:val="auto"/>
        </w:rPr>
        <w:t>Name: John Hershey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1623060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5212715</wp:posOffset>
            </wp:positionH>
            <wp:positionV relativeFrom="paragraph">
              <wp:posOffset>-145415</wp:posOffset>
            </wp:positionV>
            <wp:extent cx="173418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34185" cy="9525"/>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05913" TargetMode="External"/><Relationship Id="rId11"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2025-07-03T15:33:50Z</dcterms:created>
  <dcterms:modified xsi:type="dcterms:W3CDTF">2025-07-03T15:33:50Z</dcterms:modified>
</cp:coreProperties>
</file>