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165100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151130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0" w:lineRule="exact"/>
        <w:rPr>
          <w:sz w:val="24"/>
          <w:szCs w:val="24"/>
          <w:color w:val="auto"/>
        </w:rPr>
      </w:pPr>
    </w:p>
    <w:tbl>
      <w:tblPr>
        <w:tblLayout w:type="fixed"/>
        <w:tblInd w:w="680" w:type="dxa"/>
        <w:tblCellMar>
          <w:top w:w="0" w:type="dxa"/>
          <w:left w:w="0" w:type="dxa"/>
          <w:bottom w:w="0" w:type="dxa"/>
          <w:right w:w="0" w:type="dxa"/>
        </w:tblCellMar>
      </w:tblPr>
      <w:tr>
        <w:trPr>
          <w:trHeight w:val="214"/>
        </w:trPr>
        <w:tc>
          <w:tcPr>
            <w:tcW w:w="3640" w:type="dxa"/>
            <w:vAlign w:val="bottom"/>
          </w:tcPr>
          <w:p>
            <w:pPr>
              <w:jc w:val="center"/>
              <w:ind w:right="10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2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3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4"/>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55245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3"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Name of each exchange on which registered</w:t>
            </w:r>
          </w:p>
        </w:tc>
        <w:tc>
          <w:tcPr>
            <w:tcW w:w="20" w:type="dxa"/>
            <w:vAlign w:val="bottom"/>
          </w:tcPr>
          <w:p>
            <w:pPr>
              <w:spacing w:after="0"/>
              <w:rPr>
                <w:sz w:val="14"/>
                <w:szCs w:val="14"/>
                <w:color w:val="auto"/>
              </w:rPr>
            </w:pPr>
          </w:p>
        </w:tc>
      </w:tr>
      <w:tr>
        <w:trPr>
          <w:trHeight w:val="142"/>
        </w:trPr>
        <w:tc>
          <w:tcPr>
            <w:tcW w:w="38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Common Stock, par value $0.01 per share</w:t>
            </w:r>
          </w:p>
        </w:tc>
        <w:tc>
          <w:tcPr>
            <w:tcW w:w="3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TSLX</w:t>
            </w:r>
          </w:p>
        </w:tc>
        <w:tc>
          <w:tcPr>
            <w:tcW w:w="3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The New York Stock Exchange</w:t>
            </w:r>
          </w:p>
        </w:tc>
        <w:tc>
          <w:tcPr>
            <w:tcW w:w="20" w:type="dxa"/>
            <w:vAlign w:val="bottom"/>
          </w:tcPr>
          <w:p>
            <w:pPr>
              <w:spacing w:after="0"/>
              <w:rPr>
                <w:sz w:val="12"/>
                <w:szCs w:val="12"/>
                <w:color w:val="auto"/>
              </w:rPr>
            </w:pPr>
          </w:p>
        </w:tc>
      </w:tr>
      <w:tr>
        <w:trPr>
          <w:trHeight w:val="142"/>
        </w:trPr>
        <w:tc>
          <w:tcPr>
            <w:tcW w:w="384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3840" w:type="dxa"/>
            <w:vAlign w:val="bottom"/>
            <w:tcBorders>
              <w:bottom w:val="single" w:sz="8" w:color="9A9A9A"/>
            </w:tcBorders>
          </w:tcPr>
          <w:p>
            <w:pPr>
              <w:spacing w:after="0"/>
              <w:rPr>
                <w:sz w:val="15"/>
                <w:szCs w:val="15"/>
                <w:color w:val="auto"/>
              </w:rPr>
            </w:pPr>
          </w:p>
        </w:tc>
        <w:tc>
          <w:tcPr>
            <w:tcW w:w="3800" w:type="dxa"/>
            <w:vAlign w:val="bottom"/>
            <w:tcBorders>
              <w:bottom w:val="single" w:sz="8" w:color="9A9A9A"/>
            </w:tcBorders>
          </w:tcPr>
          <w:p>
            <w:pPr>
              <w:spacing w:after="0"/>
              <w:rPr>
                <w:sz w:val="15"/>
                <w:szCs w:val="15"/>
                <w:color w:val="auto"/>
              </w:rPr>
            </w:pPr>
          </w:p>
        </w:tc>
        <w:tc>
          <w:tcPr>
            <w:tcW w:w="37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May 2, 2019, the registrant issued a press release announcing its financial results for the quarter ended March 31, 2019. The text of the press release is included as Exhibit 99.1 to this Form 8-K.</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 2019, the registrant issued a press release, included herewith as Exhibit 99.1, announcing the declaration of a second quarter 2019 base dividend of $0.39 per share for stockholders of record as of June 14, 2019, payable on July 15, 2019, and a first quarter 2019 supplemental dividend of $0.01 per share for stockholders of record as of May 31, 2019, payable on June 28, 2019.</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spacing w:after="0"/>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May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2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234"/>
        </w:trPr>
        <w:tc>
          <w:tcPr>
            <w:tcW w:w="3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2019</w:t>
            </w:r>
          </w:p>
        </w:tc>
        <w:tc>
          <w:tcPr>
            <w:tcW w:w="82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86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24662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113220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2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FFFFFF"/>
        </w:rPr>
        <w:t>First Quarter 2019 Earnings Results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TPG Specialty Lending, Inc. Reports First Quarter Net Investment Income Per Share of $0.41 and NAV Per Share of $16.34; Declares a First Quarter Supplemental Dividend Per Share of $0.01 and a Second Quarter Base Dividend Per Share of $0.39</w:t>
      </w:r>
    </w:p>
    <w:p>
      <w:pPr>
        <w:spacing w:after="0" w:line="1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NEW YORK—May 2, 2019— TPG Specialty Lending, Inc. (NYSE: TSLX, or the “Company”) today reported net investment income of $26.6 million, or $0.41 per share, and net income of $38.7 million, or $0.59 per share, for the first quarter ended March 31, 2019. Reported net asset value per share was $16.34 at March 31, 2019 as compared to $16.25 at December 31, 2018.</w:t>
      </w:r>
    </w:p>
    <w:p>
      <w:pPr>
        <w:spacing w:after="0" w:line="9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Annualized return on equity (ROE) for the first quarter 2019 was 10.0% and 14.5% on a net investment income and a net income basis, respectively. ROE for the trailing twelve month period ended March 31, 2019 was 11.7% on a net income basis.</w:t>
      </w:r>
    </w:p>
    <w:p>
      <w:pPr>
        <w:spacing w:after="0" w:line="1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announced that its Board of Directors has declared a second quarter 2019 base dividend of $0.39 per share for stockholders of record as of June 14, 2019, payable on July 15, 2019. The Company’s Board of Directors also declared a first quarter 2019 supplemental dividend of $0.01 per share for stockholders of record as of May 31, 2019, payable on June 28, 2019.</w:t>
      </w:r>
    </w:p>
    <w:p>
      <w:pPr>
        <w:spacing w:after="0" w:line="11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Following the passing of the Small Business Credit Availability Act (the “SBCAA”) in March 2018, the Company believes that the long-term fundamental earnings power of its business and the sector has changed. In addition, the Company believes that the SBCAA provides significantly more financial flexibility and eases prior constraints, which allow for more degrees of freedom in the Company’s approach to its capital allocation framework. Consequently, the Company reviewed its existing stock repurchase plan to determine the appropriate adjustments to reflect the enhanced earnings power and greater financial flexibility of the business.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of this review, yesterday, the Company’s Board of Directors approved an amendment to its existing stock repurchase plan (“Company 10b5-1 Plan”), which the Company and its Board believe is in the best interest of its stockholders. Instead of repurchasing shares of the Company’s common stock on its behalf at market prices just below the Company’s most recently reported net asset value per share, the Company’s agent will do so at market prices just below 1.05x the most recently reported net asset value per share, less the amount of any supplemental dividend declared for that quarter but not yet reflected in the most recently reported net asset value per share. This corresponds to a market price of $17.15 based on Q1 2019 pro forma NAV per share of $16.33. The Board of Directors also approved the extension of the Company 10b5-1 Plan to November 30, 2019. Unless otherwise extended or terminated by its Board of Directors, the Company expects that the stock repurchase plan will be in effect through the earlier of November 30, 2019, or such time as the approved $50 million repurchase amount has been fully utilized, subject to certain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216979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($MM):</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r>
      <w:tr>
        <w:trPr>
          <w:trHeight w:val="324"/>
        </w:trPr>
        <w:tc>
          <w:tcPr>
            <w:tcW w:w="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$0.41</w:t>
            </w:r>
          </w:p>
        </w:tc>
      </w:tr>
      <w:tr>
        <w:trPr>
          <w:trHeight w:val="74"/>
        </w:trPr>
        <w:tc>
          <w:tcPr>
            <w:tcW w:w="30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520" w:type="dxa"/>
            <w:vAlign w:val="bottom"/>
            <w:tcBorders>
              <w:bottom w:val="single" w:sz="8" w:color="003767"/>
            </w:tcBorders>
          </w:tcPr>
          <w:p>
            <w:pPr>
              <w:spacing w:after="0"/>
              <w:rPr>
                <w:sz w:val="6"/>
                <w:szCs w:val="6"/>
                <w:color w:val="auto"/>
              </w:rPr>
            </w:pPr>
          </w:p>
        </w:tc>
        <w:tc>
          <w:tcPr>
            <w:tcW w:w="840" w:type="dxa"/>
            <w:vAlign w:val="bottom"/>
            <w:tcBorders>
              <w:bottom w:val="single" w:sz="8" w:color="003767"/>
            </w:tcBorders>
          </w:tcPr>
          <w:p>
            <w:pPr>
              <w:spacing w:after="0"/>
              <w:rPr>
                <w:sz w:val="6"/>
                <w:szCs w:val="6"/>
                <w:color w:val="auto"/>
              </w:rPr>
            </w:pPr>
          </w:p>
        </w:tc>
      </w:tr>
      <w:tr>
        <w:trPr>
          <w:trHeight w:val="210"/>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520" w:type="dxa"/>
            <w:vAlign w:val="bottom"/>
            <w:shd w:val="clear" w:color="auto" w:fill="003767"/>
          </w:tcPr>
          <w:p>
            <w:pPr>
              <w:jc w:val="center"/>
              <w:ind w:right="139"/>
              <w:spacing w:after="0"/>
              <w:rPr>
                <w:sz w:val="20"/>
                <w:szCs w:val="20"/>
                <w:color w:val="auto"/>
              </w:rPr>
            </w:pPr>
            <w:r>
              <w:rPr>
                <w:rFonts w:ascii="Times New Roman" w:cs="Times New Roman" w:eastAsia="Times New Roman" w:hAnsi="Times New Roman"/>
                <w:sz w:val="16"/>
                <w:szCs w:val="16"/>
                <w:b w:val="1"/>
                <w:bCs w:val="1"/>
                <w:color w:val="FFFFFF"/>
                <w:w w:val="99"/>
              </w:rPr>
              <w:t>Net Income</w:t>
            </w:r>
          </w:p>
        </w:tc>
        <w:tc>
          <w:tcPr>
            <w:tcW w:w="84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00" w:type="dxa"/>
            <w:vAlign w:val="bottom"/>
            <w:gridSpan w:val="2"/>
            <w:shd w:val="clear" w:color="auto" w:fill="003767"/>
          </w:tcPr>
          <w:p>
            <w:pPr>
              <w:spacing w:after="0"/>
              <w:rPr>
                <w:sz w:val="8"/>
                <w:szCs w:val="8"/>
                <w:color w:val="auto"/>
              </w:rPr>
            </w:pPr>
          </w:p>
        </w:tc>
        <w:tc>
          <w:tcPr>
            <w:tcW w:w="840" w:type="dxa"/>
            <w:vAlign w:val="bottom"/>
            <w:tcBorders>
              <w:right w:val="single" w:sz="8" w:color="003767"/>
            </w:tcBorders>
            <w:shd w:val="clear" w:color="auto" w:fill="003767"/>
          </w:tcPr>
          <w:p>
            <w:pPr>
              <w:spacing w:after="0"/>
              <w:rPr>
                <w:sz w:val="8"/>
                <w:szCs w:val="8"/>
                <w:color w:val="auto"/>
              </w:rPr>
            </w:pPr>
          </w:p>
        </w:tc>
      </w:tr>
      <w:tr>
        <w:trPr>
          <w:trHeight w:val="251"/>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($MM):</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$38.7</w:t>
            </w:r>
          </w:p>
        </w:tc>
      </w:tr>
      <w:tr>
        <w:trPr>
          <w:trHeight w:val="3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$0.59</w:t>
            </w:r>
          </w:p>
        </w:tc>
      </w:tr>
      <w:tr>
        <w:trPr>
          <w:trHeight w:val="74"/>
        </w:trPr>
        <w:tc>
          <w:tcPr>
            <w:tcW w:w="300" w:type="dxa"/>
            <w:vAlign w:val="bottom"/>
            <w:tcBorders>
              <w:left w:val="single" w:sz="8" w:color="003767"/>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520" w:type="dxa"/>
            <w:vAlign w:val="bottom"/>
            <w:tcBorders>
              <w:bottom w:val="single" w:sz="8" w:color="003767"/>
            </w:tcBorders>
          </w:tcPr>
          <w:p>
            <w:pPr>
              <w:spacing w:after="0"/>
              <w:rPr>
                <w:sz w:val="6"/>
                <w:szCs w:val="6"/>
                <w:color w:val="auto"/>
              </w:rPr>
            </w:pPr>
          </w:p>
        </w:tc>
        <w:tc>
          <w:tcPr>
            <w:tcW w:w="840" w:type="dxa"/>
            <w:vAlign w:val="bottom"/>
            <w:tcBorders>
              <w:bottom w:val="single" w:sz="8" w:color="003767"/>
              <w:right w:val="single" w:sz="8" w:color="003767"/>
            </w:tcBorders>
          </w:tcPr>
          <w:p>
            <w:pPr>
              <w:spacing w:after="0"/>
              <w:rPr>
                <w:sz w:val="6"/>
                <w:szCs w:val="6"/>
                <w:color w:val="auto"/>
              </w:rPr>
            </w:pPr>
          </w:p>
        </w:tc>
      </w:tr>
      <w:tr>
        <w:trPr>
          <w:trHeight w:val="210"/>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520" w:type="dxa"/>
            <w:vAlign w:val="bottom"/>
            <w:shd w:val="clear" w:color="auto" w:fill="003767"/>
          </w:tcPr>
          <w:p>
            <w:pPr>
              <w:jc w:val="center"/>
              <w:ind w:right="139"/>
              <w:spacing w:after="0"/>
              <w:rPr>
                <w:sz w:val="20"/>
                <w:szCs w:val="20"/>
                <w:color w:val="auto"/>
              </w:rPr>
            </w:pPr>
            <w:r>
              <w:rPr>
                <w:rFonts w:ascii="Times New Roman" w:cs="Times New Roman" w:eastAsia="Times New Roman" w:hAnsi="Times New Roman"/>
                <w:sz w:val="16"/>
                <w:szCs w:val="16"/>
                <w:b w:val="1"/>
                <w:bCs w:val="1"/>
                <w:color w:val="FFFFFF"/>
                <w:w w:val="97"/>
              </w:rPr>
              <w:t>NAV</w:t>
            </w:r>
          </w:p>
        </w:tc>
        <w:tc>
          <w:tcPr>
            <w:tcW w:w="84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00" w:type="dxa"/>
            <w:vAlign w:val="bottom"/>
            <w:gridSpan w:val="2"/>
            <w:shd w:val="clear" w:color="auto" w:fill="003767"/>
          </w:tcPr>
          <w:p>
            <w:pPr>
              <w:spacing w:after="0"/>
              <w:rPr>
                <w:sz w:val="8"/>
                <w:szCs w:val="8"/>
                <w:color w:val="auto"/>
              </w:rPr>
            </w:pPr>
          </w:p>
        </w:tc>
        <w:tc>
          <w:tcPr>
            <w:tcW w:w="840" w:type="dxa"/>
            <w:vAlign w:val="bottom"/>
            <w:tcBorders>
              <w:right w:val="single" w:sz="8" w:color="003767"/>
            </w:tcBorders>
            <w:shd w:val="clear" w:color="auto" w:fill="003767"/>
          </w:tcPr>
          <w:p>
            <w:pPr>
              <w:spacing w:after="0"/>
              <w:rPr>
                <w:sz w:val="8"/>
                <w:szCs w:val="8"/>
                <w:color w:val="auto"/>
              </w:rPr>
            </w:pPr>
          </w:p>
        </w:tc>
      </w:tr>
      <w:tr>
        <w:trPr>
          <w:trHeight w:val="251"/>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($MM):</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$1,074</w:t>
            </w:r>
          </w:p>
        </w:tc>
      </w:tr>
      <w:tr>
        <w:trPr>
          <w:trHeight w:val="3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$16.34</w:t>
            </w:r>
          </w:p>
        </w:tc>
      </w:tr>
      <w:tr>
        <w:trPr>
          <w:trHeight w:val="3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PF):</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$16.33</w:t>
            </w:r>
          </w:p>
        </w:tc>
      </w:tr>
      <w:tr>
        <w:trPr>
          <w:trHeight w:val="74"/>
        </w:trPr>
        <w:tc>
          <w:tcPr>
            <w:tcW w:w="300" w:type="dxa"/>
            <w:vAlign w:val="bottom"/>
            <w:tcBorders>
              <w:left w:val="single" w:sz="8" w:color="003767"/>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520" w:type="dxa"/>
            <w:vAlign w:val="bottom"/>
            <w:tcBorders>
              <w:bottom w:val="single" w:sz="8" w:color="003767"/>
            </w:tcBorders>
          </w:tcPr>
          <w:p>
            <w:pPr>
              <w:spacing w:after="0"/>
              <w:rPr>
                <w:sz w:val="6"/>
                <w:szCs w:val="6"/>
                <w:color w:val="auto"/>
              </w:rPr>
            </w:pPr>
          </w:p>
        </w:tc>
        <w:tc>
          <w:tcPr>
            <w:tcW w:w="840" w:type="dxa"/>
            <w:vAlign w:val="bottom"/>
            <w:tcBorders>
              <w:bottom w:val="single" w:sz="8" w:color="003767"/>
              <w:right w:val="single" w:sz="8" w:color="003767"/>
            </w:tcBorders>
          </w:tcPr>
          <w:p>
            <w:pPr>
              <w:spacing w:after="0"/>
              <w:rPr>
                <w:sz w:val="6"/>
                <w:szCs w:val="6"/>
                <w:color w:val="auto"/>
              </w:rPr>
            </w:pPr>
          </w:p>
        </w:tc>
      </w:tr>
      <w:tr>
        <w:trPr>
          <w:trHeight w:val="210"/>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520" w:type="dxa"/>
            <w:vAlign w:val="bottom"/>
            <w:shd w:val="clear" w:color="auto" w:fill="003767"/>
          </w:tcPr>
          <w:p>
            <w:pPr>
              <w:jc w:val="center"/>
              <w:ind w:right="139"/>
              <w:spacing w:after="0"/>
              <w:rPr>
                <w:sz w:val="20"/>
                <w:szCs w:val="20"/>
                <w:color w:val="auto"/>
              </w:rPr>
            </w:pPr>
            <w:r>
              <w:rPr>
                <w:rFonts w:ascii="Times New Roman" w:cs="Times New Roman" w:eastAsia="Times New Roman" w:hAnsi="Times New Roman"/>
                <w:sz w:val="16"/>
                <w:szCs w:val="16"/>
                <w:b w:val="1"/>
                <w:bCs w:val="1"/>
                <w:color w:val="FFFFFF"/>
                <w:w w:val="97"/>
              </w:rPr>
              <w:t>ROE</w:t>
            </w:r>
          </w:p>
        </w:tc>
        <w:tc>
          <w:tcPr>
            <w:tcW w:w="84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00" w:type="dxa"/>
            <w:vAlign w:val="bottom"/>
            <w:gridSpan w:val="2"/>
            <w:shd w:val="clear" w:color="auto" w:fill="003767"/>
          </w:tcPr>
          <w:p>
            <w:pPr>
              <w:spacing w:after="0"/>
              <w:rPr>
                <w:sz w:val="8"/>
                <w:szCs w:val="8"/>
                <w:color w:val="auto"/>
              </w:rPr>
            </w:pPr>
          </w:p>
        </w:tc>
        <w:tc>
          <w:tcPr>
            <w:tcW w:w="840" w:type="dxa"/>
            <w:vAlign w:val="bottom"/>
            <w:tcBorders>
              <w:right w:val="single" w:sz="8" w:color="003767"/>
            </w:tcBorders>
            <w:shd w:val="clear" w:color="auto" w:fill="003767"/>
          </w:tcPr>
          <w:p>
            <w:pPr>
              <w:spacing w:after="0"/>
              <w:rPr>
                <w:sz w:val="8"/>
                <w:szCs w:val="8"/>
                <w:color w:val="auto"/>
              </w:rPr>
            </w:pPr>
          </w:p>
        </w:tc>
      </w:tr>
      <w:tr>
        <w:trPr>
          <w:trHeight w:val="332"/>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Annualized (NII):</w:t>
            </w:r>
          </w:p>
        </w:tc>
        <w:tc>
          <w:tcPr>
            <w:tcW w:w="840" w:type="dxa"/>
            <w:vAlign w:val="bottom"/>
            <w:tcBorders>
              <w:right w:val="single" w:sz="8" w:color="003767"/>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10.0%</w:t>
            </w:r>
          </w:p>
        </w:tc>
      </w:tr>
      <w:tr>
        <w:trPr>
          <w:trHeight w:val="311"/>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2019 Annualized (NI):</w:t>
            </w:r>
          </w:p>
        </w:tc>
        <w:tc>
          <w:tcPr>
            <w:tcW w:w="840" w:type="dxa"/>
            <w:vAlign w:val="bottom"/>
            <w:tcBorders>
              <w:right w:val="single" w:sz="8" w:color="003767"/>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14.5%</w:t>
            </w:r>
          </w:p>
        </w:tc>
      </w:tr>
      <w:tr>
        <w:trPr>
          <w:trHeight w:val="365"/>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Q1 2019</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w:t>
            </w:r>
          </w:p>
        </w:tc>
        <w:tc>
          <w:tcPr>
            <w:tcW w:w="840" w:type="dxa"/>
            <w:vAlign w:val="bottom"/>
            <w:tcBorders>
              <w:right w:val="single" w:sz="8" w:color="003767"/>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11.7%</w:t>
            </w:r>
          </w:p>
        </w:tc>
      </w:tr>
      <w:tr>
        <w:trPr>
          <w:trHeight w:val="33"/>
        </w:trPr>
        <w:tc>
          <w:tcPr>
            <w:tcW w:w="300" w:type="dxa"/>
            <w:vAlign w:val="bottom"/>
            <w:tcBorders>
              <w:left w:val="single" w:sz="8" w:color="003767"/>
              <w:bottom w:val="single" w:sz="8" w:color="003767"/>
            </w:tcBorders>
          </w:tcPr>
          <w:p>
            <w:pPr>
              <w:spacing w:after="0"/>
              <w:rPr>
                <w:sz w:val="2"/>
                <w:szCs w:val="2"/>
                <w:color w:val="auto"/>
              </w:rPr>
            </w:pPr>
          </w:p>
        </w:tc>
        <w:tc>
          <w:tcPr>
            <w:tcW w:w="380" w:type="dxa"/>
            <w:vAlign w:val="bottom"/>
            <w:tcBorders>
              <w:bottom w:val="single" w:sz="8" w:color="003767"/>
            </w:tcBorders>
          </w:tcPr>
          <w:p>
            <w:pPr>
              <w:spacing w:after="0"/>
              <w:rPr>
                <w:sz w:val="2"/>
                <w:szCs w:val="2"/>
                <w:color w:val="auto"/>
              </w:rPr>
            </w:pPr>
          </w:p>
        </w:tc>
        <w:tc>
          <w:tcPr>
            <w:tcW w:w="1900" w:type="dxa"/>
            <w:vAlign w:val="bottom"/>
            <w:tcBorders>
              <w:bottom w:val="single" w:sz="8" w:color="003767"/>
            </w:tcBorders>
            <w:gridSpan w:val="2"/>
          </w:tcPr>
          <w:p>
            <w:pPr>
              <w:spacing w:after="0"/>
              <w:rPr>
                <w:sz w:val="2"/>
                <w:szCs w:val="2"/>
                <w:color w:val="auto"/>
              </w:rPr>
            </w:pPr>
          </w:p>
        </w:tc>
        <w:tc>
          <w:tcPr>
            <w:tcW w:w="840" w:type="dxa"/>
            <w:vAlign w:val="bottom"/>
            <w:tcBorders>
              <w:bottom w:val="single" w:sz="8" w:color="003767"/>
              <w:right w:val="single" w:sz="8" w:color="003767"/>
            </w:tcBorders>
          </w:tcPr>
          <w:p>
            <w:pPr>
              <w:spacing w:after="0"/>
              <w:rPr>
                <w:sz w:val="2"/>
                <w:szCs w:val="2"/>
                <w:color w:val="auto"/>
              </w:rPr>
            </w:pPr>
          </w:p>
        </w:tc>
      </w:tr>
      <w:tr>
        <w:trPr>
          <w:trHeight w:val="426"/>
        </w:trPr>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900" w:type="dxa"/>
            <w:vAlign w:val="bottom"/>
            <w:gridSpan w:val="2"/>
            <w:shd w:val="clear" w:color="auto" w:fill="003767"/>
          </w:tcPr>
          <w:p>
            <w:pPr>
              <w:jc w:val="center"/>
              <w:ind w:left="79"/>
              <w:spacing w:after="0"/>
              <w:rPr>
                <w:sz w:val="20"/>
                <w:szCs w:val="20"/>
                <w:color w:val="auto"/>
              </w:rPr>
            </w:pPr>
            <w:r>
              <w:rPr>
                <w:rFonts w:ascii="Times New Roman" w:cs="Times New Roman" w:eastAsia="Times New Roman" w:hAnsi="Times New Roman"/>
                <w:sz w:val="16"/>
                <w:szCs w:val="16"/>
                <w:b w:val="1"/>
                <w:bCs w:val="1"/>
                <w:color w:val="FFFFFF"/>
              </w:rPr>
              <w:t>Dividend (per share)</w:t>
            </w:r>
          </w:p>
        </w:tc>
        <w:tc>
          <w:tcPr>
            <w:tcW w:w="84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00" w:type="dxa"/>
            <w:vAlign w:val="bottom"/>
            <w:gridSpan w:val="2"/>
            <w:shd w:val="clear" w:color="auto" w:fill="003767"/>
          </w:tcPr>
          <w:p>
            <w:pPr>
              <w:spacing w:after="0"/>
              <w:rPr>
                <w:sz w:val="8"/>
                <w:szCs w:val="8"/>
                <w:color w:val="auto"/>
              </w:rPr>
            </w:pPr>
          </w:p>
        </w:tc>
        <w:tc>
          <w:tcPr>
            <w:tcW w:w="840" w:type="dxa"/>
            <w:vAlign w:val="bottom"/>
            <w:tcBorders>
              <w:right w:val="single" w:sz="8" w:color="003767"/>
            </w:tcBorders>
            <w:shd w:val="clear" w:color="auto" w:fill="003767"/>
          </w:tcPr>
          <w:p>
            <w:pPr>
              <w:spacing w:after="0"/>
              <w:rPr>
                <w:sz w:val="8"/>
                <w:szCs w:val="8"/>
                <w:color w:val="auto"/>
              </w:rPr>
            </w:pPr>
          </w:p>
        </w:tc>
      </w:tr>
      <w:tr>
        <w:trPr>
          <w:trHeight w:val="2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r>
      <w:tr>
        <w:trPr>
          <w:trHeight w:val="28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(Base):</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r>
      <w:tr>
        <w:trPr>
          <w:trHeight w:val="324"/>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Q1 2019</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$0.26</w:t>
            </w:r>
          </w:p>
        </w:tc>
      </w:tr>
      <w:tr>
        <w:trPr>
          <w:trHeight w:val="297"/>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Q1 2019</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(Base):</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r>
      <w:tr>
        <w:trPr>
          <w:trHeight w:val="405"/>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Q1 2019</w:t>
            </w: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r>
      <w:tr>
        <w:trPr>
          <w:trHeight w:val="33"/>
        </w:trPr>
        <w:tc>
          <w:tcPr>
            <w:tcW w:w="300" w:type="dxa"/>
            <w:vAlign w:val="bottom"/>
            <w:tcBorders>
              <w:left w:val="single" w:sz="8" w:color="003767"/>
              <w:bottom w:val="single" w:sz="8" w:color="003767"/>
            </w:tcBorders>
          </w:tcPr>
          <w:p>
            <w:pPr>
              <w:spacing w:after="0"/>
              <w:rPr>
                <w:sz w:val="2"/>
                <w:szCs w:val="2"/>
                <w:color w:val="auto"/>
              </w:rPr>
            </w:pPr>
          </w:p>
        </w:tc>
        <w:tc>
          <w:tcPr>
            <w:tcW w:w="380" w:type="dxa"/>
            <w:vAlign w:val="bottom"/>
            <w:tcBorders>
              <w:bottom w:val="single" w:sz="8" w:color="003767"/>
            </w:tcBorders>
          </w:tcPr>
          <w:p>
            <w:pPr>
              <w:spacing w:after="0"/>
              <w:rPr>
                <w:sz w:val="2"/>
                <w:szCs w:val="2"/>
                <w:color w:val="auto"/>
              </w:rPr>
            </w:pPr>
          </w:p>
        </w:tc>
        <w:tc>
          <w:tcPr>
            <w:tcW w:w="380" w:type="dxa"/>
            <w:vAlign w:val="bottom"/>
            <w:tcBorders>
              <w:bottom w:val="single" w:sz="8" w:color="003767"/>
            </w:tcBorders>
          </w:tcPr>
          <w:p>
            <w:pPr>
              <w:spacing w:after="0"/>
              <w:rPr>
                <w:sz w:val="2"/>
                <w:szCs w:val="2"/>
                <w:color w:val="auto"/>
              </w:rPr>
            </w:pPr>
          </w:p>
        </w:tc>
        <w:tc>
          <w:tcPr>
            <w:tcW w:w="1520" w:type="dxa"/>
            <w:vAlign w:val="bottom"/>
            <w:tcBorders>
              <w:bottom w:val="single" w:sz="8" w:color="003767"/>
            </w:tcBorders>
          </w:tcPr>
          <w:p>
            <w:pPr>
              <w:spacing w:after="0"/>
              <w:rPr>
                <w:sz w:val="2"/>
                <w:szCs w:val="2"/>
                <w:color w:val="auto"/>
              </w:rPr>
            </w:pPr>
          </w:p>
        </w:tc>
        <w:tc>
          <w:tcPr>
            <w:tcW w:w="840" w:type="dxa"/>
            <w:vAlign w:val="bottom"/>
            <w:tcBorders>
              <w:bottom w:val="single" w:sz="8" w:color="003767"/>
              <w:right w:val="single" w:sz="8" w:color="00376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-1534160</wp:posOffset>
            </wp:positionV>
            <wp:extent cx="889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-1534160</wp:posOffset>
            </wp:positionV>
            <wp:extent cx="889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360"/>
            <w:col w:w="3420"/>
          </w:cols>
          <w:pgMar w:left="240" w:top="11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783590</wp:posOffset>
            </wp:positionV>
            <wp:extent cx="724662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gross originations totaled $179.4 million. This compares to $373.4 million for the three months ended December 31, 2018.</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the principal amount of new investments funded was $145.3 million in four new portfolio companies and four existing portfolio companies. For this period, the Company had $33.1 million aggregate principal amount in exits and repayments.</w:t>
      </w:r>
    </w:p>
    <w:p>
      <w:pPr>
        <w:spacing w:after="0" w:line="9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quarter ended December 31, 2018, the principal amount of new investments funded was $147.7 million in four new portfolio companies and six existing portfolio companies. For this period, the Company had $382.6 million aggregate principal amount in exits and repayments.</w:t>
      </w:r>
    </w:p>
    <w:p>
      <w:pPr>
        <w:spacing w:after="0" w:line="10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March 31, 2019 and December 31, 2018, the Company had investments in 48 and 46 portfolio companies with an aggregate fair value of $1,824.9 million and $1,706.0 million, respectively. As of March 31, 2019, the average investment size in each portfolio company was $38.0 million based on fair value.</w:t>
      </w:r>
    </w:p>
    <w:p>
      <w:pPr>
        <w:spacing w:after="0" w:line="11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2019, the portfolio based on fair value consisted of 97.4% first-lien debt investments, 0.2% second-lien debt investments, 0.1% mezzanine debt investments, and 2.3% equity and other investments.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Company’s portfolio based on fair value consisted of 96.9% first-lien debt investments, 0.2% second-lien debt investments, 0.2% mezzanine debt investments, and 2.7% equity and other investments. As of March 31, 2019 and December 31, 2018, approximately 97.6% and 97.1% of the portfolio was invested in secured debt, respectively.</w:t>
      </w:r>
    </w:p>
    <w:p>
      <w:pPr>
        <w:spacing w:after="0" w:line="11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of March 31, 2019, 99.7% of debt investments based on fair value in the portfolio bore interest at floating rates (when including investment specific hedges), with 93.9% of these subject to interest rate floors.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and December 31, 2018, the weighted average total yield</w:t>
      </w:r>
    </w:p>
    <w:p>
      <w:pPr>
        <w:spacing w:after="0" w:line="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of debt and income-producing securities at fair value (which includes interest income and amortization of fees and discounts) was 11.4% and 11.6%, respectively, and the weighted average total yield of debt and income-producing securities at amortized cost (which includes interest income and amortization of fees and discounts) was 11.6% and 11.7%, respectively.</w:t>
      </w:r>
    </w:p>
    <w:p>
      <w:pPr>
        <w:spacing w:after="0" w:line="10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March 31, 2019, 100% of the portfolio at fair value was meeting all payment and covenant requirements, and no investments were on non-accrual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Gross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6979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$179.4MM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219075</wp:posOffset>
            </wp:positionV>
            <wp:extent cx="216979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Net Fundings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$112.2MM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219075</wp:posOffset>
            </wp:positionV>
            <wp:extent cx="216979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Average Investment Size</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$38.0MM</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(2.1%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187325</wp:posOffset>
            </wp:positionV>
            <wp:extent cx="216979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3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First Lien Debt Investments (% FV)</w:t>
      </w:r>
    </w:p>
    <w:p>
      <w:pPr>
        <w:spacing w:after="0" w:line="16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219075</wp:posOffset>
            </wp:positionV>
            <wp:extent cx="216979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Secured Debt Investments (% FV)</w:t>
      </w:r>
    </w:p>
    <w:p>
      <w:pPr>
        <w:spacing w:after="0" w:line="16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219075</wp:posOffset>
            </wp:positionV>
            <wp:extent cx="2169795" cy="668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FFFFFF"/>
        </w:rPr>
        <w:t>Weighted Average Portfolio Yields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Yield at Fair Value: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r>
      <w:tr>
        <w:trPr>
          <w:trHeight w:val="324"/>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Yield at Amortized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7640" w:space="440"/>
            <w:col w:w="3340"/>
          </w:cols>
          <w:pgMar w:left="240" w:top="135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i w:val="1"/>
          <w:i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Results of Operations for the Three Months Ended March 31, 2019</w:t>
      </w:r>
    </w:p>
    <w:p>
      <w:pPr>
        <w:sectPr>
          <w:pgSz w:w="11900" w:h="16838" w:orient="portrait"/>
          <w:cols w:equalWidth="0" w:num="1">
            <w:col w:w="11420"/>
          </w:cols>
          <w:pgMar w:left="240" w:top="1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and 2018, investment income totaled $52.5 million and $57.8 million, respectively. The decrease in investment income was primarily driven by lower prepayment fees and accelerated amortization of upfront fees from unscheduled paydowns and lower syndication and other fees.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Net expenses totaled $25.5 million and $25.7 million for the three months ended March 31, 2019 and 2018, respectively. The decrease in net expenses was primarily due to a decrease in incentive fees, partially offset by an increase in interest expense as a result of an increase in the average LIBOR on outstanding debt.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March 31, 2019, the Company had $9.7 million in cash and cash equivalents, including $5.6 million of restricted cash, total principal value of debt outstanding of $743.5 million, and $864.0 million of undrawn capacity on its revolving credit facility, subject to borrowing base and other limitations. The Company’s weighted average interest rate on debt outstanding was 4.7% and 4.5% for the three months ended March 31, 2019 and December 31, 2018, respectively. Average debt to equity was 0.66x and 0.71x during the three months ended March 31, 2019 and December 31, 2018,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69795"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$52.5MM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784860</wp:posOffset>
            </wp:positionV>
            <wp:extent cx="216979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Net Expenses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$25.5MM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784860</wp:posOffset>
            </wp:positionV>
            <wp:extent cx="216979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Total Principal Debt Outstanding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$743.5MM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313690</wp:posOffset>
            </wp:positionV>
            <wp:extent cx="216979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Available Liquidity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$864.0MM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304800</wp:posOffset>
            </wp:positionV>
            <wp:extent cx="2169795" cy="668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FFFFFF"/>
        </w:rPr>
        <w:t>Debt-to-Equity Ratio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 Quarter End:</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4"/>
              </w:rPr>
              <w:t>0.69x</w:t>
            </w:r>
          </w:p>
        </w:tc>
      </w:tr>
      <w:tr>
        <w:trPr>
          <w:trHeight w:val="475"/>
        </w:trPr>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Q1</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 Average</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4"/>
              </w:rPr>
              <w:t>0.66x</w:t>
            </w:r>
          </w:p>
        </w:tc>
      </w:tr>
    </w:tbl>
    <w:p>
      <w:pPr>
        <w:spacing w:after="0" w:line="200" w:lineRule="exact"/>
        <w:rPr>
          <w:sz w:val="20"/>
          <w:szCs w:val="20"/>
          <w:color w:val="auto"/>
        </w:rPr>
      </w:pPr>
    </w:p>
    <w:p>
      <w:pPr>
        <w:sectPr>
          <w:pgSz w:w="11900" w:h="16838" w:orient="portrait"/>
          <w:cols w:equalWidth="0" w:num="2">
            <w:col w:w="7660" w:space="420"/>
            <w:col w:w="3340"/>
          </w:cols>
          <w:pgMar w:left="240" w:top="1229" w:right="239" w:bottom="1440" w:gutter="0" w:footer="0" w:header="0"/>
          <w:type w:val="continuous"/>
        </w:sectPr>
      </w:pPr>
    </w:p>
    <w:p>
      <w:pPr>
        <w:spacing w:after="0" w:line="10" w:lineRule="exact"/>
        <w:rPr>
          <w:sz w:val="20"/>
          <w:szCs w:val="20"/>
          <w:color w:val="auto"/>
        </w:rPr>
      </w:pPr>
    </w:p>
    <w:p>
      <w:pPr>
        <w:ind w:left="420" w:right="260" w:hanging="412"/>
        <w:spacing w:after="0" w:line="262" w:lineRule="auto"/>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9"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Conference Call and Webcast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conference call to discuss the Company’s financial results will be held live at 8:30 a.m. Eastern Time on May 3, 2019. Please visit TSLX’s webcast link located on the Events &amp; Presentations page of the Investor Resources section of TSLX’s website http://www.tpgspecialtylending.com for a slide presentation that complements the Earnings Conference Call. Please visit the website to test your connection before the webcast.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(877) 359-9508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8996867</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 Information:</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An archived replay will be available from approximately 12:00 p.m. Eastern Time on May 3 through May 9 via a webcast link located on the Investor Resources section of TSLX’s website, and via the dial-in numbers listed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(855) 859-2056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8996867</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420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Highlights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(Amounts in millions,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340" w:type="dxa"/>
            <w:vAlign w:val="bottom"/>
          </w:tcPr>
          <w:p>
            <w:pPr>
              <w:spacing w:after="0"/>
              <w:rPr>
                <w:sz w:val="19"/>
                <w:szCs w:val="19"/>
                <w:color w:val="auto"/>
              </w:rPr>
            </w:pP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tcPr>
          <w:p>
            <w:pPr>
              <w:spacing w:after="0"/>
              <w:rPr>
                <w:sz w:val="19"/>
                <w:szCs w:val="19"/>
                <w:color w:val="auto"/>
              </w:rPr>
            </w:pP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Net Asset Value Per Share</w:t>
            </w:r>
            <w:r>
              <w:rPr>
                <w:rFonts w:ascii="Times New Roman" w:cs="Times New Roman" w:eastAsia="Times New Roman" w:hAnsi="Times New Roman"/>
                <w:sz w:val="15"/>
                <w:szCs w:val="15"/>
                <w:color w:val="auto"/>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tcPr>
          <w:p>
            <w:pPr>
              <w:spacing w:after="0"/>
              <w:rPr>
                <w:sz w:val="19"/>
                <w:szCs w:val="19"/>
                <w:color w:val="auto"/>
              </w:rPr>
            </w:pP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Gains (and Losses) Per Share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 (Net Investment Income)</w:t>
            </w:r>
            <w:r>
              <w:rPr>
                <w:rFonts w:ascii="Times New Roman" w:cs="Times New Roman" w:eastAsia="Times New Roman" w:hAnsi="Times New Roman"/>
                <w:sz w:val="15"/>
                <w:szCs w:val="15"/>
                <w:color w:val="auto"/>
              </w:rPr>
              <w:t>(2)</w:t>
            </w:r>
          </w:p>
        </w:tc>
        <w:tc>
          <w:tcPr>
            <w:tcW w:w="240" w:type="dxa"/>
            <w:vAlign w:val="bottom"/>
          </w:tcPr>
          <w:p>
            <w:pPr>
              <w:spacing w:after="0"/>
              <w:rPr>
                <w:sz w:val="19"/>
                <w:szCs w:val="19"/>
                <w:color w:val="auto"/>
              </w:rPr>
            </w:pP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Annualized Return on Equity (Net Income)</w:t>
            </w:r>
            <w:r>
              <w:rPr>
                <w:rFonts w:ascii="Times New Roman" w:cs="Times New Roman" w:eastAsia="Times New Roman" w:hAnsi="Times New Roman"/>
                <w:sz w:val="15"/>
                <w:szCs w:val="15"/>
                <w:color w:val="auto"/>
              </w:rPr>
              <w:t>(2)</w:t>
            </w:r>
          </w:p>
        </w:tc>
        <w:tc>
          <w:tcPr>
            <w:tcW w:w="24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w:t>
            </w:r>
          </w:p>
        </w:tc>
        <w:tc>
          <w:tcPr>
            <w:tcW w:w="240" w:type="dxa"/>
            <w:vAlign w:val="bottom"/>
            <w:shd w:val="clear" w:color="auto" w:fill="CFF0FC"/>
          </w:tcPr>
          <w:p>
            <w:pPr>
              <w:spacing w:after="0"/>
              <w:rPr>
                <w:sz w:val="18"/>
                <w:szCs w:val="18"/>
                <w:color w:val="auto"/>
              </w:rPr>
            </w:pPr>
          </w:p>
        </w:tc>
        <w:tc>
          <w:tcPr>
            <w:tcW w:w="20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at Fair Value</w:t>
            </w:r>
          </w:p>
        </w:tc>
        <w:tc>
          <w:tcPr>
            <w:tcW w:w="240" w:type="dxa"/>
            <w:vAlign w:val="bottom"/>
            <w:shd w:val="clear" w:color="auto" w:fill="CFF0FC"/>
          </w:tcPr>
          <w:p>
            <w:pPr>
              <w:spacing w:after="0"/>
              <w:rPr>
                <w:sz w:val="10"/>
                <w:szCs w:val="10"/>
                <w:color w:val="auto"/>
              </w:rPr>
            </w:pPr>
          </w:p>
        </w:tc>
        <w:tc>
          <w:tcPr>
            <w:tcW w:w="208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9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w:t>
            </w:r>
          </w:p>
        </w:tc>
        <w:tc>
          <w:tcPr>
            <w:tcW w:w="240" w:type="dxa"/>
            <w:vAlign w:val="bottom"/>
          </w:tcPr>
          <w:p>
            <w:pPr>
              <w:spacing w:after="0"/>
              <w:rPr>
                <w:sz w:val="18"/>
                <w:szCs w:val="18"/>
                <w:color w:val="auto"/>
              </w:rPr>
            </w:pPr>
          </w:p>
        </w:tc>
        <w:tc>
          <w:tcPr>
            <w:tcW w:w="2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26"/>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at Amortized Cost</w:t>
            </w:r>
          </w:p>
        </w:tc>
        <w:tc>
          <w:tcPr>
            <w:tcW w:w="24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w:t>
            </w:r>
          </w:p>
        </w:tc>
        <w:tc>
          <w:tcPr>
            <w:tcW w:w="240" w:type="dxa"/>
            <w:vAlign w:val="bottom"/>
            <w:shd w:val="clear" w:color="auto" w:fill="CFF0FC"/>
          </w:tcPr>
          <w:p>
            <w:pPr>
              <w:spacing w:after="0"/>
              <w:rPr>
                <w:sz w:val="18"/>
                <w:szCs w:val="18"/>
                <w:color w:val="auto"/>
              </w:rPr>
            </w:pPr>
          </w:p>
        </w:tc>
        <w:tc>
          <w:tcPr>
            <w:tcW w:w="20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Rates </w:t>
            </w:r>
            <w:r>
              <w:rPr>
                <w:rFonts w:ascii="Times New Roman" w:cs="Times New Roman" w:eastAsia="Times New Roman" w:hAnsi="Times New Roman"/>
                <w:sz w:val="15"/>
                <w:szCs w:val="15"/>
                <w:color w:val="auto"/>
              </w:rPr>
              <w:t>(3)</w:t>
            </w:r>
          </w:p>
        </w:tc>
        <w:tc>
          <w:tcPr>
            <w:tcW w:w="240" w:type="dxa"/>
            <w:vAlign w:val="bottom"/>
            <w:shd w:val="clear" w:color="auto" w:fill="CFF0FC"/>
          </w:tcPr>
          <w:p>
            <w:pPr>
              <w:spacing w:after="0"/>
              <w:rPr>
                <w:sz w:val="10"/>
                <w:szCs w:val="10"/>
                <w:color w:val="auto"/>
              </w:rPr>
            </w:pPr>
          </w:p>
        </w:tc>
        <w:tc>
          <w:tcPr>
            <w:tcW w:w="208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1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9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20" w:hanging="812"/>
        <w:spacing w:after="0"/>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Asset Value Per Share gives effect to the supplemental dividend declared related to earnings in the applicable period.</w:t>
      </w:r>
    </w:p>
    <w:p>
      <w:pPr>
        <w:spacing w:after="0" w:line="3" w:lineRule="exact"/>
        <w:rPr>
          <w:rFonts w:ascii="Times New Roman" w:cs="Times New Roman" w:eastAsia="Times New Roman" w:hAnsi="Times New Roman"/>
          <w:sz w:val="14"/>
          <w:szCs w:val="14"/>
          <w:color w:val="auto"/>
        </w:rPr>
      </w:pPr>
    </w:p>
    <w:p>
      <w:pPr>
        <w:ind w:left="820" w:hanging="812"/>
        <w:spacing w:after="0" w:line="221"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equity is calculated using prior period’s ending net asset value per share.</w:t>
      </w:r>
    </w:p>
    <w:p>
      <w:pPr>
        <w:ind w:left="820" w:hanging="812"/>
        <w:spacing w:after="0"/>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or more fixed rate investments for which the Company entered into an interest rate swap agreement to swap to floating rate.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9" w:right="2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Statements and Tables</w:t>
      </w:r>
    </w:p>
    <w:p>
      <w:pPr>
        <w:spacing w:after="0" w:line="27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TPG Specialty Lending, Inc.</w:t>
      </w:r>
    </w:p>
    <w:p>
      <w:pPr>
        <w:spacing w:after="0" w:line="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160"/>
        </w:trPr>
        <w:tc>
          <w:tcPr>
            <w:tcW w:w="7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right"/>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$1,649,133 and $1,546,780,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1,680,699</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1,565,532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Non-controlled, affiliated investments (amortized cost of $90,305 and $84,602,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$86,281 and $85,018,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(amortized cost of $1,825,719 and $1,716,400,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of $5,622 and $7,303, respectively)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1,849,520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1,730,324</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of $17,708 and $15,508,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724,521</w:t>
            </w:r>
          </w:p>
        </w:tc>
        <w:tc>
          <w:tcPr>
            <w:tcW w:w="18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667,122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2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65,802,042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65,501,897 shares issued, respectively; and 65,712,962 and 65,412,817 shares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997,198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89,080 and 89,080 shares held, respectively</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1,074,064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1,063,202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1,849,520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1,730,324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15"/>
        </w:trPr>
        <w:tc>
          <w:tcPr>
            <w:tcW w:w="7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9" w:right="219" w:bottom="1440" w:gutter="0" w:footer="0" w:header="0"/>
        </w:sectPr>
      </w:pPr>
    </w:p>
    <w:bookmarkStart w:id="9" w:name="page10"/>
    <w:bookmarkEnd w:id="9"/>
    <w:p>
      <w:pPr>
        <w:jc w:val="center"/>
        <w:ind w:right="5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TPG Specialty Lending, Inc.</w:t>
      </w:r>
    </w:p>
    <w:p>
      <w:pPr>
        <w:spacing w:after="0" w:line="2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per share amounts)</w:t>
      </w:r>
    </w:p>
    <w:p>
      <w:pPr>
        <w:spacing w:after="0" w:line="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160"/>
        </w:trPr>
        <w:tc>
          <w:tcPr>
            <w:tcW w:w="5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46,523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47,967</w:t>
            </w:r>
          </w:p>
        </w:tc>
        <w:tc>
          <w:tcPr>
            <w:tcW w:w="80" w:type="dxa"/>
            <w:vAlign w:val="bottom"/>
            <w:shd w:val="clear" w:color="auto" w:fill="CFF0FC"/>
          </w:tcPr>
          <w:p>
            <w:pPr>
              <w:spacing w:after="0"/>
              <w:rPr>
                <w:sz w:val="19"/>
                <w:szCs w:val="19"/>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 income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9"/>
                <w:szCs w:val="19"/>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80" w:type="dxa"/>
            <w:vAlign w:val="bottom"/>
            <w:shd w:val="clear" w:color="auto" w:fill="CFF0FC"/>
          </w:tcPr>
          <w:p>
            <w:pPr>
              <w:spacing w:after="0"/>
              <w:rPr>
                <w:sz w:val="19"/>
                <w:szCs w:val="19"/>
                <w:color w:val="auto"/>
              </w:rPr>
            </w:pPr>
          </w:p>
        </w:tc>
      </w:tr>
      <w:tr>
        <w:trPr>
          <w:trHeight w:val="223"/>
        </w:trPr>
        <w:tc>
          <w:tcPr>
            <w:tcW w:w="56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53,981</w:t>
            </w:r>
          </w:p>
        </w:tc>
        <w:tc>
          <w:tcPr>
            <w:tcW w:w="80" w:type="dxa"/>
            <w:vAlign w:val="bottom"/>
          </w:tcPr>
          <w:p>
            <w:pPr>
              <w:spacing w:after="0"/>
              <w:rPr>
                <w:sz w:val="19"/>
                <w:szCs w:val="19"/>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9"/>
                <w:szCs w:val="19"/>
                <w:color w:val="auto"/>
              </w:rPr>
            </w:pPr>
          </w:p>
        </w:tc>
      </w:tr>
      <w:tr>
        <w:trPr>
          <w:trHeight w:val="223"/>
        </w:trPr>
        <w:tc>
          <w:tcPr>
            <w:tcW w:w="56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r>
      <w:tr>
        <w:trPr>
          <w:trHeight w:val="230"/>
        </w:trPr>
        <w:tc>
          <w:tcPr>
            <w:tcW w:w="5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80" w:type="dxa"/>
            <w:vAlign w:val="bottom"/>
          </w:tcPr>
          <w:p>
            <w:pPr>
              <w:spacing w:after="0"/>
              <w:rPr>
                <w:sz w:val="19"/>
                <w:szCs w:val="19"/>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8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52,487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57,767</w:t>
            </w:r>
          </w:p>
        </w:tc>
        <w:tc>
          <w:tcPr>
            <w:tcW w:w="80" w:type="dxa"/>
            <w:vAlign w:val="bottom"/>
            <w:shd w:val="clear" w:color="auto" w:fill="CFF0FC"/>
          </w:tcPr>
          <w:p>
            <w:pPr>
              <w:spacing w:after="0"/>
              <w:rPr>
                <w:sz w:val="19"/>
                <w:szCs w:val="19"/>
                <w:color w:val="auto"/>
              </w:rPr>
            </w:pPr>
          </w:p>
        </w:tc>
      </w:tr>
      <w:tr>
        <w:trPr>
          <w:trHeight w:val="200"/>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9,070</w:t>
            </w:r>
          </w:p>
        </w:tc>
        <w:tc>
          <w:tcPr>
            <w:tcW w:w="8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w:t>
            </w:r>
          </w:p>
        </w:tc>
        <w:tc>
          <w:tcPr>
            <w:tcW w:w="8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6,608</w:t>
            </w:r>
          </w:p>
        </w:tc>
        <w:tc>
          <w:tcPr>
            <w:tcW w:w="8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Directors’ fees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25,549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25,794</w:t>
            </w:r>
          </w:p>
        </w:tc>
        <w:tc>
          <w:tcPr>
            <w:tcW w:w="8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Management and incentive fees waived</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56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9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25,549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25,731</w:t>
            </w:r>
          </w:p>
        </w:tc>
        <w:tc>
          <w:tcPr>
            <w:tcW w:w="80" w:type="dxa"/>
            <w:vAlign w:val="bottom"/>
            <w:shd w:val="clear" w:color="auto" w:fill="CFF0FC"/>
          </w:tcPr>
          <w:p>
            <w:pPr>
              <w:spacing w:after="0"/>
              <w:rPr>
                <w:sz w:val="19"/>
                <w:szCs w:val="19"/>
                <w:color w:val="auto"/>
              </w:rPr>
            </w:pPr>
          </w:p>
        </w:tc>
      </w:tr>
    </w:tbl>
    <w:p>
      <w:pPr>
        <w:spacing w:after="0" w:line="16" w:lineRule="exact"/>
        <w:rPr>
          <w:sz w:val="20"/>
          <w:szCs w:val="20"/>
          <w:color w:val="auto"/>
        </w:rPr>
      </w:pPr>
    </w:p>
    <w:p>
      <w:pPr>
        <w:sectPr>
          <w:pgSz w:w="11900" w:h="16838" w:orient="portrait"/>
          <w:cols w:equalWidth="0" w:num="1">
            <w:col w:w="10840"/>
          </w:cols>
          <w:pgMar w:left="820" w:top="1089" w:right="23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651764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 including excise taxes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651764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change in unrealized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51764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Non-controlled, non-affiliated investments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Non-controlled, 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51764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Controlled, affiliated investments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51764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Total net change in unrealized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51764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Realized gains (losses):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651764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Controlled, affiliated investments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Foreign currency transactions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26,938</w:t>
            </w:r>
          </w:p>
        </w:tc>
        <w:tc>
          <w:tcPr>
            <w:tcW w:w="2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26,638</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89"/>
        </w:trPr>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12,813</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20" w:type="dxa"/>
            <w:vAlign w:val="bottom"/>
          </w:tcPr>
          <w:p>
            <w:pPr>
              <w:spacing w:after="0"/>
              <w:rPr>
                <w:sz w:val="18"/>
                <w:szCs w:val="18"/>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(3,667)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(3,371</w:t>
            </w:r>
            <w:r>
              <w:rPr>
                <w:rFonts w:ascii="Times New Roman" w:cs="Times New Roman" w:eastAsia="Times New Roman" w:hAnsi="Times New Roman"/>
                <w:sz w:val="18"/>
                <w:szCs w:val="18"/>
                <w:color w:val="auto"/>
              </w:rPr>
              <w:t>)</w:t>
            </w:r>
          </w:p>
        </w:tc>
      </w:tr>
      <w:tr>
        <w:trPr>
          <w:trHeight w:val="230"/>
        </w:trPr>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(1,432)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(981</w:t>
            </w:r>
            <w:r>
              <w:rPr>
                <w:rFonts w:ascii="Times New Roman" w:cs="Times New Roman" w:eastAsia="Times New Roman" w:hAnsi="Times New Roman"/>
                <w:sz w:val="18"/>
                <w:szCs w:val="18"/>
                <w:color w:val="auto"/>
              </w:rPr>
              <w:t>)</w:t>
            </w:r>
          </w:p>
        </w:tc>
      </w:tr>
      <w:tr>
        <w:trPr>
          <w:trHeight w:val="234"/>
        </w:trPr>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3,319</w:t>
            </w:r>
          </w:p>
        </w:tc>
        <w:tc>
          <w:tcPr>
            <w:tcW w:w="2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(4,194</w:t>
            </w:r>
            <w:r>
              <w:rPr>
                <w:rFonts w:ascii="Times New Roman" w:cs="Times New Roman" w:eastAsia="Times New Roman" w:hAnsi="Times New Roman"/>
                <w:sz w:val="18"/>
                <w:szCs w:val="18"/>
                <w:color w:val="auto"/>
              </w:rPr>
              <w:t>)</w:t>
            </w:r>
          </w:p>
        </w:tc>
      </w:tr>
      <w:tr>
        <w:trPr>
          <w:trHeight w:val="223"/>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11,460</w:t>
            </w:r>
          </w:p>
        </w:tc>
        <w:tc>
          <w:tcPr>
            <w:tcW w:w="2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70"/>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20" w:type="dxa"/>
            <w:vAlign w:val="bottom"/>
          </w:tcPr>
          <w:p>
            <w:pPr>
              <w:spacing w:after="0"/>
              <w:rPr>
                <w:sz w:val="19"/>
                <w:szCs w:val="19"/>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2">
            <w:col w:w="5860" w:space="720"/>
            <w:col w:w="4260"/>
          </w:cols>
          <w:pgMar w:left="820" w:top="1089"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4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Total net realized gains</w:t>
            </w:r>
          </w:p>
        </w:tc>
        <w:tc>
          <w:tcPr>
            <w:tcW w:w="1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12,107</w:t>
            </w: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b w:val="1"/>
                <w:bCs w:val="1"/>
                <w:color w:val="auto"/>
              </w:rPr>
              <w:t>Increase in Net Assets Resulting from Operations</w:t>
            </w:r>
          </w:p>
        </w:tc>
        <w:tc>
          <w:tcPr>
            <w:tcW w:w="17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38,745</w:t>
            </w:r>
          </w:p>
        </w:tc>
        <w:tc>
          <w:tcPr>
            <w:tcW w:w="7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color w:val="auto"/>
              </w:rPr>
              <w:t>Earnings per common share—basic and diluted</w:t>
            </w:r>
          </w:p>
        </w:tc>
        <w:tc>
          <w:tcPr>
            <w:tcW w:w="1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116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65,595,441</w:t>
            </w:r>
          </w:p>
        </w:tc>
        <w:tc>
          <w:tcPr>
            <w:tcW w:w="22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60,840,459</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20" w:top="1089" w:right="239" w:bottom="1440" w:gutter="0" w:footer="0" w:header="0"/>
          <w:type w:val="continuous"/>
        </w:sectPr>
      </w:pPr>
    </w:p>
    <w:bookmarkStart w:id="10" w:name="page11"/>
    <w:bookmarkEnd w:id="10"/>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The Company’s investment activity for the three months ended March 31, 2019 and 2018 is presented below (information presented herein is at par value unless otherwise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Pr>
          <w:p>
            <w:pPr>
              <w:spacing w:after="0"/>
              <w:rPr>
                <w:sz w:val="15"/>
                <w:szCs w:val="15"/>
                <w:color w:val="auto"/>
              </w:rPr>
            </w:pPr>
          </w:p>
        </w:tc>
        <w:tc>
          <w:tcPr>
            <w:tcW w:w="3560" w:type="dxa"/>
            <w:vAlign w:val="bottom"/>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66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4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originations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Second-lien</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Mezzanine</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and other</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Second-lien</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Mezzanine</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and other</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66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2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7"/>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7"/>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2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About TPG Specialty Lending</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(TSSP), a global finance and investment firm with over $30 billion of assets under management as of December 31, 2018. TSSP is in a strategic partnership with TPG, the global alternative asset firm. For more information, visit the Company’s website at www.tpgspecialtylending.com.</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Lucy Lu, 212–601-4753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IRTSL@tpg.com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Patrick Clifford, 617-793-2004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PClifford@tssp.com</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420"/>
      </w:cols>
      <w:pgMar w:left="240" w:top="10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2019-12-28T13:14:03Z</dcterms:created>
  <dcterms:modified xsi:type="dcterms:W3CDTF">2019-12-28T13:14:03Z</dcterms:modified>
</cp:coreProperties>
</file>