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00" w:type="dxa"/>
            <w:vAlign w:val="bottom"/>
          </w:tcPr>
          <w:p>
            <w:pPr>
              <w:jc w:val="center"/>
              <w:ind w:right="233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ind w:left="100"/>
              <w:spacing w:after="0"/>
              <w:rPr>
                <w:sz w:val="20"/>
                <w:szCs w:val="20"/>
                <w:color w:val="auto"/>
              </w:rPr>
            </w:pPr>
            <w:r>
              <w:rPr>
                <w:rFonts w:ascii="Arial" w:cs="Arial" w:eastAsia="Arial" w:hAnsi="Arial"/>
                <w:sz w:val="18"/>
                <w:szCs w:val="18"/>
                <w:b w:val="1"/>
                <w:bCs w:val="1"/>
                <w:color w:val="auto"/>
              </w:rPr>
              <w:t>001-36364</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410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00" w:type="dxa"/>
            <w:vAlign w:val="bottom"/>
          </w:tcPr>
          <w:p>
            <w:pPr>
              <w:jc w:val="center"/>
              <w:ind w:right="2319"/>
              <w:spacing w:after="0"/>
              <w:rPr>
                <w:sz w:val="20"/>
                <w:szCs w:val="20"/>
                <w:color w:val="auto"/>
              </w:rPr>
            </w:pPr>
            <w:r>
              <w:rPr>
                <w:rFonts w:ascii="Arial" w:cs="Arial" w:eastAsia="Arial" w:hAnsi="Arial"/>
                <w:sz w:val="14"/>
                <w:szCs w:val="14"/>
                <w:b w:val="1"/>
                <w:bCs w:val="1"/>
                <w:color w:val="auto"/>
                <w:w w:val="94"/>
              </w:rPr>
              <w:t>of Incorporation)</w:t>
            </w:r>
          </w:p>
        </w:tc>
        <w:tc>
          <w:tcPr>
            <w:tcW w:w="224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100" w:type="dxa"/>
            <w:vAlign w:val="bottom"/>
          </w:tcPr>
          <w:p>
            <w:pPr>
              <w:jc w:val="center"/>
              <w:ind w:left="1159"/>
              <w:spacing w:after="0"/>
              <w:rPr>
                <w:sz w:val="20"/>
                <w:szCs w:val="20"/>
                <w:color w:val="auto"/>
              </w:rPr>
            </w:pPr>
            <w:r>
              <w:rPr>
                <w:rFonts w:ascii="Arial" w:cs="Arial" w:eastAsia="Arial" w:hAnsi="Arial"/>
                <w:sz w:val="18"/>
                <w:szCs w:val="18"/>
                <w:b w:val="1"/>
                <w:bCs w:val="1"/>
                <w:color w:val="auto"/>
                <w:w w:val="90"/>
              </w:rPr>
              <w:t>2100 McKinney Avenue, Suite 1500</w:t>
            </w:r>
          </w:p>
        </w:tc>
        <w:tc>
          <w:tcPr>
            <w:tcW w:w="22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100" w:type="dxa"/>
            <w:vAlign w:val="bottom"/>
          </w:tcPr>
          <w:p>
            <w:pPr>
              <w:jc w:val="center"/>
              <w:ind w:left="1159"/>
              <w:spacing w:after="0"/>
              <w:rPr>
                <w:sz w:val="20"/>
                <w:szCs w:val="20"/>
                <w:color w:val="auto"/>
              </w:rPr>
            </w:pPr>
            <w:r>
              <w:rPr>
                <w:rFonts w:ascii="Arial" w:cs="Arial" w:eastAsia="Arial" w:hAnsi="Arial"/>
                <w:sz w:val="18"/>
                <w:szCs w:val="18"/>
                <w:b w:val="1"/>
                <w:bCs w:val="1"/>
                <w:color w:val="auto"/>
                <w:w w:val="95"/>
              </w:rPr>
              <w:t>Dallas, TX</w:t>
            </w:r>
          </w:p>
        </w:tc>
        <w:tc>
          <w:tcPr>
            <w:tcW w:w="224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100" w:type="dxa"/>
            <w:vAlign w:val="bottom"/>
          </w:tcPr>
          <w:p>
            <w:pPr>
              <w:jc w:val="center"/>
              <w:ind w:left="1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4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TSLX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 – Other Events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On March 24, 2021, Sixth Street Specialty Lending, Inc. (the “Company”) issued 49,689 shares (the “Shares”) of the Company’s common stock, par value $0.01 per share (“Common Stock”), pursuant to the underwriters’ partial exercise of the option to purchase additional shares granted to the underwriters in connection with the Company’s previously announced public offering of 4,000,000 shares of Common Stock, which closed February 23, 2021. Net proceeds to the Company from the issuance of the Shares were approximately $1.0 million (after deducting estimated offering expenses).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3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2"/>
                <w:szCs w:val="22"/>
                <w:color w:val="auto"/>
              </w:rPr>
            </w:pPr>
          </w:p>
        </w:tc>
        <w:tc>
          <w:tcPr>
            <w:tcW w:w="3660" w:type="dxa"/>
            <w:vAlign w:val="bottom"/>
            <w:tcBorders>
              <w:bottom w:val="single" w:sz="8" w:color="0000EE"/>
            </w:tcBorders>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Opinion of Cleary Gottlieb Steen &amp; Hamilton LLP</w:t>
              </w:r>
            </w:hyperlink>
          </w:p>
        </w:tc>
        <w:tc>
          <w:tcPr>
            <w:tcW w:w="63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Consent of Cleary Gottlieb Steen &amp; Hamilton LLP (included as part of Exhibit 5.1)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7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171450</wp:posOffset>
            </wp:positionV>
            <wp:extent cx="6403340" cy="25971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0334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March 24,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2100 McKinney Avenue,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We have acted as counsel to Sixth Street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Company’s offering pursuant to a registration statement on Form N-2 (No. 333-231271), as amended as of its most recent effective date (February 18, 2021) for purposes of Rule 430B(f)(2)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(as so amended, including the documents incorporated by reference therein,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the related prospectus dated May 7, 2019, included in the Registration Statement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as supplemented by the preliminary prospectus supplement dated February 18, 2021, as filed with the Commission pursuant to Rule 424(b)(2) under the Securities Act (the “</w:t>
      </w:r>
      <w:r>
        <w:rPr>
          <w:rFonts w:ascii="Arial" w:cs="Arial" w:eastAsia="Arial" w:hAnsi="Arial"/>
          <w:sz w:val="16"/>
          <w:szCs w:val="16"/>
          <w:u w:val="single" w:color="auto"/>
          <w:color w:val="auto"/>
        </w:rPr>
        <w:t>Preliminary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and the related prospectus supplement dated February 18, 2021, as filed with the Commission pursuant to Rule 424(b)(2) under the Securities Act (the “</w:t>
      </w:r>
      <w:r>
        <w:rPr>
          <w:rFonts w:ascii="Arial" w:cs="Arial" w:eastAsia="Arial" w:hAnsi="Arial"/>
          <w:sz w:val="16"/>
          <w:szCs w:val="16"/>
          <w:u w:val="single" w:color="auto"/>
          <w:color w:val="auto"/>
        </w:rPr>
        <w:t>Final Prospectus Supplement</w:t>
      </w:r>
      <w:r>
        <w:rPr>
          <w:rFonts w:ascii="Arial" w:cs="Arial" w:eastAsia="Arial" w:hAnsi="Arial"/>
          <w:sz w:val="16"/>
          <w:szCs w:val="16"/>
          <w:color w:val="auto"/>
        </w:rPr>
        <w:t>”) of 49,689 of the Company’s shares of common stock, par value $0.01 per share (the “</w:t>
      </w:r>
      <w:r>
        <w:rPr>
          <w:rFonts w:ascii="Arial" w:cs="Arial" w:eastAsia="Arial" w:hAnsi="Arial"/>
          <w:sz w:val="16"/>
          <w:szCs w:val="16"/>
          <w:u w:val="single" w:color="auto"/>
          <w:color w:val="auto"/>
        </w:rPr>
        <w:t>Securities</w:t>
      </w:r>
      <w:r>
        <w:rPr>
          <w:rFonts w:ascii="Arial" w:cs="Arial" w:eastAsia="Arial" w:hAnsi="Arial"/>
          <w:sz w:val="16"/>
          <w:szCs w:val="16"/>
          <w:color w:val="auto"/>
        </w:rPr>
        <w:t>”). The Base Prospectus and the Preliminary Prospectus Supplement together are herein called the “</w:t>
      </w:r>
      <w:r>
        <w:rPr>
          <w:rFonts w:ascii="Arial" w:cs="Arial" w:eastAsia="Arial" w:hAnsi="Arial"/>
          <w:sz w:val="16"/>
          <w:szCs w:val="16"/>
          <w:u w:val="single" w:color="auto"/>
          <w:color w:val="auto"/>
        </w:rPr>
        <w:t>Pricing Prospectus</w:t>
      </w:r>
      <w:r>
        <w:rPr>
          <w:rFonts w:ascii="Arial" w:cs="Arial" w:eastAsia="Arial" w:hAnsi="Arial"/>
          <w:sz w:val="16"/>
          <w:szCs w:val="16"/>
          <w:color w:val="auto"/>
        </w:rPr>
        <w:t>,” and the Base Prospectus and the Final Prospectus Supplement together are herein called the “</w:t>
      </w:r>
      <w:r>
        <w:rPr>
          <w:rFonts w:ascii="Arial" w:cs="Arial" w:eastAsia="Arial" w:hAnsi="Arial"/>
          <w:sz w:val="16"/>
          <w:szCs w:val="16"/>
          <w:u w:val="single" w:color="auto"/>
          <w:color w:val="auto"/>
        </w:rPr>
        <w:t>Final Prospectus</w:t>
      </w:r>
      <w:r>
        <w:rPr>
          <w:rFonts w:ascii="Arial" w:cs="Arial" w:eastAsia="Arial" w:hAnsi="Arial"/>
          <w:sz w:val="16"/>
          <w:szCs w:val="16"/>
          <w:color w:val="auto"/>
        </w:rPr>
        <w: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131" w:lineRule="exact"/>
        <w:rPr>
          <w:sz w:val="20"/>
          <w:szCs w:val="20"/>
          <w:color w:val="auto"/>
        </w:rPr>
      </w:pPr>
    </w:p>
    <w:p>
      <w:pPr>
        <w:jc w:val="both"/>
        <w:ind w:left="960" w:right="120" w:hanging="532"/>
        <w:spacing w:after="0" w:line="342"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executed copy of the Underwriting Agreement dated February 18, 2021 among the Company, Sixth Street Specialty Lending Advisers, LLC, a Delaware limited liability company registered as an investment adviser, and the several underwriters named in Schedule 1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104775</wp:posOffset>
            </wp:positionV>
            <wp:extent cx="3985895"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85895" cy="12001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Inc., p. 2</w:t>
      </w:r>
    </w:p>
    <w:p>
      <w:pPr>
        <w:spacing w:after="0" w:line="158"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Prospectus;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Final Prospectus;</w:t>
      </w:r>
    </w:p>
    <w:p>
      <w:pPr>
        <w:spacing w:after="0" w:line="13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certificate of American Stock Transfer &amp; Trust Company, LLC, as registrar and transfer agent for the Securities, certifying due issuance and registration of the Securities;</w:t>
      </w:r>
    </w:p>
    <w:p>
      <w:pPr>
        <w:spacing w:after="0" w:line="75"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copies of the Company’s Amended and Restated Certificate of Incorporation and Certificate of Amendment to the Amended and Restated Certificate of Incorporation, each certified by the Secretary of State of the State of Delaware, and the Company’s Amended and Restated Bylaws, certified by the Secretary of the Company.</w:t>
      </w:r>
    </w:p>
    <w:p>
      <w:pPr>
        <w:spacing w:after="0" w:line="18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 addition, we have reviewed the originals or copies certified or otherwise identified to our satisfaction of all such corporate records of the Company and such other documents, and we have made such investigations of law, as we have deemed appropriate as a basis for the opinion expressed below.</w:t>
      </w:r>
    </w:p>
    <w:p>
      <w:pPr>
        <w:spacing w:after="0" w:line="124"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 In addition, we have assumed and have not verified the accuracy as to factual matters of each document we have reviewed.</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have been validly issued by the Company and are fully paid and nonassessable.</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Insofar as the foregoing opinion relates to the validity, binding effect or enforceability of any agreement or obligation of the Company, (a) we have assumed that the Company and each other party to such agreement or obligation has satisfied those legal requirements that are applicable to it to the extent necessary to make such agreement or obligation enforceable against it (except no such assumption is made as to the Company regarding matters of the General Corporation Law of the State of Delaware that in our experience normally would be applicable to general business entities with respect to such agreement or obligation) and (b) such opinion is subject to applicable bankruptcy, insolvency and similar laws affecting creditors’ rights generally and to general principles of equity.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opinion is limited to the General Corporation Law of the State of Delaware.</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We hereby consent to the use of our name in the Final Prospectus under the headings “Legal Matters” as counsel for the Company that has passed on the validity of the Securities, and to the filing of this opinion letter as Exhibit 5.1 to the Company’s Current Report on Form 8-K dated March 24, 2021. In giving this consent, we do not thereby admit that we are within the category of persons whose consent is required under Section 7 of the Securities Act or the rules and regulations of the Commission thereunder.</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Inc., p. 3</w:t>
      </w:r>
    </w:p>
    <w:p>
      <w:pPr>
        <w:spacing w:after="0" w:line="158"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opinion expressed herein is rendered on and as of the date hereof, and we assume no obligation to advise you or any other person, or to make any investigations, as to any legal developments or factual matters arising subsequent to the date hereof that might affect the opinion expressed herein.</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CLEARY GOTTLIEB STEEN &amp; HAMILTON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Adam E. Fleisher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Adam E. Fleisher, a Partner</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2021-03-25T19:17:57Z</dcterms:created>
  <dcterms:modified xsi:type="dcterms:W3CDTF">2021-03-25T19:17:57Z</dcterms:modified>
</cp:coreProperties>
</file>