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-215265</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132715</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9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February 16,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88265</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05"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90170</wp:posOffset>
            </wp:positionV>
            <wp:extent cx="1645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53" w:lineRule="exact"/>
        <w:rPr>
          <w:sz w:val="24"/>
          <w:szCs w:val="24"/>
          <w:color w:val="auto"/>
        </w:rPr>
      </w:pPr>
    </w:p>
    <w:tbl>
      <w:tblPr>
        <w:tblLayout w:type="fixed"/>
        <w:tblInd w:w="560" w:type="dxa"/>
        <w:tblCellMar>
          <w:top w:w="0" w:type="dxa"/>
          <w:left w:w="0" w:type="dxa"/>
          <w:bottom w:w="0" w:type="dxa"/>
          <w:right w:w="0" w:type="dxa"/>
        </w:tblCellMar>
      </w:tblP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3"/>
              </w:rPr>
              <w:t>Delaware</w:t>
            </w:r>
          </w:p>
        </w:tc>
        <w:tc>
          <w:tcPr>
            <w:tcW w:w="3220" w:type="dxa"/>
            <w:vAlign w:val="bottom"/>
          </w:tcPr>
          <w:p>
            <w:pPr>
              <w:ind w:left="1060"/>
              <w:spacing w:after="0"/>
              <w:rPr>
                <w:sz w:val="20"/>
                <w:szCs w:val="20"/>
                <w:color w:val="auto"/>
              </w:rPr>
            </w:pPr>
            <w:r>
              <w:rPr>
                <w:rFonts w:ascii="Arial" w:cs="Arial" w:eastAsia="Arial" w:hAnsi="Arial"/>
                <w:sz w:val="18"/>
                <w:szCs w:val="18"/>
                <w:b w:val="1"/>
                <w:bCs w:val="1"/>
                <w:color w:val="auto"/>
              </w:rPr>
              <w:t>001-36364</w:t>
            </w:r>
          </w:p>
        </w:tc>
        <w:tc>
          <w:tcPr>
            <w:tcW w:w="250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8"/>
        </w:trPr>
        <w:tc>
          <w:tcPr>
            <w:tcW w:w="3740" w:type="dxa"/>
            <w:vAlign w:val="bottom"/>
          </w:tcPr>
          <w:p>
            <w:pPr>
              <w:jc w:val="center"/>
              <w:ind w:right="9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20" w:type="dxa"/>
            <w:vAlign w:val="bottom"/>
          </w:tcPr>
          <w:p>
            <w:pPr>
              <w:ind w:left="1040"/>
              <w:spacing w:after="0" w:line="149" w:lineRule="exact"/>
              <w:rPr>
                <w:sz w:val="20"/>
                <w:szCs w:val="20"/>
                <w:color w:val="auto"/>
              </w:rPr>
            </w:pPr>
            <w:r>
              <w:rPr>
                <w:rFonts w:ascii="Arial" w:cs="Arial" w:eastAsia="Arial" w:hAnsi="Arial"/>
                <w:sz w:val="14"/>
                <w:szCs w:val="14"/>
                <w:b w:val="1"/>
                <w:bCs w:val="1"/>
                <w:color w:val="auto"/>
              </w:rPr>
              <w:t>(Commission</w:t>
            </w:r>
          </w:p>
        </w:tc>
        <w:tc>
          <w:tcPr>
            <w:tcW w:w="250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4"/>
              </w:rPr>
              <w:t>of Incorporation)</w:t>
            </w:r>
          </w:p>
        </w:tc>
        <w:tc>
          <w:tcPr>
            <w:tcW w:w="3220" w:type="dxa"/>
            <w:vAlign w:val="bottom"/>
          </w:tcPr>
          <w:p>
            <w:pPr>
              <w:ind w:left="1040"/>
              <w:spacing w:after="0"/>
              <w:rPr>
                <w:sz w:val="20"/>
                <w:szCs w:val="20"/>
                <w:color w:val="auto"/>
              </w:rPr>
            </w:pPr>
            <w:r>
              <w:rPr>
                <w:rFonts w:ascii="Arial" w:cs="Arial" w:eastAsia="Arial" w:hAnsi="Arial"/>
                <w:sz w:val="14"/>
                <w:szCs w:val="14"/>
                <w:b w:val="1"/>
                <w:bCs w:val="1"/>
                <w:color w:val="auto"/>
              </w:rPr>
              <w:t>File Number)</w:t>
            </w: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0"/>
              </w:rPr>
              <w:t>2100 McKinney Avenue, Suite 1500</w:t>
            </w:r>
          </w:p>
        </w:tc>
        <w:tc>
          <w:tcPr>
            <w:tcW w:w="32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5"/>
              </w:rPr>
              <w:t>Dallas, TX</w:t>
            </w:r>
          </w:p>
        </w:tc>
        <w:tc>
          <w:tcPr>
            <w:tcW w:w="3220" w:type="dxa"/>
            <w:vAlign w:val="bottom"/>
          </w:tcPr>
          <w:p>
            <w:pPr>
              <w:spacing w:after="0"/>
              <w:rPr>
                <w:sz w:val="18"/>
                <w:szCs w:val="18"/>
                <w:color w:val="auto"/>
              </w:rPr>
            </w:pPr>
          </w:p>
        </w:tc>
        <w:tc>
          <w:tcPr>
            <w:tcW w:w="250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20" w:type="dxa"/>
            <w:vAlign w:val="bottom"/>
          </w:tcPr>
          <w:p>
            <w:pPr>
              <w:spacing w:after="0"/>
              <w:rPr>
                <w:sz w:val="16"/>
                <w:szCs w:val="16"/>
                <w:color w:val="auto"/>
              </w:rPr>
            </w:pP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88"/>
              </w:rPr>
              <w:t>(zip code)</w:t>
            </w:r>
          </w:p>
        </w:tc>
      </w:tr>
    </w:tbl>
    <w:p>
      <w:pPr>
        <w:spacing w:after="0" w:line="18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68580</wp:posOffset>
            </wp:positionV>
            <wp:extent cx="16459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5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2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41" w:lineRule="exact"/>
        <w:rPr>
          <w:sz w:val="24"/>
          <w:szCs w:val="24"/>
          <w:color w:val="auto"/>
        </w:rPr>
      </w:pPr>
    </w:p>
    <w:tbl>
      <w:tblPr>
        <w:tblLayout w:type="fixed"/>
        <w:tblInd w:w="600" w:type="dxa"/>
        <w:tblCellMar>
          <w:top w:w="0" w:type="dxa"/>
          <w:left w:w="0" w:type="dxa"/>
          <w:bottom w:w="0" w:type="dxa"/>
          <w:right w:w="0" w:type="dxa"/>
        </w:tblCellMar>
      </w:tblPr>
      <w:tr>
        <w:trPr>
          <w:trHeight w:val="162"/>
        </w:trPr>
        <w:tc>
          <w:tcPr>
            <w:tcW w:w="3520" w:type="dxa"/>
            <w:vAlign w:val="bottom"/>
          </w:tcPr>
          <w:p>
            <w:pPr>
              <w:jc w:val="center"/>
              <w:ind w:right="848"/>
              <w:spacing w:after="0"/>
              <w:rPr>
                <w:sz w:val="20"/>
                <w:szCs w:val="20"/>
                <w:color w:val="auto"/>
              </w:rPr>
            </w:pPr>
            <w:r>
              <w:rPr>
                <w:rFonts w:ascii="Arial" w:cs="Arial" w:eastAsia="Arial" w:hAnsi="Arial"/>
                <w:sz w:val="14"/>
                <w:szCs w:val="14"/>
                <w:b w:val="1"/>
                <w:bCs w:val="1"/>
                <w:color w:val="auto"/>
                <w:w w:val="89"/>
              </w:rPr>
              <w:t>Title of each class</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580" w:type="dxa"/>
            <w:vAlign w:val="bottom"/>
          </w:tcPr>
          <w:p>
            <w:pPr>
              <w:jc w:val="center"/>
              <w:ind w:left="84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6"/>
        </w:trPr>
        <w:tc>
          <w:tcPr>
            <w:tcW w:w="3520" w:type="dxa"/>
            <w:vAlign w:val="bottom"/>
          </w:tcPr>
          <w:p>
            <w:pPr>
              <w:jc w:val="center"/>
              <w:ind w:right="868"/>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TSLX</w:t>
            </w:r>
          </w:p>
        </w:tc>
        <w:tc>
          <w:tcPr>
            <w:tcW w:w="3580" w:type="dxa"/>
            <w:vAlign w:val="bottom"/>
          </w:tcPr>
          <w:p>
            <w:pPr>
              <w:jc w:val="center"/>
              <w:ind w:left="848"/>
              <w:spacing w:after="0"/>
              <w:rPr>
                <w:sz w:val="20"/>
                <w:szCs w:val="20"/>
                <w:color w:val="auto"/>
              </w:rPr>
            </w:pPr>
            <w:r>
              <w:rPr>
                <w:rFonts w:ascii="Arial" w:cs="Arial" w:eastAsia="Arial" w:hAnsi="Arial"/>
                <w:sz w:val="14"/>
                <w:szCs w:val="14"/>
                <w:b w:val="1"/>
                <w:bCs w:val="1"/>
                <w:color w:val="auto"/>
                <w:w w:val="92"/>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86" w:lineRule="exact"/>
        <w:rPr>
          <w:sz w:val="24"/>
          <w:szCs w:val="24"/>
          <w:color w:val="auto"/>
        </w:rPr>
      </w:pPr>
    </w:p>
    <w:p>
      <w:pPr>
        <w:jc w:val="both"/>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79" w:right="4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Current Report on Form 8-K/A amends the Current Report on Form 8-K filed by the registrant on February 16, 2023 (the “Original Form 8-K”). This amended Current Report fixes a technical error with the link to Exhibit 99.1, Press Release, dated February 16, 2023. The information disclosed in the Original Form 8-K and press release is unchanged.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February 16, 2023, the registrant issued a press release announcing its financial results for the quarter ended December 31, 2022. The text of the press release is included as Exhibit 99.1 to this Form 8-K.</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On February 16, 2023, the registrant issued a press release, included herewith as Exhibit 99.1, announcing the declaration of a first quarter 2023 base dividend per share of $0.46 to shareholders of record as of March 15, 2023, payable on March 31, 2023, a fourth quarter 2022 supplemental dividend per share of $0.09 to shareholders of record as of February 28, 2023, payable on March 20, 2023.</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10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100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0000EE"/>
              </w:rPr>
              <w:t>Press Release, dated February 16, 2023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000" w:type="dxa"/>
            <w:vAlign w:val="bottom"/>
            <w:gridSpan w:val="2"/>
          </w:tcPr>
          <w:p>
            <w:pPr>
              <w:ind w:left="20"/>
              <w:spacing w:after="0"/>
              <w:rPr>
                <w:sz w:val="20"/>
                <w:szCs w:val="20"/>
                <w:color w:val="auto"/>
              </w:rPr>
            </w:pPr>
            <w:r>
              <w:rPr>
                <w:rFonts w:ascii="Arial" w:cs="Arial" w:eastAsia="Arial" w:hAnsi="Arial"/>
                <w:sz w:val="18"/>
                <w:szCs w:val="18"/>
                <w:color w:val="auto"/>
              </w:rPr>
              <w:t>The cover page of this Current Report on Form 8-K, formatted in Inline XBRL</w:t>
            </w:r>
          </w:p>
        </w:tc>
        <w:tc>
          <w:tcPr>
            <w:tcW w:w="0" w:type="dxa"/>
            <w:vAlign w:val="bottom"/>
          </w:tcPr>
          <w:p>
            <w:pPr>
              <w:spacing w:after="0"/>
              <w:rPr>
                <w:sz w:val="1"/>
                <w:szCs w:val="1"/>
                <w:color w:val="auto"/>
              </w:rPr>
            </w:pPr>
          </w:p>
        </w:tc>
      </w:tr>
      <w:tr>
        <w:trPr>
          <w:trHeight w:val="790"/>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680" w:type="dxa"/>
            <w:vAlign w:val="bottom"/>
          </w:tcPr>
          <w:p>
            <w:pPr>
              <w:spacing w:after="0"/>
              <w:rPr>
                <w:sz w:val="20"/>
                <w:szCs w:val="20"/>
                <w:color w:val="auto"/>
              </w:rPr>
            </w:pPr>
          </w:p>
        </w:tc>
        <w:tc>
          <w:tcPr>
            <w:tcW w:w="7560" w:type="dxa"/>
            <w:vAlign w:val="bottom"/>
            <w:gridSpan w:val="2"/>
          </w:tcPr>
          <w:p>
            <w:pPr>
              <w:ind w:left="1940"/>
              <w:spacing w:after="0"/>
              <w:rPr>
                <w:sz w:val="20"/>
                <w:szCs w:val="20"/>
                <w:color w:val="auto"/>
              </w:rPr>
            </w:pPr>
            <w:r>
              <w:rPr>
                <w:rFonts w:ascii="Arial" w:cs="Arial" w:eastAsia="Arial" w:hAnsi="Arial"/>
                <w:sz w:val="20"/>
                <w:szCs w:val="20"/>
                <w:color w:val="auto"/>
              </w:rPr>
              <w:t>SIXTH STREET SPECIALTY LENDING, INC.</w:t>
            </w:r>
          </w:p>
        </w:tc>
      </w:tr>
      <w:tr>
        <w:trPr>
          <w:trHeight w:val="230"/>
        </w:trPr>
        <w:tc>
          <w:tcPr>
            <w:tcW w:w="36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00" w:type="dxa"/>
            <w:vAlign w:val="bottom"/>
          </w:tcPr>
          <w:p>
            <w:pPr>
              <w:ind w:left="580"/>
              <w:spacing w:after="0"/>
              <w:rPr>
                <w:sz w:val="20"/>
                <w:szCs w:val="20"/>
                <w:color w:val="auto"/>
              </w:rPr>
            </w:pPr>
            <w:r>
              <w:rPr>
                <w:rFonts w:ascii="Arial" w:cs="Arial" w:eastAsia="Arial" w:hAnsi="Arial"/>
                <w:sz w:val="18"/>
                <w:szCs w:val="18"/>
                <w:color w:val="auto"/>
              </w:rPr>
              <w:t>(Registrant)</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February 16, 2023</w:t>
            </w:r>
          </w:p>
        </w:tc>
        <w:tc>
          <w:tcPr>
            <w:tcW w:w="7560" w:type="dxa"/>
            <w:vAlign w:val="bottom"/>
            <w:gridSpan w:val="2"/>
          </w:tcPr>
          <w:p>
            <w:pPr>
              <w:ind w:left="1940"/>
              <w:spacing w:after="0"/>
              <w:rPr>
                <w:sz w:val="20"/>
                <w:szCs w:val="20"/>
                <w:color w:val="auto"/>
              </w:rPr>
            </w:pPr>
            <w:r>
              <w:rPr>
                <w:rFonts w:ascii="Arial" w:cs="Arial" w:eastAsia="Arial" w:hAnsi="Arial"/>
                <w:sz w:val="18"/>
                <w:szCs w:val="18"/>
                <w:color w:val="auto"/>
              </w:rPr>
              <w:t>By: /s/ Ian Simmonds</w:t>
            </w:r>
          </w:p>
        </w:tc>
      </w:tr>
      <w:tr>
        <w:trPr>
          <w:trHeight w:val="195"/>
        </w:trPr>
        <w:tc>
          <w:tcPr>
            <w:tcW w:w="36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6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571" w:right="339" w:bottom="1440" w:gutter="0" w:footer="0" w:header="0"/>
        </w:sectPr>
      </w:pPr>
    </w:p>
    <w:bookmarkStart w:id="3" w:name="page4"/>
    <w:bookmarkEnd w:id="3"/>
    <w:p>
      <w:pPr>
        <w:jc w:val="right"/>
        <w:ind w:right="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371600" cy="402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FULL YEAR AND FOURTH QUARTER 2022 EARNINGS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Sixth Street Specialty Lending, Inc. Reports Full Year and Fourth Quarter 2022 Earnings Results; Declares a $0.01 Per Share Increase in First Quarter Base Dividend Per Share to $0.46, and a Fourth Quarter Supplemental Dividend of $0.09 Per Share</w:t>
      </w:r>
    </w:p>
    <w:p>
      <w:pPr>
        <w:sectPr>
          <w:pgSz w:w="11900" w:h="16838" w:orient="portrait"/>
          <w:cols w:equalWidth="0" w:num="1">
            <w:col w:w="11260"/>
          </w:cols>
          <w:pgMar w:left="320" w:top="121" w:right="319" w:bottom="1440" w:gutter="0" w:footer="0" w:header="0"/>
        </w:sectPr>
      </w:pPr>
    </w:p>
    <w:p>
      <w:pPr>
        <w:spacing w:after="0" w:line="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NEW YORK—February 16, 2023— Sixth Street Specialty Lending, Inc. (NYSE: TSLX, or the “Company”) today reported net investment income of $2.13 per share and net income of $1.38 per share, for the year ended December 31, 2022. For the quarter ended December 31, 2022 net investment income and net income per share were $0.65 and $0.57, respectively. The Company’s net investment income in the fourth quarter was driven by higher fees from elevated repayment activity, as well as a robust level of interest income from the strength in the core earnings power of the portfolio. Return on equity (ROE) for the full year 2022 was 12.7% and 8.3% on a net investment income and a net income basis, respectively. Annualized ROE for the fourth quarter 2022 was 15.9% and 14.0% on a net investment income and a net income basis, respectively.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FFFFFF"/>
        </w:rPr>
        <w:t>Net Investment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-179070</wp:posOffset>
            </wp:positionV>
            <wp:extent cx="2134235" cy="266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4235" cy="26606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gridSpan w:val="2"/>
          </w:tcPr>
          <w:p>
            <w:pPr>
              <w:ind w:left="60"/>
              <w:spacing w:after="0"/>
              <w:rPr>
                <w:sz w:val="20"/>
                <w:szCs w:val="20"/>
                <w:color w:val="auto"/>
              </w:rPr>
            </w:pPr>
            <w:r>
              <w:rPr>
                <w:rFonts w:ascii="Arial" w:cs="Arial" w:eastAsia="Arial" w:hAnsi="Arial"/>
                <w:sz w:val="18"/>
                <w:szCs w:val="18"/>
                <w:b w:val="1"/>
                <w:bCs w:val="1"/>
                <w:color w:val="auto"/>
              </w:rPr>
              <w:t>2022:</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$2.13</w:t>
            </w:r>
          </w:p>
        </w:tc>
      </w:t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192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$0.65</w:t>
            </w:r>
          </w:p>
        </w:tc>
      </w:tr>
      <w:tr>
        <w:trPr>
          <w:trHeight w:val="162"/>
        </w:trPr>
        <w:tc>
          <w:tcPr>
            <w:tcW w:w="2240" w:type="dxa"/>
            <w:vAlign w:val="bottom"/>
            <w:tcBorders>
              <w:bottom w:val="single" w:sz="8" w:color="D9DDE1"/>
            </w:tcBorders>
            <w:gridSpan w:val="2"/>
          </w:tcPr>
          <w:p>
            <w:pPr>
              <w:spacing w:after="0"/>
              <w:rPr>
                <w:sz w:val="14"/>
                <w:szCs w:val="14"/>
                <w:color w:val="auto"/>
              </w:rPr>
            </w:pPr>
          </w:p>
        </w:tc>
        <w:tc>
          <w:tcPr>
            <w:tcW w:w="1120" w:type="dxa"/>
            <w:vAlign w:val="bottom"/>
            <w:tcBorders>
              <w:bottom w:val="single" w:sz="8" w:color="D9DDE1"/>
            </w:tcBorders>
          </w:tcPr>
          <w:p>
            <w:pPr>
              <w:spacing w:after="0"/>
              <w:rPr>
                <w:sz w:val="14"/>
                <w:szCs w:val="14"/>
                <w:color w:val="auto"/>
              </w:rPr>
            </w:pPr>
          </w:p>
        </w:tc>
      </w:tr>
      <w:tr>
        <w:trPr>
          <w:trHeight w:val="218"/>
        </w:trPr>
        <w:tc>
          <w:tcPr>
            <w:tcW w:w="2240" w:type="dxa"/>
            <w:vAlign w:val="bottom"/>
            <w:gridSpan w:val="2"/>
          </w:tcPr>
          <w:p>
            <w:pPr>
              <w:ind w:left="60"/>
              <w:spacing w:after="0"/>
              <w:rPr>
                <w:sz w:val="20"/>
                <w:szCs w:val="20"/>
                <w:color w:val="auto"/>
              </w:rPr>
            </w:pPr>
            <w:r>
              <w:rPr>
                <w:rFonts w:ascii="Arial" w:cs="Arial" w:eastAsia="Arial" w:hAnsi="Arial"/>
                <w:sz w:val="18"/>
                <w:szCs w:val="18"/>
                <w:b w:val="1"/>
                <w:bCs w:val="1"/>
                <w:color w:val="auto"/>
              </w:rPr>
              <w:t>2022 (adjusted):</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w:t>
            </w:r>
          </w:p>
        </w:tc>
      </w:t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1920" w:type="dxa"/>
            <w:vAlign w:val="bottom"/>
          </w:tcPr>
          <w:p>
            <w:pPr>
              <w:ind w:left="20"/>
              <w:spacing w:after="0"/>
              <w:rPr>
                <w:sz w:val="20"/>
                <w:szCs w:val="20"/>
                <w:color w:val="auto"/>
              </w:rPr>
            </w:pPr>
            <w:r>
              <w:rPr>
                <w:rFonts w:ascii="Arial" w:cs="Arial" w:eastAsia="Arial" w:hAnsi="Arial"/>
                <w:sz w:val="18"/>
                <w:szCs w:val="18"/>
                <w:b w:val="1"/>
                <w:bCs w:val="1"/>
                <w:color w:val="auto"/>
              </w:rPr>
              <w:t>2022 (adjusted):</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$0.64</w:t>
            </w:r>
          </w:p>
        </w:tc>
      </w:tr>
    </w:tbl>
    <w:p>
      <w:pPr>
        <w:spacing w:after="0" w:line="430" w:lineRule="exact"/>
        <w:rPr>
          <w:sz w:val="20"/>
          <w:szCs w:val="20"/>
          <w:color w:val="auto"/>
        </w:rPr>
      </w:pPr>
    </w:p>
    <w:p>
      <w:pPr>
        <w:sectPr>
          <w:pgSz w:w="11900" w:h="16838" w:orient="portrait"/>
          <w:cols w:equalWidth="0" w:num="2">
            <w:col w:w="7640" w:space="240"/>
            <w:col w:w="3380"/>
          </w:cols>
          <w:pgMar w:left="320" w:top="121" w:right="319" w:bottom="1440" w:gutter="0" w:footer="0" w:header="0"/>
          <w:type w:val="continuous"/>
        </w:sectPr>
      </w:pPr>
    </w:p>
    <w:p>
      <w:pPr>
        <w:jc w:val="both"/>
        <w:spacing w:after="0" w:line="289" w:lineRule="auto"/>
        <w:rPr>
          <w:sz w:val="20"/>
          <w:szCs w:val="20"/>
          <w:color w:val="auto"/>
        </w:rPr>
      </w:pPr>
      <w:r>
        <w:rPr>
          <w:rFonts w:ascii="Arial" w:cs="Arial" w:eastAsia="Arial" w:hAnsi="Arial"/>
          <w:sz w:val="16"/>
          <w:szCs w:val="16"/>
          <w:color w:val="auto"/>
        </w:rPr>
        <w:t>Both net investment income per share and net income per share for the year include approximately $0.11 per share unwind of previously accrued capital gains incentive fees in 2022, which is a non-cash reversal. Excluding the impact of the unwind of capital gains incentive fee expenses for the year, the Company’s adjusted net investment income and adjusted net income for the year ended December 31, 2022 were $2.01 per share $1.27 per share, respectively. For the quarter ended December 31, 2022, adjusted net investment income per share was $0.64 and adjusted net income per share was $0.56. Return on equity (ROE) for the full year 2022 was 12.0% and 7.6% on an adjusted net investment income and an adjusted net income basis, respectively. Annualized ROE for the fourth quarter 2022 was 15.5% and 13.6% on an adjusted net investment income and an adjusted net income basis, respectively.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FFFFFF"/>
        </w:rPr>
        <w:t>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-179070</wp:posOffset>
            </wp:positionV>
            <wp:extent cx="2134235"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34235" cy="26543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gridSpan w:val="2"/>
          </w:tcPr>
          <w:p>
            <w:pPr>
              <w:ind w:left="60"/>
              <w:spacing w:after="0"/>
              <w:rPr>
                <w:sz w:val="20"/>
                <w:szCs w:val="20"/>
                <w:color w:val="auto"/>
              </w:rPr>
            </w:pPr>
            <w:r>
              <w:rPr>
                <w:rFonts w:ascii="Arial" w:cs="Arial" w:eastAsia="Arial" w:hAnsi="Arial"/>
                <w:sz w:val="18"/>
                <w:szCs w:val="18"/>
                <w:b w:val="1"/>
                <w:bCs w:val="1"/>
                <w:color w:val="auto"/>
              </w:rPr>
              <w:t>2022:</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$1.38</w:t>
            </w:r>
          </w:p>
        </w:tc>
      </w:t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192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$0.57</w:t>
            </w:r>
          </w:p>
        </w:tc>
      </w:tr>
      <w:tr>
        <w:trPr>
          <w:trHeight w:val="162"/>
        </w:trPr>
        <w:tc>
          <w:tcPr>
            <w:tcW w:w="2240" w:type="dxa"/>
            <w:vAlign w:val="bottom"/>
            <w:tcBorders>
              <w:bottom w:val="single" w:sz="8" w:color="D9DDE1"/>
            </w:tcBorders>
            <w:gridSpan w:val="2"/>
          </w:tcPr>
          <w:p>
            <w:pPr>
              <w:spacing w:after="0"/>
              <w:rPr>
                <w:sz w:val="14"/>
                <w:szCs w:val="14"/>
                <w:color w:val="auto"/>
              </w:rPr>
            </w:pPr>
          </w:p>
        </w:tc>
        <w:tc>
          <w:tcPr>
            <w:tcW w:w="1120" w:type="dxa"/>
            <w:vAlign w:val="bottom"/>
            <w:tcBorders>
              <w:bottom w:val="single" w:sz="8" w:color="D9DDE1"/>
            </w:tcBorders>
          </w:tcPr>
          <w:p>
            <w:pPr>
              <w:spacing w:after="0"/>
              <w:rPr>
                <w:sz w:val="14"/>
                <w:szCs w:val="14"/>
                <w:color w:val="auto"/>
              </w:rPr>
            </w:pPr>
          </w:p>
        </w:tc>
      </w:tr>
      <w:tr>
        <w:trPr>
          <w:trHeight w:val="218"/>
        </w:trPr>
        <w:tc>
          <w:tcPr>
            <w:tcW w:w="2240" w:type="dxa"/>
            <w:vAlign w:val="bottom"/>
            <w:gridSpan w:val="2"/>
          </w:tcPr>
          <w:p>
            <w:pPr>
              <w:ind w:left="60"/>
              <w:spacing w:after="0"/>
              <w:rPr>
                <w:sz w:val="20"/>
                <w:szCs w:val="20"/>
                <w:color w:val="auto"/>
              </w:rPr>
            </w:pPr>
            <w:r>
              <w:rPr>
                <w:rFonts w:ascii="Arial" w:cs="Arial" w:eastAsia="Arial" w:hAnsi="Arial"/>
                <w:sz w:val="18"/>
                <w:szCs w:val="18"/>
                <w:b w:val="1"/>
                <w:bCs w:val="1"/>
                <w:color w:val="auto"/>
              </w:rPr>
              <w:t>2022 (adjusted):</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$1.27</w:t>
            </w:r>
          </w:p>
        </w:tc>
      </w:t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1920" w:type="dxa"/>
            <w:vAlign w:val="bottom"/>
          </w:tcPr>
          <w:p>
            <w:pPr>
              <w:ind w:left="20"/>
              <w:spacing w:after="0"/>
              <w:rPr>
                <w:sz w:val="20"/>
                <w:szCs w:val="20"/>
                <w:color w:val="auto"/>
              </w:rPr>
            </w:pPr>
            <w:r>
              <w:rPr>
                <w:rFonts w:ascii="Arial" w:cs="Arial" w:eastAsia="Arial" w:hAnsi="Arial"/>
                <w:sz w:val="18"/>
                <w:szCs w:val="18"/>
                <w:b w:val="1"/>
                <w:bCs w:val="1"/>
                <w:color w:val="auto"/>
              </w:rPr>
              <w:t>2022 (adjusted):</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$0.56</w:t>
            </w:r>
          </w:p>
        </w:tc>
      </w:tr>
    </w:tbl>
    <w:p>
      <w:pPr>
        <w:spacing w:after="0" w:line="431" w:lineRule="exact"/>
        <w:rPr>
          <w:sz w:val="20"/>
          <w:szCs w:val="20"/>
          <w:color w:val="auto"/>
        </w:rPr>
      </w:pPr>
    </w:p>
    <w:p>
      <w:pPr>
        <w:sectPr>
          <w:pgSz w:w="11900" w:h="16838" w:orient="portrait"/>
          <w:cols w:equalWidth="0" w:num="2">
            <w:col w:w="7640" w:space="240"/>
            <w:col w:w="3380"/>
          </w:cols>
          <w:pgMar w:left="320" w:top="121" w:right="319" w:bottom="1440" w:gutter="0" w:footer="0" w:header="0"/>
          <w:type w:val="continuous"/>
        </w:sectPr>
      </w:pPr>
    </w:p>
    <w:p>
      <w:pPr>
        <w:jc w:val="both"/>
        <w:spacing w:after="0" w:line="289" w:lineRule="auto"/>
        <w:rPr>
          <w:sz w:val="20"/>
          <w:szCs w:val="20"/>
          <w:color w:val="auto"/>
        </w:rPr>
      </w:pPr>
      <w:r>
        <w:rPr>
          <w:rFonts w:ascii="Arial" w:cs="Arial" w:eastAsia="Arial" w:hAnsi="Arial"/>
          <w:sz w:val="16"/>
          <w:szCs w:val="16"/>
          <w:color w:val="auto"/>
        </w:rPr>
        <w:t>Reported net asset value (NAV) per share was $16.48 at December 31, 2022 as compared to $16.36 at September 30, 2022. The Company announced that its Board of Directors has increased its quarterly base dividend, raising this figure by $0.01 per share to $0.46 per share to shareholders of record as of March 15, and payable on March 31. The Board also announced a fourth quarter supplemental dividend of $0.09 per share to shareholders of record as of February 28, 2023, payable on March 20, 2023. Giving effect to the impact of the supplemental dividend, the Company’s fourth quarter adjusted NAV per share was $16.39 as compared to adjusted NAV per share of $16.73 at December 31, 2021. The primary driver of this year’s NAV per share decline was from unrealized losses as the Company incorporated the impact of wider credit market spreads on the valuation of its portfolio.</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FFFFFF"/>
        </w:rPr>
        <w:t>Return 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-136525</wp:posOffset>
            </wp:positionV>
            <wp:extent cx="213423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34235" cy="17145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ind w:left="60"/>
              <w:spacing w:after="0"/>
              <w:rPr>
                <w:sz w:val="20"/>
                <w:szCs w:val="20"/>
                <w:color w:val="auto"/>
              </w:rPr>
            </w:pPr>
            <w:r>
              <w:rPr>
                <w:rFonts w:ascii="Arial" w:cs="Arial" w:eastAsia="Arial" w:hAnsi="Arial"/>
                <w:sz w:val="18"/>
                <w:szCs w:val="18"/>
                <w:b w:val="1"/>
                <w:bCs w:val="1"/>
                <w:color w:val="auto"/>
                <w:w w:val="89"/>
              </w:rPr>
              <w:t>2022</w:t>
            </w:r>
          </w:p>
        </w:tc>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rPr>
              <w:t>(NII):</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12.7%</w:t>
            </w:r>
          </w:p>
        </w:tc>
      </w:tr>
      <w:tr>
        <w:trPr>
          <w:trHeight w:val="234"/>
        </w:trPr>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w w:val="92"/>
              </w:rPr>
              <w:t>Q4 2022</w:t>
            </w:r>
          </w:p>
        </w:tc>
        <w:tc>
          <w:tcPr>
            <w:tcW w:w="1460" w:type="dxa"/>
            <w:vAlign w:val="bottom"/>
          </w:tcPr>
          <w:p>
            <w:pPr>
              <w:ind w:left="20"/>
              <w:spacing w:after="0"/>
              <w:rPr>
                <w:sz w:val="20"/>
                <w:szCs w:val="20"/>
                <w:color w:val="auto"/>
              </w:rPr>
            </w:pPr>
            <w:r>
              <w:rPr>
                <w:rFonts w:ascii="Arial" w:cs="Arial" w:eastAsia="Arial" w:hAnsi="Arial"/>
                <w:sz w:val="18"/>
                <w:szCs w:val="18"/>
                <w:b w:val="1"/>
                <w:bCs w:val="1"/>
                <w:color w:val="auto"/>
              </w:rPr>
              <w:t>(NII):</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15.9%</w:t>
            </w:r>
          </w:p>
        </w:tc>
      </w:tr>
      <w:tr>
        <w:trPr>
          <w:trHeight w:val="27"/>
        </w:trPr>
        <w:tc>
          <w:tcPr>
            <w:tcW w:w="440" w:type="dxa"/>
            <w:vAlign w:val="bottom"/>
            <w:tcBorders>
              <w:bottom w:val="single" w:sz="8" w:color="D9DDE1"/>
            </w:tcBorders>
          </w:tcPr>
          <w:p>
            <w:pPr>
              <w:spacing w:after="0"/>
              <w:rPr>
                <w:sz w:val="2"/>
                <w:szCs w:val="2"/>
                <w:color w:val="auto"/>
              </w:rPr>
            </w:pPr>
          </w:p>
        </w:tc>
        <w:tc>
          <w:tcPr>
            <w:tcW w:w="1740" w:type="dxa"/>
            <w:vAlign w:val="bottom"/>
            <w:tcBorders>
              <w:bottom w:val="single" w:sz="8" w:color="D9DDE1"/>
            </w:tcBorders>
            <w:gridSpan w:val="2"/>
          </w:tcPr>
          <w:p>
            <w:pPr>
              <w:spacing w:after="0"/>
              <w:rPr>
                <w:sz w:val="2"/>
                <w:szCs w:val="2"/>
                <w:color w:val="auto"/>
              </w:rPr>
            </w:pPr>
          </w:p>
        </w:tc>
        <w:tc>
          <w:tcPr>
            <w:tcW w:w="1180" w:type="dxa"/>
            <w:vAlign w:val="bottom"/>
            <w:tcBorders>
              <w:bottom w:val="single" w:sz="8" w:color="D9DDE1"/>
            </w:tcBorders>
          </w:tcPr>
          <w:p>
            <w:pPr>
              <w:spacing w:after="0"/>
              <w:rPr>
                <w:sz w:val="2"/>
                <w:szCs w:val="2"/>
                <w:color w:val="auto"/>
              </w:rPr>
            </w:pPr>
          </w:p>
        </w:tc>
      </w:tr>
      <w:tr>
        <w:trPr>
          <w:trHeight w:val="218"/>
        </w:trPr>
        <w:tc>
          <w:tcPr>
            <w:tcW w:w="440" w:type="dxa"/>
            <w:vAlign w:val="bottom"/>
          </w:tcPr>
          <w:p>
            <w:pPr>
              <w:ind w:left="60"/>
              <w:spacing w:after="0"/>
              <w:rPr>
                <w:sz w:val="20"/>
                <w:szCs w:val="20"/>
                <w:color w:val="auto"/>
              </w:rPr>
            </w:pPr>
            <w:r>
              <w:rPr>
                <w:rFonts w:ascii="Arial" w:cs="Arial" w:eastAsia="Arial" w:hAnsi="Arial"/>
                <w:sz w:val="18"/>
                <w:szCs w:val="18"/>
                <w:b w:val="1"/>
                <w:bCs w:val="1"/>
                <w:color w:val="auto"/>
                <w:w w:val="89"/>
              </w:rPr>
              <w:t>2022</w:t>
            </w:r>
          </w:p>
        </w:tc>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rPr>
              <w:t>(NI):</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8.3%</w:t>
            </w:r>
          </w:p>
        </w:tc>
      </w:tr>
      <w:tr>
        <w:trPr>
          <w:trHeight w:val="234"/>
        </w:trPr>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w w:val="92"/>
              </w:rPr>
              <w:t>Q4 2022</w:t>
            </w:r>
          </w:p>
        </w:tc>
        <w:tc>
          <w:tcPr>
            <w:tcW w:w="1460" w:type="dxa"/>
            <w:vAlign w:val="bottom"/>
          </w:tcPr>
          <w:p>
            <w:pPr>
              <w:ind w:left="20"/>
              <w:spacing w:after="0"/>
              <w:rPr>
                <w:sz w:val="20"/>
                <w:szCs w:val="20"/>
                <w:color w:val="auto"/>
              </w:rPr>
            </w:pPr>
            <w:r>
              <w:rPr>
                <w:rFonts w:ascii="Arial" w:cs="Arial" w:eastAsia="Arial" w:hAnsi="Arial"/>
                <w:sz w:val="18"/>
                <w:szCs w:val="18"/>
                <w:b w:val="1"/>
                <w:bCs w:val="1"/>
                <w:color w:val="auto"/>
              </w:rPr>
              <w:t>(NI):</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14.0%</w:t>
            </w:r>
          </w:p>
        </w:tc>
      </w:tr>
      <w:tr>
        <w:trPr>
          <w:trHeight w:val="27"/>
        </w:trPr>
        <w:tc>
          <w:tcPr>
            <w:tcW w:w="440" w:type="dxa"/>
            <w:vAlign w:val="bottom"/>
            <w:tcBorders>
              <w:bottom w:val="single" w:sz="8" w:color="D9DDE1"/>
            </w:tcBorders>
          </w:tcPr>
          <w:p>
            <w:pPr>
              <w:spacing w:after="0"/>
              <w:rPr>
                <w:sz w:val="2"/>
                <w:szCs w:val="2"/>
                <w:color w:val="auto"/>
              </w:rPr>
            </w:pPr>
          </w:p>
        </w:tc>
        <w:tc>
          <w:tcPr>
            <w:tcW w:w="1740" w:type="dxa"/>
            <w:vAlign w:val="bottom"/>
            <w:tcBorders>
              <w:bottom w:val="single" w:sz="8" w:color="D9DDE1"/>
            </w:tcBorders>
            <w:gridSpan w:val="2"/>
          </w:tcPr>
          <w:p>
            <w:pPr>
              <w:spacing w:after="0"/>
              <w:rPr>
                <w:sz w:val="2"/>
                <w:szCs w:val="2"/>
                <w:color w:val="auto"/>
              </w:rPr>
            </w:pPr>
          </w:p>
        </w:tc>
        <w:tc>
          <w:tcPr>
            <w:tcW w:w="1180" w:type="dxa"/>
            <w:vAlign w:val="bottom"/>
            <w:tcBorders>
              <w:bottom w:val="single" w:sz="8" w:color="D9DDE1"/>
            </w:tcBorders>
          </w:tcPr>
          <w:p>
            <w:pPr>
              <w:spacing w:after="0"/>
              <w:rPr>
                <w:sz w:val="2"/>
                <w:szCs w:val="2"/>
                <w:color w:val="auto"/>
              </w:rPr>
            </w:pPr>
          </w:p>
        </w:tc>
      </w:tr>
      <w:tr>
        <w:trPr>
          <w:trHeight w:val="218"/>
        </w:trPr>
        <w:tc>
          <w:tcPr>
            <w:tcW w:w="440" w:type="dxa"/>
            <w:vAlign w:val="bottom"/>
          </w:tcPr>
          <w:p>
            <w:pPr>
              <w:ind w:left="60"/>
              <w:spacing w:after="0"/>
              <w:rPr>
                <w:sz w:val="20"/>
                <w:szCs w:val="20"/>
                <w:color w:val="auto"/>
              </w:rPr>
            </w:pPr>
            <w:r>
              <w:rPr>
                <w:rFonts w:ascii="Arial" w:cs="Arial" w:eastAsia="Arial" w:hAnsi="Arial"/>
                <w:sz w:val="18"/>
                <w:szCs w:val="18"/>
                <w:b w:val="1"/>
                <w:bCs w:val="1"/>
                <w:color w:val="auto"/>
                <w:w w:val="89"/>
              </w:rPr>
              <w:t>2022</w:t>
            </w:r>
          </w:p>
        </w:tc>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rPr>
              <w:t>(Adj. NII):</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12.0%</w:t>
            </w:r>
          </w:p>
        </w:tc>
      </w:tr>
      <w:tr>
        <w:trPr>
          <w:trHeight w:val="234"/>
        </w:trPr>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w w:val="92"/>
              </w:rPr>
              <w:t>Q4 2022</w:t>
            </w:r>
          </w:p>
        </w:tc>
        <w:tc>
          <w:tcPr>
            <w:tcW w:w="1460" w:type="dxa"/>
            <w:vAlign w:val="bottom"/>
          </w:tcPr>
          <w:p>
            <w:pPr>
              <w:ind w:left="20"/>
              <w:spacing w:after="0"/>
              <w:rPr>
                <w:sz w:val="20"/>
                <w:szCs w:val="20"/>
                <w:color w:val="auto"/>
              </w:rPr>
            </w:pPr>
            <w:r>
              <w:rPr>
                <w:rFonts w:ascii="Arial" w:cs="Arial" w:eastAsia="Arial" w:hAnsi="Arial"/>
                <w:sz w:val="18"/>
                <w:szCs w:val="18"/>
                <w:b w:val="1"/>
                <w:bCs w:val="1"/>
                <w:color w:val="auto"/>
              </w:rPr>
              <w:t>(Adj. NII):</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15.5%</w:t>
            </w:r>
          </w:p>
        </w:tc>
      </w:tr>
      <w:tr>
        <w:trPr>
          <w:trHeight w:val="27"/>
        </w:trPr>
        <w:tc>
          <w:tcPr>
            <w:tcW w:w="440" w:type="dxa"/>
            <w:vAlign w:val="bottom"/>
            <w:tcBorders>
              <w:bottom w:val="single" w:sz="8" w:color="D9DDE1"/>
            </w:tcBorders>
          </w:tcPr>
          <w:p>
            <w:pPr>
              <w:spacing w:after="0"/>
              <w:rPr>
                <w:sz w:val="2"/>
                <w:szCs w:val="2"/>
                <w:color w:val="auto"/>
              </w:rPr>
            </w:pPr>
          </w:p>
        </w:tc>
        <w:tc>
          <w:tcPr>
            <w:tcW w:w="1740" w:type="dxa"/>
            <w:vAlign w:val="bottom"/>
            <w:tcBorders>
              <w:bottom w:val="single" w:sz="8" w:color="D9DDE1"/>
            </w:tcBorders>
            <w:gridSpan w:val="2"/>
          </w:tcPr>
          <w:p>
            <w:pPr>
              <w:spacing w:after="0"/>
              <w:rPr>
                <w:sz w:val="2"/>
                <w:szCs w:val="2"/>
                <w:color w:val="auto"/>
              </w:rPr>
            </w:pPr>
          </w:p>
        </w:tc>
        <w:tc>
          <w:tcPr>
            <w:tcW w:w="1180" w:type="dxa"/>
            <w:vAlign w:val="bottom"/>
            <w:tcBorders>
              <w:bottom w:val="single" w:sz="8" w:color="D9DDE1"/>
            </w:tcBorders>
          </w:tcPr>
          <w:p>
            <w:pPr>
              <w:spacing w:after="0"/>
              <w:rPr>
                <w:sz w:val="2"/>
                <w:szCs w:val="2"/>
                <w:color w:val="auto"/>
              </w:rPr>
            </w:pPr>
          </w:p>
        </w:tc>
      </w:tr>
      <w:tr>
        <w:trPr>
          <w:trHeight w:val="218"/>
        </w:trPr>
        <w:tc>
          <w:tcPr>
            <w:tcW w:w="440" w:type="dxa"/>
            <w:vAlign w:val="bottom"/>
          </w:tcPr>
          <w:p>
            <w:pPr>
              <w:ind w:left="60"/>
              <w:spacing w:after="0"/>
              <w:rPr>
                <w:sz w:val="20"/>
                <w:szCs w:val="20"/>
                <w:color w:val="auto"/>
              </w:rPr>
            </w:pPr>
            <w:r>
              <w:rPr>
                <w:rFonts w:ascii="Arial" w:cs="Arial" w:eastAsia="Arial" w:hAnsi="Arial"/>
                <w:sz w:val="18"/>
                <w:szCs w:val="18"/>
                <w:b w:val="1"/>
                <w:bCs w:val="1"/>
                <w:color w:val="auto"/>
                <w:w w:val="89"/>
              </w:rPr>
              <w:t>2022</w:t>
            </w:r>
          </w:p>
        </w:tc>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rPr>
              <w:t>(Adj. NI):</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234"/>
        </w:trPr>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w w:val="92"/>
              </w:rPr>
              <w:t>Q4 2022</w:t>
            </w:r>
          </w:p>
        </w:tc>
        <w:tc>
          <w:tcPr>
            <w:tcW w:w="1460" w:type="dxa"/>
            <w:vAlign w:val="bottom"/>
          </w:tcPr>
          <w:p>
            <w:pPr>
              <w:ind w:left="20"/>
              <w:spacing w:after="0"/>
              <w:rPr>
                <w:sz w:val="20"/>
                <w:szCs w:val="20"/>
                <w:color w:val="auto"/>
              </w:rPr>
            </w:pPr>
            <w:r>
              <w:rPr>
                <w:rFonts w:ascii="Arial" w:cs="Arial" w:eastAsia="Arial" w:hAnsi="Arial"/>
                <w:sz w:val="18"/>
                <w:szCs w:val="18"/>
                <w:b w:val="1"/>
                <w:bCs w:val="1"/>
                <w:color w:val="auto"/>
              </w:rPr>
              <w:t>(Adj. NI):</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13.6%</w:t>
            </w:r>
          </w:p>
        </w:tc>
      </w:tr>
    </w:tbl>
    <w:p>
      <w:pPr>
        <w:spacing w:after="0" w:line="161" w:lineRule="exact"/>
        <w:rPr>
          <w:sz w:val="20"/>
          <w:szCs w:val="20"/>
          <w:color w:val="auto"/>
        </w:rPr>
      </w:pPr>
    </w:p>
    <w:p>
      <w:pPr>
        <w:sectPr>
          <w:pgSz w:w="11900" w:h="16838" w:orient="portrait"/>
          <w:cols w:equalWidth="0" w:num="2">
            <w:col w:w="7640" w:space="240"/>
            <w:col w:w="3380"/>
          </w:cols>
          <w:pgMar w:left="320" w:top="121" w:right="319" w:bottom="1440" w:gutter="0" w:footer="0" w:header="0"/>
          <w:type w:val="continuous"/>
        </w:sectPr>
      </w:pPr>
    </w:p>
    <w:p>
      <w:pPr>
        <w:jc w:val="both"/>
        <w:spacing w:after="0" w:line="286" w:lineRule="auto"/>
        <w:rPr>
          <w:sz w:val="20"/>
          <w:szCs w:val="20"/>
          <w:color w:val="auto"/>
        </w:rPr>
      </w:pPr>
      <w:r>
        <w:rPr>
          <w:rFonts w:ascii="Arial" w:cs="Arial" w:eastAsia="Arial" w:hAnsi="Arial"/>
          <w:sz w:val="17"/>
          <w:szCs w:val="17"/>
          <w:color w:val="auto"/>
        </w:rPr>
        <w:t>Post-quarter end, the Company satisfied the maturity of its $150 million January 2023 unsecured notes through utilization of undrawn capacity on its revolving credit facility. The settlement marginally decreased the Company’s weighted average cost of debt and had no impact on leverage.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FFFFFF"/>
        </w:rPr>
        <w:t>Net Asset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-136525</wp:posOffset>
            </wp:positionV>
            <wp:extent cx="2134235"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34235" cy="17970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2022</w:t>
            </w:r>
          </w:p>
        </w:tc>
        <w:tc>
          <w:tcPr>
            <w:tcW w:w="1620" w:type="dxa"/>
            <w:vAlign w:val="bottom"/>
          </w:tcPr>
          <w:p>
            <w:pPr>
              <w:ind w:left="20"/>
              <w:spacing w:after="0"/>
              <w:rPr>
                <w:sz w:val="20"/>
                <w:szCs w:val="20"/>
                <w:color w:val="auto"/>
              </w:rPr>
            </w:pPr>
            <w:r>
              <w:rPr>
                <w:rFonts w:ascii="Arial" w:cs="Arial" w:eastAsia="Arial" w:hAnsi="Arial"/>
                <w:sz w:val="18"/>
                <w:szCs w:val="18"/>
                <w:b w:val="1"/>
                <w:bCs w:val="1"/>
                <w:color w:val="auto"/>
              </w:rPr>
              <w:t>($MM):</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$1,341.6</w:t>
            </w:r>
          </w:p>
        </w:tc>
      </w:tr>
      <w:tr>
        <w:trPr>
          <w:trHeight w:val="27"/>
        </w:trPr>
        <w:tc>
          <w:tcPr>
            <w:tcW w:w="320" w:type="dxa"/>
            <w:vAlign w:val="bottom"/>
            <w:tcBorders>
              <w:bottom w:val="single" w:sz="8" w:color="D9DDE1"/>
            </w:tcBorders>
          </w:tcPr>
          <w:p>
            <w:pPr>
              <w:spacing w:after="0"/>
              <w:rPr>
                <w:sz w:val="2"/>
                <w:szCs w:val="2"/>
                <w:color w:val="auto"/>
              </w:rPr>
            </w:pPr>
          </w:p>
        </w:tc>
        <w:tc>
          <w:tcPr>
            <w:tcW w:w="400" w:type="dxa"/>
            <w:vAlign w:val="bottom"/>
            <w:tcBorders>
              <w:bottom w:val="single" w:sz="8" w:color="D9DDE1"/>
            </w:tcBorders>
          </w:tcPr>
          <w:p>
            <w:pPr>
              <w:spacing w:after="0"/>
              <w:rPr>
                <w:sz w:val="2"/>
                <w:szCs w:val="2"/>
                <w:color w:val="auto"/>
              </w:rPr>
            </w:pPr>
          </w:p>
        </w:tc>
        <w:tc>
          <w:tcPr>
            <w:tcW w:w="1620" w:type="dxa"/>
            <w:vAlign w:val="bottom"/>
            <w:tcBorders>
              <w:bottom w:val="single" w:sz="8" w:color="D9DDE1"/>
            </w:tcBorders>
          </w:tcPr>
          <w:p>
            <w:pPr>
              <w:spacing w:after="0"/>
              <w:rPr>
                <w:sz w:val="2"/>
                <w:szCs w:val="2"/>
                <w:color w:val="auto"/>
              </w:rPr>
            </w:pPr>
          </w:p>
        </w:tc>
        <w:tc>
          <w:tcPr>
            <w:tcW w:w="1020" w:type="dxa"/>
            <w:vAlign w:val="bottom"/>
            <w:tcBorders>
              <w:bottom w:val="single" w:sz="8" w:color="D9DDE1"/>
            </w:tcBorders>
          </w:tcPr>
          <w:p>
            <w:pPr>
              <w:spacing w:after="0"/>
              <w:rPr>
                <w:sz w:val="2"/>
                <w:szCs w:val="2"/>
                <w:color w:val="auto"/>
              </w:rPr>
            </w:pPr>
          </w:p>
        </w:tc>
      </w:tr>
      <w:tr>
        <w:trPr>
          <w:trHeight w:val="237"/>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2022</w:t>
            </w:r>
          </w:p>
        </w:tc>
        <w:tc>
          <w:tcPr>
            <w:tcW w:w="1620" w:type="dxa"/>
            <w:vAlign w:val="bottom"/>
          </w:tcPr>
          <w:p>
            <w:pPr>
              <w:ind w:left="20"/>
              <w:spacing w:after="0"/>
              <w:rPr>
                <w:sz w:val="20"/>
                <w:szCs w:val="20"/>
                <w:color w:val="auto"/>
              </w:rPr>
            </w:pPr>
            <w:r>
              <w:rPr>
                <w:rFonts w:ascii="Arial" w:cs="Arial" w:eastAsia="Arial" w:hAnsi="Arial"/>
                <w:sz w:val="18"/>
                <w:szCs w:val="18"/>
                <w:b w:val="1"/>
                <w:bCs w:val="1"/>
                <w:color w:val="auto"/>
              </w:rPr>
              <w:t>(per share):</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$16.48</w:t>
            </w:r>
          </w:p>
        </w:tc>
      </w:tr>
      <w:tr>
        <w:trPr>
          <w:trHeight w:val="27"/>
        </w:trPr>
        <w:tc>
          <w:tcPr>
            <w:tcW w:w="320" w:type="dxa"/>
            <w:vAlign w:val="bottom"/>
            <w:tcBorders>
              <w:bottom w:val="single" w:sz="8" w:color="D9DDE1"/>
            </w:tcBorders>
          </w:tcPr>
          <w:p>
            <w:pPr>
              <w:spacing w:after="0"/>
              <w:rPr>
                <w:sz w:val="2"/>
                <w:szCs w:val="2"/>
                <w:color w:val="auto"/>
              </w:rPr>
            </w:pPr>
          </w:p>
        </w:tc>
        <w:tc>
          <w:tcPr>
            <w:tcW w:w="400" w:type="dxa"/>
            <w:vAlign w:val="bottom"/>
            <w:tcBorders>
              <w:bottom w:val="single" w:sz="8" w:color="D9DDE1"/>
            </w:tcBorders>
          </w:tcPr>
          <w:p>
            <w:pPr>
              <w:spacing w:after="0"/>
              <w:rPr>
                <w:sz w:val="2"/>
                <w:szCs w:val="2"/>
                <w:color w:val="auto"/>
              </w:rPr>
            </w:pPr>
          </w:p>
        </w:tc>
        <w:tc>
          <w:tcPr>
            <w:tcW w:w="1620" w:type="dxa"/>
            <w:vAlign w:val="bottom"/>
            <w:tcBorders>
              <w:bottom w:val="single" w:sz="8" w:color="D9DDE1"/>
            </w:tcBorders>
          </w:tcPr>
          <w:p>
            <w:pPr>
              <w:spacing w:after="0"/>
              <w:rPr>
                <w:sz w:val="2"/>
                <w:szCs w:val="2"/>
                <w:color w:val="auto"/>
              </w:rPr>
            </w:pPr>
          </w:p>
        </w:tc>
        <w:tc>
          <w:tcPr>
            <w:tcW w:w="1020" w:type="dxa"/>
            <w:vAlign w:val="bottom"/>
            <w:tcBorders>
              <w:bottom w:val="single" w:sz="8" w:color="D9DDE1"/>
            </w:tcBorders>
          </w:tcPr>
          <w:p>
            <w:pPr>
              <w:spacing w:after="0"/>
              <w:rPr>
                <w:sz w:val="2"/>
                <w:szCs w:val="2"/>
                <w:color w:val="auto"/>
              </w:rPr>
            </w:pPr>
          </w:p>
        </w:tc>
      </w:tr>
      <w:tr>
        <w:trPr>
          <w:trHeight w:val="237"/>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2022</w:t>
            </w:r>
          </w:p>
        </w:tc>
        <w:tc>
          <w:tcPr>
            <w:tcW w:w="1620" w:type="dxa"/>
            <w:vAlign w:val="bottom"/>
          </w:tcPr>
          <w:p>
            <w:pPr>
              <w:ind w:left="20"/>
              <w:spacing w:after="0"/>
              <w:rPr>
                <w:sz w:val="20"/>
                <w:szCs w:val="20"/>
                <w:color w:val="auto"/>
              </w:rPr>
            </w:pPr>
            <w:r>
              <w:rPr>
                <w:rFonts w:ascii="Arial" w:cs="Arial" w:eastAsia="Arial" w:hAnsi="Arial"/>
                <w:sz w:val="18"/>
                <w:szCs w:val="18"/>
                <w:b w:val="1"/>
                <w:bCs w:val="1"/>
                <w:color w:val="auto"/>
              </w:rPr>
              <w:t>(per share, adj.):</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213423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34235" cy="17145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7640" w:space="240"/>
            <w:col w:w="3380"/>
          </w:cols>
          <w:pgMar w:left="320" w:top="121" w:right="319" w:bottom="1440" w:gutter="0" w:footer="0" w:header="0"/>
          <w:type w:val="continuous"/>
        </w:sectPr>
      </w:pPr>
    </w:p>
    <w:p>
      <w:pPr>
        <w:ind w:left="8740"/>
        <w:spacing w:after="0"/>
        <w:rPr>
          <w:sz w:val="20"/>
          <w:szCs w:val="20"/>
          <w:color w:val="auto"/>
        </w:rPr>
      </w:pPr>
      <w:r>
        <w:rPr>
          <w:rFonts w:ascii="Arial" w:cs="Arial" w:eastAsia="Arial" w:hAnsi="Arial"/>
          <w:sz w:val="18"/>
          <w:szCs w:val="18"/>
          <w:b w:val="1"/>
          <w:bCs w:val="1"/>
          <w:color w:val="FFFFFF"/>
        </w:rPr>
        <w:t>Dividends (per share)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2260" w:type="dxa"/>
            <w:vAlign w:val="bottom"/>
            <w:gridSpan w:val="2"/>
          </w:tcPr>
          <w:p>
            <w:pPr>
              <w:ind w:left="60"/>
              <w:spacing w:after="0"/>
              <w:rPr>
                <w:sz w:val="20"/>
                <w:szCs w:val="20"/>
                <w:color w:val="auto"/>
              </w:rPr>
            </w:pPr>
            <w:r>
              <w:rPr>
                <w:rFonts w:ascii="Arial" w:cs="Arial" w:eastAsia="Arial" w:hAnsi="Arial"/>
                <w:sz w:val="18"/>
                <w:szCs w:val="18"/>
                <w:b w:val="1"/>
                <w:bCs w:val="1"/>
                <w:color w:val="auto"/>
              </w:rPr>
              <w:t>Q4 2022 (Base):</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$0.45</w:t>
            </w:r>
          </w:p>
        </w:tc>
        <w:tc>
          <w:tcPr>
            <w:tcW w:w="20" w:type="dxa"/>
            <w:vAlign w:val="bottom"/>
          </w:tcPr>
          <w:p>
            <w:pPr>
              <w:spacing w:after="0"/>
              <w:rPr>
                <w:sz w:val="20"/>
                <w:szCs w:val="20"/>
                <w:color w:val="auto"/>
              </w:rPr>
            </w:pPr>
          </w:p>
        </w:tc>
      </w:tr>
      <w:tr>
        <w:trPr>
          <w:trHeight w:val="27"/>
        </w:trPr>
        <w:tc>
          <w:tcPr>
            <w:tcW w:w="7880" w:type="dxa"/>
            <w:vAlign w:val="bottom"/>
          </w:tcPr>
          <w:p>
            <w:pPr>
              <w:spacing w:after="0"/>
              <w:rPr>
                <w:sz w:val="2"/>
                <w:szCs w:val="2"/>
                <w:color w:val="auto"/>
              </w:rPr>
            </w:pPr>
          </w:p>
        </w:tc>
        <w:tc>
          <w:tcPr>
            <w:tcW w:w="440" w:type="dxa"/>
            <w:vAlign w:val="bottom"/>
            <w:tcBorders>
              <w:bottom w:val="single" w:sz="8" w:color="D9DDE1"/>
            </w:tcBorders>
          </w:tcPr>
          <w:p>
            <w:pPr>
              <w:spacing w:after="0"/>
              <w:rPr>
                <w:sz w:val="2"/>
                <w:szCs w:val="2"/>
                <w:color w:val="auto"/>
              </w:rPr>
            </w:pPr>
          </w:p>
        </w:tc>
        <w:tc>
          <w:tcPr>
            <w:tcW w:w="1820" w:type="dxa"/>
            <w:vAlign w:val="bottom"/>
            <w:tcBorders>
              <w:bottom w:val="single" w:sz="8" w:color="D9DDE1"/>
            </w:tcBorders>
          </w:tcPr>
          <w:p>
            <w:pPr>
              <w:spacing w:after="0"/>
              <w:rPr>
                <w:sz w:val="2"/>
                <w:szCs w:val="2"/>
                <w:color w:val="auto"/>
              </w:rPr>
            </w:pPr>
          </w:p>
        </w:tc>
        <w:tc>
          <w:tcPr>
            <w:tcW w:w="1100" w:type="dxa"/>
            <w:vAlign w:val="bottom"/>
            <w:tcBorders>
              <w:bottom w:val="single" w:sz="8" w:color="D9DDE1"/>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880" w:type="dxa"/>
            <w:vAlign w:val="bottom"/>
          </w:tcPr>
          <w:p>
            <w:pPr>
              <w:spacing w:after="0"/>
              <w:rPr>
                <w:sz w:val="20"/>
                <w:szCs w:val="20"/>
                <w:color w:val="auto"/>
              </w:rPr>
            </w:pPr>
          </w:p>
        </w:tc>
        <w:tc>
          <w:tcPr>
            <w:tcW w:w="440" w:type="dxa"/>
            <w:vAlign w:val="bottom"/>
          </w:tcPr>
          <w:p>
            <w:pPr>
              <w:ind w:left="60"/>
              <w:spacing w:after="0"/>
              <w:rPr>
                <w:sz w:val="20"/>
                <w:szCs w:val="20"/>
                <w:color w:val="auto"/>
              </w:rPr>
            </w:pPr>
            <w:r>
              <w:rPr>
                <w:rFonts w:ascii="Arial" w:cs="Arial" w:eastAsia="Arial" w:hAnsi="Arial"/>
                <w:sz w:val="18"/>
                <w:szCs w:val="18"/>
                <w:b w:val="1"/>
                <w:bCs w:val="1"/>
                <w:color w:val="auto"/>
                <w:w w:val="89"/>
              </w:rPr>
              <w:t>2022</w:t>
            </w:r>
          </w:p>
        </w:tc>
        <w:tc>
          <w:tcPr>
            <w:tcW w:w="1820" w:type="dxa"/>
            <w:vAlign w:val="bottom"/>
          </w:tcPr>
          <w:p>
            <w:pPr>
              <w:ind w:left="20"/>
              <w:spacing w:after="0"/>
              <w:rPr>
                <w:sz w:val="20"/>
                <w:szCs w:val="20"/>
                <w:color w:val="auto"/>
              </w:rPr>
            </w:pPr>
            <w:r>
              <w:rPr>
                <w:rFonts w:ascii="Arial" w:cs="Arial" w:eastAsia="Arial" w:hAnsi="Arial"/>
                <w:sz w:val="18"/>
                <w:szCs w:val="18"/>
                <w:b w:val="1"/>
                <w:bCs w:val="1"/>
                <w:color w:val="auto"/>
              </w:rPr>
              <w:t>(Base):</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$1.69</w:t>
            </w:r>
          </w:p>
        </w:tc>
        <w:tc>
          <w:tcPr>
            <w:tcW w:w="20" w:type="dxa"/>
            <w:vAlign w:val="bottom"/>
          </w:tcPr>
          <w:p>
            <w:pPr>
              <w:spacing w:after="0"/>
              <w:rPr>
                <w:sz w:val="20"/>
                <w:szCs w:val="20"/>
                <w:color w:val="auto"/>
              </w:rPr>
            </w:pPr>
          </w:p>
        </w:tc>
      </w:tr>
      <w:tr>
        <w:trPr>
          <w:trHeight w:val="27"/>
        </w:trPr>
        <w:tc>
          <w:tcPr>
            <w:tcW w:w="7880" w:type="dxa"/>
            <w:vAlign w:val="bottom"/>
          </w:tcPr>
          <w:p>
            <w:pPr>
              <w:spacing w:after="0"/>
              <w:rPr>
                <w:sz w:val="2"/>
                <w:szCs w:val="2"/>
                <w:color w:val="auto"/>
              </w:rPr>
            </w:pPr>
          </w:p>
        </w:tc>
        <w:tc>
          <w:tcPr>
            <w:tcW w:w="440" w:type="dxa"/>
            <w:vAlign w:val="bottom"/>
            <w:tcBorders>
              <w:bottom w:val="single" w:sz="8" w:color="D9DDE1"/>
            </w:tcBorders>
          </w:tcPr>
          <w:p>
            <w:pPr>
              <w:spacing w:after="0"/>
              <w:rPr>
                <w:sz w:val="2"/>
                <w:szCs w:val="2"/>
                <w:color w:val="auto"/>
              </w:rPr>
            </w:pPr>
          </w:p>
        </w:tc>
        <w:tc>
          <w:tcPr>
            <w:tcW w:w="1820" w:type="dxa"/>
            <w:vAlign w:val="bottom"/>
            <w:tcBorders>
              <w:bottom w:val="single" w:sz="8" w:color="D9DDE1"/>
            </w:tcBorders>
          </w:tcPr>
          <w:p>
            <w:pPr>
              <w:spacing w:after="0"/>
              <w:rPr>
                <w:sz w:val="2"/>
                <w:szCs w:val="2"/>
                <w:color w:val="auto"/>
              </w:rPr>
            </w:pPr>
          </w:p>
        </w:tc>
        <w:tc>
          <w:tcPr>
            <w:tcW w:w="1100" w:type="dxa"/>
            <w:vAlign w:val="bottom"/>
            <w:tcBorders>
              <w:bottom w:val="single" w:sz="8" w:color="D9DDE1"/>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880" w:type="dxa"/>
            <w:vAlign w:val="bottom"/>
          </w:tcPr>
          <w:p>
            <w:pPr>
              <w:spacing w:after="0"/>
              <w:rPr>
                <w:sz w:val="20"/>
                <w:szCs w:val="20"/>
                <w:color w:val="auto"/>
              </w:rPr>
            </w:pPr>
          </w:p>
        </w:tc>
        <w:tc>
          <w:tcPr>
            <w:tcW w:w="440" w:type="dxa"/>
            <w:vAlign w:val="bottom"/>
          </w:tcPr>
          <w:p>
            <w:pPr>
              <w:ind w:left="60"/>
              <w:spacing w:after="0"/>
              <w:rPr>
                <w:sz w:val="20"/>
                <w:szCs w:val="20"/>
                <w:color w:val="auto"/>
              </w:rPr>
            </w:pPr>
            <w:r>
              <w:rPr>
                <w:rFonts w:ascii="Arial" w:cs="Arial" w:eastAsia="Arial" w:hAnsi="Arial"/>
                <w:sz w:val="18"/>
                <w:szCs w:val="18"/>
                <w:b w:val="1"/>
                <w:bCs w:val="1"/>
                <w:color w:val="auto"/>
                <w:w w:val="89"/>
              </w:rPr>
              <w:t>2022</w:t>
            </w:r>
          </w:p>
        </w:tc>
        <w:tc>
          <w:tcPr>
            <w:tcW w:w="1820" w:type="dxa"/>
            <w:vAlign w:val="bottom"/>
          </w:tcPr>
          <w:p>
            <w:pPr>
              <w:ind w:left="20"/>
              <w:spacing w:after="0"/>
              <w:rPr>
                <w:sz w:val="20"/>
                <w:szCs w:val="20"/>
                <w:color w:val="auto"/>
              </w:rPr>
            </w:pPr>
            <w:r>
              <w:rPr>
                <w:rFonts w:ascii="Arial" w:cs="Arial" w:eastAsia="Arial" w:hAnsi="Arial"/>
                <w:sz w:val="18"/>
                <w:szCs w:val="18"/>
                <w:b w:val="1"/>
                <w:bCs w:val="1"/>
                <w:color w:val="auto"/>
              </w:rPr>
              <w:t>(Supp/Special):</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$0.13</w:t>
            </w:r>
          </w:p>
        </w:tc>
        <w:tc>
          <w:tcPr>
            <w:tcW w:w="20" w:type="dxa"/>
            <w:vAlign w:val="bottom"/>
          </w:tcPr>
          <w:p>
            <w:pPr>
              <w:spacing w:after="0"/>
              <w:rPr>
                <w:sz w:val="20"/>
                <w:szCs w:val="20"/>
                <w:color w:val="auto"/>
              </w:rPr>
            </w:pPr>
          </w:p>
        </w:tc>
      </w:tr>
      <w:tr>
        <w:trPr>
          <w:trHeight w:val="27"/>
        </w:trPr>
        <w:tc>
          <w:tcPr>
            <w:tcW w:w="7880" w:type="dxa"/>
            <w:vAlign w:val="bottom"/>
          </w:tcPr>
          <w:p>
            <w:pPr>
              <w:spacing w:after="0"/>
              <w:rPr>
                <w:sz w:val="2"/>
                <w:szCs w:val="2"/>
                <w:color w:val="auto"/>
              </w:rPr>
            </w:pPr>
          </w:p>
        </w:tc>
        <w:tc>
          <w:tcPr>
            <w:tcW w:w="440" w:type="dxa"/>
            <w:vAlign w:val="bottom"/>
            <w:tcBorders>
              <w:bottom w:val="single" w:sz="8" w:color="D9DDE1"/>
            </w:tcBorders>
          </w:tcPr>
          <w:p>
            <w:pPr>
              <w:spacing w:after="0"/>
              <w:rPr>
                <w:sz w:val="2"/>
                <w:szCs w:val="2"/>
                <w:color w:val="auto"/>
              </w:rPr>
            </w:pPr>
          </w:p>
        </w:tc>
        <w:tc>
          <w:tcPr>
            <w:tcW w:w="1820" w:type="dxa"/>
            <w:vAlign w:val="bottom"/>
            <w:tcBorders>
              <w:bottom w:val="single" w:sz="8" w:color="D9DDE1"/>
            </w:tcBorders>
          </w:tcPr>
          <w:p>
            <w:pPr>
              <w:spacing w:after="0"/>
              <w:rPr>
                <w:sz w:val="2"/>
                <w:szCs w:val="2"/>
                <w:color w:val="auto"/>
              </w:rPr>
            </w:pPr>
          </w:p>
        </w:tc>
        <w:tc>
          <w:tcPr>
            <w:tcW w:w="1100" w:type="dxa"/>
            <w:vAlign w:val="bottom"/>
            <w:tcBorders>
              <w:bottom w:val="single" w:sz="8" w:color="D9DDE1"/>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880" w:type="dxa"/>
            <w:vAlign w:val="bottom"/>
          </w:tcPr>
          <w:p>
            <w:pPr>
              <w:spacing w:after="0"/>
              <w:rPr>
                <w:sz w:val="20"/>
                <w:szCs w:val="20"/>
                <w:color w:val="auto"/>
              </w:rPr>
            </w:pPr>
          </w:p>
        </w:tc>
        <w:tc>
          <w:tcPr>
            <w:tcW w:w="440" w:type="dxa"/>
            <w:vAlign w:val="bottom"/>
          </w:tcPr>
          <w:p>
            <w:pPr>
              <w:ind w:left="60"/>
              <w:spacing w:after="0"/>
              <w:rPr>
                <w:sz w:val="20"/>
                <w:szCs w:val="20"/>
                <w:color w:val="auto"/>
              </w:rPr>
            </w:pPr>
            <w:r>
              <w:rPr>
                <w:rFonts w:ascii="Arial" w:cs="Arial" w:eastAsia="Arial" w:hAnsi="Arial"/>
                <w:sz w:val="18"/>
                <w:szCs w:val="18"/>
                <w:b w:val="1"/>
                <w:bCs w:val="1"/>
                <w:color w:val="auto"/>
                <w:w w:val="89"/>
              </w:rPr>
              <w:t>2022</w:t>
            </w:r>
          </w:p>
        </w:tc>
        <w:tc>
          <w:tcPr>
            <w:tcW w:w="18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20" w:type="dxa"/>
            <w:vAlign w:val="bottom"/>
          </w:tcPr>
          <w:p>
            <w:pPr>
              <w:spacing w:after="0"/>
              <w:rPr>
                <w:sz w:val="20"/>
                <w:szCs w:val="20"/>
                <w:color w:val="auto"/>
              </w:rPr>
            </w:pPr>
          </w:p>
        </w:tc>
      </w:tr>
      <w:tr>
        <w:trPr>
          <w:trHeight w:val="958"/>
        </w:trPr>
        <w:tc>
          <w:tcPr>
            <w:tcW w:w="7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115"/>
        </w:trPr>
        <w:tc>
          <w:tcPr>
            <w:tcW w:w="78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PORTFOLIO AND INVESTMENT ACTIVITY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For the year ended December 31, 2022, new investment commitments totaled $1,084.2 million. This compares to $1,389.1 million for the year ended December 31, 2021.</w:t>
      </w:r>
    </w:p>
    <w:p>
      <w:pPr>
        <w:spacing w:after="0" w:line="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the year ended December 31, 2022, the principal amount of new investments funded was $864.0 million in 24 new portfolio companies, 22 existing portfolio companies and 41 structured credit investments. For this period, the Company had $653.8 million aggregate principal amount in exits and repayments.</w:t>
      </w:r>
    </w:p>
    <w:p>
      <w:pPr>
        <w:spacing w:after="0" w:line="5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For the year ended December 31, 2021, the principal amount of new investments funded was $1,117.4 million in 25 new portfolio companies and 26 existing portfolio companies. For this period, the Company had $1,004.5 million aggregate principal amount in exits and repayments.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w:t>
      </w:r>
    </w:p>
    <w:p>
      <w:pPr>
        <w:spacing w:after="0" w:line="121"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For the quarter ended December 31, 2022, new investment commitments totaled $241.4 million. This compares to $384.6 million for the quarter ended September 30, 2022.</w:t>
      </w:r>
    </w:p>
    <w:p>
      <w:pPr>
        <w:spacing w:after="0" w:line="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quarter ended December 31, 2022, the principal amount of new investments funded was $211.9 million across 7 new portfolio companies, 5 existing portfolio companies and 1 structured credit position. For this period, the Company had $281.6 million aggregate principal amount in exits and repayments. For the quarter ended September 30, 2022, the principal amount of new investments funded was $274.4 million across 7 new portfolio companies, 6 existing portfolio companies and 18 structured credit investments. For this period, the Company had $15.8 million aggregate principal amount in exits and repayments.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2022 and September 30, 2022, the Company had investments in 78</w:t>
      </w:r>
      <w:r>
        <w:rPr>
          <w:rFonts w:ascii="Arial" w:cs="Arial" w:eastAsia="Arial" w:hAnsi="Arial"/>
          <w:sz w:val="15"/>
          <w:szCs w:val="15"/>
          <w:color w:val="auto"/>
        </w:rPr>
        <w:t>1</w:t>
      </w:r>
      <w:r>
        <w:rPr>
          <w:rFonts w:ascii="Arial" w:cs="Arial" w:eastAsia="Arial" w:hAnsi="Arial"/>
          <w:sz w:val="18"/>
          <w:szCs w:val="18"/>
          <w:color w:val="auto"/>
        </w:rPr>
        <w:t xml:space="preserve"> and 75</w:t>
      </w:r>
      <w:r>
        <w:rPr>
          <w:rFonts w:ascii="Arial" w:cs="Arial" w:eastAsia="Arial" w:hAnsi="Arial"/>
          <w:sz w:val="15"/>
          <w:szCs w:val="15"/>
          <w:color w:val="auto"/>
        </w:rPr>
        <w:t>2</w:t>
      </w:r>
      <w:r>
        <w:rPr>
          <w:rFonts w:ascii="Arial" w:cs="Arial" w:eastAsia="Arial" w:hAnsi="Arial"/>
          <w:sz w:val="18"/>
          <w:szCs w:val="18"/>
          <w:color w:val="auto"/>
        </w:rPr>
        <w:t xml:space="preserve"> portfolio companies, respectively, with an aggregate fair value of $2,787.9 million and $2,806.1 million, respectively. As of December 31, 2022, the average investment size in each portfolio company was $35.1</w:t>
      </w:r>
      <w:r>
        <w:rPr>
          <w:rFonts w:ascii="Arial" w:cs="Arial" w:eastAsia="Arial" w:hAnsi="Arial"/>
          <w:sz w:val="15"/>
          <w:szCs w:val="15"/>
          <w:color w:val="auto"/>
        </w:rPr>
        <w:t>1</w:t>
      </w:r>
      <w:r>
        <w:rPr>
          <w:rFonts w:ascii="Arial" w:cs="Arial" w:eastAsia="Arial" w:hAnsi="Arial"/>
          <w:sz w:val="18"/>
          <w:szCs w:val="18"/>
          <w:color w:val="auto"/>
        </w:rPr>
        <w:t xml:space="preserve"> million based on fair value.</w:t>
      </w:r>
    </w:p>
    <w:p>
      <w:pPr>
        <w:spacing w:after="0" w:line="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2022, the Company’s portfolio based on fair value consisted of 90.3% first-lien debt investments, 1.5% second-lien debt investments, 1.8% structured credit investments, 0.4% mezzanine debt investments, and 6.0% equity and other investments. As of September 30, 2022, the Company’s portfolio based on fair value consisted of 90.4% first-lien debt investments, 1.5% second-lien debt investments, 1.8% structured credit investments, 0.4% mezzanine investments, and 5.9% equity and other investments.</w:t>
      </w:r>
    </w:p>
    <w:p>
      <w:pPr>
        <w:spacing w:after="0" w:line="57"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As of December 31, 2022, 98.9% of debt investments based on fair value in the portfolio bore interest at floating rates, with 100.0% of these subject to reference rate floors. The Company’s credit facilities also bear interest at floating rates. In connection with the Company’s Unsecured Notes, which bear interest at fixed rates, the Company has entered into fixed-to-floating interest rate swaps in order to align the nature of the interest rates of its liabilities with its investment portfolio.</w:t>
      </w:r>
    </w:p>
    <w:p>
      <w:pPr>
        <w:spacing w:after="0" w:line="68"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For the period ended December 31, 2022 and September 30, 2022, the weighted average total yield of debt and income-producing securities at fair value (which includes interest income and amortization of fees and discounts) was 13.5% and 12.3%, respectively, and the weighted average total yield of debt and income-producing securities at amortized cost (which includes interest income and amortization of fees and discounts) was 13.4% and 12.2%, respectively.</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2022, non-accrual investments represented less than 0.01% of the portfolio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FFFFFF"/>
        </w:rPr>
        <w:t>2022 Origination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-153670</wp:posOffset>
            </wp:positionV>
            <wp:extent cx="2168525" cy="21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68525" cy="214630"/>
                    </a:xfrm>
                    <a:prstGeom prst="rect">
                      <a:avLst/>
                    </a:prstGeom>
                    <a:noFill/>
                  </pic:spPr>
                </pic:pic>
              </a:graphicData>
            </a:graphic>
          </wp:anchor>
        </w:drawing>
      </w:r>
    </w:p>
    <w:p>
      <w:pPr>
        <w:spacing w:after="0" w:line="57" w:lineRule="exact"/>
        <w:rPr>
          <w:sz w:val="20"/>
          <w:szCs w:val="20"/>
          <w:color w:val="auto"/>
        </w:rPr>
      </w:pPr>
    </w:p>
    <w:p>
      <w:pPr>
        <w:ind w:left="60"/>
        <w:spacing w:after="0"/>
        <w:tabs>
          <w:tab w:leader="none" w:pos="2420" w:val="left"/>
        </w:tabs>
        <w:rPr>
          <w:sz w:val="20"/>
          <w:szCs w:val="20"/>
          <w:color w:val="auto"/>
        </w:rPr>
      </w:pPr>
      <w:r>
        <w:rPr>
          <w:rFonts w:ascii="Arial" w:cs="Arial" w:eastAsia="Arial" w:hAnsi="Arial"/>
          <w:sz w:val="18"/>
          <w:szCs w:val="18"/>
          <w:b w:val="1"/>
          <w:bCs w:val="1"/>
          <w:color w:val="auto"/>
        </w:rPr>
        <w:t>Commitments:</w:t>
      </w:r>
      <w:r>
        <w:rPr>
          <w:sz w:val="20"/>
          <w:szCs w:val="20"/>
          <w:color w:val="auto"/>
        </w:rPr>
        <w:tab/>
      </w:r>
      <w:r>
        <w:rPr>
          <w:rFonts w:ascii="Arial" w:cs="Arial" w:eastAsia="Arial" w:hAnsi="Arial"/>
          <w:sz w:val="18"/>
          <w:szCs w:val="18"/>
          <w:b w:val="1"/>
          <w:bCs w:val="1"/>
          <w:color w:val="auto"/>
        </w:rPr>
        <w:t>$1,084.2MM</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 w:type="dxa"/>
            <w:vAlign w:val="bottom"/>
            <w:tcBorders>
              <w:top w:val="single" w:sz="8" w:color="E7E6E6"/>
            </w:tcBorders>
          </w:tcPr>
          <w:p>
            <w:pPr>
              <w:spacing w:after="0"/>
              <w:rPr>
                <w:sz w:val="22"/>
                <w:szCs w:val="22"/>
                <w:color w:val="auto"/>
              </w:rPr>
            </w:pPr>
          </w:p>
        </w:tc>
        <w:tc>
          <w:tcPr>
            <w:tcW w:w="1980" w:type="dxa"/>
            <w:vAlign w:val="bottom"/>
            <w:tcBorders>
              <w:top w:val="single" w:sz="8" w:color="E7E6E6"/>
            </w:tcBorders>
          </w:tcPr>
          <w:p>
            <w:pPr>
              <w:ind w:left="40"/>
              <w:spacing w:after="0"/>
              <w:rPr>
                <w:sz w:val="20"/>
                <w:szCs w:val="20"/>
                <w:color w:val="auto"/>
              </w:rPr>
            </w:pPr>
            <w:r>
              <w:rPr>
                <w:rFonts w:ascii="Arial" w:cs="Arial" w:eastAsia="Arial" w:hAnsi="Arial"/>
                <w:sz w:val="18"/>
                <w:szCs w:val="18"/>
                <w:b w:val="1"/>
                <w:bCs w:val="1"/>
                <w:color w:val="auto"/>
              </w:rPr>
              <w:t>Fundings:</w:t>
            </w:r>
          </w:p>
        </w:tc>
        <w:tc>
          <w:tcPr>
            <w:tcW w:w="1420" w:type="dxa"/>
            <w:vAlign w:val="bottom"/>
            <w:tcBorders>
              <w:top w:val="single" w:sz="8" w:color="E7E6E6"/>
            </w:tcBorders>
          </w:tcPr>
          <w:p>
            <w:pPr>
              <w:ind w:left="580"/>
              <w:spacing w:after="0"/>
              <w:rPr>
                <w:sz w:val="20"/>
                <w:szCs w:val="20"/>
                <w:color w:val="auto"/>
              </w:rPr>
            </w:pPr>
            <w:r>
              <w:rPr>
                <w:rFonts w:ascii="Arial" w:cs="Arial" w:eastAsia="Arial" w:hAnsi="Arial"/>
                <w:sz w:val="18"/>
                <w:szCs w:val="18"/>
                <w:b w:val="1"/>
                <w:bCs w:val="1"/>
                <w:color w:val="auto"/>
                <w:w w:val="96"/>
              </w:rPr>
              <w:t>$864.0MM</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E7E6E6"/>
            </w:tcBorders>
          </w:tcPr>
          <w:p>
            <w:pPr>
              <w:spacing w:after="0"/>
              <w:rPr>
                <w:sz w:val="9"/>
                <w:szCs w:val="9"/>
                <w:color w:val="auto"/>
              </w:rPr>
            </w:pPr>
          </w:p>
        </w:tc>
        <w:tc>
          <w:tcPr>
            <w:tcW w:w="1980" w:type="dxa"/>
            <w:vAlign w:val="bottom"/>
            <w:tcBorders>
              <w:bottom w:val="single" w:sz="8" w:color="E7E6E6"/>
            </w:tcBorders>
          </w:tcPr>
          <w:p>
            <w:pPr>
              <w:spacing w:after="0"/>
              <w:rPr>
                <w:sz w:val="9"/>
                <w:szCs w:val="9"/>
                <w:color w:val="auto"/>
              </w:rPr>
            </w:pPr>
          </w:p>
        </w:tc>
        <w:tc>
          <w:tcPr>
            <w:tcW w:w="1420" w:type="dxa"/>
            <w:vAlign w:val="bottom"/>
            <w:tcBorders>
              <w:bottom w:val="single" w:sz="8" w:color="E7E6E6"/>
            </w:tcBorders>
          </w:tcPr>
          <w:p>
            <w:pPr>
              <w:spacing w:after="0"/>
              <w:rPr>
                <w:sz w:val="9"/>
                <w:szCs w:val="9"/>
                <w:color w:val="auto"/>
              </w:rPr>
            </w:pPr>
          </w:p>
        </w:tc>
        <w:tc>
          <w:tcPr>
            <w:tcW w:w="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80" w:type="dxa"/>
            <w:vAlign w:val="bottom"/>
          </w:tcPr>
          <w:p>
            <w:pPr>
              <w:ind w:left="40"/>
              <w:spacing w:after="0"/>
              <w:rPr>
                <w:sz w:val="20"/>
                <w:szCs w:val="20"/>
                <w:color w:val="auto"/>
              </w:rPr>
            </w:pPr>
            <w:r>
              <w:rPr>
                <w:rFonts w:ascii="Arial" w:cs="Arial" w:eastAsia="Arial" w:hAnsi="Arial"/>
                <w:sz w:val="18"/>
                <w:szCs w:val="18"/>
                <w:b w:val="1"/>
                <w:bCs w:val="1"/>
                <w:color w:val="auto"/>
              </w:rPr>
              <w:t>Net Fundings:</w:t>
            </w:r>
          </w:p>
        </w:tc>
        <w:tc>
          <w:tcPr>
            <w:tcW w:w="1420" w:type="dxa"/>
            <w:vAlign w:val="bottom"/>
          </w:tcPr>
          <w:p>
            <w:pPr>
              <w:ind w:left="580"/>
              <w:spacing w:after="0"/>
              <w:rPr>
                <w:sz w:val="20"/>
                <w:szCs w:val="20"/>
                <w:color w:val="auto"/>
              </w:rPr>
            </w:pPr>
            <w:r>
              <w:rPr>
                <w:rFonts w:ascii="Arial" w:cs="Arial" w:eastAsia="Arial" w:hAnsi="Arial"/>
                <w:sz w:val="18"/>
                <w:szCs w:val="18"/>
                <w:b w:val="1"/>
                <w:bCs w:val="1"/>
                <w:color w:val="auto"/>
                <w:w w:val="96"/>
              </w:rPr>
              <w:t>$210.2MM</w:t>
            </w: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80" w:type="dxa"/>
            <w:vAlign w:val="bottom"/>
            <w:tcBorders>
              <w:bottom w:val="single" w:sz="8" w:color="0F2F50"/>
            </w:tcBorders>
            <w:gridSpan w:val="3"/>
            <w:shd w:val="clear" w:color="auto" w:fill="0F2F50"/>
          </w:tcPr>
          <w:p>
            <w:pPr>
              <w:ind w:left="620"/>
              <w:spacing w:after="0"/>
              <w:rPr>
                <w:sz w:val="20"/>
                <w:szCs w:val="20"/>
                <w:color w:val="auto"/>
              </w:rPr>
            </w:pPr>
            <w:r>
              <w:rPr>
                <w:rFonts w:ascii="Arial" w:cs="Arial" w:eastAsia="Arial" w:hAnsi="Arial"/>
                <w:sz w:val="18"/>
                <w:szCs w:val="18"/>
                <w:b w:val="1"/>
                <w:bCs w:val="1"/>
                <w:color w:val="FFFFFF"/>
              </w:rPr>
              <w:t>Q4 2022 Origination Activity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80" w:type="dxa"/>
            <w:vAlign w:val="bottom"/>
          </w:tcPr>
          <w:p>
            <w:pPr>
              <w:ind w:left="60"/>
              <w:spacing w:after="0"/>
              <w:rPr>
                <w:sz w:val="20"/>
                <w:szCs w:val="20"/>
                <w:color w:val="auto"/>
              </w:rPr>
            </w:pPr>
            <w:r>
              <w:rPr>
                <w:rFonts w:ascii="Arial" w:cs="Arial" w:eastAsia="Arial" w:hAnsi="Arial"/>
                <w:sz w:val="18"/>
                <w:szCs w:val="18"/>
                <w:b w:val="1"/>
                <w:bCs w:val="1"/>
                <w:color w:val="auto"/>
              </w:rPr>
              <w:t>Commitments:</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$241.4MM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tcBorders>
              <w:bottom w:val="single" w:sz="8" w:color="E7E6E6"/>
            </w:tcBorders>
          </w:tcPr>
          <w:p>
            <w:pPr>
              <w:spacing w:after="0"/>
              <w:rPr>
                <w:sz w:val="2"/>
                <w:szCs w:val="2"/>
                <w:color w:val="auto"/>
              </w:rPr>
            </w:pPr>
          </w:p>
        </w:tc>
        <w:tc>
          <w:tcPr>
            <w:tcW w:w="1500" w:type="dxa"/>
            <w:vAlign w:val="bottom"/>
            <w:tcBorders>
              <w:bottom w:val="single" w:sz="8" w:color="E7E6E6"/>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80" w:type="dxa"/>
            <w:vAlign w:val="bottom"/>
          </w:tcPr>
          <w:p>
            <w:pPr>
              <w:ind w:left="60"/>
              <w:spacing w:after="0"/>
              <w:rPr>
                <w:sz w:val="20"/>
                <w:szCs w:val="20"/>
                <w:color w:val="auto"/>
              </w:rPr>
            </w:pPr>
            <w:r>
              <w:rPr>
                <w:rFonts w:ascii="Arial" w:cs="Arial" w:eastAsia="Arial" w:hAnsi="Arial"/>
                <w:sz w:val="18"/>
                <w:szCs w:val="18"/>
                <w:b w:val="1"/>
                <w:bCs w:val="1"/>
                <w:color w:val="auto"/>
              </w:rPr>
              <w:t>Fundings:</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$211.9MM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tcBorders>
              <w:bottom w:val="single" w:sz="8" w:color="E7E6E6"/>
            </w:tcBorders>
          </w:tcPr>
          <w:p>
            <w:pPr>
              <w:spacing w:after="0"/>
              <w:rPr>
                <w:sz w:val="2"/>
                <w:szCs w:val="2"/>
                <w:color w:val="auto"/>
              </w:rPr>
            </w:pPr>
          </w:p>
        </w:tc>
        <w:tc>
          <w:tcPr>
            <w:tcW w:w="1500" w:type="dxa"/>
            <w:vAlign w:val="bottom"/>
            <w:tcBorders>
              <w:bottom w:val="single" w:sz="8" w:color="E7E6E6"/>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80" w:type="dxa"/>
            <w:vAlign w:val="bottom"/>
          </w:tcPr>
          <w:p>
            <w:pPr>
              <w:ind w:left="60"/>
              <w:spacing w:after="0"/>
              <w:rPr>
                <w:sz w:val="20"/>
                <w:szCs w:val="20"/>
                <w:color w:val="auto"/>
              </w:rPr>
            </w:pPr>
            <w:r>
              <w:rPr>
                <w:rFonts w:ascii="Arial" w:cs="Arial" w:eastAsia="Arial" w:hAnsi="Arial"/>
                <w:sz w:val="18"/>
                <w:szCs w:val="18"/>
                <w:b w:val="1"/>
                <w:bCs w:val="1"/>
                <w:color w:val="auto"/>
              </w:rPr>
              <w:t>Net Repayments:</w:t>
            </w: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$69.7MM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360045</wp:posOffset>
            </wp:positionV>
            <wp:extent cx="2134235" cy="342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3423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Average Investment Size</w:t>
      </w:r>
      <w:r>
        <w:rPr>
          <w:rFonts w:ascii="Arial" w:cs="Arial" w:eastAsia="Arial" w:hAnsi="Arial"/>
          <w:sz w:val="15"/>
          <w:szCs w:val="15"/>
          <w:b w:val="1"/>
          <w:bCs w:val="1"/>
          <w:color w:val="FFFFFF"/>
        </w:rPr>
        <w:t>1</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$35.1MM</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(1.3% of the portfolio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382905</wp:posOffset>
            </wp:positionV>
            <wp:extent cx="2134235"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3423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First Lien Debt Investments (% FV)</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188595</wp:posOffset>
            </wp:positionV>
            <wp:extent cx="2134235" cy="454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34235" cy="454025"/>
                    </a:xfrm>
                    <a:prstGeom prst="rect">
                      <a:avLst/>
                    </a:prstGeom>
                    <a:noFill/>
                  </pic:spPr>
                </pic:pic>
              </a:graphicData>
            </a:graphic>
          </wp:anchor>
        </w:drawing>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Floating Rate Debt Investments</w:t>
      </w:r>
      <w:r>
        <w:rPr>
          <w:rFonts w:ascii="Arial" w:cs="Arial" w:eastAsia="Arial" w:hAnsi="Arial"/>
          <w:sz w:val="15"/>
          <w:szCs w:val="15"/>
          <w:b w:val="1"/>
          <w:bCs w:val="1"/>
          <w:color w:val="FFFFFF"/>
        </w:rPr>
        <w:t>3</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FFFFFF"/>
        </w:rPr>
        <w:t>(% FV)</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283210</wp:posOffset>
            </wp:positionV>
            <wp:extent cx="2168525" cy="3346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68525" cy="3346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FFFFFF"/>
        </w:rPr>
        <w:t>Weighted Average Yield of Debt and</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FFFFFF"/>
        </w:rPr>
        <w:t>Incoming-Producing Securities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Pr>
          <w:p>
            <w:pPr>
              <w:ind w:left="60"/>
              <w:spacing w:after="0"/>
              <w:rPr>
                <w:sz w:val="20"/>
                <w:szCs w:val="20"/>
                <w:color w:val="auto"/>
              </w:rPr>
            </w:pPr>
            <w:r>
              <w:rPr>
                <w:rFonts w:ascii="Arial" w:cs="Arial" w:eastAsia="Arial" w:hAnsi="Arial"/>
                <w:sz w:val="18"/>
                <w:szCs w:val="18"/>
                <w:b w:val="1"/>
                <w:bCs w:val="1"/>
                <w:color w:val="auto"/>
              </w:rPr>
              <w:t>Yield at Fair Value: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13.5%</w:t>
            </w:r>
          </w:p>
        </w:tc>
      </w:tr>
      <w:tr>
        <w:trPr>
          <w:trHeight w:val="40"/>
        </w:trPr>
        <w:tc>
          <w:tcPr>
            <w:tcW w:w="2460" w:type="dxa"/>
            <w:vAlign w:val="bottom"/>
            <w:tcBorders>
              <w:bottom w:val="single" w:sz="8" w:color="E7E6E6"/>
            </w:tcBorders>
          </w:tcPr>
          <w:p>
            <w:pPr>
              <w:spacing w:after="0"/>
              <w:rPr>
                <w:sz w:val="3"/>
                <w:szCs w:val="3"/>
                <w:color w:val="auto"/>
              </w:rPr>
            </w:pPr>
          </w:p>
        </w:tc>
        <w:tc>
          <w:tcPr>
            <w:tcW w:w="960" w:type="dxa"/>
            <w:vAlign w:val="bottom"/>
            <w:tcBorders>
              <w:bottom w:val="single" w:sz="8" w:color="E7E6E6"/>
            </w:tcBorders>
          </w:tcPr>
          <w:p>
            <w:pPr>
              <w:spacing w:after="0"/>
              <w:rPr>
                <w:sz w:val="3"/>
                <w:szCs w:val="3"/>
                <w:color w:val="auto"/>
              </w:rPr>
            </w:pPr>
          </w:p>
        </w:tc>
      </w:tr>
      <w:tr>
        <w:trPr>
          <w:trHeight w:val="237"/>
        </w:trPr>
        <w:tc>
          <w:tcPr>
            <w:tcW w:w="2460" w:type="dxa"/>
            <w:vAlign w:val="bottom"/>
          </w:tcPr>
          <w:p>
            <w:pPr>
              <w:ind w:left="60"/>
              <w:spacing w:after="0"/>
              <w:rPr>
                <w:sz w:val="20"/>
                <w:szCs w:val="20"/>
                <w:color w:val="auto"/>
              </w:rPr>
            </w:pPr>
            <w:r>
              <w:rPr>
                <w:rFonts w:ascii="Arial" w:cs="Arial" w:eastAsia="Arial" w:hAnsi="Arial"/>
                <w:sz w:val="18"/>
                <w:szCs w:val="18"/>
                <w:b w:val="1"/>
                <w:bCs w:val="1"/>
                <w:color w:val="auto"/>
              </w:rPr>
              <w:t>Yield at Amortized Cost: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13.4%</w:t>
            </w:r>
          </w:p>
        </w:tc>
      </w:tr>
      <w:tr>
        <w:trPr>
          <w:trHeight w:val="54"/>
        </w:trPr>
        <w:tc>
          <w:tcPr>
            <w:tcW w:w="2460" w:type="dxa"/>
            <w:vAlign w:val="bottom"/>
            <w:tcBorders>
              <w:bottom w:val="single" w:sz="8" w:color="E7E6E6"/>
            </w:tcBorders>
          </w:tcPr>
          <w:p>
            <w:pPr>
              <w:spacing w:after="0"/>
              <w:rPr>
                <w:sz w:val="4"/>
                <w:szCs w:val="4"/>
                <w:color w:val="auto"/>
              </w:rPr>
            </w:pPr>
          </w:p>
        </w:tc>
        <w:tc>
          <w:tcPr>
            <w:tcW w:w="960" w:type="dxa"/>
            <w:vAlign w:val="bottom"/>
            <w:tcBorders>
              <w:bottom w:val="single" w:sz="8" w:color="E7E6E6"/>
            </w:tcBorders>
          </w:tcPr>
          <w:p>
            <w:pPr>
              <w:spacing w:after="0"/>
              <w:rPr>
                <w:sz w:val="4"/>
                <w:szCs w:val="4"/>
                <w:color w:val="auto"/>
              </w:rPr>
            </w:pPr>
          </w:p>
        </w:tc>
      </w:tr>
    </w:tbl>
    <w:p>
      <w:pPr>
        <w:spacing w:after="0" w:line="305" w:lineRule="exact"/>
        <w:rPr>
          <w:sz w:val="20"/>
          <w:szCs w:val="20"/>
          <w:color w:val="auto"/>
        </w:rPr>
      </w:pPr>
    </w:p>
    <w:p>
      <w:pPr>
        <w:ind w:left="400" w:right="220" w:hanging="331"/>
        <w:spacing w:after="0" w:line="227" w:lineRule="auto"/>
        <w:tabs>
          <w:tab w:leader="none" w:pos="436" w:val="left"/>
        </w:tabs>
        <w:numPr>
          <w:ilvl w:val="0"/>
          <w:numId w:val="2"/>
        </w:numPr>
        <w:rPr>
          <w:rFonts w:ascii="Arial" w:cs="Arial" w:eastAsia="Arial" w:hAnsi="Arial"/>
          <w:sz w:val="14"/>
          <w:szCs w:val="14"/>
          <w:color w:val="auto"/>
        </w:rPr>
      </w:pPr>
      <w:r>
        <w:rPr>
          <w:rFonts w:ascii="Arial" w:cs="Arial" w:eastAsia="Arial" w:hAnsi="Arial"/>
          <w:sz w:val="14"/>
          <w:szCs w:val="14"/>
          <w:color w:val="auto"/>
        </w:rPr>
        <w:t>As of December 31, 2022, excludes 43 structured credit investments with a total fair value of $51.4 million.</w:t>
      </w:r>
    </w:p>
    <w:p>
      <w:pPr>
        <w:jc w:val="both"/>
        <w:ind w:left="400" w:right="240" w:hanging="331"/>
        <w:spacing w:after="0" w:line="221" w:lineRule="auto"/>
        <w:tabs>
          <w:tab w:leader="none" w:pos="392" w:val="left"/>
        </w:tabs>
        <w:numPr>
          <w:ilvl w:val="0"/>
          <w:numId w:val="2"/>
        </w:numPr>
        <w:rPr>
          <w:rFonts w:ascii="Arial" w:cs="Arial" w:eastAsia="Arial" w:hAnsi="Arial"/>
          <w:sz w:val="14"/>
          <w:szCs w:val="14"/>
          <w:color w:val="auto"/>
        </w:rPr>
      </w:pPr>
      <w:r>
        <w:rPr>
          <w:rFonts w:ascii="Arial" w:cs="Arial" w:eastAsia="Arial" w:hAnsi="Arial"/>
          <w:sz w:val="14"/>
          <w:szCs w:val="14"/>
          <w:color w:val="auto"/>
        </w:rPr>
        <w:t>As of September 30, 2022, excludes 43 structured credit investments with a total fair value of $52.0 million.</w:t>
      </w:r>
    </w:p>
    <w:p>
      <w:pPr>
        <w:ind w:left="400" w:right="720" w:hanging="331"/>
        <w:spacing w:after="0" w:line="237" w:lineRule="auto"/>
        <w:tabs>
          <w:tab w:leader="none" w:pos="40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Calculation includes income earning debt investments only.</w:t>
      </w:r>
    </w:p>
    <w:p>
      <w:pPr>
        <w:spacing w:after="0" w:line="379" w:lineRule="exact"/>
        <w:rPr>
          <w:sz w:val="20"/>
          <w:szCs w:val="20"/>
          <w:color w:val="auto"/>
        </w:rPr>
      </w:pPr>
    </w:p>
    <w:p>
      <w:pPr>
        <w:sectPr>
          <w:pgSz w:w="11900" w:h="16838" w:orient="portrait"/>
          <w:cols w:equalWidth="0" w:num="2">
            <w:col w:w="7640" w:space="180"/>
            <w:col w:w="3500"/>
          </w:cols>
          <w:pgMar w:left="320" w:top="1435" w:right="259" w:bottom="1440" w:gutter="0" w:footer="0" w:header="0"/>
        </w:sectPr>
      </w:pPr>
    </w:p>
    <w:p>
      <w:pPr>
        <w:spacing w:after="0" w:line="294"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320"/>
          </w:cols>
          <w:pgMar w:left="320" w:top="1435" w:right="2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RESULTS OF OPERATIONS FOR THE FULL YEAR AND THREE MONTHS ENDED DECEMBER 31, 2022</w:t>
      </w:r>
    </w:p>
    <w:p>
      <w:pPr>
        <w:sectPr>
          <w:pgSz w:w="11900" w:h="16838" w:orient="portrait"/>
          <w:cols w:equalWidth="0" w:num="1">
            <w:col w:w="11240"/>
          </w:cols>
          <w:pgMar w:left="320" w:top="1435" w:right="339"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years ended December 31, 2022 and 2021, investment income totaled $309.3 million and $278.6 million, respectively. The increase in investment income was primarily the result of higher interest from investments driven by increased all-in yields.</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expenses totaled $140.4 million and $135.8 million for the years ended December 31, 2022 and 2021, respectively. The increase in net expenses was primarily due to the upward movement in reference rates which increased the Company’s weighted average interest rate on average debt outstanding.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w:t>
      </w:r>
    </w:p>
    <w:p>
      <w:pPr>
        <w:spacing w:after="0" w:line="13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the three months ended December 31, 2022 and 2021, total investment income was $100.1 million and $78.3 million, respectively. The increase in total investment income was primarily the result of higher interest from investments driven by increased all-in yields.</w:t>
      </w: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expenses totaled $46.4 million and $32.5 million for the three months ended December 31, 2022 and 2021, respectively. The increase in expenses was primarily driven by higher interest expense resulting from an increase in the average debt outstanding and higher incentive fees due to an increase in pre-incentive fee net investment income.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Capital Resources</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December 31, 2022, the Company had $25.6 million in cash and cash equivalents (including $15.4 million of restricted cash), total principal value of debt outstanding of $1,516.8 million, and $865.7 million of undrawn capacity on its revolving credit facility, subject to borrowing base and other limitations. At year end, aggregate commitments under the Company’s revolving credit facility were $1.585 billion, in accordance with the accordion feature.</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weighted average interest rate on debt outstanding was 5.6% and 4.3% for the three months ended December 31, 2022 and September 30, 2022, respectively. At December 31, 2022, the Company’s debt to equity ratio was 1.13x, compared to 1.16x at September 30, 2022. Average debt to equity was 1.14x and 1.15x during the three months ended December 31, 2022 and September 30, 2022,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FFFFFF"/>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2177415" cy="231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77415" cy="23177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80" w:type="dxa"/>
            <w:vAlign w:val="bottom"/>
          </w:tcPr>
          <w:p>
            <w:pPr>
              <w:ind w:left="60"/>
              <w:spacing w:after="0"/>
              <w:rPr>
                <w:sz w:val="20"/>
                <w:szCs w:val="20"/>
                <w:color w:val="auto"/>
              </w:rPr>
            </w:pPr>
            <w:r>
              <w:rPr>
                <w:rFonts w:ascii="Arial" w:cs="Arial" w:eastAsia="Arial" w:hAnsi="Arial"/>
                <w:sz w:val="18"/>
                <w:szCs w:val="18"/>
                <w:b w:val="1"/>
                <w:bCs w:val="1"/>
                <w:color w:val="auto"/>
              </w:rPr>
              <w:t>Investment Income:</w:t>
            </w:r>
          </w:p>
        </w:tc>
        <w:tc>
          <w:tcPr>
            <w:tcW w:w="1340" w:type="dxa"/>
            <w:vAlign w:val="bottom"/>
          </w:tcPr>
          <w:p>
            <w:pPr>
              <w:ind w:left="500"/>
              <w:spacing w:after="0"/>
              <w:rPr>
                <w:sz w:val="20"/>
                <w:szCs w:val="20"/>
                <w:color w:val="auto"/>
              </w:rPr>
            </w:pPr>
            <w:r>
              <w:rPr>
                <w:rFonts w:ascii="Arial" w:cs="Arial" w:eastAsia="Arial" w:hAnsi="Arial"/>
                <w:sz w:val="18"/>
                <w:szCs w:val="18"/>
                <w:b w:val="1"/>
                <w:bCs w:val="1"/>
                <w:color w:val="auto"/>
                <w:w w:val="96"/>
              </w:rPr>
              <w:t>$309.3MM</w:t>
            </w:r>
          </w:p>
        </w:tc>
      </w:tr>
      <w:tr>
        <w:trPr>
          <w:trHeight w:val="122"/>
        </w:trPr>
        <w:tc>
          <w:tcPr>
            <w:tcW w:w="2080" w:type="dxa"/>
            <w:vAlign w:val="bottom"/>
            <w:tcBorders>
              <w:bottom w:val="single" w:sz="8" w:color="E7E6E6"/>
            </w:tcBorders>
          </w:tcPr>
          <w:p>
            <w:pPr>
              <w:spacing w:after="0"/>
              <w:rPr>
                <w:sz w:val="10"/>
                <w:szCs w:val="10"/>
                <w:color w:val="auto"/>
              </w:rPr>
            </w:pPr>
          </w:p>
        </w:tc>
        <w:tc>
          <w:tcPr>
            <w:tcW w:w="1340" w:type="dxa"/>
            <w:vAlign w:val="bottom"/>
            <w:tcBorders>
              <w:bottom w:val="single" w:sz="8" w:color="E7E6E6"/>
            </w:tcBorders>
          </w:tcPr>
          <w:p>
            <w:pPr>
              <w:spacing w:after="0"/>
              <w:rPr>
                <w:sz w:val="10"/>
                <w:szCs w:val="10"/>
                <w:color w:val="auto"/>
              </w:rPr>
            </w:pPr>
          </w:p>
        </w:tc>
      </w:tr>
      <w:tr>
        <w:trPr>
          <w:trHeight w:val="237"/>
        </w:trPr>
        <w:tc>
          <w:tcPr>
            <w:tcW w:w="2080" w:type="dxa"/>
            <w:vAlign w:val="bottom"/>
          </w:tcPr>
          <w:p>
            <w:pPr>
              <w:ind w:left="60"/>
              <w:spacing w:after="0"/>
              <w:rPr>
                <w:sz w:val="20"/>
                <w:szCs w:val="20"/>
                <w:color w:val="auto"/>
              </w:rPr>
            </w:pPr>
            <w:r>
              <w:rPr>
                <w:rFonts w:ascii="Arial" w:cs="Arial" w:eastAsia="Arial" w:hAnsi="Arial"/>
                <w:sz w:val="18"/>
                <w:szCs w:val="18"/>
                <w:b w:val="1"/>
                <w:bCs w:val="1"/>
                <w:color w:val="auto"/>
              </w:rPr>
              <w:t>Net Expenses:</w:t>
            </w:r>
          </w:p>
        </w:tc>
        <w:tc>
          <w:tcPr>
            <w:tcW w:w="1340" w:type="dxa"/>
            <w:vAlign w:val="bottom"/>
          </w:tcPr>
          <w:p>
            <w:pPr>
              <w:ind w:left="500"/>
              <w:spacing w:after="0"/>
              <w:rPr>
                <w:sz w:val="20"/>
                <w:szCs w:val="20"/>
                <w:color w:val="auto"/>
              </w:rPr>
            </w:pPr>
            <w:r>
              <w:rPr>
                <w:rFonts w:ascii="Arial" w:cs="Arial" w:eastAsia="Arial" w:hAnsi="Arial"/>
                <w:sz w:val="18"/>
                <w:szCs w:val="18"/>
                <w:b w:val="1"/>
                <w:bCs w:val="1"/>
                <w:color w:val="auto"/>
                <w:w w:val="96"/>
              </w:rPr>
              <w:t>$140.4MM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625475</wp:posOffset>
            </wp:positionV>
            <wp:extent cx="216852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6852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FFFFFF"/>
        </w:rPr>
        <w:t>Q4 2022</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100" w:type="dxa"/>
            <w:vAlign w:val="bottom"/>
          </w:tcPr>
          <w:p>
            <w:pPr>
              <w:ind w:left="60"/>
              <w:spacing w:after="0"/>
              <w:rPr>
                <w:sz w:val="20"/>
                <w:szCs w:val="20"/>
                <w:color w:val="auto"/>
              </w:rPr>
            </w:pPr>
            <w:r>
              <w:rPr>
                <w:rFonts w:ascii="Arial" w:cs="Arial" w:eastAsia="Arial" w:hAnsi="Arial"/>
                <w:sz w:val="18"/>
                <w:szCs w:val="18"/>
                <w:b w:val="1"/>
                <w:bCs w:val="1"/>
                <w:color w:val="auto"/>
              </w:rPr>
              <w:t>Investment Income:</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$100.1MM</w:t>
            </w:r>
          </w:p>
        </w:tc>
      </w:tr>
      <w:tr>
        <w:trPr>
          <w:trHeight w:val="27"/>
        </w:trPr>
        <w:tc>
          <w:tcPr>
            <w:tcW w:w="2100" w:type="dxa"/>
            <w:vAlign w:val="bottom"/>
            <w:tcBorders>
              <w:bottom w:val="single" w:sz="8" w:color="E7E6E6"/>
            </w:tcBorders>
          </w:tcPr>
          <w:p>
            <w:pPr>
              <w:spacing w:after="0"/>
              <w:rPr>
                <w:sz w:val="2"/>
                <w:szCs w:val="2"/>
                <w:color w:val="auto"/>
              </w:rPr>
            </w:pPr>
          </w:p>
        </w:tc>
        <w:tc>
          <w:tcPr>
            <w:tcW w:w="1320" w:type="dxa"/>
            <w:vAlign w:val="bottom"/>
            <w:tcBorders>
              <w:bottom w:val="single" w:sz="8" w:color="E7E6E6"/>
            </w:tcBorders>
          </w:tcPr>
          <w:p>
            <w:pPr>
              <w:spacing w:after="0"/>
              <w:rPr>
                <w:sz w:val="2"/>
                <w:szCs w:val="2"/>
                <w:color w:val="auto"/>
              </w:rPr>
            </w:pPr>
          </w:p>
        </w:tc>
      </w:tr>
      <w:tr>
        <w:trPr>
          <w:trHeight w:val="237"/>
        </w:trPr>
        <w:tc>
          <w:tcPr>
            <w:tcW w:w="2100" w:type="dxa"/>
            <w:vAlign w:val="bottom"/>
          </w:tcPr>
          <w:p>
            <w:pPr>
              <w:ind w:left="60"/>
              <w:spacing w:after="0"/>
              <w:rPr>
                <w:sz w:val="20"/>
                <w:szCs w:val="20"/>
                <w:color w:val="auto"/>
              </w:rPr>
            </w:pPr>
            <w:r>
              <w:rPr>
                <w:rFonts w:ascii="Arial" w:cs="Arial" w:eastAsia="Arial" w:hAnsi="Arial"/>
                <w:sz w:val="18"/>
                <w:szCs w:val="18"/>
                <w:b w:val="1"/>
                <w:bCs w:val="1"/>
                <w:color w:val="auto"/>
              </w:rPr>
              <w:t>Net Expenses:</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$46.4MM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217741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77415" cy="17145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Total Principal Debt Outstanding</w:t>
      </w:r>
    </w:p>
    <w:p>
      <w:pPr>
        <w:spacing w:after="0" w:line="63"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$1,516.8MM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774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600075</wp:posOffset>
            </wp:positionV>
            <wp:extent cx="216852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6852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FFFFFF"/>
        </w:rPr>
        <w:t>Debt-to-Equity Ratio</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2022 Quarter End:</w:t>
            </w:r>
          </w:p>
        </w:tc>
        <w:tc>
          <w:tcPr>
            <w:tcW w:w="1020" w:type="dxa"/>
            <w:vAlign w:val="bottom"/>
          </w:tcPr>
          <w:p>
            <w:pPr>
              <w:ind w:left="620"/>
              <w:spacing w:after="0"/>
              <w:rPr>
                <w:sz w:val="20"/>
                <w:szCs w:val="20"/>
                <w:color w:val="auto"/>
              </w:rPr>
            </w:pPr>
            <w:r>
              <w:rPr>
                <w:rFonts w:ascii="Arial" w:cs="Arial" w:eastAsia="Arial" w:hAnsi="Arial"/>
                <w:sz w:val="18"/>
                <w:szCs w:val="18"/>
                <w:b w:val="1"/>
                <w:bCs w:val="1"/>
                <w:color w:val="auto"/>
                <w:w w:val="84"/>
              </w:rPr>
              <w:t>1.13x</w:t>
            </w:r>
          </w:p>
        </w:tc>
      </w:tr>
      <w:tr>
        <w:trPr>
          <w:trHeight w:val="27"/>
        </w:trPr>
        <w:tc>
          <w:tcPr>
            <w:tcW w:w="2400" w:type="dxa"/>
            <w:vAlign w:val="bottom"/>
            <w:tcBorders>
              <w:bottom w:val="single" w:sz="8" w:color="E7E6E6"/>
            </w:tcBorders>
            <w:gridSpan w:val="2"/>
          </w:tcPr>
          <w:p>
            <w:pPr>
              <w:spacing w:after="0"/>
              <w:rPr>
                <w:sz w:val="2"/>
                <w:szCs w:val="2"/>
                <w:color w:val="auto"/>
              </w:rPr>
            </w:pPr>
          </w:p>
        </w:tc>
        <w:tc>
          <w:tcPr>
            <w:tcW w:w="1020" w:type="dxa"/>
            <w:vAlign w:val="bottom"/>
            <w:tcBorders>
              <w:bottom w:val="single" w:sz="8" w:color="E7E6E6"/>
            </w:tcBorders>
          </w:tcPr>
          <w:p>
            <w:pPr>
              <w:spacing w:after="0"/>
              <w:rPr>
                <w:sz w:val="2"/>
                <w:szCs w:val="2"/>
                <w:color w:val="auto"/>
              </w:rPr>
            </w:pPr>
          </w:p>
        </w:tc>
      </w:tr>
      <w:tr>
        <w:trPr>
          <w:trHeight w:val="237"/>
        </w:trPr>
        <w:tc>
          <w:tcPr>
            <w:tcW w:w="2400" w:type="dxa"/>
            <w:vAlign w:val="bottom"/>
            <w:gridSpan w:val="2"/>
          </w:tcPr>
          <w:p>
            <w:pPr>
              <w:ind w:left="60"/>
              <w:spacing w:after="0"/>
              <w:rPr>
                <w:sz w:val="20"/>
                <w:szCs w:val="20"/>
                <w:color w:val="auto"/>
              </w:rPr>
            </w:pPr>
            <w:r>
              <w:rPr>
                <w:rFonts w:ascii="Arial" w:cs="Arial" w:eastAsia="Arial" w:hAnsi="Arial"/>
                <w:sz w:val="18"/>
                <w:szCs w:val="18"/>
                <w:b w:val="1"/>
                <w:bCs w:val="1"/>
                <w:color w:val="auto"/>
              </w:rPr>
              <w:t>2022 Average</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020" w:type="dxa"/>
            <w:vAlign w:val="bottom"/>
          </w:tcPr>
          <w:p>
            <w:pPr>
              <w:ind w:left="620"/>
              <w:spacing w:after="0"/>
              <w:rPr>
                <w:sz w:val="20"/>
                <w:szCs w:val="20"/>
                <w:color w:val="auto"/>
              </w:rPr>
            </w:pPr>
            <w:r>
              <w:rPr>
                <w:rFonts w:ascii="Arial" w:cs="Arial" w:eastAsia="Arial" w:hAnsi="Arial"/>
                <w:sz w:val="18"/>
                <w:szCs w:val="18"/>
                <w:b w:val="1"/>
                <w:bCs w:val="1"/>
                <w:color w:val="auto"/>
                <w:w w:val="84"/>
              </w:rPr>
              <w:t>1.03x</w:t>
            </w:r>
          </w:p>
        </w:tc>
      </w:tr>
      <w:tr>
        <w:trPr>
          <w:trHeight w:val="27"/>
        </w:trPr>
        <w:tc>
          <w:tcPr>
            <w:tcW w:w="320" w:type="dxa"/>
            <w:vAlign w:val="bottom"/>
            <w:tcBorders>
              <w:bottom w:val="single" w:sz="8" w:color="E7E6E6"/>
            </w:tcBorders>
          </w:tcPr>
          <w:p>
            <w:pPr>
              <w:spacing w:after="0"/>
              <w:rPr>
                <w:sz w:val="2"/>
                <w:szCs w:val="2"/>
                <w:color w:val="auto"/>
              </w:rPr>
            </w:pPr>
          </w:p>
        </w:tc>
        <w:tc>
          <w:tcPr>
            <w:tcW w:w="2080" w:type="dxa"/>
            <w:vAlign w:val="bottom"/>
            <w:tcBorders>
              <w:bottom w:val="single" w:sz="8" w:color="E7E6E6"/>
            </w:tcBorders>
          </w:tcPr>
          <w:p>
            <w:pPr>
              <w:spacing w:after="0"/>
              <w:rPr>
                <w:sz w:val="2"/>
                <w:szCs w:val="2"/>
                <w:color w:val="auto"/>
              </w:rPr>
            </w:pPr>
          </w:p>
        </w:tc>
        <w:tc>
          <w:tcPr>
            <w:tcW w:w="1020" w:type="dxa"/>
            <w:vAlign w:val="bottom"/>
            <w:tcBorders>
              <w:bottom w:val="single" w:sz="8" w:color="E7E6E6"/>
            </w:tcBorders>
          </w:tcPr>
          <w:p>
            <w:pPr>
              <w:spacing w:after="0"/>
              <w:rPr>
                <w:sz w:val="2"/>
                <w:szCs w:val="2"/>
                <w:color w:val="auto"/>
              </w:rPr>
            </w:pPr>
          </w:p>
        </w:tc>
      </w:tr>
      <w:tr>
        <w:trPr>
          <w:trHeight w:val="237"/>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2022 Average</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020" w:type="dxa"/>
            <w:vAlign w:val="bottom"/>
          </w:tcPr>
          <w:p>
            <w:pPr>
              <w:ind w:left="620"/>
              <w:spacing w:after="0"/>
              <w:rPr>
                <w:sz w:val="20"/>
                <w:szCs w:val="20"/>
                <w:color w:val="auto"/>
              </w:rPr>
            </w:pPr>
            <w:r>
              <w:rPr>
                <w:rFonts w:ascii="Arial" w:cs="Arial" w:eastAsia="Arial" w:hAnsi="Arial"/>
                <w:sz w:val="18"/>
                <w:szCs w:val="18"/>
                <w:b w:val="1"/>
                <w:bCs w:val="1"/>
                <w:color w:val="auto"/>
                <w:w w:val="84"/>
              </w:rPr>
              <w:t>1.14x</w:t>
            </w:r>
          </w:p>
        </w:tc>
      </w:tr>
      <w:tr>
        <w:trPr>
          <w:trHeight w:val="27"/>
        </w:trPr>
        <w:tc>
          <w:tcPr>
            <w:tcW w:w="320" w:type="dxa"/>
            <w:vAlign w:val="bottom"/>
            <w:tcBorders>
              <w:bottom w:val="single" w:sz="8" w:color="E7E6E6"/>
            </w:tcBorders>
          </w:tcPr>
          <w:p>
            <w:pPr>
              <w:spacing w:after="0"/>
              <w:rPr>
                <w:sz w:val="2"/>
                <w:szCs w:val="2"/>
                <w:color w:val="auto"/>
              </w:rPr>
            </w:pPr>
          </w:p>
        </w:tc>
        <w:tc>
          <w:tcPr>
            <w:tcW w:w="2080" w:type="dxa"/>
            <w:vAlign w:val="bottom"/>
            <w:tcBorders>
              <w:bottom w:val="single" w:sz="8" w:color="E7E6E6"/>
            </w:tcBorders>
          </w:tcPr>
          <w:p>
            <w:pPr>
              <w:spacing w:after="0"/>
              <w:rPr>
                <w:sz w:val="2"/>
                <w:szCs w:val="2"/>
                <w:color w:val="auto"/>
              </w:rPr>
            </w:pPr>
          </w:p>
        </w:tc>
        <w:tc>
          <w:tcPr>
            <w:tcW w:w="1020" w:type="dxa"/>
            <w:vAlign w:val="bottom"/>
            <w:tcBorders>
              <w:bottom w:val="single" w:sz="8" w:color="E7E6E6"/>
            </w:tcBorders>
          </w:tcPr>
          <w:p>
            <w:pPr>
              <w:spacing w:after="0"/>
              <w:rPr>
                <w:sz w:val="2"/>
                <w:szCs w:val="2"/>
                <w:color w:val="auto"/>
              </w:rPr>
            </w:pPr>
          </w:p>
        </w:tc>
      </w:tr>
    </w:tbl>
    <w:p>
      <w:pPr>
        <w:spacing w:after="0" w:line="116" w:lineRule="exact"/>
        <w:rPr>
          <w:sz w:val="20"/>
          <w:szCs w:val="20"/>
          <w:color w:val="auto"/>
        </w:rPr>
      </w:pPr>
    </w:p>
    <w:p>
      <w:pPr>
        <w:jc w:val="both"/>
        <w:ind w:left="400" w:right="60" w:hanging="331"/>
        <w:spacing w:after="0" w:line="228" w:lineRule="auto"/>
        <w:tabs>
          <w:tab w:leader="none" w:pos="465" w:val="left"/>
        </w:tabs>
        <w:numPr>
          <w:ilvl w:val="0"/>
          <w:numId w:val="3"/>
        </w:numPr>
        <w:rPr>
          <w:rFonts w:ascii="Arial" w:cs="Arial" w:eastAsia="Arial" w:hAnsi="Arial"/>
          <w:sz w:val="14"/>
          <w:szCs w:val="14"/>
          <w:color w:val="auto"/>
        </w:rPr>
      </w:pPr>
      <w:r>
        <w:rPr>
          <w:rFonts w:ascii="Arial" w:cs="Arial" w:eastAsia="Arial" w:hAnsi="Arial"/>
          <w:sz w:val="14"/>
          <w:szCs w:val="14"/>
          <w:color w:val="auto"/>
        </w:rPr>
        <w:t>Daily average debt outstanding during the quarter divided by the daily average net assets during the quarter. Daily average net assets is calculated by starting with the prior quarter end net asset value and adjusting for capital activity during the quarter (adding common stock offerings / DRIP contributions)</w:t>
      </w:r>
      <w:r>
        <w:rPr>
          <w:rFonts w:ascii="Arial" w:cs="Arial" w:eastAsia="Arial" w:hAnsi="Arial"/>
          <w:sz w:val="14"/>
          <w:szCs w:val="14"/>
          <w:b w:val="1"/>
          <w:bCs w:val="1"/>
          <w:color w:val="auto"/>
        </w:rPr>
        <w:t>.</w:t>
      </w:r>
    </w:p>
    <w:p>
      <w:pPr>
        <w:spacing w:after="0" w:line="200" w:lineRule="exact"/>
        <w:rPr>
          <w:sz w:val="20"/>
          <w:szCs w:val="20"/>
          <w:color w:val="auto"/>
        </w:rPr>
      </w:pPr>
    </w:p>
    <w:p>
      <w:pPr>
        <w:sectPr>
          <w:pgSz w:w="11900" w:h="16838" w:orient="portrait"/>
          <w:cols w:equalWidth="0" w:num="2">
            <w:col w:w="7620" w:space="200"/>
            <w:col w:w="3420"/>
          </w:cols>
          <w:pgMar w:left="320" w:top="14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LIQUIDITY AND FUNDING PROFILE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Company’s liquidity at December 31, 2022 and changes to unfunded commitments since September 30, 2022.</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40" w:type="dxa"/>
            <w:vAlign w:val="bottom"/>
          </w:tcPr>
          <w:p>
            <w:pPr>
              <w:spacing w:after="0"/>
              <w:rPr>
                <w:sz w:val="20"/>
                <w:szCs w:val="20"/>
                <w:color w:val="auto"/>
              </w:rPr>
            </w:pPr>
            <w:r>
              <w:rPr>
                <w:rFonts w:ascii="Arial" w:cs="Arial" w:eastAsia="Arial" w:hAnsi="Arial"/>
                <w:sz w:val="14"/>
                <w:szCs w:val="14"/>
                <w:color w:val="auto"/>
              </w:rPr>
              <w:t>$ Millions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4440" w:type="dxa"/>
            <w:vAlign w:val="bottom"/>
            <w:tcBorders>
              <w:bottom w:val="single" w:sz="8" w:color="0F2F50"/>
            </w:tcBorders>
            <w:shd w:val="clear" w:color="auto" w:fill="0F2F50"/>
          </w:tcPr>
          <w:p>
            <w:pPr>
              <w:ind w:left="1820"/>
              <w:spacing w:after="0"/>
              <w:rPr>
                <w:sz w:val="20"/>
                <w:szCs w:val="20"/>
                <w:color w:val="auto"/>
              </w:rPr>
            </w:pPr>
            <w:r>
              <w:rPr>
                <w:rFonts w:ascii="Arial" w:cs="Arial" w:eastAsia="Arial" w:hAnsi="Arial"/>
                <w:sz w:val="18"/>
                <w:szCs w:val="18"/>
                <w:b w:val="1"/>
                <w:bCs w:val="1"/>
                <w:color w:val="FFFFFF"/>
              </w:rPr>
              <w:t>Revolving Credit Facility</w:t>
            </w:r>
          </w:p>
        </w:tc>
        <w:tc>
          <w:tcPr>
            <w:tcW w:w="1120" w:type="dxa"/>
            <w:vAlign w:val="bottom"/>
            <w:tcBorders>
              <w:bottom w:val="single" w:sz="8" w:color="0F2F50"/>
            </w:tcBorders>
            <w:shd w:val="clear" w:color="auto" w:fill="0F2F50"/>
          </w:tcPr>
          <w:p>
            <w:pPr>
              <w:spacing w:after="0"/>
              <w:rPr>
                <w:sz w:val="21"/>
                <w:szCs w:val="21"/>
                <w:color w:val="auto"/>
              </w:rPr>
            </w:pPr>
          </w:p>
        </w:tc>
        <w:tc>
          <w:tcPr>
            <w:tcW w:w="220" w:type="dxa"/>
            <w:vAlign w:val="bottom"/>
          </w:tcPr>
          <w:p>
            <w:pPr>
              <w:spacing w:after="0"/>
              <w:rPr>
                <w:sz w:val="21"/>
                <w:szCs w:val="21"/>
                <w:color w:val="auto"/>
              </w:rPr>
            </w:pPr>
          </w:p>
        </w:tc>
        <w:tc>
          <w:tcPr>
            <w:tcW w:w="4560" w:type="dxa"/>
            <w:vAlign w:val="bottom"/>
            <w:tcBorders>
              <w:bottom w:val="single" w:sz="8" w:color="0F2F50"/>
            </w:tcBorders>
            <w:shd w:val="clear" w:color="auto" w:fill="0F2F50"/>
          </w:tcPr>
          <w:p>
            <w:pPr>
              <w:ind w:left="1480"/>
              <w:spacing w:after="0"/>
              <w:rPr>
                <w:sz w:val="20"/>
                <w:szCs w:val="20"/>
                <w:color w:val="auto"/>
              </w:rPr>
            </w:pPr>
            <w:r>
              <w:rPr>
                <w:rFonts w:ascii="Arial" w:cs="Arial" w:eastAsia="Arial" w:hAnsi="Arial"/>
                <w:sz w:val="18"/>
                <w:szCs w:val="18"/>
                <w:b w:val="1"/>
                <w:bCs w:val="1"/>
                <w:color w:val="FFFFFF"/>
              </w:rPr>
              <w:t>Unfunded Commitment Activity</w:t>
            </w:r>
          </w:p>
        </w:tc>
        <w:tc>
          <w:tcPr>
            <w:tcW w:w="900" w:type="dxa"/>
            <w:vAlign w:val="bottom"/>
            <w:tcBorders>
              <w:bottom w:val="single" w:sz="8" w:color="0F2F50"/>
            </w:tcBorders>
            <w:shd w:val="clear" w:color="auto" w:fill="0F2F50"/>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Revolver Capacity</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$1,585</w:t>
            </w:r>
          </w:p>
        </w:tc>
        <w:tc>
          <w:tcPr>
            <w:tcW w:w="2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b w:val="1"/>
                <w:bCs w:val="1"/>
                <w:color w:val="auto"/>
              </w:rPr>
              <w:t>Unfunded Commitments (See Note 8 in 9/30/22 10-Q)</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$394</w:t>
            </w:r>
          </w:p>
        </w:tc>
        <w:tc>
          <w:tcPr>
            <w:tcW w:w="20" w:type="dxa"/>
            <w:vAlign w:val="bottom"/>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1435"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4520" w:type="dxa"/>
            <w:vAlign w:val="bottom"/>
            <w:tcBorders>
              <w:top w:val="single" w:sz="8" w:color="ECEEF0"/>
              <w:bottom w:val="single" w:sz="8" w:color="ECEEF0"/>
            </w:tcBorders>
          </w:tcPr>
          <w:p>
            <w:pPr>
              <w:ind w:left="20"/>
              <w:spacing w:after="0"/>
              <w:rPr>
                <w:sz w:val="20"/>
                <w:szCs w:val="20"/>
                <w:color w:val="auto"/>
              </w:rPr>
            </w:pPr>
            <w:r>
              <w:rPr>
                <w:rFonts w:ascii="Arial" w:cs="Arial" w:eastAsia="Arial" w:hAnsi="Arial"/>
                <w:sz w:val="16"/>
                <w:szCs w:val="16"/>
                <w:color w:val="auto"/>
              </w:rPr>
              <w:t>Drawn on Revolver</w:t>
            </w:r>
          </w:p>
        </w:tc>
        <w:tc>
          <w:tcPr>
            <w:tcW w:w="1040" w:type="dxa"/>
            <w:vAlign w:val="bottom"/>
            <w:tcBorders>
              <w:top w:val="single" w:sz="8" w:color="ECEEF0"/>
              <w:bottom w:val="single" w:sz="8" w:color="ECEEF0"/>
            </w:tcBorders>
          </w:tcPr>
          <w:p>
            <w:pPr>
              <w:jc w:val="right"/>
              <w:spacing w:after="0"/>
              <w:rPr>
                <w:sz w:val="20"/>
                <w:szCs w:val="20"/>
                <w:color w:val="auto"/>
              </w:rPr>
            </w:pPr>
            <w:r>
              <w:rPr>
                <w:rFonts w:ascii="Arial" w:cs="Arial" w:eastAsia="Arial" w:hAnsi="Arial"/>
                <w:sz w:val="16"/>
                <w:szCs w:val="16"/>
                <w:color w:val="auto"/>
              </w:rPr>
              <w:t>($719)</w:t>
            </w:r>
          </w:p>
        </w:tc>
      </w:tr>
      <w:tr>
        <w:trPr>
          <w:trHeight w:val="196"/>
        </w:trPr>
        <w:tc>
          <w:tcPr>
            <w:tcW w:w="4520" w:type="dxa"/>
            <w:vAlign w:val="bottom"/>
            <w:tcBorders>
              <w:bottom w:val="single" w:sz="8" w:color="ECEEF0"/>
            </w:tcBorders>
          </w:tcPr>
          <w:p>
            <w:pPr>
              <w:ind w:left="20"/>
              <w:spacing w:after="0"/>
              <w:rPr>
                <w:sz w:val="20"/>
                <w:szCs w:val="20"/>
                <w:color w:val="auto"/>
              </w:rPr>
            </w:pPr>
            <w:r>
              <w:rPr>
                <w:rFonts w:ascii="Arial" w:cs="Arial" w:eastAsia="Arial" w:hAnsi="Arial"/>
                <w:sz w:val="16"/>
                <w:szCs w:val="16"/>
                <w:color w:val="auto"/>
              </w:rPr>
              <w:t>Unrestricted Cash Balance</w:t>
            </w:r>
          </w:p>
        </w:tc>
        <w:tc>
          <w:tcPr>
            <w:tcW w:w="10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$10</w:t>
            </w:r>
          </w:p>
        </w:tc>
      </w:tr>
      <w:tr>
        <w:trPr>
          <w:trHeight w:val="196"/>
        </w:trPr>
        <w:tc>
          <w:tcPr>
            <w:tcW w:w="452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Total Liquidity (Pre-Unfunded Commitments)</w:t>
            </w:r>
          </w:p>
        </w:tc>
        <w:tc>
          <w:tcPr>
            <w:tcW w:w="104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$876</w:t>
            </w:r>
          </w:p>
        </w:tc>
      </w:tr>
      <w:tr>
        <w:trPr>
          <w:trHeight w:val="196"/>
        </w:trPr>
        <w:tc>
          <w:tcPr>
            <w:tcW w:w="4520" w:type="dxa"/>
            <w:vAlign w:val="bottom"/>
            <w:tcBorders>
              <w:bottom w:val="single" w:sz="8" w:color="ECEEF0"/>
            </w:tcBorders>
          </w:tcPr>
          <w:p>
            <w:pPr>
              <w:ind w:left="20"/>
              <w:spacing w:after="0" w:line="195" w:lineRule="exact"/>
              <w:rPr>
                <w:sz w:val="20"/>
                <w:szCs w:val="20"/>
                <w:color w:val="auto"/>
              </w:rPr>
            </w:pPr>
            <w:r>
              <w:rPr>
                <w:rFonts w:ascii="Arial" w:cs="Arial" w:eastAsia="Arial" w:hAnsi="Arial"/>
                <w:sz w:val="14"/>
                <w:szCs w:val="14"/>
                <w:color w:val="auto"/>
              </w:rPr>
              <w:t>Available Unfunded Commitments</w:t>
            </w:r>
            <w:r>
              <w:rPr>
                <w:rFonts w:ascii="Arial" w:cs="Arial" w:eastAsia="Arial" w:hAnsi="Arial"/>
                <w:sz w:val="22"/>
                <w:szCs w:val="22"/>
                <w:color w:val="auto"/>
                <w:vertAlign w:val="superscript"/>
              </w:rPr>
              <w:t>1</w:t>
            </w:r>
          </w:p>
        </w:tc>
        <w:tc>
          <w:tcPr>
            <w:tcW w:w="10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($178)</w:t>
            </w:r>
          </w:p>
        </w:tc>
      </w:tr>
      <w:tr>
        <w:trPr>
          <w:trHeight w:val="196"/>
        </w:trPr>
        <w:tc>
          <w:tcPr>
            <w:tcW w:w="452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Total Liquidity (Burdened for Unfunded Commitments)</w:t>
            </w:r>
          </w:p>
        </w:tc>
        <w:tc>
          <w:tcPr>
            <w:tcW w:w="104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$698</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920" w:type="dxa"/>
            <w:vAlign w:val="bottom"/>
            <w:tcBorders>
              <w:top w:val="single" w:sz="8" w:color="ECEEF0"/>
            </w:tcBorders>
          </w:tcPr>
          <w:p>
            <w:pPr>
              <w:spacing w:after="0"/>
              <w:rPr>
                <w:sz w:val="20"/>
                <w:szCs w:val="20"/>
                <w:color w:val="auto"/>
              </w:rPr>
            </w:pPr>
            <w:r>
              <w:rPr>
                <w:rFonts w:ascii="Arial" w:cs="Arial" w:eastAsia="Arial" w:hAnsi="Arial"/>
                <w:sz w:val="16"/>
                <w:szCs w:val="16"/>
                <w:color w:val="auto"/>
              </w:rPr>
              <w:t>Extinguished Unfunded Commitments</w:t>
            </w:r>
          </w:p>
        </w:tc>
        <w:tc>
          <w:tcPr>
            <w:tcW w:w="1560" w:type="dxa"/>
            <w:vAlign w:val="bottom"/>
            <w:tcBorders>
              <w:top w:val="single" w:sz="8" w:color="ECEEF0"/>
            </w:tcBorders>
            <w:gridSpan w:val="2"/>
          </w:tcPr>
          <w:p>
            <w:pPr>
              <w:jc w:val="right"/>
              <w:ind w:right="20"/>
              <w:spacing w:after="0"/>
              <w:rPr>
                <w:sz w:val="20"/>
                <w:szCs w:val="20"/>
                <w:color w:val="auto"/>
              </w:rPr>
            </w:pPr>
            <w:r>
              <w:rPr>
                <w:rFonts w:ascii="Arial" w:cs="Arial" w:eastAsia="Arial" w:hAnsi="Arial"/>
                <w:sz w:val="16"/>
                <w:szCs w:val="16"/>
                <w:color w:val="auto"/>
              </w:rPr>
              <w:t>($50)</w:t>
            </w:r>
          </w:p>
        </w:tc>
      </w:tr>
      <w:tr>
        <w:trPr>
          <w:trHeight w:val="196"/>
        </w:trPr>
        <w:tc>
          <w:tcPr>
            <w:tcW w:w="3920" w:type="dxa"/>
            <w:vAlign w:val="bottom"/>
            <w:tcBorders>
              <w:top w:val="single" w:sz="8" w:color="ECEEF0"/>
              <w:bottom w:val="single" w:sz="8" w:color="ECEEF0"/>
            </w:tcBorders>
          </w:tcPr>
          <w:p>
            <w:pPr>
              <w:spacing w:after="0"/>
              <w:rPr>
                <w:sz w:val="20"/>
                <w:szCs w:val="20"/>
                <w:color w:val="auto"/>
              </w:rPr>
            </w:pPr>
            <w:r>
              <w:rPr>
                <w:rFonts w:ascii="Arial" w:cs="Arial" w:eastAsia="Arial" w:hAnsi="Arial"/>
                <w:sz w:val="16"/>
                <w:szCs w:val="16"/>
                <w:color w:val="auto"/>
              </w:rPr>
              <w:t>New Unfunded Commitments</w:t>
            </w:r>
          </w:p>
        </w:tc>
        <w:tc>
          <w:tcPr>
            <w:tcW w:w="1540" w:type="dxa"/>
            <w:vAlign w:val="bottom"/>
            <w:tcBorders>
              <w:top w:val="single" w:sz="8" w:color="ECEEF0"/>
              <w:bottom w:val="single" w:sz="8" w:color="ECEEF0"/>
            </w:tcBorders>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rPr>
                <w:sz w:val="20"/>
                <w:szCs w:val="20"/>
                <w:color w:val="auto"/>
              </w:rPr>
            </w:pPr>
            <w:r>
              <w:rPr>
                <w:rFonts w:ascii="Arial" w:cs="Arial" w:eastAsia="Arial" w:hAnsi="Arial"/>
                <w:sz w:val="16"/>
                <w:szCs w:val="16"/>
                <w:color w:val="auto"/>
              </w:rPr>
              <w:t>Net Drawdown of Unfunded Commitments</w:t>
            </w:r>
          </w:p>
        </w:tc>
        <w:tc>
          <w:tcPr>
            <w:tcW w:w="15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rPr>
                <w:sz w:val="20"/>
                <w:szCs w:val="20"/>
                <w:color w:val="auto"/>
              </w:rPr>
            </w:pPr>
            <w:r>
              <w:rPr>
                <w:rFonts w:ascii="Arial" w:cs="Arial" w:eastAsia="Arial" w:hAnsi="Arial"/>
                <w:sz w:val="16"/>
                <w:szCs w:val="16"/>
                <w:b w:val="1"/>
                <w:bCs w:val="1"/>
                <w:color w:val="auto"/>
              </w:rPr>
              <w:t>Total Unfunded Commitments</w:t>
            </w:r>
          </w:p>
        </w:tc>
        <w:tc>
          <w:tcPr>
            <w:tcW w:w="154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$336</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line="195" w:lineRule="exact"/>
              <w:rPr>
                <w:sz w:val="20"/>
                <w:szCs w:val="20"/>
                <w:color w:val="auto"/>
              </w:rPr>
            </w:pPr>
            <w:r>
              <w:rPr>
                <w:rFonts w:ascii="Arial" w:cs="Arial" w:eastAsia="Arial" w:hAnsi="Arial"/>
                <w:sz w:val="14"/>
                <w:szCs w:val="14"/>
                <w:color w:val="auto"/>
              </w:rPr>
              <w:t>Unavailable Unfunded Commitments</w:t>
            </w:r>
            <w:r>
              <w:rPr>
                <w:rFonts w:ascii="Arial" w:cs="Arial" w:eastAsia="Arial" w:hAnsi="Arial"/>
                <w:sz w:val="22"/>
                <w:szCs w:val="22"/>
                <w:color w:val="auto"/>
                <w:vertAlign w:val="superscript"/>
              </w:rPr>
              <w:t>1</w:t>
            </w:r>
          </w:p>
        </w:tc>
        <w:tc>
          <w:tcPr>
            <w:tcW w:w="15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($158)</w:t>
            </w:r>
          </w:p>
        </w:tc>
        <w:tc>
          <w:tcPr>
            <w:tcW w:w="20" w:type="dxa"/>
            <w:vAlign w:val="bottom"/>
          </w:tcPr>
          <w:p>
            <w:pPr>
              <w:spacing w:after="0"/>
              <w:rPr>
                <w:sz w:val="17"/>
                <w:szCs w:val="17"/>
                <w:color w:val="auto"/>
              </w:rPr>
            </w:pPr>
          </w:p>
        </w:tc>
      </w:tr>
      <w:tr>
        <w:trPr>
          <w:trHeight w:val="205"/>
        </w:trPr>
        <w:tc>
          <w:tcPr>
            <w:tcW w:w="3920" w:type="dxa"/>
            <w:vAlign w:val="bottom"/>
          </w:tcPr>
          <w:p>
            <w:pPr>
              <w:spacing w:after="0" w:line="205" w:lineRule="exact"/>
              <w:rPr>
                <w:sz w:val="20"/>
                <w:szCs w:val="20"/>
                <w:color w:val="auto"/>
              </w:rPr>
            </w:pPr>
            <w:r>
              <w:rPr>
                <w:rFonts w:ascii="Arial" w:cs="Arial" w:eastAsia="Arial" w:hAnsi="Arial"/>
                <w:sz w:val="14"/>
                <w:szCs w:val="14"/>
                <w:b w:val="1"/>
                <w:bCs w:val="1"/>
                <w:color w:val="auto"/>
              </w:rPr>
              <w:t>Available Unfunded Commitments</w:t>
            </w:r>
            <w:r>
              <w:rPr>
                <w:rFonts w:ascii="Arial" w:cs="Arial" w:eastAsia="Arial" w:hAnsi="Arial"/>
                <w:sz w:val="23"/>
                <w:szCs w:val="23"/>
                <w:color w:val="auto"/>
                <w:vertAlign w:val="superscript"/>
              </w:rPr>
              <w:t>1</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$178</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34632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60" w:space="220"/>
            <w:col w:w="5460"/>
          </w:cols>
          <w:pgMar w:left="320" w:top="1435" w:right="339" w:bottom="1440" w:gutter="0" w:footer="0" w:header="0"/>
          <w:type w:val="continuous"/>
        </w:sectPr>
      </w:pPr>
    </w:p>
    <w:p>
      <w:pPr>
        <w:ind w:left="400" w:hanging="392"/>
        <w:spacing w:after="0" w:line="216"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Note: May not sum due to rounding.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Profile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2022, the Company’s funding mix was comprised of 53% unsecured and 47% secured debt. As illustrated below, the Company’s weighted average remaining life of investments funded with debt was ~2.6 years, compared to a weighted average remaining maturity on debt of ~3.8 years***. Post quarter-end, the Company satisfied the maturity of its $150 million January 2023 unsecured notes through utilization of undrawn capacity on its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76200</wp:posOffset>
            </wp:positionV>
            <wp:extent cx="5760720" cy="3103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6072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20"/>
        <w:spacing w:after="0" w:line="236" w:lineRule="auto"/>
        <w:rPr>
          <w:sz w:val="20"/>
          <w:szCs w:val="20"/>
          <w:color w:val="auto"/>
        </w:rPr>
      </w:pPr>
      <w:r>
        <w:rPr>
          <w:rFonts w:ascii="Arial" w:cs="Arial" w:eastAsia="Arial" w:hAnsi="Arial"/>
          <w:sz w:val="13"/>
          <w:szCs w:val="13"/>
          <w:color w:val="auto"/>
        </w:rPr>
        <w:t>*Includes $25 million of non-extending commitments with a maturity of January 31, 2025 and a revolving period ending January 31, 2024 and $50 million of non-extending commitments with a maturity of February 4, 2026 and a revolving period ending February 4, 2025.</w:t>
      </w:r>
    </w:p>
    <w:p>
      <w:pPr>
        <w:spacing w:after="0" w:line="30"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**$150 million unsecured notes with a January 22, 2023 maturity date were repaid post-quarter end. ***Adjusted for the repayment of the January 2023 unsecured notes that were repaid on January 23, 2023.</w:t>
      </w:r>
    </w:p>
    <w:p>
      <w:pPr>
        <w:spacing w:after="0" w:line="100" w:lineRule="exact"/>
        <w:rPr>
          <w:sz w:val="20"/>
          <w:szCs w:val="20"/>
          <w:color w:val="auto"/>
        </w:rPr>
      </w:pPr>
    </w:p>
    <w:p>
      <w:pPr>
        <w:ind w:left="400" w:hanging="392"/>
        <w:spacing w:after="0" w:line="292" w:lineRule="auto"/>
        <w:tabs>
          <w:tab w:leader="none" w:pos="400" w:val="left"/>
        </w:tabs>
        <w:numPr>
          <w:ilvl w:val="0"/>
          <w:numId w:val="5"/>
        </w:numPr>
        <w:rPr>
          <w:rFonts w:ascii="Arial" w:cs="Arial" w:eastAsia="Arial" w:hAnsi="Arial"/>
          <w:sz w:val="10"/>
          <w:szCs w:val="10"/>
          <w:color w:val="auto"/>
        </w:rPr>
      </w:pPr>
      <w:r>
        <w:rPr>
          <w:rFonts w:ascii="Arial" w:cs="Arial" w:eastAsia="Arial" w:hAnsi="Arial"/>
          <w:sz w:val="10"/>
          <w:szCs w:val="10"/>
          <w:color w:val="auto"/>
        </w:rPr>
        <w:t>Net of Deferred Financing Costs and Interest Rate Fair Value Hedging. Deferred Financing Costs total $19.1M at 12/31/21, $17.8M at 3/31/22, $20.6M at 6/30/22, $19.1M at 9/30/22 and $17.8M at 12/31/22. Fair value hedge on interest rate swaps related to the 2024 and 2026 notes total $2.5M at 9/30/21, ($5.9M) at 12/31/21, ($33.0M) at 3/31/22, ($41.1M) at 6/30/22, ($58.3M) at 9/30/22 and ($55.1M) at 12/31/22.</w:t>
      </w:r>
    </w:p>
    <w:p>
      <w:pPr>
        <w:jc w:val="both"/>
        <w:ind w:left="400" w:hanging="392"/>
        <w:spacing w:after="0" w:line="216" w:lineRule="auto"/>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Weighted by amortized cost of debt investments. Investments are financed by debt and equity capital. This analysis assumes longer-dated investments are currently funded by equity capital (48% of investments) and the remaining (shorter-dated) investments (52% of investments) are currently funded by debt financing. Investments for purposes of this analysis exclude unfunded commitments, and equity capital is defined as 12/31/22 net assets.</w:t>
      </w:r>
    </w:p>
    <w:p>
      <w:pPr>
        <w:spacing w:after="0" w:line="1" w:lineRule="exact"/>
        <w:rPr>
          <w:rFonts w:ascii="Arial" w:cs="Arial" w:eastAsia="Arial" w:hAnsi="Arial"/>
          <w:sz w:val="13"/>
          <w:szCs w:val="13"/>
          <w:color w:val="auto"/>
        </w:rPr>
      </w:pPr>
    </w:p>
    <w:p>
      <w:pPr>
        <w:ind w:left="400" w:hanging="392"/>
        <w:spacing w:after="0" w:line="216" w:lineRule="auto"/>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Weighted by gross commitment amount.</w:t>
      </w:r>
    </w:p>
    <w:p>
      <w:pPr>
        <w:spacing w:after="0"/>
        <w:rPr>
          <w:sz w:val="20"/>
          <w:szCs w:val="20"/>
          <w:color w:val="auto"/>
        </w:rPr>
      </w:pPr>
      <w:r>
        <w:rPr>
          <w:rFonts w:ascii="Arial" w:cs="Arial" w:eastAsia="Arial" w:hAnsi="Arial"/>
          <w:sz w:val="13"/>
          <w:szCs w:val="13"/>
          <w:color w:val="auto"/>
        </w:rPr>
        <w:t>Note: Numbers may not sum due to rounding.</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CONFERENCE CALL AND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conference call to discuss the Company’s financial results will be held at 8:30 a.m. Eastern Time on February 17, 2023. The conference call will be broadcast live in listen-only mode on the Investor Resources section of TSLX’s website at https://sixthstreetspecialtylending.gcs-web.com/events-and-presentations. The Events &amp; Presentations page of the Investor Resources section of TSLX’s website also includes a slide presentation that complements the Earnings Conference Call. Please visit the website to test your connection before the webcast.</w:t>
      </w:r>
    </w:p>
    <w:p>
      <w:pPr>
        <w:spacing w:after="0" w:line="1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Research analysts who wish to participate in the conference call must first register at https://register.vevent.com/register/BI882d24f38fa541baa631789746d23403. Upon registration, all telephone participants will receive a confirmation email detailing how to join the conference call, including the dial-in number along with a unique passcode and registrant ID that can be used to access the call.</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Information:</w:t>
      </w:r>
    </w:p>
    <w:p>
      <w:pPr>
        <w:spacing w:after="0" w:line="39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recorded version will be available under the same webcast link (</w:t>
      </w:r>
      <w:r>
        <w:rPr>
          <w:rFonts w:ascii="Arial" w:cs="Arial" w:eastAsia="Arial" w:hAnsi="Arial"/>
          <w:sz w:val="18"/>
          <w:szCs w:val="18"/>
          <w:u w:val="single" w:color="auto"/>
          <w:color w:val="auto"/>
        </w:rPr>
        <w:t>https://sixthstreetspecialtylending.gcs-web.com/events-and-presentations</w:t>
      </w:r>
      <w:r>
        <w:rPr>
          <w:rFonts w:ascii="Arial" w:cs="Arial" w:eastAsia="Arial" w:hAnsi="Arial"/>
          <w:sz w:val="18"/>
          <w:szCs w:val="18"/>
          <w:color w:val="auto"/>
        </w:rPr>
        <w:t>) following the conclusion of the conference call.</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8" w:name="page9"/>
    <w:bookmarkEnd w:id="8"/>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millions,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78"/>
        </w:trPr>
        <w:tc>
          <w:tcPr>
            <w:tcW w:w="6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1"/>
        </w:trPr>
        <w:tc>
          <w:tcPr>
            <w:tcW w:w="6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6"/>
              </w:rPr>
              <w:t>December 31, 2022</w:t>
            </w: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 2022</w:t>
            </w:r>
          </w:p>
        </w:tc>
        <w:tc>
          <w:tcPr>
            <w:tcW w:w="80" w:type="dxa"/>
            <w:vAlign w:val="bottom"/>
          </w:tcPr>
          <w:p>
            <w:pPr>
              <w:spacing w:after="0"/>
              <w:rPr>
                <w:sz w:val="14"/>
                <w:szCs w:val="14"/>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6"/>
              </w:rPr>
              <w:t>December 31, 2021</w:t>
            </w:r>
          </w:p>
        </w:tc>
      </w:tr>
      <w:tr>
        <w:trPr>
          <w:trHeight w:val="223"/>
        </w:trPr>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2,787.9</w:t>
            </w:r>
          </w:p>
        </w:tc>
        <w:tc>
          <w:tcPr>
            <w:tcW w:w="3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2,806.1</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2,521.6</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Total Assets</w:t>
            </w: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2,836.9</w:t>
            </w:r>
          </w:p>
        </w:tc>
        <w:tc>
          <w:tcPr>
            <w:tcW w:w="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2,859.7</w:t>
            </w:r>
          </w:p>
        </w:tc>
        <w:tc>
          <w:tcPr>
            <w:tcW w:w="240" w:type="dxa"/>
            <w:vAlign w:val="bottom"/>
          </w:tcPr>
          <w:p>
            <w:pPr>
              <w:spacing w:after="0"/>
              <w:rPr>
                <w:sz w:val="19"/>
                <w:szCs w:val="19"/>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2,551.9</w:t>
            </w:r>
          </w:p>
        </w:tc>
        <w:tc>
          <w:tcPr>
            <w:tcW w:w="18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Asset Value Per Share</w:t>
            </w: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2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180" w:type="dxa"/>
            <w:vAlign w:val="bottom"/>
            <w:shd w:val="clear" w:color="auto" w:fill="CFF0FC"/>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Supplemental Dividend Per Share</w:t>
            </w: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0.09</w:t>
            </w:r>
          </w:p>
        </w:tc>
        <w:tc>
          <w:tcPr>
            <w:tcW w:w="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9"/>
                <w:szCs w:val="19"/>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0.11</w:t>
            </w:r>
          </w:p>
        </w:tc>
        <w:tc>
          <w:tcPr>
            <w:tcW w:w="18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Special Dividend Per Share</w:t>
            </w: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 xml:space="preserve">Adjusted Net Asset Value Per Share </w:t>
            </w:r>
            <w:r>
              <w:rPr>
                <w:rFonts w:ascii="Arial" w:cs="Arial" w:eastAsia="Arial" w:hAnsi="Arial"/>
                <w:sz w:val="15"/>
                <w:szCs w:val="15"/>
                <w:color w:val="auto"/>
              </w:rPr>
              <w:t>(1)</w:t>
            </w: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16.39</w:t>
            </w:r>
          </w:p>
        </w:tc>
        <w:tc>
          <w:tcPr>
            <w:tcW w:w="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16.36</w:t>
            </w:r>
          </w:p>
        </w:tc>
        <w:tc>
          <w:tcPr>
            <w:tcW w:w="240" w:type="dxa"/>
            <w:vAlign w:val="bottom"/>
          </w:tcPr>
          <w:p>
            <w:pPr>
              <w:spacing w:after="0"/>
              <w:rPr>
                <w:sz w:val="19"/>
                <w:szCs w:val="19"/>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16.73</w:t>
            </w:r>
          </w:p>
        </w:tc>
        <w:tc>
          <w:tcPr>
            <w:tcW w:w="18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Investment Income</w:t>
            </w: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100.1</w:t>
            </w:r>
          </w:p>
        </w:tc>
        <w:tc>
          <w:tcPr>
            <w:tcW w:w="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77.8</w:t>
            </w:r>
          </w:p>
        </w:tc>
        <w:tc>
          <w:tcPr>
            <w:tcW w:w="240" w:type="dxa"/>
            <w:vAlign w:val="bottom"/>
          </w:tcPr>
          <w:p>
            <w:pPr>
              <w:spacing w:after="0"/>
              <w:rPr>
                <w:sz w:val="19"/>
                <w:szCs w:val="19"/>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78.3</w:t>
            </w:r>
          </w:p>
        </w:tc>
        <w:tc>
          <w:tcPr>
            <w:tcW w:w="18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180" w:type="dxa"/>
            <w:vAlign w:val="bottom"/>
            <w:shd w:val="clear" w:color="auto" w:fill="CFF0FC"/>
          </w:tcPr>
          <w:p>
            <w:pPr>
              <w:spacing w:after="0"/>
              <w:rPr>
                <w:sz w:val="19"/>
                <w:szCs w:val="19"/>
                <w:color w:val="auto"/>
              </w:rPr>
            </w:pPr>
          </w:p>
        </w:tc>
      </w:tr>
      <w:tr>
        <w:trPr>
          <w:trHeight w:val="250"/>
        </w:trPr>
        <w:tc>
          <w:tcPr>
            <w:tcW w:w="628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46.3</w:t>
            </w:r>
          </w:p>
        </w:tc>
        <w:tc>
          <w:tcPr>
            <w:tcW w:w="32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21"/>
                <w:szCs w:val="21"/>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41.8</w:t>
            </w:r>
          </w:p>
        </w:tc>
        <w:tc>
          <w:tcPr>
            <w:tcW w:w="180" w:type="dxa"/>
            <w:vAlign w:val="bottom"/>
          </w:tcPr>
          <w:p>
            <w:pPr>
              <w:spacing w:after="0"/>
              <w:rPr>
                <w:sz w:val="21"/>
                <w:szCs w:val="21"/>
                <w:color w:val="auto"/>
              </w:rPr>
            </w:pPr>
          </w:p>
        </w:tc>
      </w:tr>
      <w:tr>
        <w:trPr>
          <w:trHeight w:val="26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Accrued Capital Gains Incentive Fee Expense</w:t>
            </w: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w:t>
            </w:r>
          </w:p>
        </w:tc>
      </w:tr>
      <w:tr>
        <w:trPr>
          <w:trHeight w:val="250"/>
        </w:trPr>
        <w:tc>
          <w:tcPr>
            <w:tcW w:w="6280" w:type="dxa"/>
            <w:vAlign w:val="bottom"/>
          </w:tcPr>
          <w:p>
            <w:pPr>
              <w:spacing w:after="0"/>
              <w:rPr>
                <w:sz w:val="20"/>
                <w:szCs w:val="20"/>
                <w:color w:val="auto"/>
              </w:rPr>
            </w:pPr>
            <w:r>
              <w:rPr>
                <w:rFonts w:ascii="Arial" w:cs="Arial" w:eastAsia="Arial" w:hAnsi="Arial"/>
                <w:sz w:val="18"/>
                <w:szCs w:val="18"/>
                <w:color w:val="auto"/>
              </w:rPr>
              <w:t xml:space="preserve">Adjusted Net Investment Income </w:t>
            </w:r>
            <w:r>
              <w:rPr>
                <w:rFonts w:ascii="Arial" w:cs="Arial" w:eastAsia="Arial" w:hAnsi="Arial"/>
                <w:sz w:val="15"/>
                <w:szCs w:val="15"/>
                <w:color w:val="auto"/>
              </w:rPr>
              <w:t>(2)</w:t>
            </w: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51.5</w:t>
            </w:r>
          </w:p>
        </w:tc>
        <w:tc>
          <w:tcPr>
            <w:tcW w:w="32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37.2</w:t>
            </w:r>
          </w:p>
        </w:tc>
        <w:tc>
          <w:tcPr>
            <w:tcW w:w="240" w:type="dxa"/>
            <w:vAlign w:val="bottom"/>
          </w:tcPr>
          <w:p>
            <w:pPr>
              <w:spacing w:after="0"/>
              <w:rPr>
                <w:sz w:val="21"/>
                <w:szCs w:val="21"/>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46.2</w:t>
            </w:r>
          </w:p>
        </w:tc>
        <w:tc>
          <w:tcPr>
            <w:tcW w:w="180" w:type="dxa"/>
            <w:vAlign w:val="bottom"/>
          </w:tcPr>
          <w:p>
            <w:pPr>
              <w:spacing w:after="0"/>
              <w:rPr>
                <w:sz w:val="21"/>
                <w:szCs w:val="21"/>
                <w:color w:val="auto"/>
              </w:rPr>
            </w:pPr>
          </w:p>
        </w:tc>
      </w:tr>
      <w:tr>
        <w:trPr>
          <w:trHeight w:val="23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15"/>
                <w:szCs w:val="15"/>
                <w:color w:val="auto"/>
              </w:rPr>
              <w:t>(2)</w:t>
            </w: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24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FF0FC"/>
          </w:tcPr>
          <w:p>
            <w:pPr>
              <w:spacing w:after="0"/>
              <w:rPr>
                <w:sz w:val="20"/>
                <w:szCs w:val="20"/>
                <w:color w:val="auto"/>
              </w:rPr>
            </w:pPr>
          </w:p>
        </w:tc>
      </w:tr>
      <w:tr>
        <w:trPr>
          <w:trHeight w:val="230"/>
        </w:trPr>
        <w:tc>
          <w:tcPr>
            <w:tcW w:w="6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 Per Share</w:t>
            </w: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0.65</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2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180" w:type="dxa"/>
            <w:vAlign w:val="bottom"/>
            <w:shd w:val="clear" w:color="auto" w:fill="CFF0FC"/>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0.57</w:t>
            </w:r>
          </w:p>
        </w:tc>
        <w:tc>
          <w:tcPr>
            <w:tcW w:w="3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0.43</w:t>
            </w:r>
          </w:p>
        </w:tc>
        <w:tc>
          <w:tcPr>
            <w:tcW w:w="240" w:type="dxa"/>
            <w:vAlign w:val="bottom"/>
          </w:tcPr>
          <w:p>
            <w:pPr>
              <w:spacing w:after="0"/>
              <w:rPr>
                <w:sz w:val="19"/>
                <w:szCs w:val="19"/>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0.57</w:t>
            </w:r>
          </w:p>
        </w:tc>
        <w:tc>
          <w:tcPr>
            <w:tcW w:w="180" w:type="dxa"/>
            <w:vAlign w:val="bottom"/>
          </w:tcPr>
          <w:p>
            <w:pPr>
              <w:spacing w:after="0"/>
              <w:rPr>
                <w:sz w:val="19"/>
                <w:szCs w:val="19"/>
                <w:color w:val="auto"/>
              </w:rPr>
            </w:pPr>
          </w:p>
        </w:tc>
      </w:tr>
      <w:tr>
        <w:trPr>
          <w:trHeight w:val="25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Accrued Capital Gains Incentive Fee Expense Per Share</w:t>
            </w: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(0.00)</w:t>
            </w: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(0.00)</w:t>
            </w:r>
          </w:p>
        </w:tc>
      </w:tr>
      <w:tr>
        <w:trPr>
          <w:trHeight w:val="250"/>
        </w:trPr>
        <w:tc>
          <w:tcPr>
            <w:tcW w:w="6280" w:type="dxa"/>
            <w:vAlign w:val="bottom"/>
          </w:tcPr>
          <w:p>
            <w:pPr>
              <w:spacing w:after="0"/>
              <w:rPr>
                <w:sz w:val="20"/>
                <w:szCs w:val="20"/>
                <w:color w:val="auto"/>
              </w:rPr>
            </w:pPr>
            <w:r>
              <w:rPr>
                <w:rFonts w:ascii="Arial" w:cs="Arial" w:eastAsia="Arial" w:hAnsi="Arial"/>
                <w:sz w:val="18"/>
                <w:szCs w:val="18"/>
                <w:color w:val="auto"/>
              </w:rPr>
              <w:t xml:space="preserve">Adjusted Net Investment Income Per Share </w:t>
            </w:r>
            <w:r>
              <w:rPr>
                <w:rFonts w:ascii="Arial" w:cs="Arial" w:eastAsia="Arial" w:hAnsi="Arial"/>
                <w:sz w:val="15"/>
                <w:szCs w:val="15"/>
                <w:color w:val="auto"/>
              </w:rPr>
              <w:t>(2)</w:t>
            </w:r>
          </w:p>
        </w:tc>
        <w:tc>
          <w:tcPr>
            <w:tcW w:w="56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0.64</w:t>
            </w:r>
          </w:p>
        </w:tc>
        <w:tc>
          <w:tcPr>
            <w:tcW w:w="32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0.47</w:t>
            </w:r>
          </w:p>
        </w:tc>
        <w:tc>
          <w:tcPr>
            <w:tcW w:w="240" w:type="dxa"/>
            <w:vAlign w:val="bottom"/>
          </w:tcPr>
          <w:p>
            <w:pPr>
              <w:spacing w:after="0"/>
              <w:rPr>
                <w:sz w:val="21"/>
                <w:szCs w:val="21"/>
                <w:color w:val="auto"/>
              </w:rPr>
            </w:pPr>
          </w:p>
        </w:tc>
        <w:tc>
          <w:tcPr>
            <w:tcW w:w="52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0.63</w:t>
            </w:r>
          </w:p>
        </w:tc>
        <w:tc>
          <w:tcPr>
            <w:tcW w:w="180" w:type="dxa"/>
            <w:vAlign w:val="bottom"/>
          </w:tcPr>
          <w:p>
            <w:pPr>
              <w:spacing w:after="0"/>
              <w:rPr>
                <w:sz w:val="21"/>
                <w:szCs w:val="21"/>
                <w:color w:val="auto"/>
              </w:rPr>
            </w:pPr>
          </w:p>
        </w:tc>
      </w:tr>
      <w:tr>
        <w:trPr>
          <w:trHeight w:val="236"/>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Net Income (Loss) Per Share </w:t>
            </w:r>
            <w:r>
              <w:rPr>
                <w:rFonts w:ascii="Arial" w:cs="Arial" w:eastAsia="Arial" w:hAnsi="Arial"/>
                <w:sz w:val="15"/>
                <w:szCs w:val="15"/>
                <w:color w:val="auto"/>
              </w:rPr>
              <w:t>(2)</w:t>
            </w:r>
          </w:p>
        </w:tc>
        <w:tc>
          <w:tcPr>
            <w:tcW w:w="56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0.56</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24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28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180" w:type="dxa"/>
            <w:vAlign w:val="bottom"/>
            <w:shd w:val="clear" w:color="auto" w:fill="CFF0FC"/>
          </w:tcPr>
          <w:p>
            <w:pPr>
              <w:spacing w:after="0"/>
              <w:rPr>
                <w:sz w:val="20"/>
                <w:szCs w:val="20"/>
                <w:color w:val="auto"/>
              </w:rPr>
            </w:pPr>
          </w:p>
        </w:tc>
      </w:tr>
      <w:tr>
        <w:trPr>
          <w:trHeight w:val="229"/>
        </w:trPr>
        <w:tc>
          <w:tcPr>
            <w:tcW w:w="6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Annualized Return on Equity (Net Investment Income) </w:t>
            </w:r>
            <w:r>
              <w:rPr>
                <w:rFonts w:ascii="Arial" w:cs="Arial" w:eastAsia="Arial" w:hAnsi="Arial"/>
                <w:sz w:val="15"/>
                <w:szCs w:val="15"/>
                <w:color w:val="auto"/>
              </w:rPr>
              <w:t>(3)</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 xml:space="preserve">Annualized Return on Equity (Net Income) </w:t>
            </w:r>
            <w:r>
              <w:rPr>
                <w:rFonts w:ascii="Arial" w:cs="Arial" w:eastAsia="Arial" w:hAnsi="Arial"/>
                <w:sz w:val="15"/>
                <w:szCs w:val="15"/>
                <w:color w:val="auto"/>
              </w:rPr>
              <w:t>(3)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Annualized Return on Equity (Adjusted Net Investment Income) </w:t>
            </w:r>
            <w:r>
              <w:rPr>
                <w:rFonts w:ascii="Arial" w:cs="Arial" w:eastAsia="Arial" w:hAnsi="Arial"/>
                <w:sz w:val="15"/>
                <w:szCs w:val="15"/>
                <w:color w:val="auto"/>
              </w:rPr>
              <w:t>(2)(3)</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14.6%</w:t>
            </w:r>
          </w:p>
        </w:tc>
      </w:tr>
      <w:tr>
        <w:trPr>
          <w:trHeight w:val="229"/>
        </w:trPr>
        <w:tc>
          <w:tcPr>
            <w:tcW w:w="6280" w:type="dxa"/>
            <w:vAlign w:val="bottom"/>
          </w:tcPr>
          <w:p>
            <w:pPr>
              <w:spacing w:after="0"/>
              <w:rPr>
                <w:sz w:val="20"/>
                <w:szCs w:val="20"/>
                <w:color w:val="auto"/>
              </w:rPr>
            </w:pPr>
            <w:r>
              <w:rPr>
                <w:rFonts w:ascii="Arial" w:cs="Arial" w:eastAsia="Arial" w:hAnsi="Arial"/>
                <w:sz w:val="18"/>
                <w:szCs w:val="18"/>
                <w:color w:val="auto"/>
              </w:rPr>
              <w:t xml:space="preserve">Annualized Return on Equity (Adjusted Net Income) </w:t>
            </w:r>
            <w:r>
              <w:rPr>
                <w:rFonts w:ascii="Arial" w:cs="Arial" w:eastAsia="Arial" w:hAnsi="Arial"/>
                <w:sz w:val="15"/>
                <w:szCs w:val="15"/>
                <w:color w:val="auto"/>
              </w:rPr>
              <w:t>(2)(3)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r>
      <w:tr>
        <w:trPr>
          <w:trHeight w:val="257"/>
        </w:trPr>
        <w:tc>
          <w:tcPr>
            <w:tcW w:w="6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w w:val="98"/>
              </w:rPr>
              <w:t>Weighted Average Yield of Debt and Income Producing Securities at Fair Value</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29"/>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w w:val="92"/>
              </w:rPr>
              <w:t>Weighted Average Yield of Debt and Income Producing Securities at Amortized Cost</w:t>
            </w: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10.2%</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 xml:space="preserve">Percentage of Debt Investment Commitments at Floating Rates </w:t>
            </w:r>
            <w:r>
              <w:rPr>
                <w:rFonts w:ascii="Arial" w:cs="Arial" w:eastAsia="Arial" w:hAnsi="Arial"/>
                <w:sz w:val="15"/>
                <w:szCs w:val="15"/>
                <w:color w:val="auto"/>
              </w:rPr>
              <w:t>(4)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98.9%</w:t>
            </w:r>
          </w:p>
        </w:tc>
        <w:tc>
          <w:tcPr>
            <w:tcW w:w="2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98.9%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98.9%</w:t>
            </w:r>
          </w:p>
        </w:tc>
      </w:tr>
    </w:tbl>
    <w:p>
      <w:pPr>
        <w:ind w:left="400" w:hanging="392"/>
        <w:spacing w:after="0" w:line="221" w:lineRule="auto"/>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net asset value per share gives effect to the supplemental dividend declared related to earnings or special dividend in the applicable period.</w:t>
      </w:r>
    </w:p>
    <w:p>
      <w:pPr>
        <w:ind w:left="400" w:hanging="392"/>
        <w:spacing w:after="0" w:line="221" w:lineRule="auto"/>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to exclude the capital gains incentive fee that was accrued, but not paid, related to cumulative unrealized capital gains in excess of cumulative net realized capital gains less any cumulative unrealized losses and capital gains incentive fees paid inception to date.</w:t>
      </w:r>
    </w:p>
    <w:p>
      <w:pPr>
        <w:ind w:left="400" w:hanging="392"/>
        <w:spacing w:after="0" w:line="221" w:lineRule="auto"/>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Return on equity is calculated using prior period’s ending net asset value per share.</w:t>
      </w:r>
    </w:p>
    <w:p>
      <w:pPr>
        <w:ind w:left="400" w:right="20" w:hanging="392"/>
        <w:spacing w:after="0" w:line="237" w:lineRule="auto"/>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one or more fixed rate investments for which the Company entered into an interest rate swap agreement to swap to floating rate. Calculation includes income earning debt investments only.</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9" w:name="page10"/>
    <w:bookmarkEnd w:id="9"/>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FINANCIAL STATEMENTS AND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Sixth Street Specialty Lending,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3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Non-controlled, non-affiliated investments (amortized cost of $2,707,442 and $2,354,984,</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2,717,170</w:t>
            </w:r>
          </w:p>
        </w:tc>
        <w:tc>
          <w:tcPr>
            <w:tcW w:w="1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2,434,797</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7320" w:type="dxa"/>
            <w:vAlign w:val="bottom"/>
          </w:tcPr>
          <w:p>
            <w:pPr>
              <w:ind w:left="260"/>
              <w:spacing w:after="0"/>
              <w:rPr>
                <w:sz w:val="20"/>
                <w:szCs w:val="20"/>
                <w:color w:val="auto"/>
              </w:rPr>
            </w:pPr>
            <w:r>
              <w:rPr>
                <w:rFonts w:ascii="Arial" w:cs="Arial" w:eastAsia="Arial" w:hAnsi="Arial"/>
                <w:sz w:val="18"/>
                <w:szCs w:val="18"/>
                <w:color w:val="auto"/>
              </w:rPr>
              <w:t>Non-controlled, affiliated investments (amortized cost of $0 and $12,666, respectively)</w:t>
            </w:r>
          </w:p>
        </w:tc>
        <w:tc>
          <w:tcPr>
            <w:tcW w:w="28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$67,284 and $64,362, respectively)</w:t>
            </w:r>
          </w:p>
        </w:tc>
        <w:tc>
          <w:tcPr>
            <w:tcW w:w="2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70,755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investments at fair value (amortized cost of $2,774,726 and $2,432,012, respectively)</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2,787,925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2,521,593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$15,437 and $14,399 respectively)</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25,647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Interest receivable</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18,846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10,775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2,836,947</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2,551,857</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Debt (net of deferred financing costs of $17,760 and $19,147, respectively)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1,441,796</w:t>
            </w:r>
          </w:p>
        </w:tc>
        <w:tc>
          <w:tcPr>
            <w:tcW w:w="180" w:type="dxa"/>
            <w:vAlign w:val="bottom"/>
          </w:tcPr>
          <w:p>
            <w:pPr>
              <w:spacing w:after="0"/>
              <w:rPr>
                <w:sz w:val="19"/>
                <w:szCs w:val="19"/>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1,185,964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Incentive fees on net investment income payable to affiliate</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9,789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on net capital gains accrued to affiliate</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Dividends payable</w:t>
            </w:r>
          </w:p>
        </w:tc>
        <w:tc>
          <w:tcPr>
            <w:tcW w:w="28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30,926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payables to affiliate</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1,495,378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1,276,009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Assets</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732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issued and outstanding</w:t>
            </w:r>
          </w:p>
        </w:tc>
        <w:tc>
          <w:tcPr>
            <w:tcW w:w="28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 400,000,000 shares authorized, 82,053,537</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76,067,586 shares issued, respectively; and 81,389,287 and 75,771,542</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outstanding, respectively</w:t>
            </w:r>
          </w:p>
        </w:tc>
        <w:tc>
          <w:tcPr>
            <w:tcW w:w="28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1,294,751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1,189,275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 664,250 and 296,044 shares held, respectively</w:t>
            </w:r>
          </w:p>
        </w:tc>
        <w:tc>
          <w:tcPr>
            <w:tcW w:w="2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(10,459)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(4,291)</w:t>
            </w:r>
          </w:p>
        </w:tc>
        <w:tc>
          <w:tcPr>
            <w:tcW w:w="20" w:type="dxa"/>
            <w:vAlign w:val="bottom"/>
          </w:tcPr>
          <w:p>
            <w:pPr>
              <w:spacing w:after="0"/>
              <w:rPr>
                <w:sz w:val="19"/>
                <w:szCs w:val="19"/>
                <w:color w:val="auto"/>
              </w:rPr>
            </w:pPr>
          </w:p>
        </w:tc>
      </w:tr>
      <w:tr>
        <w:trPr>
          <w:trHeight w:val="230"/>
        </w:trPr>
        <w:tc>
          <w:tcPr>
            <w:tcW w:w="7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Distributable earnings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90,103</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Net Assets</w:t>
            </w:r>
          </w:p>
        </w:tc>
        <w:tc>
          <w:tcPr>
            <w:tcW w:w="2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1,341,569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1,275,848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2,836,947</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2,551,857</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73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656"/>
        </w:trPr>
        <w:tc>
          <w:tcPr>
            <w:tcW w:w="7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r>
      <w:tr>
        <w:trPr>
          <w:trHeight w:val="115"/>
        </w:trPr>
        <w:tc>
          <w:tcPr>
            <w:tcW w:w="7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21" w:right="319" w:bottom="1440" w:gutter="0" w:footer="0" w:header="0"/>
        </w:sectPr>
      </w:pPr>
    </w:p>
    <w:bookmarkStart w:id="10" w:name="page11"/>
    <w:bookmarkEnd w:id="10"/>
    <w:p>
      <w:pPr>
        <w:spacing w:after="0" w:line="2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ind w:left="4140"/>
        <w:spacing w:after="0"/>
        <w:rPr>
          <w:sz w:val="20"/>
          <w:szCs w:val="20"/>
          <w:color w:val="auto"/>
        </w:rPr>
      </w:pPr>
      <w:r>
        <w:rPr>
          <w:rFonts w:ascii="Arial" w:cs="Arial" w:eastAsia="Arial" w:hAnsi="Arial"/>
          <w:sz w:val="20"/>
          <w:szCs w:val="20"/>
          <w:b w:val="1"/>
          <w:bCs w:val="1"/>
          <w:color w:val="auto"/>
        </w:rPr>
        <w:t>Sixth Street Specialty Lending, Inc.</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Consolidated Statements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 and per share amounts)</w:t>
      </w:r>
    </w:p>
    <w:tbl>
      <w:tblPr>
        <w:tblLayout w:type="fixed"/>
        <w:tblInd w:w="0" w:type="dxa"/>
        <w:tblCellMar>
          <w:top w:w="0" w:type="dxa"/>
          <w:left w:w="0" w:type="dxa"/>
          <w:bottom w:w="0" w:type="dxa"/>
          <w:right w:w="0" w:type="dxa"/>
        </w:tblCellMar>
      </w:tblPr>
      <w:tr>
        <w:trPr>
          <w:trHeight w:val="160"/>
        </w:trPr>
        <w:tc>
          <w:tcPr>
            <w:tcW w:w="5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December 31, 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December 31, 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56"/>
        </w:trPr>
        <w:tc>
          <w:tcPr>
            <w:tcW w:w="54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w:t>
            </w:r>
          </w:p>
        </w:tc>
        <w:tc>
          <w:tcPr>
            <w:tcW w:w="7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Investment income from non-controlled, non-affiliated investments: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292,442</w:t>
            </w:r>
          </w:p>
        </w:tc>
        <w:tc>
          <w:tcPr>
            <w:tcW w:w="16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261,782</w:t>
            </w:r>
          </w:p>
        </w:tc>
        <w:tc>
          <w:tcPr>
            <w:tcW w:w="16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237,260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Dividend income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2,159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3,426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7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9,502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7,751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22,174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20" w:type="dxa"/>
            <w:vAlign w:val="bottom"/>
          </w:tcPr>
          <w:p>
            <w:pPr>
              <w:ind w:left="500"/>
              <w:spacing w:after="0" w:line="155" w:lineRule="exact"/>
              <w:rPr>
                <w:sz w:val="20"/>
                <w:szCs w:val="20"/>
                <w:color w:val="auto"/>
              </w:rPr>
            </w:pPr>
            <w:r>
              <w:rPr>
                <w:rFonts w:ascii="Arial" w:cs="Arial" w:eastAsia="Arial" w:hAnsi="Arial"/>
                <w:sz w:val="14"/>
                <w:szCs w:val="14"/>
                <w:color w:val="auto"/>
              </w:rPr>
              <w:t>Total investment income from non-controlled, non-affiliated investments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304,103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272,959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261,250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spacing w:after="0"/>
              <w:rPr>
                <w:sz w:val="20"/>
                <w:szCs w:val="20"/>
                <w:color w:val="auto"/>
              </w:rPr>
            </w:pPr>
            <w:r>
              <w:rPr>
                <w:rFonts w:ascii="Arial" w:cs="Arial" w:eastAsia="Arial" w:hAnsi="Arial"/>
                <w:sz w:val="14"/>
                <w:szCs w:val="14"/>
                <w:color w:val="auto"/>
              </w:rPr>
              <w:t>Investment income from non-controlled, affiliated investments: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Interest from investments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838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4,606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Dividend income</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2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investment income from non-controlled, affiliated investments</w:t>
            </w:r>
          </w:p>
        </w:tc>
        <w:tc>
          <w:tcPr>
            <w:tcW w:w="7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133</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3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1,578</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3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4,974</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Investment income from controlled, affiliated investments: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5,064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4,039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income</w:t>
            </w:r>
          </w:p>
        </w:tc>
        <w:tc>
          <w:tcPr>
            <w:tcW w:w="7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investment income from controlled, affiliated investments</w:t>
            </w:r>
          </w:p>
        </w:tc>
        <w:tc>
          <w:tcPr>
            <w:tcW w:w="74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5,069</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4,056</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3,813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7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309,305</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278,593</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270,037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Interest</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62,991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38,825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39,402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spacing w:after="0"/>
              <w:rPr>
                <w:sz w:val="20"/>
                <w:szCs w:val="20"/>
                <w:color w:val="auto"/>
              </w:rPr>
            </w:pPr>
            <w:r>
              <w:rPr>
                <w:rFonts w:ascii="Arial" w:cs="Arial" w:eastAsia="Arial" w:hAnsi="Arial"/>
                <w:sz w:val="14"/>
                <w:szCs w:val="14"/>
                <w:color w:val="auto"/>
              </w:rPr>
              <w:t>Management fees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39,900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37,081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32,105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Incentive fees on net investment income</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33,401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33,062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31,483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spacing w:after="0"/>
              <w:rPr>
                <w:sz w:val="20"/>
                <w:szCs w:val="20"/>
                <w:color w:val="auto"/>
              </w:rPr>
            </w:pPr>
            <w:r>
              <w:rPr>
                <w:rFonts w:ascii="Arial" w:cs="Arial" w:eastAsia="Arial" w:hAnsi="Arial"/>
                <w:sz w:val="14"/>
                <w:szCs w:val="14"/>
                <w:color w:val="auto"/>
              </w:rPr>
              <w:t>Incentive fees on net capital gains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(8,864)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13,507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Professional fees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7,192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6,586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6,775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spacing w:after="0"/>
              <w:rPr>
                <w:sz w:val="20"/>
                <w:szCs w:val="20"/>
                <w:color w:val="auto"/>
              </w:rPr>
            </w:pPr>
            <w:r>
              <w:rPr>
                <w:rFonts w:ascii="Arial" w:cs="Arial" w:eastAsia="Arial" w:hAnsi="Arial"/>
                <w:sz w:val="14"/>
                <w:szCs w:val="14"/>
                <w:color w:val="auto"/>
              </w:rPr>
              <w:t>Directors’ fees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general and administrative</w:t>
            </w:r>
          </w:p>
        </w:tc>
        <w:tc>
          <w:tcPr>
            <w:tcW w:w="7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5,427</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5,262</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expenses</w:t>
            </w:r>
          </w:p>
        </w:tc>
        <w:tc>
          <w:tcPr>
            <w:tcW w:w="74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140,783</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136,040</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117,273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Management fees waived (Note 3)</w:t>
            </w:r>
          </w:p>
        </w:tc>
        <w:tc>
          <w:tcPr>
            <w:tcW w:w="7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(427)</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Net Expenses</w:t>
            </w:r>
          </w:p>
        </w:tc>
        <w:tc>
          <w:tcPr>
            <w:tcW w:w="74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140,356</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135,850</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117,273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 Before Income Taxes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168,949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142,743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152,764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spacing w:after="0"/>
              <w:rPr>
                <w:sz w:val="20"/>
                <w:szCs w:val="20"/>
                <w:color w:val="auto"/>
              </w:rPr>
            </w:pPr>
            <w:r>
              <w:rPr>
                <w:rFonts w:ascii="Arial" w:cs="Arial" w:eastAsia="Arial" w:hAnsi="Arial"/>
                <w:sz w:val="14"/>
                <w:szCs w:val="14"/>
                <w:color w:val="auto"/>
              </w:rPr>
              <w:t>Income taxes, including excise taxes</w:t>
            </w:r>
          </w:p>
        </w:tc>
        <w:tc>
          <w:tcPr>
            <w:tcW w:w="7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2,622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5,760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166,327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142,359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147,004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Unrealized and Realized Gains (Losses)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Net change in unrealized gains (losses):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(70,085)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17,938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10,304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Non-controlled, affiliated investments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(14,350)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14,350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2,785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Controlled, affiliated investments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8,054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17,450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18,862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Translation of other assets and liabilities in foreign currencies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8,721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(591)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(5,068)</w:t>
            </w: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rate swaps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(6,748)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(6,699)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6,812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Income tax provision</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(1,902)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42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Total net change in unrealized gains (losses)</w:t>
            </w:r>
          </w:p>
        </w:tc>
        <w:tc>
          <w:tcPr>
            <w:tcW w:w="7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(74,969)</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40,546</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3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33,695</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tcPr>
          <w:p>
            <w:pPr>
              <w:spacing w:after="0" w:line="155" w:lineRule="exact"/>
              <w:rPr>
                <w:sz w:val="20"/>
                <w:szCs w:val="20"/>
                <w:color w:val="auto"/>
              </w:rPr>
            </w:pPr>
            <w:r>
              <w:rPr>
                <w:rFonts w:ascii="Arial" w:cs="Arial" w:eastAsia="Arial" w:hAnsi="Arial"/>
                <w:sz w:val="14"/>
                <w:szCs w:val="14"/>
                <w:color w:val="auto"/>
              </w:rPr>
              <w:t>Realized gains (losses):</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28,849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25,382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Non-controlled, affiliated investments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13,608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7,854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Controlled, affiliated investments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(36,352)</w:t>
            </w: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Extinguishment of debt</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rate swaps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Foreign currency transactions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55"/>
        </w:trPr>
        <w:tc>
          <w:tcPr>
            <w:tcW w:w="542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Total net realized gains (losses)</w:t>
            </w:r>
          </w:p>
        </w:tc>
        <w:tc>
          <w:tcPr>
            <w:tcW w:w="7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16,695</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28,875</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3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(2,591)</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b w:val="1"/>
                <w:bCs w:val="1"/>
                <w:color w:val="auto"/>
              </w:rPr>
              <w:t>Total Net Unrealized and Realized Gains (Losses)</w:t>
            </w:r>
          </w:p>
        </w:tc>
        <w:tc>
          <w:tcPr>
            <w:tcW w:w="7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(58,274)</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69,421</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31,104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tcBorders>
              <w:bottom w:val="single" w:sz="8" w:color="CFF0FC"/>
            </w:tcBorders>
            <w:shd w:val="clear" w:color="auto" w:fill="CFF0FC"/>
          </w:tcPr>
          <w:p>
            <w:pPr>
              <w:ind w:left="1000"/>
              <w:spacing w:after="0" w:line="155" w:lineRule="exact"/>
              <w:rPr>
                <w:sz w:val="20"/>
                <w:szCs w:val="20"/>
                <w:color w:val="auto"/>
              </w:rPr>
            </w:pPr>
            <w:r>
              <w:rPr>
                <w:rFonts w:ascii="Arial" w:cs="Arial" w:eastAsia="Arial" w:hAnsi="Arial"/>
                <w:sz w:val="14"/>
                <w:szCs w:val="14"/>
                <w:b w:val="1"/>
                <w:bCs w:val="1"/>
                <w:color w:val="auto"/>
              </w:rPr>
              <w:t>Increase in Net Assets Resulting from Operations</w:t>
            </w:r>
          </w:p>
        </w:tc>
        <w:tc>
          <w:tcPr>
            <w:tcW w:w="7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108,053</w:t>
            </w: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211,780</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178,108</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4"/>
                <w:szCs w:val="14"/>
                <w:color w:val="auto"/>
              </w:rPr>
              <w:t>Earnings per common share—basic</w:t>
            </w:r>
          </w:p>
        </w:tc>
        <w:tc>
          <w:tcPr>
            <w:tcW w:w="8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20" w:type="dxa"/>
            <w:vAlign w:val="bottom"/>
            <w:tcBorders>
              <w:bottom w:val="single" w:sz="8" w:color="CFF0FC"/>
            </w:tcBorders>
            <w:vMerge w:val="continue"/>
          </w:tcPr>
          <w:p>
            <w:pPr>
              <w:spacing w:after="0"/>
              <w:rPr>
                <w:sz w:val="12"/>
                <w:szCs w:val="12"/>
                <w:color w:val="auto"/>
              </w:rPr>
            </w:pPr>
          </w:p>
        </w:tc>
        <w:tc>
          <w:tcPr>
            <w:tcW w:w="74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1.38</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2.93</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2.65</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4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of common stock outstanding—basic</w:t>
            </w:r>
          </w:p>
        </w:tc>
        <w:tc>
          <w:tcPr>
            <w:tcW w:w="74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78,197,826</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72,169,488</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67,209,078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Earnings per common share—diluted</w:t>
            </w:r>
          </w:p>
        </w:tc>
        <w:tc>
          <w:tcPr>
            <w:tcW w:w="7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2.79</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of common stock outstanding—diluted</w:t>
            </w:r>
          </w:p>
        </w:tc>
        <w:tc>
          <w:tcPr>
            <w:tcW w:w="74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78,197,826</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3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77,702,258</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3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67,209,078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ind w:right="20"/>
        <w:spacing w:after="0" w:line="277" w:lineRule="auto"/>
        <w:rPr>
          <w:sz w:val="20"/>
          <w:szCs w:val="20"/>
          <w:color w:val="auto"/>
        </w:rPr>
      </w:pPr>
      <w:r>
        <w:rPr>
          <w:rFonts w:ascii="Arial" w:cs="Arial" w:eastAsia="Arial" w:hAnsi="Arial"/>
          <w:sz w:val="18"/>
          <w:szCs w:val="18"/>
          <w:color w:val="auto"/>
        </w:rPr>
        <w:t>The Company’s investment activity for the years ended December 31, 2022, 2021 and 2020 is presented below (information presented herein is at par value unless otherwise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6"/>
          </w:tcPr>
          <w:p>
            <w:pPr>
              <w:jc w:val="right"/>
              <w:ind w:right="187"/>
              <w:spacing w:after="0"/>
              <w:rPr>
                <w:sz w:val="20"/>
                <w:szCs w:val="20"/>
                <w:color w:val="auto"/>
              </w:rPr>
            </w:pPr>
            <w:r>
              <w:rPr>
                <w:rFonts w:ascii="Arial" w:cs="Arial" w:eastAsia="Arial" w:hAnsi="Arial"/>
                <w:sz w:val="14"/>
                <w:szCs w:val="14"/>
                <w:b w:val="1"/>
                <w:bCs w:val="1"/>
                <w:color w:val="auto"/>
              </w:rPr>
              <w:t>For the Year Ended December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20" w:type="dxa"/>
            <w:vAlign w:val="bottom"/>
            <w:tcBorders>
              <w:bottom w:val="single" w:sz="8" w:color="CFF0FC"/>
            </w:tcBorders>
            <w:vMerge w:val="continue"/>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60"/>
              <w:spacing w:after="0"/>
              <w:rPr>
                <w:sz w:val="20"/>
                <w:szCs w:val="20"/>
                <w:color w:val="auto"/>
              </w:rPr>
            </w:pPr>
            <w:r>
              <w:rPr>
                <w:rFonts w:ascii="Arial" w:cs="Arial" w:eastAsia="Arial" w:hAnsi="Arial"/>
                <w:sz w:val="18"/>
                <w:szCs w:val="18"/>
                <w:color w:val="auto"/>
              </w:rPr>
              <w:t>Gross originations</w:t>
            </w:r>
          </w:p>
        </w:tc>
        <w:tc>
          <w:tcPr>
            <w:tcW w:w="10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4,240.9</w:t>
            </w:r>
          </w:p>
        </w:tc>
        <w:tc>
          <w:tcPr>
            <w:tcW w:w="3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4,269.9</w:t>
            </w:r>
          </w:p>
        </w:tc>
        <w:tc>
          <w:tcPr>
            <w:tcW w:w="3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3,296.8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Syndications/sell downs</w:t>
            </w:r>
          </w:p>
        </w:tc>
        <w:tc>
          <w:tcPr>
            <w:tcW w:w="7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3,156.7</w:t>
            </w: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3,152.5</w:t>
            </w:r>
          </w:p>
        </w:tc>
        <w:tc>
          <w:tcPr>
            <w:tcW w:w="3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76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1,084.2</w:t>
            </w:r>
          </w:p>
        </w:tc>
        <w:tc>
          <w:tcPr>
            <w:tcW w:w="3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1,117.4</w:t>
            </w:r>
          </w:p>
        </w:tc>
        <w:tc>
          <w:tcPr>
            <w:tcW w:w="3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10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761.7</w:t>
            </w:r>
          </w:p>
        </w:tc>
        <w:tc>
          <w:tcPr>
            <w:tcW w:w="3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1,022.1</w:t>
            </w:r>
          </w:p>
        </w:tc>
        <w:tc>
          <w:tcPr>
            <w:tcW w:w="3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909.6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Structured credit</w:t>
            </w:r>
          </w:p>
        </w:tc>
        <w:tc>
          <w:tcPr>
            <w:tcW w:w="7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3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864.0</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1,117.4</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First-lien</w:t>
            </w:r>
          </w:p>
        </w:tc>
        <w:tc>
          <w:tcPr>
            <w:tcW w:w="106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645.4</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962.6</w:t>
            </w: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60"/>
              <w:spacing w:after="0"/>
              <w:rPr>
                <w:sz w:val="20"/>
                <w:szCs w:val="20"/>
                <w:color w:val="auto"/>
              </w:rPr>
            </w:pPr>
            <w:r>
              <w:rPr>
                <w:rFonts w:ascii="Arial" w:cs="Arial" w:eastAsia="Arial" w:hAnsi="Arial"/>
                <w:sz w:val="18"/>
                <w:szCs w:val="18"/>
                <w:color w:val="auto"/>
              </w:rPr>
              <w:t>Second-lien</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Mezzanine</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20" w:type="dxa"/>
            <w:vAlign w:val="bottom"/>
          </w:tcPr>
          <w:p>
            <w:pPr>
              <w:ind w:left="260"/>
              <w:spacing w:after="0"/>
              <w:rPr>
                <w:sz w:val="20"/>
                <w:szCs w:val="20"/>
                <w:color w:val="auto"/>
              </w:rPr>
            </w:pPr>
            <w:r>
              <w:rPr>
                <w:rFonts w:ascii="Arial" w:cs="Arial" w:eastAsia="Arial" w:hAnsi="Arial"/>
                <w:sz w:val="18"/>
                <w:szCs w:val="18"/>
                <w:color w:val="auto"/>
              </w:rPr>
              <w:t>Equity and other</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Structured credit</w:t>
            </w:r>
          </w:p>
        </w:tc>
        <w:tc>
          <w:tcPr>
            <w:tcW w:w="7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653.8</w:t>
            </w:r>
          </w:p>
        </w:tc>
        <w:tc>
          <w:tcPr>
            <w:tcW w:w="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1,004.5</w:t>
            </w:r>
          </w:p>
        </w:tc>
        <w:tc>
          <w:tcPr>
            <w:tcW w:w="3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941.3</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7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 new portfolio</w:t>
            </w:r>
          </w:p>
        </w:tc>
        <w:tc>
          <w:tcPr>
            <w:tcW w:w="7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companies</w:t>
            </w:r>
          </w:p>
        </w:tc>
        <w:tc>
          <w:tcPr>
            <w:tcW w:w="7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72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 new portfolio</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tcPr>
          <w:p>
            <w:pPr>
              <w:ind w:left="140"/>
              <w:spacing w:after="0"/>
              <w:rPr>
                <w:sz w:val="20"/>
                <w:szCs w:val="20"/>
                <w:color w:val="auto"/>
              </w:rPr>
            </w:pPr>
            <w:r>
              <w:rPr>
                <w:rFonts w:ascii="Arial" w:cs="Arial" w:eastAsia="Arial" w:hAnsi="Arial"/>
                <w:sz w:val="18"/>
                <w:szCs w:val="18"/>
                <w:b w:val="1"/>
                <w:bCs w:val="1"/>
                <w:color w:val="auto"/>
              </w:rPr>
              <w:t>companies</w:t>
            </w:r>
          </w:p>
        </w:tc>
        <w:tc>
          <w:tcPr>
            <w:tcW w:w="10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14.6</w:t>
            </w:r>
          </w:p>
        </w:tc>
        <w:tc>
          <w:tcPr>
            <w:tcW w:w="3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47.5</w:t>
            </w:r>
          </w:p>
        </w:tc>
        <w:tc>
          <w:tcPr>
            <w:tcW w:w="340" w:type="dxa"/>
            <w:vAlign w:val="bottom"/>
          </w:tcPr>
          <w:p>
            <w:pPr>
              <w:spacing w:after="0"/>
              <w:rPr>
                <w:sz w:val="20"/>
                <w:szCs w:val="20"/>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 commitments in new</w:t>
            </w: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portfolio companies (in years)</w:t>
            </w:r>
          </w:p>
        </w:tc>
        <w:tc>
          <w:tcPr>
            <w:tcW w:w="7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72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 at floating</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tcPr>
          <w:p>
            <w:pPr>
              <w:ind w:left="140"/>
              <w:spacing w:after="0"/>
              <w:rPr>
                <w:sz w:val="20"/>
                <w:szCs w:val="20"/>
                <w:color w:val="auto"/>
              </w:rPr>
            </w:pPr>
            <w:r>
              <w:rPr>
                <w:rFonts w:ascii="Arial" w:cs="Arial" w:eastAsia="Arial" w:hAnsi="Arial"/>
                <w:sz w:val="18"/>
                <w:szCs w:val="18"/>
                <w:b w:val="1"/>
                <w:bCs w:val="1"/>
                <w:color w:val="auto"/>
              </w:rPr>
              <w:t xml:space="preserve">rates </w:t>
            </w:r>
            <w:r>
              <w:rPr>
                <w:rFonts w:ascii="Arial" w:cs="Arial" w:eastAsia="Arial" w:hAnsi="Arial"/>
                <w:sz w:val="15"/>
                <w:szCs w:val="15"/>
                <w:b w:val="1"/>
                <w:bCs w:val="1"/>
                <w:color w:val="auto"/>
              </w:rPr>
              <w:t>(1)</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98.9%</w:t>
            </w:r>
          </w:p>
        </w:tc>
        <w:tc>
          <w:tcPr>
            <w:tcW w:w="3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99.5%</w:t>
            </w: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 at fixed rates</w:t>
            </w: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 investment commitments</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3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1"/>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reference rate of new floating rate</w:t>
            </w: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7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 sold or paid down</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00" w:right="20" w:hanging="392"/>
        <w:spacing w:after="0" w:line="253"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one fixed rate investment for the year ended December 31, 2020 and two fixed rate investments for the year ended December 31, 2019 for which we entered into interest rate swap agreements to swap to floating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Sixth Street Specialty Lending</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Sixth Street Specialty Lending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 Securities and Exchange Commission (“SEC”) registered investment adviser. The Company leverages the deep investment, sector, and operating resources of Sixth Street, a global investment firm with $65 billion in assets under management and committed capital. For more information, visit the Company’s website at https://sixthstreetspecialtylending.com.</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w:t>
      </w:r>
    </w:p>
    <w:p>
      <w:pPr>
        <w:spacing w:after="0" w:line="3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Sixth Street is a global investment firm with $65 billion in assets under management and committed capital. The firm uses its long-term flexible capital, data-enabled capabilities, and One Team culture to develop themes and offer solutions to companies across all stages of growth. Founded in 2009, Sixth Street has more than 400 team members including over 180 investment professionals around the world. For more information, visit https://sixthstreet.com or follow Sixth Street on LinkedIn.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6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net investment income and adjusted net income are each non-GAAP financial measures, which represent net investment income and net income, respectively, in each case less the impact of accrued capital gains incentive fee expenses. The Company believes that adjusted net investment income and adjusted net income provide useful information to investors regarding the fundamental earnings power of the business, and these figures are used by the Company to measure its financial condition and results of operations. The presentation of this additional information is not meant to be considered in isolation or as a substitute for financial results prepared in accordance with GAAP.</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Cami VanHorn, 469-621-2033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IRTSLX@sixthstreet.com</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PClifford@sixthstreet.com</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2023-02-17T05:15:37Z</dcterms:created>
  <dcterms:modified xsi:type="dcterms:W3CDTF">2023-02-17T05:15:37Z</dcterms:modified>
</cp:coreProperties>
</file>