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Kirshenbaum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4"/>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80"/>
              <w:spacing w:after="0"/>
              <w:rPr>
                <w:sz w:val="20"/>
                <w:szCs w:val="20"/>
                <w:color w:val="auto"/>
              </w:rPr>
            </w:pPr>
            <w:r>
              <w:rPr>
                <w:rFonts w:ascii="Arial" w:cs="Arial" w:eastAsia="Arial" w:hAnsi="Arial"/>
                <w:sz w:val="18"/>
                <w:szCs w:val="18"/>
                <w:color w:val="0000FF"/>
              </w:rPr>
              <w:t>02/01/2012</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40"/>
              <w:spacing w:after="0"/>
              <w:rPr>
                <w:sz w:val="20"/>
                <w:szCs w:val="20"/>
                <w:color w:val="auto"/>
              </w:rPr>
            </w:pPr>
            <w:r>
              <w:rPr>
                <w:rFonts w:ascii="Arial" w:cs="Arial" w:eastAsia="Arial" w:hAnsi="Arial"/>
                <w:sz w:val="18"/>
                <w:szCs w:val="18"/>
                <w:color w:val="0000FF"/>
              </w:rPr>
              <w:t>21.8</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985.2</w:t>
            </w:r>
          </w:p>
        </w:tc>
        <w:tc>
          <w:tcPr>
            <w:tcW w:w="13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21.8</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11,716 shares of Common Stock of the Issuer, including 21.8 shares of Common Stock of the Issuer indirectly beneficially owned by Mr. Kirshenbaum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66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Kirshenbaum pursuant to the authorization and designation letter dated November 17, 2011, which was previously filed with the Securities and Exchange Commission as an exhibit to a Form 3 filed by Mr. Kirshenbaum on November 18, 2011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02/03/2012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Kirshenbaum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196"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2019-12-17T04:29:27Z</dcterms:created>
  <dcterms:modified xsi:type="dcterms:W3CDTF">2019-12-17T04:29:27Z</dcterms:modified>
</cp:coreProperties>
</file>