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tbl>
      <w:tblPr>
        <w:tblLayout w:type="fixed"/>
        <w:tblInd w:w="1740" w:type="dxa"/>
        <w:tblCellMar>
          <w:top w:w="0" w:type="dxa"/>
          <w:left w:w="0" w:type="dxa"/>
          <w:bottom w:w="0" w:type="dxa"/>
          <w:right w:w="0" w:type="dxa"/>
        </w:tblCellMar>
      </w:tblP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7"/>
              </w:rPr>
              <w:t>Richard Essex</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7"/>
              </w:rPr>
              <w:t>John Kelley</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USS Ltd.</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8"/>
              </w:rPr>
              <w:t>c/o Proskauer Rose LLP</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8"/>
              </w:rPr>
              <w:t>60 Threadneedle Street, Floor 6</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9"/>
              </w:rPr>
              <w:t>One International Place, 22</w:t>
            </w:r>
            <w:r>
              <w:rPr>
                <w:rFonts w:ascii="Arial" w:cs="Arial" w:eastAsia="Arial" w:hAnsi="Arial"/>
                <w:sz w:val="11"/>
                <w:szCs w:val="11"/>
                <w:b w:val="1"/>
                <w:bCs w:val="1"/>
                <w:color w:val="auto"/>
                <w:w w:val="89"/>
              </w:rPr>
              <w:t>nd</w:t>
            </w:r>
            <w:r>
              <w:rPr>
                <w:rFonts w:ascii="Arial" w:cs="Arial" w:eastAsia="Arial" w:hAnsi="Arial"/>
                <w:sz w:val="18"/>
                <w:szCs w:val="18"/>
                <w:b w:val="1"/>
                <w:bCs w:val="1"/>
                <w:color w:val="auto"/>
                <w:w w:val="89"/>
              </w:rPr>
              <w:t xml:space="preserve"> Floor</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3"/>
              </w:rPr>
              <w:t>London EC2R 8HP</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7"/>
              </w:rPr>
              <w:t>Boston, MA 02110</w:t>
            </w:r>
          </w:p>
        </w:tc>
      </w:tr>
      <w:tr>
        <w:trPr>
          <w:trHeight w:val="216"/>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90"/>
              </w:rPr>
              <w:t>England</w:t>
            </w:r>
          </w:p>
        </w:tc>
        <w:tc>
          <w:tcPr>
            <w:tcW w:w="4300" w:type="dxa"/>
            <w:vAlign w:val="bottom"/>
          </w:tcPr>
          <w:p>
            <w:pPr>
              <w:jc w:val="center"/>
              <w:ind w:left="1572"/>
              <w:spacing w:after="0"/>
              <w:rPr>
                <w:sz w:val="20"/>
                <w:szCs w:val="20"/>
                <w:color w:val="auto"/>
              </w:rPr>
            </w:pPr>
            <w:r>
              <w:rPr>
                <w:rFonts w:ascii="Arial" w:cs="Arial" w:eastAsia="Arial" w:hAnsi="Arial"/>
                <w:sz w:val="18"/>
                <w:szCs w:val="18"/>
                <w:b w:val="1"/>
                <w:bCs w:val="1"/>
                <w:color w:val="auto"/>
                <w:w w:val="87"/>
              </w:rPr>
              <w:t>(617) 526-9411</w:t>
            </w:r>
          </w:p>
        </w:tc>
      </w:tr>
      <w:tr>
        <w:trPr>
          <w:trHeight w:val="228"/>
        </w:trPr>
        <w:tc>
          <w:tcPr>
            <w:tcW w:w="4020" w:type="dxa"/>
            <w:vAlign w:val="bottom"/>
          </w:tcPr>
          <w:p>
            <w:pPr>
              <w:jc w:val="center"/>
              <w:ind w:right="1572"/>
              <w:spacing w:after="0"/>
              <w:rPr>
                <w:sz w:val="20"/>
                <w:szCs w:val="20"/>
                <w:color w:val="auto"/>
              </w:rPr>
            </w:pPr>
            <w:r>
              <w:rPr>
                <w:rFonts w:ascii="Arial" w:cs="Arial" w:eastAsia="Arial" w:hAnsi="Arial"/>
                <w:sz w:val="18"/>
                <w:szCs w:val="18"/>
                <w:b w:val="1"/>
                <w:bCs w:val="1"/>
                <w:color w:val="auto"/>
                <w:w w:val="88"/>
              </w:rPr>
              <w:t>+44 (0) 20 7972 6470</w:t>
            </w:r>
          </w:p>
        </w:tc>
        <w:tc>
          <w:tcPr>
            <w:tcW w:w="4300" w:type="dxa"/>
            <w:vAlign w:val="bottom"/>
          </w:tcPr>
          <w:p>
            <w:pPr>
              <w:spacing w:after="0"/>
              <w:rPr>
                <w:sz w:val="19"/>
                <w:szCs w:val="19"/>
                <w:color w:val="auto"/>
              </w:rPr>
            </w:pPr>
          </w:p>
        </w:tc>
      </w:tr>
    </w:tbl>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10,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left="22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2" w:lineRule="exact"/>
        <w:rPr>
          <w:sz w:val="24"/>
          <w:szCs w:val="24"/>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14" w:right="319" w:bottom="1440" w:gutter="0" w:footer="0" w:header="0"/>
        </w:sectPr>
      </w:pPr>
    </w:p>
    <w:bookmarkStart w:id="1" w:name="page2"/>
    <w:bookmarkEnd w:id="1"/>
    <w:p>
      <w:pPr>
        <w:ind w:left="660" w:hanging="56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29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329045"/>
                    </a:xfrm>
                    <a:prstGeom prst="rect">
                      <a:avLst/>
                    </a:prstGeom>
                    <a:noFill/>
                  </pic:spPr>
                </pic:pic>
              </a:graphicData>
            </a:graphic>
          </wp:anchor>
        </w:drawing>
        <w:t>NAMES OF REPORTING PERSONS.</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2" w:lineRule="exact"/>
        <w:rPr>
          <w:sz w:val="20"/>
          <w:szCs w:val="20"/>
          <w:color w:val="auto"/>
        </w:rPr>
      </w:pPr>
    </w:p>
    <w:p>
      <w:pPr>
        <w:ind w:left="660" w:right="2320"/>
        <w:spacing w:after="0" w:line="249" w:lineRule="auto"/>
        <w:rPr>
          <w:sz w:val="20"/>
          <w:szCs w:val="20"/>
          <w:color w:val="auto"/>
        </w:rPr>
      </w:pPr>
      <w:r>
        <w:rPr>
          <w:rFonts w:ascii="Arial" w:cs="Arial" w:eastAsia="Arial" w:hAnsi="Arial"/>
          <w:sz w:val="22"/>
          <w:szCs w:val="22"/>
          <w:color w:val="auto"/>
        </w:rPr>
        <w:t>Universities Superannuation Scheme Limited as trustee for Universities Superannuation Scheme 98-0076631</w:t>
      </w:r>
    </w:p>
    <w:p>
      <w:pPr>
        <w:spacing w:after="0" w:line="1" w:lineRule="exact"/>
        <w:rPr>
          <w:sz w:val="20"/>
          <w:szCs w:val="20"/>
          <w:color w:val="auto"/>
        </w:rPr>
      </w:pPr>
    </w:p>
    <w:p>
      <w:pPr>
        <w:ind w:left="660" w:hanging="56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178" w:lineRule="exact"/>
        <w:rPr>
          <w:sz w:val="20"/>
          <w:szCs w:val="20"/>
          <w:color w:val="auto"/>
        </w:rPr>
      </w:pPr>
    </w:p>
    <w:p>
      <w:pPr>
        <w:ind w:left="660" w:hanging="56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660" w:hanging="56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OO</w:t>
      </w:r>
    </w:p>
    <w:p>
      <w:pPr>
        <w:spacing w:after="0" w:line="30" w:lineRule="exact"/>
        <w:rPr>
          <w:sz w:val="20"/>
          <w:szCs w:val="20"/>
          <w:color w:val="auto"/>
        </w:rPr>
      </w:pPr>
    </w:p>
    <w:p>
      <w:pPr>
        <w:ind w:left="660" w:hanging="56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2"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117" w:lineRule="exact"/>
        <w:rPr>
          <w:sz w:val="20"/>
          <w:szCs w:val="20"/>
          <w:color w:val="auto"/>
        </w:rPr>
      </w:pPr>
    </w:p>
    <w:p>
      <w:pPr>
        <w:ind w:left="660" w:hanging="56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United Kingdom</w:t>
      </w:r>
    </w:p>
    <w:p>
      <w:pPr>
        <w:spacing w:after="0" w:line="30" w:lineRule="exact"/>
        <w:rPr>
          <w:sz w:val="20"/>
          <w:szCs w:val="20"/>
          <w:color w:val="auto"/>
        </w:rPr>
      </w:pPr>
    </w:p>
    <w:p>
      <w:pPr>
        <w:ind w:left="1480"/>
        <w:spacing w:after="0"/>
        <w:tabs>
          <w:tab w:leader="none" w:pos="17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NUMBER OF</w:t>
            </w:r>
          </w:p>
        </w:tc>
        <w:tc>
          <w:tcPr>
            <w:tcW w:w="300" w:type="dxa"/>
            <w:vAlign w:val="bottom"/>
          </w:tcPr>
          <w:p>
            <w:pPr>
              <w:spacing w:after="0"/>
              <w:rPr>
                <w:sz w:val="21"/>
                <w:szCs w:val="21"/>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49,861 shares</w:t>
            </w:r>
          </w:p>
        </w:tc>
        <w:tc>
          <w:tcPr>
            <w:tcW w:w="0" w:type="dxa"/>
            <w:vAlign w:val="bottom"/>
          </w:tcPr>
          <w:p>
            <w:pPr>
              <w:spacing w:after="0"/>
              <w:rPr>
                <w:sz w:val="1"/>
                <w:szCs w:val="1"/>
                <w:color w:val="auto"/>
              </w:rPr>
            </w:pPr>
          </w:p>
        </w:tc>
      </w:tr>
      <w:tr>
        <w:trPr>
          <w:trHeight w:val="55"/>
        </w:trPr>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SHARES</w:t>
            </w: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360" w:type="dxa"/>
            <w:vAlign w:val="bottom"/>
            <w:gridSpan w:val="2"/>
          </w:tcPr>
          <w:p>
            <w:pPr>
              <w:jc w:val="center"/>
              <w:ind w:right="20"/>
              <w:spacing w:after="0" w:line="201" w:lineRule="exact"/>
              <w:rPr>
                <w:sz w:val="20"/>
                <w:szCs w:val="20"/>
                <w:color w:val="auto"/>
              </w:rPr>
            </w:pPr>
            <w:r>
              <w:rPr>
                <w:rFonts w:ascii="Arial" w:cs="Arial" w:eastAsia="Arial" w:hAnsi="Arial"/>
                <w:sz w:val="18"/>
                <w:szCs w:val="18"/>
                <w:b w:val="1"/>
                <w:bCs w:val="1"/>
                <w:color w:val="auto"/>
              </w:rPr>
              <w:t>BENEFICIALLY</w:t>
            </w:r>
          </w:p>
        </w:tc>
        <w:tc>
          <w:tcPr>
            <w:tcW w:w="300" w:type="dxa"/>
            <w:vAlign w:val="bottom"/>
          </w:tcPr>
          <w:p>
            <w:pPr>
              <w:spacing w:after="0"/>
              <w:rPr>
                <w:sz w:val="17"/>
                <w:szCs w:val="17"/>
                <w:color w:val="auto"/>
              </w:rPr>
            </w:pPr>
          </w:p>
        </w:tc>
        <w:tc>
          <w:tcPr>
            <w:tcW w:w="9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6"/>
              </w:rPr>
              <w:t>OWNED BY</w:t>
            </w:r>
          </w:p>
        </w:tc>
        <w:tc>
          <w:tcPr>
            <w:tcW w:w="300" w:type="dxa"/>
            <w:vAlign w:val="bottom"/>
          </w:tcPr>
          <w:p>
            <w:pPr>
              <w:spacing w:after="0"/>
              <w:rPr>
                <w:sz w:val="21"/>
                <w:szCs w:val="21"/>
                <w:color w:val="auto"/>
              </w:rPr>
            </w:pPr>
          </w:p>
        </w:tc>
        <w:tc>
          <w:tcPr>
            <w:tcW w:w="9660" w:type="dxa"/>
            <w:vAlign w:val="bottom"/>
          </w:tcPr>
          <w:p>
            <w:pPr>
              <w:ind w:left="80"/>
              <w:spacing w:after="0" w:line="244" w:lineRule="exact"/>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line="189" w:lineRule="exact"/>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3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5"/>
        </w:trPr>
        <w:tc>
          <w:tcPr>
            <w:tcW w:w="136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9"/>
              </w:rPr>
              <w:t>REPORTING</w:t>
            </w:r>
          </w:p>
        </w:tc>
        <w:tc>
          <w:tcPr>
            <w:tcW w:w="300" w:type="dxa"/>
            <w:vAlign w:val="bottom"/>
            <w:vMerge w:val="continue"/>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3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9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PERSON</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49,861 shares</w:t>
            </w:r>
          </w:p>
        </w:tc>
        <w:tc>
          <w:tcPr>
            <w:tcW w:w="0" w:type="dxa"/>
            <w:vAlign w:val="bottom"/>
          </w:tcPr>
          <w:p>
            <w:pPr>
              <w:spacing w:after="0"/>
              <w:rPr>
                <w:sz w:val="1"/>
                <w:szCs w:val="1"/>
                <w:color w:val="auto"/>
              </w:rPr>
            </w:pPr>
          </w:p>
        </w:tc>
      </w:tr>
      <w:tr>
        <w:trPr>
          <w:trHeight w:val="134"/>
        </w:trPr>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10</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9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0 shares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AGGREGATE AMOUNT BENEFICIALLY OWNED BY EACH REPORTING PERSON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49,861 shares</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(SEE INSTRUCTIONS)</w:t>
      </w:r>
    </w:p>
    <w:p>
      <w:pPr>
        <w:spacing w:after="0" w:line="172" w:lineRule="exact"/>
        <w:rPr>
          <w:sz w:val="20"/>
          <w:szCs w:val="20"/>
          <w:color w:val="auto"/>
        </w:rPr>
      </w:pPr>
    </w:p>
    <w:p>
      <w:pPr>
        <w:ind w:left="660"/>
        <w:spacing w:after="0" w:line="221" w:lineRule="exact"/>
        <w:rPr>
          <w:sz w:val="20"/>
          <w:szCs w:val="20"/>
          <w:color w:val="auto"/>
        </w:rPr>
      </w:pPr>
      <w:r>
        <w:rPr>
          <w:rFonts w:ascii="MS PGothic" w:cs="MS PGothic" w:eastAsia="MS PGothic" w:hAnsi="MS PGothic"/>
          <w:sz w:val="22"/>
          <w:szCs w:val="22"/>
          <w:color w:val="auto"/>
        </w:rPr>
        <w:t>☐</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PERCENT OF CLASS REPRESENTED BY AMOUNT IN ROW (11)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10.53%</w:t>
      </w:r>
    </w:p>
    <w:p>
      <w:pPr>
        <w:spacing w:after="0" w:line="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TYPE OF REPORTING PERSON (SEE INSTRUCTIONS)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320"/>
          </w:cols>
          <w:pgMar w:left="360" w:top="293" w:right="219" w:bottom="1440" w:gutter="0" w:footer="0" w:header="0"/>
        </w:sectPr>
      </w:pPr>
    </w:p>
    <w:bookmarkStart w:id="2" w:name="page3"/>
    <w:bookmarkEnd w:id="2"/>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7 (this “Amendment”) amends and restates Items 3 and 5(a) of the Schedule 13D filed on June 27, 2011 (the “Original Schedule 13D”), as amended by Amendment No. 1 to the Original Schedule 13D filed on August 5, 2011 (“Amendment No. 1”), Amendment No. 2 to the Original Schedule 13D filed on December 20, 2011 (“Amendment No. 2”), Amendment No. 3 to the Original Schedule 13D filed on February 10, 2012 (“Amendment No. 3”), Amendment No. 4 to the Original Schedule 13D filed on March 28, 2012 (“Amendment No. 4”), Amendment No. 5 to the Original Schedule 13D filed on May 16, 2012 (“Amendment No. 5”) and Amendment No. 6 to the Original Schedule 13D filed on June 22, 2012 (“Amendment No. 6” and, together with Amendment No. 1, Amendment No. 2, Amendment No. 3, Amendment No. 4 and Amendment No. 5, the Original Schedule 13D and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Amendment No. 1 or Amendment No. 2 or Amendment No. 3 or Amendment No. 4 or Amendment No. 5 or Amendment No. 6. Capitalized terms used in this Amendment and not otherwise defined herein shall have the same meanings ascribed to them in the Original Schedule 13D.</w:t>
      </w:r>
    </w:p>
    <w:p>
      <w:pPr>
        <w:spacing w:after="0" w:line="24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Source and Amount of Funds or Other Consideration</w:t>
      </w:r>
      <w:r>
        <w:rPr>
          <w:rFonts w:ascii="Arial" w:cs="Arial" w:eastAsia="Arial" w:hAnsi="Arial"/>
          <w:sz w:val="15"/>
          <w:szCs w:val="15"/>
          <w:color w:val="auto"/>
        </w:rPr>
        <w: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This Amendment amends and restates Item 3 of the Original Schedule 13D, as amended by Amendment No. 1 and Amendment No. 2 and Amendment No. 3 and Amendment No. 4 and Amendment No. 5 and Amendment No. 6, in its entirety as set forth below:</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 shares pursuant to a private offering (“Private Offering”). Pursuant to a privately-negotiated subscription agreement between the Issuer and the Reporting Person (the “Subscription Agreement”) dated as of April 15, 2011 (the “Initial Closing Date”), the Reporting Person made a capital commitment of $150,000,000 (the “Commitment”) to purchase shares of the Issuer’s Common Stock in the Private Offering. Pursuant to the Subscription Agreement, the Reporting Person is required to make capital contributions, in an aggregate amount not to exceed the Commitment, to purchase shares of Common Stock each time the Issuer delivers a drawdown notice, which will be delivered at least 10 business days prior to the required funding date. Additionally, at all times prior to the occurrence of a Qualified IPO (as defined below), the Issuer will reinvest all cash dividends declared by the Issuer’s Board of Directors (the “Board”) on behalf of the Reporting Person unless the Reporting Person elects to receive its dividends in cash, crediting to the Reporting Person a number of shares of Common Stock equal to cash value of the dividend payable to the Reporting Person. Upon the earlier to occur of an initial public offering of Common Stock that results in an unaffiliated public float of at least $75 million (a “Qualified IPO”), and the fourth anniversary of the Initial Closing Date, the Reporting Person will be released from any further obligation to purchase additional shares, subject to certain exceptions contained in the Subscription Agreement.</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of Common Stock at a price of $1,000 per share on June 30, 2011.</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Issuer delivered a drawdown notice on August 1, 2011, and upon receiving the drawdown notice, the Reporting Person became obligated to make a capital contribution of $11,986,675 (the “August 1, 2011 Purchase Price”) to purchase 12,480 shares of Common Stock at a price of $960.47 per share.</w:t>
      </w:r>
    </w:p>
    <w:p>
      <w:pPr>
        <w:sectPr>
          <w:pgSz w:w="11900" w:h="16838" w:orient="portrait"/>
          <w:cols w:equalWidth="0" w:num="1">
            <w:col w:w="11380"/>
          </w:cols>
          <w:pgMar w:left="240" w:top="280" w:right="279" w:bottom="1440" w:gutter="0" w:footer="0" w:header="0"/>
        </w:sectPr>
      </w:pPr>
    </w:p>
    <w:bookmarkStart w:id="3" w:name="page4"/>
    <w:bookmarkEnd w:id="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December 15, 2011 and such new investors were obligated to purchase shares of Common Stock. The Reporting Person was not required to make any contributions on December 15, 2011 and did not purchase any additional shares, however, the Reporting Person’s percentage ownership in the Issuer was diluted.</w:t>
      </w:r>
    </w:p>
    <w:p>
      <w:pPr>
        <w:spacing w:after="0" w:line="14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Issuer delivered a drawdown notice on December 16, 2011, and upon receiving the drawdown notice, the Reporting Person became obligated to make a capital contribution of $1,547,989 (the “December 16, 2011 Purchase Price”) to purchase 1,578 shares of Common Stock at a price of $980.98 per share.</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December 16, 2011 Purchase Price. No part of the December 16, 2011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February 1, 2012 and such new investors were obligated to purchase shares of Common Stock. The Reporting Person was not required to make any contributions on February 1, 2012 and did not purchase any additional shares, however, the Reporting Person’s percentage ownership in the Issuer was diluted.</w:t>
      </w:r>
    </w:p>
    <w:p>
      <w:pPr>
        <w:spacing w:after="0" w:line="140"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The Issuer delivered a drawdown notice on February 2, 2012, and upon receiving the drawdown notice, the Reporting Person became obligated to make a capital contribution of $4,179,091 (the “February 1, 2012 Purchase Price”) to purchase 4,242 shares of Common Stock at a price of $985.17 per share.</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February 1, 2012 Purchase Price. No part of the February 1,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The Issuer delivered a drawdown notice on March 16, 2012, and upon receiving the drawdown notice, the Reporting Person became obligated to make a capital contribution of $8,955,194 (the “March 16, 2012 Purchase Price”) to purchase 9,092 shares of Common Stock at a price of $984.95 per share.</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March 16, 2012 Purchase Price. No part of the March 16, 2012 Purchase Price paid or amount subscribed by the Reporting Person was represented by funds or other consideration borrowed or otherwise obtained for the purpose of acquiring, holding, trading or voting the Shares.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Issuer delivered drawdown notices to new investors on May 16, 2012 and such new investors were obligated to purchase shares of Common Stock. The Reporting Person was not required to make any contributions on May 16, 2012 and did not purchase any additional shares, however, the Reporting Person’s percentage ownership in the Issuer was diluted.</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Issuer delivered a drawdown notice on June 18, 2012, and upon receiving the drawdown notice, the Reporting Person became obligated to make a capital contribution of $3,993,408 (the “June 18, 2012 Purchase Price”) to purchase 3,971 shares of Common Stock at a price of $1,005.64 per share on June 18, 2012.</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June 18, 2012 Purchase Price. No part of the June 18, 2012 Purchase Price paid or amount subscribed by the Reporting Person was represented by funds or other consideration borrowed or otherwise obtained for the purpose of acquiring, holding, trading or voting the Shares.</w:t>
      </w:r>
    </w:p>
    <w:p>
      <w:pPr>
        <w:sectPr>
          <w:pgSz w:w="11900" w:h="16838" w:orient="portrait"/>
          <w:cols w:equalWidth="0" w:num="1">
            <w:col w:w="11400"/>
          </w:cols>
          <w:pgMar w:left="240" w:top="280" w:right="259" w:bottom="1440" w:gutter="0" w:footer="0" w:header="0"/>
        </w:sectPr>
      </w:pPr>
    </w:p>
    <w:bookmarkStart w:id="4" w:name="page5"/>
    <w:bookmarkEnd w:id="4"/>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delivered a drawdown notice on December 10, 2012, and upon receiving the drawdown notice, the Reporting Person became obligated to make a capital contribution of $10,691,580 (the “December 10, 2012 Purchase Price”) to purchase 10,604 shares of Common Stock at a price of $1,008.26 per share on December 10, 2012.</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December 10, 2012 Purchase Price. No part of the December 10, 2012 Purchase Price paid or amount subscribed by the Reporting Person was represented by funds or other consideration borrowed or otherwise obtained for the purpose of acquiring, holding, trading or voting the Shares.</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Interest in Securities of the Issuer</w:t>
      </w:r>
      <w:r>
        <w:rPr>
          <w:rFonts w:ascii="Arial" w:cs="Arial" w:eastAsia="Arial" w:hAnsi="Arial"/>
          <w:sz w:val="15"/>
          <w:szCs w:val="15"/>
          <w:color w:val="auto"/>
        </w:rPr>
        <w: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Amendment amends and restates Item 5(a) of the Original Schedule 13D, as amended by Amendment No. 1 and Amendment No. 2 and Amendment No. 3 and Amendment No. 4 and Amendment No. 5 and Amendment No. 6, in its entirety as set forth below:</w:t>
      </w:r>
    </w:p>
    <w:p>
      <w:pPr>
        <w:spacing w:after="0" w:line="51" w:lineRule="exact"/>
        <w:rPr>
          <w:sz w:val="20"/>
          <w:szCs w:val="20"/>
          <w:color w:val="auto"/>
        </w:rPr>
      </w:pPr>
    </w:p>
    <w:p>
      <w:pPr>
        <w:ind w:left="900" w:right="2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10, 2012, the aggregate number of shares of Common Stock beneficially owned by the Reporting Person was 49,861, representing 10.53% of the issued and outstanding shares of Common Stock, which is calculated based on information provided to the Reporting Person by the Issuer.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See Line 13 of the cover sheets.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Reporting Persons disclaims beneficial ownership of the Shares except to the extent of its pecuniary interest therein, if any.</w:t>
      </w:r>
    </w:p>
    <w:p>
      <w:pPr>
        <w:sectPr>
          <w:pgSz w:w="11900" w:h="16838" w:orient="portrait"/>
          <w:cols w:equalWidth="0" w:num="1">
            <w:col w:w="11360"/>
          </w:cols>
          <w:pgMar w:left="240" w:top="280" w:right="299" w:bottom="1440" w:gutter="0" w:footer="0" w:header="0"/>
        </w:sectPr>
      </w:pPr>
    </w:p>
    <w:bookmarkStart w:id="5" w:name="page6"/>
    <w:bookmarkEnd w:id="5"/>
    <w:p>
      <w:pPr>
        <w:jc w:val="center"/>
        <w:ind w:right="-6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Mike Powell</w:t>
            </w:r>
          </w:p>
        </w:tc>
      </w:tr>
      <w:tr>
        <w:trPr>
          <w:trHeight w:val="203"/>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Mike Powell</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Head of Alternative Investments</w:t>
            </w: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5"/>
      <w:numFmt w:val="bullet"/>
      <w:start w:val="1"/>
    </w:lvl>
  </w:abstractNum>
  <w:abstractNum w:abstractNumId="6">
    <w:nsid w:val="79E2A9E3"/>
    <w:multiLevelType w:val="hybridMultilevel"/>
    <w:lvl w:ilvl="0">
      <w:lvlJc w:val="left"/>
      <w:lvlText w:val="6"/>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2019-12-09T20:23:53Z</dcterms:created>
  <dcterms:modified xsi:type="dcterms:W3CDTF">2019-12-09T20:23:53Z</dcterms:modified>
</cp:coreProperties>
</file>