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158750</wp:posOffset>
            </wp:positionV>
            <wp:extent cx="16725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3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165100</wp:posOffset>
            </wp:positionV>
            <wp:extent cx="16725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July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151130</wp:posOffset>
            </wp:positionV>
            <wp:extent cx="16725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2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TPG Specialty Lending,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167640</wp:posOffset>
            </wp:positionV>
            <wp:extent cx="16725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330" w:lineRule="exact"/>
        <w:rPr>
          <w:sz w:val="24"/>
          <w:szCs w:val="24"/>
          <w:color w:val="auto"/>
        </w:rPr>
      </w:pPr>
    </w:p>
    <w:tbl>
      <w:tblPr>
        <w:tblLayout w:type="fixed"/>
        <w:tblInd w:w="680" w:type="dxa"/>
        <w:tblCellMar>
          <w:top w:w="0" w:type="dxa"/>
          <w:left w:w="0" w:type="dxa"/>
          <w:bottom w:w="0" w:type="dxa"/>
          <w:right w:w="0" w:type="dxa"/>
        </w:tblCellMar>
      </w:tblPr>
      <w:tr>
        <w:trPr>
          <w:trHeight w:val="214"/>
        </w:trPr>
        <w:tc>
          <w:tcPr>
            <w:tcW w:w="3640" w:type="dxa"/>
            <w:vAlign w:val="bottom"/>
          </w:tcPr>
          <w:p>
            <w:pPr>
              <w:jc w:val="center"/>
              <w:ind w:right="103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320" w:type="dxa"/>
            <w:vAlign w:val="bottom"/>
          </w:tcPr>
          <w:p>
            <w:pPr>
              <w:ind w:left="1140"/>
              <w:spacing w:after="0"/>
              <w:rPr>
                <w:sz w:val="20"/>
                <w:szCs w:val="20"/>
                <w:color w:val="auto"/>
              </w:rPr>
            </w:pPr>
            <w:r>
              <w:rPr>
                <w:rFonts w:ascii="Times New Roman" w:cs="Times New Roman" w:eastAsia="Times New Roman" w:hAnsi="Times New Roman"/>
                <w:sz w:val="18"/>
                <w:szCs w:val="18"/>
                <w:b w:val="1"/>
                <w:bCs w:val="1"/>
                <w:color w:val="auto"/>
              </w:rPr>
              <w:t>001-36364</w:t>
            </w:r>
          </w:p>
        </w:tc>
        <w:tc>
          <w:tcPr>
            <w:tcW w:w="252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27-3380000</w:t>
            </w:r>
          </w:p>
        </w:tc>
      </w:tr>
      <w:tr>
        <w:trPr>
          <w:trHeight w:val="149"/>
        </w:trPr>
        <w:tc>
          <w:tcPr>
            <w:tcW w:w="3640" w:type="dxa"/>
            <w:vAlign w:val="bottom"/>
          </w:tcPr>
          <w:p>
            <w:pPr>
              <w:jc w:val="center"/>
              <w:ind w:right="10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320" w:type="dxa"/>
            <w:vAlign w:val="bottom"/>
          </w:tcPr>
          <w:p>
            <w:pPr>
              <w:ind w:left="112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520" w:type="dxa"/>
            <w:vAlign w:val="bottom"/>
          </w:tcPr>
          <w:p>
            <w:pPr>
              <w:jc w:val="center"/>
              <w:ind w:left="132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640" w:type="dxa"/>
            <w:vAlign w:val="bottom"/>
          </w:tcPr>
          <w:p>
            <w:pPr>
              <w:jc w:val="center"/>
              <w:ind w:right="101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320" w:type="dxa"/>
            <w:vAlign w:val="bottom"/>
          </w:tcPr>
          <w:p>
            <w:pPr>
              <w:ind w:left="11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520" w:type="dxa"/>
            <w:vAlign w:val="bottom"/>
          </w:tcPr>
          <w:p>
            <w:pPr>
              <w:jc w:val="center"/>
              <w:ind w:left="132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93"/>
        </w:trPr>
        <w:tc>
          <w:tcPr>
            <w:tcW w:w="3640" w:type="dxa"/>
            <w:vAlign w:val="bottom"/>
          </w:tcPr>
          <w:p>
            <w:pPr>
              <w:jc w:val="center"/>
              <w:ind w:right="1019"/>
              <w:spacing w:after="0"/>
              <w:rPr>
                <w:sz w:val="20"/>
                <w:szCs w:val="20"/>
                <w:color w:val="auto"/>
              </w:rPr>
            </w:pPr>
            <w:r>
              <w:rPr>
                <w:rFonts w:ascii="Times New Roman" w:cs="Times New Roman" w:eastAsia="Times New Roman" w:hAnsi="Times New Roman"/>
                <w:sz w:val="18"/>
                <w:szCs w:val="18"/>
                <w:b w:val="1"/>
                <w:bCs w:val="1"/>
                <w:color w:val="auto"/>
                <w:w w:val="99"/>
              </w:rPr>
              <w:t>301 Commerce Street, Suite 3300</w:t>
            </w:r>
          </w:p>
        </w:tc>
        <w:tc>
          <w:tcPr>
            <w:tcW w:w="332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14"/>
        </w:trPr>
        <w:tc>
          <w:tcPr>
            <w:tcW w:w="3640" w:type="dxa"/>
            <w:vAlign w:val="bottom"/>
          </w:tcPr>
          <w:p>
            <w:pPr>
              <w:jc w:val="center"/>
              <w:ind w:right="1019"/>
              <w:spacing w:after="0"/>
              <w:rPr>
                <w:sz w:val="20"/>
                <w:szCs w:val="20"/>
                <w:color w:val="auto"/>
              </w:rPr>
            </w:pPr>
            <w:r>
              <w:rPr>
                <w:rFonts w:ascii="Times New Roman" w:cs="Times New Roman" w:eastAsia="Times New Roman" w:hAnsi="Times New Roman"/>
                <w:sz w:val="18"/>
                <w:szCs w:val="18"/>
                <w:b w:val="1"/>
                <w:bCs w:val="1"/>
                <w:color w:val="auto"/>
                <w:w w:val="98"/>
              </w:rPr>
              <w:t>Fort Worth, TX</w:t>
            </w:r>
          </w:p>
        </w:tc>
        <w:tc>
          <w:tcPr>
            <w:tcW w:w="3320" w:type="dxa"/>
            <w:vAlign w:val="bottom"/>
          </w:tcPr>
          <w:p>
            <w:pPr>
              <w:spacing w:after="0"/>
              <w:rPr>
                <w:sz w:val="18"/>
                <w:szCs w:val="18"/>
                <w:color w:val="auto"/>
              </w:rPr>
            </w:pPr>
          </w:p>
        </w:tc>
        <w:tc>
          <w:tcPr>
            <w:tcW w:w="252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76102</w:t>
            </w:r>
          </w:p>
        </w:tc>
      </w:tr>
      <w:tr>
        <w:trPr>
          <w:trHeight w:val="190"/>
        </w:trPr>
        <w:tc>
          <w:tcPr>
            <w:tcW w:w="3640" w:type="dxa"/>
            <w:vAlign w:val="bottom"/>
          </w:tcPr>
          <w:p>
            <w:pPr>
              <w:jc w:val="center"/>
              <w:ind w:right="10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320" w:type="dxa"/>
            <w:vAlign w:val="bottom"/>
          </w:tcPr>
          <w:p>
            <w:pPr>
              <w:spacing w:after="0"/>
              <w:rPr>
                <w:sz w:val="16"/>
                <w:szCs w:val="16"/>
                <w:color w:val="auto"/>
              </w:rPr>
            </w:pPr>
          </w:p>
        </w:tc>
        <w:tc>
          <w:tcPr>
            <w:tcW w:w="2520" w:type="dxa"/>
            <w:vAlign w:val="bottom"/>
          </w:tcPr>
          <w:p>
            <w:pPr>
              <w:jc w:val="center"/>
              <w:ind w:left="132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(817) 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53975</wp:posOffset>
            </wp:positionV>
            <wp:extent cx="5575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01"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55" w:lineRule="exact"/>
        <w:rPr>
          <w:rFonts w:ascii="MS PGothic" w:cs="MS PGothic" w:eastAsia="MS PGothic" w:hAnsi="MS PGothic"/>
          <w:sz w:val="18"/>
          <w:szCs w:val="18"/>
          <w:color w:val="auto"/>
        </w:rPr>
      </w:pPr>
    </w:p>
    <w:p>
      <w:pPr>
        <w:spacing w:after="0"/>
        <w:rPr>
          <w:rFonts w:ascii="MS PGothic" w:cs="MS PGothic" w:eastAsia="MS PGothic" w:hAnsi="MS PGothic"/>
          <w:sz w:val="18"/>
          <w:szCs w:val="18"/>
          <w:color w:val="auto"/>
        </w:rPr>
      </w:pPr>
      <w:r>
        <w:rPr>
          <w:rFonts w:ascii="Times New Roman" w:cs="Times New Roman" w:eastAsia="Times New Roman" w:hAnsi="Times New Roman"/>
          <w:sz w:val="17"/>
          <w:szCs w:val="17"/>
          <w:b w:val="1"/>
          <w:bCs w:val="1"/>
          <w:color w:val="auto"/>
        </w:rPr>
        <w:t>Securities registered pursuant to Section 12(b) of the Act:</w:t>
      </w:r>
    </w:p>
    <w:p>
      <w:pPr>
        <w:spacing w:after="0" w:line="161" w:lineRule="exact"/>
        <w:rPr>
          <w:sz w:val="24"/>
          <w:szCs w:val="24"/>
          <w:color w:val="auto"/>
        </w:rPr>
      </w:pPr>
    </w:p>
    <w:tbl>
      <w:tblPr>
        <w:tblLayout w:type="fixed"/>
        <w:tblInd w:w="10" w:type="dxa"/>
        <w:tblCellMar>
          <w:top w:w="0" w:type="dxa"/>
          <w:left w:w="0" w:type="dxa"/>
          <w:bottom w:w="0" w:type="dxa"/>
          <w:right w:w="0" w:type="dxa"/>
        </w:tblCellMar>
      </w:tblPr>
      <w:tr>
        <w:trPr>
          <w:trHeight w:val="162"/>
        </w:trPr>
        <w:tc>
          <w:tcPr>
            <w:tcW w:w="38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Title of each class</w:t>
            </w:r>
          </w:p>
        </w:tc>
        <w:tc>
          <w:tcPr>
            <w:tcW w:w="38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Trading Symbol(s)</w:t>
            </w:r>
          </w:p>
        </w:tc>
        <w:tc>
          <w:tcPr>
            <w:tcW w:w="37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Name of each exchange on which registered</w:t>
            </w:r>
          </w:p>
        </w:tc>
      </w:tr>
      <w:tr>
        <w:trPr>
          <w:trHeight w:val="142"/>
        </w:trPr>
        <w:tc>
          <w:tcPr>
            <w:tcW w:w="3840" w:type="dxa"/>
            <w:vAlign w:val="bottom"/>
            <w:tcBorders>
              <w:left w:val="single" w:sz="8" w:color="auto"/>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5"/>
              </w:rPr>
              <w:t>Common Stock, par value $0.01 per share</w:t>
            </w:r>
          </w:p>
        </w:tc>
        <w:tc>
          <w:tcPr>
            <w:tcW w:w="380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8"/>
              </w:rPr>
              <w:t>TSLX</w:t>
            </w:r>
          </w:p>
        </w:tc>
        <w:tc>
          <w:tcPr>
            <w:tcW w:w="378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5"/>
              </w:rPr>
              <w:t>The New York Stock Exchange</w:t>
            </w:r>
          </w:p>
        </w:tc>
      </w:tr>
    </w:tbl>
    <w:p>
      <w:pPr>
        <w:spacing w:after="0" w:line="157" w:lineRule="exact"/>
        <w:rPr>
          <w:sz w:val="24"/>
          <w:szCs w:val="24"/>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6" w:lineRule="exact"/>
        <w:rPr>
          <w:sz w:val="24"/>
          <w:szCs w:val="24"/>
          <w:color w:val="auto"/>
        </w:rPr>
      </w:pPr>
    </w:p>
    <w:p>
      <w:pPr>
        <w:ind w:right="1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275590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2" w:right="2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 Results of Operations and Financial Condition</w:t>
      </w:r>
    </w:p>
    <w:p>
      <w:pPr>
        <w:spacing w:after="0" w:line="12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On July 31, 2019, the registrant issued a press release announcing its financial results for the quarter ended June 30, 2019. The text of the press release is included as Exhibit 99.1 to this Form 8-K.</w:t>
      </w:r>
    </w:p>
    <w:p>
      <w:pPr>
        <w:spacing w:after="0" w:line="162"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information disclosed under this Item 2.02,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 Regulation FD Disclosure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31, 2019, the registrant issued a press release, included herewith as Exhibit 99.1, announcing the declaration of a third quarter 2019 base dividend of $0.39 per share for stockholders of record as of September 13, 2019, payable on October 15, 2019, and a second quarter 2019 supplemental dividend of $0.04 per share for stockholders of record as of August 30, 2019, payable on September 30, 2019.</w:t>
      </w:r>
    </w:p>
    <w:p>
      <w:pPr>
        <w:spacing w:after="0" w:line="176"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information disclosed under this Item 7.01,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4"/>
          <w:szCs w:val="14"/>
          <w:b w:val="1"/>
          <w:bCs w:val="1"/>
          <w:color w:val="auto"/>
        </w:rPr>
        <w:t>Number</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8" w:lineRule="exact"/>
        <w:rPr>
          <w:sz w:val="20"/>
          <w:szCs w:val="20"/>
          <w:color w:val="auto"/>
        </w:rPr>
      </w:pPr>
    </w:p>
    <w:p>
      <w:pPr>
        <w:spacing w:after="0"/>
        <w:tabs>
          <w:tab w:leader="none" w:pos="12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w:anchor="page4">
        <w:r>
          <w:rPr>
            <w:rFonts w:ascii="Times New Roman" w:cs="Times New Roman" w:eastAsia="Times New Roman" w:hAnsi="Times New Roman"/>
            <w:sz w:val="17"/>
            <w:szCs w:val="17"/>
            <w:u w:val="single" w:color="auto"/>
            <w:color w:val="0000EE"/>
          </w:rPr>
          <w:t>Press Release, dated July 31,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17" w:right="2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818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TPG SPECIALTY LENDING, INC.</w:t>
            </w:r>
          </w:p>
        </w:tc>
      </w:tr>
      <w:tr>
        <w:trPr>
          <w:trHeight w:val="234"/>
        </w:trPr>
        <w:tc>
          <w:tcPr>
            <w:tcW w:w="32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8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(Registrant)</w:t>
            </w:r>
          </w:p>
        </w:tc>
      </w:tr>
      <w:tr>
        <w:trPr>
          <w:trHeight w:val="432"/>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Date: July 31, 2019</w:t>
            </w:r>
          </w:p>
        </w:tc>
        <w:tc>
          <w:tcPr>
            <w:tcW w:w="818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By:   /s/ Ian Simmonds</w:t>
            </w:r>
          </w:p>
        </w:tc>
      </w:tr>
      <w:tr>
        <w:trPr>
          <w:trHeight w:val="191"/>
        </w:trPr>
        <w:tc>
          <w:tcPr>
            <w:tcW w:w="32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5860" w:type="dxa"/>
            <w:vAlign w:val="bottom"/>
            <w:tcBorders>
              <w:top w:val="single" w:sz="8" w:color="auto"/>
            </w:tcBorders>
          </w:tcPr>
          <w:p>
            <w:pPr>
              <w:ind w:left="40"/>
              <w:spacing w:after="0" w:line="191" w:lineRule="exact"/>
              <w:rPr>
                <w:sz w:val="20"/>
                <w:szCs w:val="20"/>
                <w:color w:val="auto"/>
              </w:rPr>
            </w:pPr>
            <w:r>
              <w:rPr>
                <w:rFonts w:ascii="Times New Roman" w:cs="Times New Roman" w:eastAsia="Times New Roman" w:hAnsi="Times New Roman"/>
                <w:sz w:val="18"/>
                <w:szCs w:val="18"/>
                <w:color w:val="auto"/>
              </w:rPr>
              <w:t>Ian Simmonds</w:t>
            </w:r>
          </w:p>
        </w:tc>
      </w:tr>
      <w:tr>
        <w:trPr>
          <w:trHeight w:val="234"/>
        </w:trPr>
        <w:tc>
          <w:tcPr>
            <w:tcW w:w="32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420"/>
          </w:cols>
          <w:pgMar w:left="240" w:top="121" w:right="2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782955</wp:posOffset>
            </wp:positionV>
            <wp:extent cx="7246620" cy="4203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4203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157480</wp:posOffset>
            </wp:positionV>
            <wp:extent cx="1132205" cy="4718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3220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5"/>
          <w:szCs w:val="35"/>
          <w:b w:val="1"/>
          <w:bCs w:val="1"/>
          <w:color w:val="FFFFFF"/>
        </w:rPr>
        <w:t>Second Quarter 2019 Earnings Results</w:t>
      </w:r>
    </w:p>
    <w:p>
      <w:pPr>
        <w:sectPr>
          <w:pgSz w:w="11900" w:h="16838" w:orient="portrait"/>
          <w:cols w:equalWidth="0" w:num="1">
            <w:col w:w="11420"/>
          </w:cols>
          <w:pgMar w:left="240" w:top="11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color w:val="auto"/>
        </w:rPr>
        <w:t>TPG Specialty Lending, Inc. Reports Second Quarter Net Investment Income Per Share of $0.47 and NAV Per Share of $16.68; Declares a Second Quarter Supplemental Dividend Per Share of $0.04 and a Third Quarter Base Dividend Per Share of $0.39</w:t>
      </w:r>
    </w:p>
    <w:p>
      <w:pPr>
        <w:spacing w:after="0" w:line="10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NEW YORK—July 31, 2019— TPG Specialty Lending, Inc. (NYSE: TSLX, or the “Company”) today reported net investment income of $31.1 million, or $0.47 per share, and net income of $47.8 million, or $0.72 per share, for the second quarter ended June 30, 2019. Reported net asset value per share was $16.68 at June 30, 2019 as compared to $16.34 at March 31, 2019.</w:t>
      </w:r>
    </w:p>
    <w:p>
      <w:pPr>
        <w:spacing w:after="0" w:line="9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difference between this quarter's net investment income and net income was primarily driven by net unrealized gains specific to individual portfolio companies and net unrealized mark-to-market gains related to our interest rate swaps from a change in the shape of the forward LIBOR curve.</w:t>
      </w:r>
    </w:p>
    <w:p>
      <w:pPr>
        <w:spacing w:after="0" w:line="10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Annualized return on equity (ROE) for the second quarter 2019 was 11.6% and 17.7% on a net investment income and a net income basis, respectively. ROE for the trailing twelve month period ended June 30, 2019 was 12.9% on a net income basis.</w:t>
      </w:r>
    </w:p>
    <w:p>
      <w:pPr>
        <w:spacing w:after="0" w:line="109"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The Company announced that its Board of Directors has declared a third quarter 2019 base dividend of $0.39 per share for stockholders of record as of September 13, 2019, payable on October 15, 2019. The Company’s Board of Directors also declared a second quarter 2019 supplemental dividend of $0.04 per share for stockholders of record as of August 30, 2019, payable on September 30, 2019.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FFFFFF"/>
        </w:rPr>
        <w:t>Net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-166370</wp:posOffset>
            </wp:positionV>
            <wp:extent cx="2169795" cy="6686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69795" cy="668655"/>
                    </a:xfrm>
                    <a:prstGeom prst="rect">
                      <a:avLst/>
                    </a:prstGeom>
                    <a:noFill/>
                  </pic:spPr>
                </pic:pic>
              </a:graphicData>
            </a:graphic>
          </wp:anchor>
        </w:drawing>
      </w:r>
    </w:p>
    <w:p>
      <w:pPr>
        <w:spacing w:after="0" w:line="147" w:lineRule="exact"/>
        <w:rPr>
          <w:sz w:val="20"/>
          <w:szCs w:val="20"/>
          <w:color w:val="auto"/>
        </w:rPr>
      </w:pPr>
    </w:p>
    <w:tbl>
      <w:tblPr>
        <w:tblLayout w:type="fixed"/>
        <w:tblInd w:w="10" w:type="dxa"/>
        <w:tblCellMar>
          <w:top w:w="0" w:type="dxa"/>
          <w:left w:w="0" w:type="dxa"/>
          <w:bottom w:w="0" w:type="dxa"/>
          <w:right w:w="0" w:type="dxa"/>
        </w:tblCellMar>
      </w:tblPr>
      <w:tr>
        <w:trPr>
          <w:trHeight w:val="212"/>
        </w:trPr>
        <w:tc>
          <w:tcPr>
            <w:tcW w:w="30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w w:val="97"/>
              </w:rPr>
              <w:t>Q2</w:t>
            </w:r>
          </w:p>
        </w:tc>
        <w:tc>
          <w:tcPr>
            <w:tcW w:w="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2019</w:t>
            </w:r>
          </w:p>
        </w:tc>
        <w:tc>
          <w:tcPr>
            <w:tcW w:w="19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($MM):</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$31.1</w:t>
            </w:r>
          </w:p>
        </w:tc>
      </w:tr>
      <w:tr>
        <w:trPr>
          <w:trHeight w:val="324"/>
        </w:trPr>
        <w:tc>
          <w:tcPr>
            <w:tcW w:w="30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w w:val="97"/>
              </w:rPr>
              <w:t>Q2</w:t>
            </w:r>
          </w:p>
        </w:tc>
        <w:tc>
          <w:tcPr>
            <w:tcW w:w="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2019</w:t>
            </w:r>
          </w:p>
        </w:tc>
        <w:tc>
          <w:tcPr>
            <w:tcW w:w="19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$0.47</w:t>
            </w:r>
          </w:p>
        </w:tc>
      </w:tr>
      <w:tr>
        <w:trPr>
          <w:trHeight w:val="74"/>
        </w:trPr>
        <w:tc>
          <w:tcPr>
            <w:tcW w:w="300" w:type="dxa"/>
            <w:vAlign w:val="bottom"/>
            <w:tcBorders>
              <w:bottom w:val="single" w:sz="8" w:color="003767"/>
            </w:tcBorders>
          </w:tcPr>
          <w:p>
            <w:pPr>
              <w:spacing w:after="0"/>
              <w:rPr>
                <w:sz w:val="6"/>
                <w:szCs w:val="6"/>
                <w:color w:val="auto"/>
              </w:rPr>
            </w:pPr>
          </w:p>
        </w:tc>
        <w:tc>
          <w:tcPr>
            <w:tcW w:w="380" w:type="dxa"/>
            <w:vAlign w:val="bottom"/>
            <w:tcBorders>
              <w:bottom w:val="single" w:sz="8" w:color="003767"/>
            </w:tcBorders>
          </w:tcPr>
          <w:p>
            <w:pPr>
              <w:spacing w:after="0"/>
              <w:rPr>
                <w:sz w:val="6"/>
                <w:szCs w:val="6"/>
                <w:color w:val="auto"/>
              </w:rPr>
            </w:pPr>
          </w:p>
        </w:tc>
        <w:tc>
          <w:tcPr>
            <w:tcW w:w="380" w:type="dxa"/>
            <w:vAlign w:val="bottom"/>
            <w:tcBorders>
              <w:bottom w:val="single" w:sz="8" w:color="003767"/>
            </w:tcBorders>
          </w:tcPr>
          <w:p>
            <w:pPr>
              <w:spacing w:after="0"/>
              <w:rPr>
                <w:sz w:val="6"/>
                <w:szCs w:val="6"/>
                <w:color w:val="auto"/>
              </w:rPr>
            </w:pPr>
          </w:p>
        </w:tc>
        <w:tc>
          <w:tcPr>
            <w:tcW w:w="1600" w:type="dxa"/>
            <w:vAlign w:val="bottom"/>
            <w:tcBorders>
              <w:bottom w:val="single" w:sz="8" w:color="003767"/>
            </w:tcBorders>
          </w:tcPr>
          <w:p>
            <w:pPr>
              <w:spacing w:after="0"/>
              <w:rPr>
                <w:sz w:val="6"/>
                <w:szCs w:val="6"/>
                <w:color w:val="auto"/>
              </w:rPr>
            </w:pPr>
          </w:p>
        </w:tc>
        <w:tc>
          <w:tcPr>
            <w:tcW w:w="760" w:type="dxa"/>
            <w:vAlign w:val="bottom"/>
            <w:tcBorders>
              <w:bottom w:val="single" w:sz="8" w:color="003767"/>
            </w:tcBorders>
          </w:tcPr>
          <w:p>
            <w:pPr>
              <w:spacing w:after="0"/>
              <w:rPr>
                <w:sz w:val="6"/>
                <w:szCs w:val="6"/>
                <w:color w:val="auto"/>
              </w:rPr>
            </w:pPr>
          </w:p>
        </w:tc>
      </w:tr>
      <w:tr>
        <w:trPr>
          <w:trHeight w:val="210"/>
        </w:trPr>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91"/>
        </w:trPr>
        <w:tc>
          <w:tcPr>
            <w:tcW w:w="300" w:type="dxa"/>
            <w:vAlign w:val="bottom"/>
            <w:tcBorders>
              <w:left w:val="single" w:sz="8" w:color="003767"/>
            </w:tcBorders>
            <w:shd w:val="clear" w:color="auto" w:fill="003767"/>
          </w:tcPr>
          <w:p>
            <w:pPr>
              <w:spacing w:after="0"/>
              <w:rPr>
                <w:sz w:val="24"/>
                <w:szCs w:val="24"/>
                <w:color w:val="auto"/>
              </w:rPr>
            </w:pPr>
          </w:p>
        </w:tc>
        <w:tc>
          <w:tcPr>
            <w:tcW w:w="380" w:type="dxa"/>
            <w:vAlign w:val="bottom"/>
            <w:shd w:val="clear" w:color="auto" w:fill="003767"/>
          </w:tcPr>
          <w:p>
            <w:pPr>
              <w:spacing w:after="0"/>
              <w:rPr>
                <w:sz w:val="24"/>
                <w:szCs w:val="24"/>
                <w:color w:val="auto"/>
              </w:rPr>
            </w:pPr>
          </w:p>
        </w:tc>
        <w:tc>
          <w:tcPr>
            <w:tcW w:w="380" w:type="dxa"/>
            <w:vAlign w:val="bottom"/>
            <w:shd w:val="clear" w:color="auto" w:fill="003767"/>
          </w:tcPr>
          <w:p>
            <w:pPr>
              <w:spacing w:after="0"/>
              <w:rPr>
                <w:sz w:val="24"/>
                <w:szCs w:val="24"/>
                <w:color w:val="auto"/>
              </w:rPr>
            </w:pPr>
          </w:p>
        </w:tc>
        <w:tc>
          <w:tcPr>
            <w:tcW w:w="1600" w:type="dxa"/>
            <w:vAlign w:val="bottom"/>
            <w:shd w:val="clear" w:color="auto" w:fill="003767"/>
          </w:tcPr>
          <w:p>
            <w:pPr>
              <w:jc w:val="center"/>
              <w:ind w:right="219"/>
              <w:spacing w:after="0"/>
              <w:rPr>
                <w:sz w:val="20"/>
                <w:szCs w:val="20"/>
                <w:color w:val="auto"/>
              </w:rPr>
            </w:pPr>
            <w:r>
              <w:rPr>
                <w:rFonts w:ascii="Times New Roman" w:cs="Times New Roman" w:eastAsia="Times New Roman" w:hAnsi="Times New Roman"/>
                <w:sz w:val="16"/>
                <w:szCs w:val="16"/>
                <w:b w:val="1"/>
                <w:bCs w:val="1"/>
                <w:color w:val="FFFFFF"/>
                <w:w w:val="99"/>
              </w:rPr>
              <w:t>Net Income</w:t>
            </w:r>
          </w:p>
        </w:tc>
        <w:tc>
          <w:tcPr>
            <w:tcW w:w="760" w:type="dxa"/>
            <w:vAlign w:val="bottom"/>
            <w:tcBorders>
              <w:right w:val="single" w:sz="8" w:color="003767"/>
            </w:tcBorders>
            <w:shd w:val="clear" w:color="auto" w:fill="003767"/>
          </w:tcPr>
          <w:p>
            <w:pPr>
              <w:spacing w:after="0"/>
              <w:rPr>
                <w:sz w:val="24"/>
                <w:szCs w:val="24"/>
                <w:color w:val="auto"/>
              </w:rPr>
            </w:pPr>
          </w:p>
        </w:tc>
      </w:tr>
      <w:tr>
        <w:trPr>
          <w:trHeight w:val="101"/>
        </w:trPr>
        <w:tc>
          <w:tcPr>
            <w:tcW w:w="300" w:type="dxa"/>
            <w:vAlign w:val="bottom"/>
            <w:tcBorders>
              <w:left w:val="single" w:sz="8" w:color="003767"/>
            </w:tcBorders>
            <w:shd w:val="clear" w:color="auto" w:fill="003767"/>
          </w:tcPr>
          <w:p>
            <w:pPr>
              <w:spacing w:after="0"/>
              <w:rPr>
                <w:sz w:val="8"/>
                <w:szCs w:val="8"/>
                <w:color w:val="auto"/>
              </w:rPr>
            </w:pPr>
          </w:p>
        </w:tc>
        <w:tc>
          <w:tcPr>
            <w:tcW w:w="380" w:type="dxa"/>
            <w:vAlign w:val="bottom"/>
            <w:shd w:val="clear" w:color="auto" w:fill="003767"/>
          </w:tcPr>
          <w:p>
            <w:pPr>
              <w:spacing w:after="0"/>
              <w:rPr>
                <w:sz w:val="8"/>
                <w:szCs w:val="8"/>
                <w:color w:val="auto"/>
              </w:rPr>
            </w:pPr>
          </w:p>
        </w:tc>
        <w:tc>
          <w:tcPr>
            <w:tcW w:w="1980" w:type="dxa"/>
            <w:vAlign w:val="bottom"/>
            <w:gridSpan w:val="2"/>
            <w:shd w:val="clear" w:color="auto" w:fill="003767"/>
          </w:tcPr>
          <w:p>
            <w:pPr>
              <w:spacing w:after="0"/>
              <w:rPr>
                <w:sz w:val="8"/>
                <w:szCs w:val="8"/>
                <w:color w:val="auto"/>
              </w:rPr>
            </w:pPr>
          </w:p>
        </w:tc>
        <w:tc>
          <w:tcPr>
            <w:tcW w:w="760" w:type="dxa"/>
            <w:vAlign w:val="bottom"/>
            <w:tcBorders>
              <w:right w:val="single" w:sz="8" w:color="003767"/>
            </w:tcBorders>
            <w:shd w:val="clear" w:color="auto" w:fill="003767"/>
          </w:tcPr>
          <w:p>
            <w:pPr>
              <w:spacing w:after="0"/>
              <w:rPr>
                <w:sz w:val="8"/>
                <w:szCs w:val="8"/>
                <w:color w:val="auto"/>
              </w:rPr>
            </w:pPr>
          </w:p>
        </w:tc>
      </w:tr>
      <w:tr>
        <w:trPr>
          <w:trHeight w:val="251"/>
        </w:trPr>
        <w:tc>
          <w:tcPr>
            <w:tcW w:w="300" w:type="dxa"/>
            <w:vAlign w:val="bottom"/>
            <w:tcBorders>
              <w:left w:val="single" w:sz="8" w:color="003767"/>
            </w:tcBorders>
          </w:tcPr>
          <w:p>
            <w:pPr>
              <w:ind w:left="80"/>
              <w:spacing w:after="0"/>
              <w:rPr>
                <w:sz w:val="20"/>
                <w:szCs w:val="20"/>
                <w:color w:val="auto"/>
              </w:rPr>
            </w:pPr>
            <w:r>
              <w:rPr>
                <w:rFonts w:ascii="Times New Roman" w:cs="Times New Roman" w:eastAsia="Times New Roman" w:hAnsi="Times New Roman"/>
                <w:sz w:val="16"/>
                <w:szCs w:val="16"/>
                <w:b w:val="1"/>
                <w:bCs w:val="1"/>
                <w:color w:val="auto"/>
                <w:w w:val="97"/>
              </w:rPr>
              <w:t>Q2</w:t>
            </w:r>
          </w:p>
        </w:tc>
        <w:tc>
          <w:tcPr>
            <w:tcW w:w="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2019</w:t>
            </w:r>
          </w:p>
        </w:tc>
        <w:tc>
          <w:tcPr>
            <w:tcW w:w="19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($MM):</w:t>
            </w:r>
          </w:p>
        </w:tc>
        <w:tc>
          <w:tcPr>
            <w:tcW w:w="760" w:type="dxa"/>
            <w:vAlign w:val="bottom"/>
            <w:tcBorders>
              <w:right w:val="single" w:sz="8" w:color="00376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$47.8</w:t>
            </w:r>
          </w:p>
        </w:tc>
      </w:tr>
      <w:tr>
        <w:trPr>
          <w:trHeight w:val="324"/>
        </w:trPr>
        <w:tc>
          <w:tcPr>
            <w:tcW w:w="300" w:type="dxa"/>
            <w:vAlign w:val="bottom"/>
            <w:tcBorders>
              <w:left w:val="single" w:sz="8" w:color="003767"/>
            </w:tcBorders>
          </w:tcPr>
          <w:p>
            <w:pPr>
              <w:ind w:left="80"/>
              <w:spacing w:after="0"/>
              <w:rPr>
                <w:sz w:val="20"/>
                <w:szCs w:val="20"/>
                <w:color w:val="auto"/>
              </w:rPr>
            </w:pPr>
            <w:r>
              <w:rPr>
                <w:rFonts w:ascii="Times New Roman" w:cs="Times New Roman" w:eastAsia="Times New Roman" w:hAnsi="Times New Roman"/>
                <w:sz w:val="16"/>
                <w:szCs w:val="16"/>
                <w:b w:val="1"/>
                <w:bCs w:val="1"/>
                <w:color w:val="auto"/>
                <w:w w:val="97"/>
              </w:rPr>
              <w:t>Q2</w:t>
            </w:r>
          </w:p>
        </w:tc>
        <w:tc>
          <w:tcPr>
            <w:tcW w:w="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2019</w:t>
            </w:r>
          </w:p>
        </w:tc>
        <w:tc>
          <w:tcPr>
            <w:tcW w:w="19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760" w:type="dxa"/>
            <w:vAlign w:val="bottom"/>
            <w:tcBorders>
              <w:right w:val="single" w:sz="8" w:color="00376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$0.72</w:t>
            </w:r>
          </w:p>
        </w:tc>
      </w:tr>
      <w:tr>
        <w:trPr>
          <w:trHeight w:val="74"/>
        </w:trPr>
        <w:tc>
          <w:tcPr>
            <w:tcW w:w="300" w:type="dxa"/>
            <w:vAlign w:val="bottom"/>
            <w:tcBorders>
              <w:left w:val="single" w:sz="8" w:color="003767"/>
              <w:bottom w:val="single" w:sz="8" w:color="003767"/>
            </w:tcBorders>
          </w:tcPr>
          <w:p>
            <w:pPr>
              <w:spacing w:after="0"/>
              <w:rPr>
                <w:sz w:val="6"/>
                <w:szCs w:val="6"/>
                <w:color w:val="auto"/>
              </w:rPr>
            </w:pPr>
          </w:p>
        </w:tc>
        <w:tc>
          <w:tcPr>
            <w:tcW w:w="380" w:type="dxa"/>
            <w:vAlign w:val="bottom"/>
            <w:tcBorders>
              <w:bottom w:val="single" w:sz="8" w:color="003767"/>
            </w:tcBorders>
          </w:tcPr>
          <w:p>
            <w:pPr>
              <w:spacing w:after="0"/>
              <w:rPr>
                <w:sz w:val="6"/>
                <w:szCs w:val="6"/>
                <w:color w:val="auto"/>
              </w:rPr>
            </w:pPr>
          </w:p>
        </w:tc>
        <w:tc>
          <w:tcPr>
            <w:tcW w:w="380" w:type="dxa"/>
            <w:vAlign w:val="bottom"/>
            <w:tcBorders>
              <w:bottom w:val="single" w:sz="8" w:color="003767"/>
            </w:tcBorders>
          </w:tcPr>
          <w:p>
            <w:pPr>
              <w:spacing w:after="0"/>
              <w:rPr>
                <w:sz w:val="6"/>
                <w:szCs w:val="6"/>
                <w:color w:val="auto"/>
              </w:rPr>
            </w:pPr>
          </w:p>
        </w:tc>
        <w:tc>
          <w:tcPr>
            <w:tcW w:w="1600" w:type="dxa"/>
            <w:vAlign w:val="bottom"/>
            <w:tcBorders>
              <w:bottom w:val="single" w:sz="8" w:color="003767"/>
            </w:tcBorders>
          </w:tcPr>
          <w:p>
            <w:pPr>
              <w:spacing w:after="0"/>
              <w:rPr>
                <w:sz w:val="6"/>
                <w:szCs w:val="6"/>
                <w:color w:val="auto"/>
              </w:rPr>
            </w:pPr>
          </w:p>
        </w:tc>
        <w:tc>
          <w:tcPr>
            <w:tcW w:w="760" w:type="dxa"/>
            <w:vAlign w:val="bottom"/>
            <w:tcBorders>
              <w:bottom w:val="single" w:sz="8" w:color="003767"/>
              <w:right w:val="single" w:sz="8" w:color="003767"/>
            </w:tcBorders>
          </w:tcPr>
          <w:p>
            <w:pPr>
              <w:spacing w:after="0"/>
              <w:rPr>
                <w:sz w:val="6"/>
                <w:szCs w:val="6"/>
                <w:color w:val="auto"/>
              </w:rPr>
            </w:pPr>
          </w:p>
        </w:tc>
      </w:tr>
      <w:tr>
        <w:trPr>
          <w:trHeight w:val="210"/>
        </w:trPr>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91"/>
        </w:trPr>
        <w:tc>
          <w:tcPr>
            <w:tcW w:w="300" w:type="dxa"/>
            <w:vAlign w:val="bottom"/>
            <w:tcBorders>
              <w:left w:val="single" w:sz="8" w:color="003767"/>
            </w:tcBorders>
            <w:shd w:val="clear" w:color="auto" w:fill="003767"/>
          </w:tcPr>
          <w:p>
            <w:pPr>
              <w:spacing w:after="0"/>
              <w:rPr>
                <w:sz w:val="24"/>
                <w:szCs w:val="24"/>
                <w:color w:val="auto"/>
              </w:rPr>
            </w:pPr>
          </w:p>
        </w:tc>
        <w:tc>
          <w:tcPr>
            <w:tcW w:w="380" w:type="dxa"/>
            <w:vAlign w:val="bottom"/>
            <w:shd w:val="clear" w:color="auto" w:fill="003767"/>
          </w:tcPr>
          <w:p>
            <w:pPr>
              <w:spacing w:after="0"/>
              <w:rPr>
                <w:sz w:val="24"/>
                <w:szCs w:val="24"/>
                <w:color w:val="auto"/>
              </w:rPr>
            </w:pPr>
          </w:p>
        </w:tc>
        <w:tc>
          <w:tcPr>
            <w:tcW w:w="380" w:type="dxa"/>
            <w:vAlign w:val="bottom"/>
            <w:shd w:val="clear" w:color="auto" w:fill="003767"/>
          </w:tcPr>
          <w:p>
            <w:pPr>
              <w:spacing w:after="0"/>
              <w:rPr>
                <w:sz w:val="24"/>
                <w:szCs w:val="24"/>
                <w:color w:val="auto"/>
              </w:rPr>
            </w:pPr>
          </w:p>
        </w:tc>
        <w:tc>
          <w:tcPr>
            <w:tcW w:w="1600" w:type="dxa"/>
            <w:vAlign w:val="bottom"/>
            <w:shd w:val="clear" w:color="auto" w:fill="003767"/>
          </w:tcPr>
          <w:p>
            <w:pPr>
              <w:jc w:val="center"/>
              <w:ind w:right="219"/>
              <w:spacing w:after="0"/>
              <w:rPr>
                <w:sz w:val="20"/>
                <w:szCs w:val="20"/>
                <w:color w:val="auto"/>
              </w:rPr>
            </w:pPr>
            <w:r>
              <w:rPr>
                <w:rFonts w:ascii="Times New Roman" w:cs="Times New Roman" w:eastAsia="Times New Roman" w:hAnsi="Times New Roman"/>
                <w:sz w:val="16"/>
                <w:szCs w:val="16"/>
                <w:b w:val="1"/>
                <w:bCs w:val="1"/>
                <w:color w:val="FFFFFF"/>
                <w:w w:val="97"/>
              </w:rPr>
              <w:t>NAV</w:t>
            </w:r>
          </w:p>
        </w:tc>
        <w:tc>
          <w:tcPr>
            <w:tcW w:w="760" w:type="dxa"/>
            <w:vAlign w:val="bottom"/>
            <w:tcBorders>
              <w:right w:val="single" w:sz="8" w:color="003767"/>
            </w:tcBorders>
            <w:shd w:val="clear" w:color="auto" w:fill="003767"/>
          </w:tcPr>
          <w:p>
            <w:pPr>
              <w:spacing w:after="0"/>
              <w:rPr>
                <w:sz w:val="24"/>
                <w:szCs w:val="24"/>
                <w:color w:val="auto"/>
              </w:rPr>
            </w:pPr>
          </w:p>
        </w:tc>
      </w:tr>
      <w:tr>
        <w:trPr>
          <w:trHeight w:val="101"/>
        </w:trPr>
        <w:tc>
          <w:tcPr>
            <w:tcW w:w="300" w:type="dxa"/>
            <w:vAlign w:val="bottom"/>
            <w:tcBorders>
              <w:left w:val="single" w:sz="8" w:color="003767"/>
            </w:tcBorders>
            <w:shd w:val="clear" w:color="auto" w:fill="003767"/>
          </w:tcPr>
          <w:p>
            <w:pPr>
              <w:spacing w:after="0"/>
              <w:rPr>
                <w:sz w:val="8"/>
                <w:szCs w:val="8"/>
                <w:color w:val="auto"/>
              </w:rPr>
            </w:pPr>
          </w:p>
        </w:tc>
        <w:tc>
          <w:tcPr>
            <w:tcW w:w="380" w:type="dxa"/>
            <w:vAlign w:val="bottom"/>
            <w:shd w:val="clear" w:color="auto" w:fill="003767"/>
          </w:tcPr>
          <w:p>
            <w:pPr>
              <w:spacing w:after="0"/>
              <w:rPr>
                <w:sz w:val="8"/>
                <w:szCs w:val="8"/>
                <w:color w:val="auto"/>
              </w:rPr>
            </w:pPr>
          </w:p>
        </w:tc>
        <w:tc>
          <w:tcPr>
            <w:tcW w:w="1980" w:type="dxa"/>
            <w:vAlign w:val="bottom"/>
            <w:gridSpan w:val="2"/>
            <w:shd w:val="clear" w:color="auto" w:fill="003767"/>
          </w:tcPr>
          <w:p>
            <w:pPr>
              <w:spacing w:after="0"/>
              <w:rPr>
                <w:sz w:val="8"/>
                <w:szCs w:val="8"/>
                <w:color w:val="auto"/>
              </w:rPr>
            </w:pPr>
          </w:p>
        </w:tc>
        <w:tc>
          <w:tcPr>
            <w:tcW w:w="760" w:type="dxa"/>
            <w:vAlign w:val="bottom"/>
            <w:tcBorders>
              <w:right w:val="single" w:sz="8" w:color="003767"/>
            </w:tcBorders>
            <w:shd w:val="clear" w:color="auto" w:fill="003767"/>
          </w:tcPr>
          <w:p>
            <w:pPr>
              <w:spacing w:after="0"/>
              <w:rPr>
                <w:sz w:val="8"/>
                <w:szCs w:val="8"/>
                <w:color w:val="auto"/>
              </w:rPr>
            </w:pPr>
          </w:p>
        </w:tc>
      </w:tr>
      <w:tr>
        <w:trPr>
          <w:trHeight w:val="251"/>
        </w:trPr>
        <w:tc>
          <w:tcPr>
            <w:tcW w:w="300" w:type="dxa"/>
            <w:vAlign w:val="bottom"/>
            <w:tcBorders>
              <w:left w:val="single" w:sz="8" w:color="003767"/>
            </w:tcBorders>
          </w:tcPr>
          <w:p>
            <w:pPr>
              <w:ind w:left="80"/>
              <w:spacing w:after="0"/>
              <w:rPr>
                <w:sz w:val="20"/>
                <w:szCs w:val="20"/>
                <w:color w:val="auto"/>
              </w:rPr>
            </w:pPr>
            <w:r>
              <w:rPr>
                <w:rFonts w:ascii="Times New Roman" w:cs="Times New Roman" w:eastAsia="Times New Roman" w:hAnsi="Times New Roman"/>
                <w:sz w:val="16"/>
                <w:szCs w:val="16"/>
                <w:b w:val="1"/>
                <w:bCs w:val="1"/>
                <w:color w:val="auto"/>
                <w:w w:val="97"/>
              </w:rPr>
              <w:t>Q2</w:t>
            </w:r>
          </w:p>
        </w:tc>
        <w:tc>
          <w:tcPr>
            <w:tcW w:w="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2019</w:t>
            </w:r>
          </w:p>
        </w:tc>
        <w:tc>
          <w:tcPr>
            <w:tcW w:w="19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($MM):</w:t>
            </w:r>
          </w:p>
        </w:tc>
        <w:tc>
          <w:tcPr>
            <w:tcW w:w="760" w:type="dxa"/>
            <w:vAlign w:val="bottom"/>
            <w:tcBorders>
              <w:right w:val="single" w:sz="8" w:color="00376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$1,102</w:t>
            </w:r>
          </w:p>
        </w:tc>
      </w:tr>
      <w:tr>
        <w:trPr>
          <w:trHeight w:val="324"/>
        </w:trPr>
        <w:tc>
          <w:tcPr>
            <w:tcW w:w="300" w:type="dxa"/>
            <w:vAlign w:val="bottom"/>
            <w:tcBorders>
              <w:left w:val="single" w:sz="8" w:color="003767"/>
            </w:tcBorders>
          </w:tcPr>
          <w:p>
            <w:pPr>
              <w:ind w:left="80"/>
              <w:spacing w:after="0"/>
              <w:rPr>
                <w:sz w:val="20"/>
                <w:szCs w:val="20"/>
                <w:color w:val="auto"/>
              </w:rPr>
            </w:pPr>
            <w:r>
              <w:rPr>
                <w:rFonts w:ascii="Times New Roman" w:cs="Times New Roman" w:eastAsia="Times New Roman" w:hAnsi="Times New Roman"/>
                <w:sz w:val="16"/>
                <w:szCs w:val="16"/>
                <w:b w:val="1"/>
                <w:bCs w:val="1"/>
                <w:color w:val="auto"/>
                <w:w w:val="97"/>
              </w:rPr>
              <w:t>Q2</w:t>
            </w:r>
          </w:p>
        </w:tc>
        <w:tc>
          <w:tcPr>
            <w:tcW w:w="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2019</w:t>
            </w:r>
          </w:p>
        </w:tc>
        <w:tc>
          <w:tcPr>
            <w:tcW w:w="19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760" w:type="dxa"/>
            <w:vAlign w:val="bottom"/>
            <w:tcBorders>
              <w:right w:val="single" w:sz="8" w:color="00376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$16.68</w:t>
            </w:r>
          </w:p>
        </w:tc>
      </w:tr>
      <w:tr>
        <w:trPr>
          <w:trHeight w:val="324"/>
        </w:trPr>
        <w:tc>
          <w:tcPr>
            <w:tcW w:w="300" w:type="dxa"/>
            <w:vAlign w:val="bottom"/>
            <w:tcBorders>
              <w:left w:val="single" w:sz="8" w:color="003767"/>
            </w:tcBorders>
          </w:tcPr>
          <w:p>
            <w:pPr>
              <w:ind w:left="80"/>
              <w:spacing w:after="0"/>
              <w:rPr>
                <w:sz w:val="20"/>
                <w:szCs w:val="20"/>
                <w:color w:val="auto"/>
              </w:rPr>
            </w:pPr>
            <w:r>
              <w:rPr>
                <w:rFonts w:ascii="Times New Roman" w:cs="Times New Roman" w:eastAsia="Times New Roman" w:hAnsi="Times New Roman"/>
                <w:sz w:val="16"/>
                <w:szCs w:val="16"/>
                <w:b w:val="1"/>
                <w:bCs w:val="1"/>
                <w:color w:val="auto"/>
                <w:w w:val="97"/>
              </w:rPr>
              <w:t>Q2</w:t>
            </w:r>
          </w:p>
        </w:tc>
        <w:tc>
          <w:tcPr>
            <w:tcW w:w="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2019</w:t>
            </w:r>
          </w:p>
        </w:tc>
        <w:tc>
          <w:tcPr>
            <w:tcW w:w="19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(per share, PF):</w:t>
            </w:r>
          </w:p>
        </w:tc>
        <w:tc>
          <w:tcPr>
            <w:tcW w:w="760" w:type="dxa"/>
            <w:vAlign w:val="bottom"/>
            <w:tcBorders>
              <w:right w:val="single" w:sz="8" w:color="00376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$16.64</w:t>
            </w:r>
          </w:p>
        </w:tc>
      </w:tr>
      <w:tr>
        <w:trPr>
          <w:trHeight w:val="74"/>
        </w:trPr>
        <w:tc>
          <w:tcPr>
            <w:tcW w:w="300" w:type="dxa"/>
            <w:vAlign w:val="bottom"/>
            <w:tcBorders>
              <w:left w:val="single" w:sz="8" w:color="003767"/>
              <w:bottom w:val="single" w:sz="8" w:color="003767"/>
            </w:tcBorders>
          </w:tcPr>
          <w:p>
            <w:pPr>
              <w:spacing w:after="0"/>
              <w:rPr>
                <w:sz w:val="6"/>
                <w:szCs w:val="6"/>
                <w:color w:val="auto"/>
              </w:rPr>
            </w:pPr>
          </w:p>
        </w:tc>
        <w:tc>
          <w:tcPr>
            <w:tcW w:w="380" w:type="dxa"/>
            <w:vAlign w:val="bottom"/>
            <w:tcBorders>
              <w:bottom w:val="single" w:sz="8" w:color="003767"/>
            </w:tcBorders>
          </w:tcPr>
          <w:p>
            <w:pPr>
              <w:spacing w:after="0"/>
              <w:rPr>
                <w:sz w:val="6"/>
                <w:szCs w:val="6"/>
                <w:color w:val="auto"/>
              </w:rPr>
            </w:pPr>
          </w:p>
        </w:tc>
        <w:tc>
          <w:tcPr>
            <w:tcW w:w="380" w:type="dxa"/>
            <w:vAlign w:val="bottom"/>
            <w:tcBorders>
              <w:bottom w:val="single" w:sz="8" w:color="003767"/>
            </w:tcBorders>
          </w:tcPr>
          <w:p>
            <w:pPr>
              <w:spacing w:after="0"/>
              <w:rPr>
                <w:sz w:val="6"/>
                <w:szCs w:val="6"/>
                <w:color w:val="auto"/>
              </w:rPr>
            </w:pPr>
          </w:p>
        </w:tc>
        <w:tc>
          <w:tcPr>
            <w:tcW w:w="1600" w:type="dxa"/>
            <w:vAlign w:val="bottom"/>
            <w:tcBorders>
              <w:bottom w:val="single" w:sz="8" w:color="003767"/>
            </w:tcBorders>
          </w:tcPr>
          <w:p>
            <w:pPr>
              <w:spacing w:after="0"/>
              <w:rPr>
                <w:sz w:val="6"/>
                <w:szCs w:val="6"/>
                <w:color w:val="auto"/>
              </w:rPr>
            </w:pPr>
          </w:p>
        </w:tc>
        <w:tc>
          <w:tcPr>
            <w:tcW w:w="760" w:type="dxa"/>
            <w:vAlign w:val="bottom"/>
            <w:tcBorders>
              <w:bottom w:val="single" w:sz="8" w:color="003767"/>
              <w:right w:val="single" w:sz="8" w:color="003767"/>
            </w:tcBorders>
          </w:tcPr>
          <w:p>
            <w:pPr>
              <w:spacing w:after="0"/>
              <w:rPr>
                <w:sz w:val="6"/>
                <w:szCs w:val="6"/>
                <w:color w:val="auto"/>
              </w:rPr>
            </w:pPr>
          </w:p>
        </w:tc>
      </w:tr>
      <w:tr>
        <w:trPr>
          <w:trHeight w:val="210"/>
        </w:trPr>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91"/>
        </w:trPr>
        <w:tc>
          <w:tcPr>
            <w:tcW w:w="300" w:type="dxa"/>
            <w:vAlign w:val="bottom"/>
            <w:tcBorders>
              <w:left w:val="single" w:sz="8" w:color="003767"/>
            </w:tcBorders>
            <w:shd w:val="clear" w:color="auto" w:fill="003767"/>
          </w:tcPr>
          <w:p>
            <w:pPr>
              <w:spacing w:after="0"/>
              <w:rPr>
                <w:sz w:val="24"/>
                <w:szCs w:val="24"/>
                <w:color w:val="auto"/>
              </w:rPr>
            </w:pPr>
          </w:p>
        </w:tc>
        <w:tc>
          <w:tcPr>
            <w:tcW w:w="380" w:type="dxa"/>
            <w:vAlign w:val="bottom"/>
            <w:shd w:val="clear" w:color="auto" w:fill="003767"/>
          </w:tcPr>
          <w:p>
            <w:pPr>
              <w:spacing w:after="0"/>
              <w:rPr>
                <w:sz w:val="24"/>
                <w:szCs w:val="24"/>
                <w:color w:val="auto"/>
              </w:rPr>
            </w:pPr>
          </w:p>
        </w:tc>
        <w:tc>
          <w:tcPr>
            <w:tcW w:w="380" w:type="dxa"/>
            <w:vAlign w:val="bottom"/>
            <w:shd w:val="clear" w:color="auto" w:fill="003767"/>
          </w:tcPr>
          <w:p>
            <w:pPr>
              <w:spacing w:after="0"/>
              <w:rPr>
                <w:sz w:val="24"/>
                <w:szCs w:val="24"/>
                <w:color w:val="auto"/>
              </w:rPr>
            </w:pPr>
          </w:p>
        </w:tc>
        <w:tc>
          <w:tcPr>
            <w:tcW w:w="1600" w:type="dxa"/>
            <w:vAlign w:val="bottom"/>
            <w:shd w:val="clear" w:color="auto" w:fill="003767"/>
          </w:tcPr>
          <w:p>
            <w:pPr>
              <w:jc w:val="center"/>
              <w:ind w:right="219"/>
              <w:spacing w:after="0"/>
              <w:rPr>
                <w:sz w:val="20"/>
                <w:szCs w:val="20"/>
                <w:color w:val="auto"/>
              </w:rPr>
            </w:pPr>
            <w:r>
              <w:rPr>
                <w:rFonts w:ascii="Times New Roman" w:cs="Times New Roman" w:eastAsia="Times New Roman" w:hAnsi="Times New Roman"/>
                <w:sz w:val="16"/>
                <w:szCs w:val="16"/>
                <w:b w:val="1"/>
                <w:bCs w:val="1"/>
                <w:color w:val="FFFFFF"/>
                <w:w w:val="97"/>
              </w:rPr>
              <w:t>ROE</w:t>
            </w:r>
          </w:p>
        </w:tc>
        <w:tc>
          <w:tcPr>
            <w:tcW w:w="760" w:type="dxa"/>
            <w:vAlign w:val="bottom"/>
            <w:tcBorders>
              <w:right w:val="single" w:sz="8" w:color="003767"/>
            </w:tcBorders>
            <w:shd w:val="clear" w:color="auto" w:fill="003767"/>
          </w:tcPr>
          <w:p>
            <w:pPr>
              <w:spacing w:after="0"/>
              <w:rPr>
                <w:sz w:val="24"/>
                <w:szCs w:val="24"/>
                <w:color w:val="auto"/>
              </w:rPr>
            </w:pPr>
          </w:p>
        </w:tc>
      </w:tr>
      <w:tr>
        <w:trPr>
          <w:trHeight w:val="101"/>
        </w:trPr>
        <w:tc>
          <w:tcPr>
            <w:tcW w:w="300" w:type="dxa"/>
            <w:vAlign w:val="bottom"/>
            <w:tcBorders>
              <w:left w:val="single" w:sz="8" w:color="003767"/>
            </w:tcBorders>
            <w:shd w:val="clear" w:color="auto" w:fill="003767"/>
          </w:tcPr>
          <w:p>
            <w:pPr>
              <w:spacing w:after="0"/>
              <w:rPr>
                <w:sz w:val="8"/>
                <w:szCs w:val="8"/>
                <w:color w:val="auto"/>
              </w:rPr>
            </w:pPr>
          </w:p>
        </w:tc>
        <w:tc>
          <w:tcPr>
            <w:tcW w:w="380" w:type="dxa"/>
            <w:vAlign w:val="bottom"/>
            <w:shd w:val="clear" w:color="auto" w:fill="003767"/>
          </w:tcPr>
          <w:p>
            <w:pPr>
              <w:spacing w:after="0"/>
              <w:rPr>
                <w:sz w:val="8"/>
                <w:szCs w:val="8"/>
                <w:color w:val="auto"/>
              </w:rPr>
            </w:pPr>
          </w:p>
        </w:tc>
        <w:tc>
          <w:tcPr>
            <w:tcW w:w="1980" w:type="dxa"/>
            <w:vAlign w:val="bottom"/>
            <w:gridSpan w:val="2"/>
            <w:shd w:val="clear" w:color="auto" w:fill="003767"/>
          </w:tcPr>
          <w:p>
            <w:pPr>
              <w:spacing w:after="0"/>
              <w:rPr>
                <w:sz w:val="8"/>
                <w:szCs w:val="8"/>
                <w:color w:val="auto"/>
              </w:rPr>
            </w:pPr>
          </w:p>
        </w:tc>
        <w:tc>
          <w:tcPr>
            <w:tcW w:w="760" w:type="dxa"/>
            <w:vAlign w:val="bottom"/>
            <w:tcBorders>
              <w:right w:val="single" w:sz="8" w:color="003767"/>
            </w:tcBorders>
            <w:shd w:val="clear" w:color="auto" w:fill="003767"/>
          </w:tcPr>
          <w:p>
            <w:pPr>
              <w:spacing w:after="0"/>
              <w:rPr>
                <w:sz w:val="8"/>
                <w:szCs w:val="8"/>
                <w:color w:val="auto"/>
              </w:rPr>
            </w:pPr>
          </w:p>
        </w:tc>
      </w:tr>
      <w:tr>
        <w:trPr>
          <w:trHeight w:val="332"/>
        </w:trPr>
        <w:tc>
          <w:tcPr>
            <w:tcW w:w="300" w:type="dxa"/>
            <w:vAlign w:val="bottom"/>
            <w:tcBorders>
              <w:left w:val="single" w:sz="8" w:color="003767"/>
            </w:tcBorders>
          </w:tcPr>
          <w:p>
            <w:pPr>
              <w:ind w:left="80"/>
              <w:spacing w:after="0"/>
              <w:rPr>
                <w:sz w:val="20"/>
                <w:szCs w:val="20"/>
                <w:color w:val="auto"/>
              </w:rPr>
            </w:pPr>
            <w:r>
              <w:rPr>
                <w:rFonts w:ascii="Times New Roman" w:cs="Times New Roman" w:eastAsia="Times New Roman" w:hAnsi="Times New Roman"/>
                <w:sz w:val="16"/>
                <w:szCs w:val="16"/>
                <w:b w:val="1"/>
                <w:bCs w:val="1"/>
                <w:color w:val="auto"/>
                <w:w w:val="97"/>
              </w:rPr>
              <w:t>Q2</w:t>
            </w:r>
          </w:p>
        </w:tc>
        <w:tc>
          <w:tcPr>
            <w:tcW w:w="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2019</w:t>
            </w:r>
          </w:p>
        </w:tc>
        <w:tc>
          <w:tcPr>
            <w:tcW w:w="19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Annualized (NII):</w:t>
            </w:r>
          </w:p>
        </w:tc>
        <w:tc>
          <w:tcPr>
            <w:tcW w:w="760" w:type="dxa"/>
            <w:vAlign w:val="bottom"/>
            <w:tcBorders>
              <w:right w:val="single" w:sz="8" w:color="00376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11.6%</w:t>
            </w:r>
          </w:p>
        </w:tc>
      </w:tr>
      <w:tr>
        <w:trPr>
          <w:trHeight w:val="311"/>
        </w:trPr>
        <w:tc>
          <w:tcPr>
            <w:tcW w:w="300" w:type="dxa"/>
            <w:vAlign w:val="bottom"/>
            <w:tcBorders>
              <w:left w:val="single" w:sz="8" w:color="003767"/>
            </w:tcBorders>
          </w:tcPr>
          <w:p>
            <w:pPr>
              <w:ind w:left="80"/>
              <w:spacing w:after="0"/>
              <w:rPr>
                <w:sz w:val="20"/>
                <w:szCs w:val="20"/>
                <w:color w:val="auto"/>
              </w:rPr>
            </w:pPr>
            <w:r>
              <w:rPr>
                <w:rFonts w:ascii="Times New Roman" w:cs="Times New Roman" w:eastAsia="Times New Roman" w:hAnsi="Times New Roman"/>
                <w:sz w:val="16"/>
                <w:szCs w:val="16"/>
                <w:b w:val="1"/>
                <w:bCs w:val="1"/>
                <w:color w:val="auto"/>
                <w:w w:val="97"/>
              </w:rPr>
              <w:t>Q2</w:t>
            </w:r>
          </w:p>
        </w:tc>
        <w:tc>
          <w:tcPr>
            <w:tcW w:w="23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2019 Annualized (NI):</w:t>
            </w:r>
          </w:p>
        </w:tc>
        <w:tc>
          <w:tcPr>
            <w:tcW w:w="760" w:type="dxa"/>
            <w:vAlign w:val="bottom"/>
            <w:tcBorders>
              <w:right w:val="single" w:sz="8" w:color="00376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17.7%</w:t>
            </w:r>
          </w:p>
        </w:tc>
      </w:tr>
      <w:tr>
        <w:trPr>
          <w:trHeight w:val="365"/>
        </w:trPr>
        <w:tc>
          <w:tcPr>
            <w:tcW w:w="1060" w:type="dxa"/>
            <w:vAlign w:val="bottom"/>
            <w:tcBorders>
              <w:left w:val="single" w:sz="8" w:color="003767"/>
            </w:tcBorders>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w w:val="99"/>
              </w:rPr>
              <w:t>LTM Q2 2019</w:t>
            </w:r>
          </w:p>
        </w:tc>
        <w:tc>
          <w:tcPr>
            <w:tcW w:w="1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(NI):</w:t>
            </w:r>
          </w:p>
        </w:tc>
        <w:tc>
          <w:tcPr>
            <w:tcW w:w="760" w:type="dxa"/>
            <w:vAlign w:val="bottom"/>
            <w:tcBorders>
              <w:right w:val="single" w:sz="8" w:color="00376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12.9%</w:t>
            </w:r>
          </w:p>
        </w:tc>
      </w:tr>
      <w:tr>
        <w:trPr>
          <w:trHeight w:val="33"/>
        </w:trPr>
        <w:tc>
          <w:tcPr>
            <w:tcW w:w="300" w:type="dxa"/>
            <w:vAlign w:val="bottom"/>
            <w:tcBorders>
              <w:left w:val="single" w:sz="8" w:color="003767"/>
              <w:bottom w:val="single" w:sz="8" w:color="003767"/>
            </w:tcBorders>
          </w:tcPr>
          <w:p>
            <w:pPr>
              <w:spacing w:after="0"/>
              <w:rPr>
                <w:sz w:val="2"/>
                <w:szCs w:val="2"/>
                <w:color w:val="auto"/>
              </w:rPr>
            </w:pPr>
          </w:p>
        </w:tc>
        <w:tc>
          <w:tcPr>
            <w:tcW w:w="380" w:type="dxa"/>
            <w:vAlign w:val="bottom"/>
            <w:tcBorders>
              <w:bottom w:val="single" w:sz="8" w:color="003767"/>
            </w:tcBorders>
          </w:tcPr>
          <w:p>
            <w:pPr>
              <w:spacing w:after="0"/>
              <w:rPr>
                <w:sz w:val="2"/>
                <w:szCs w:val="2"/>
                <w:color w:val="auto"/>
              </w:rPr>
            </w:pPr>
          </w:p>
        </w:tc>
        <w:tc>
          <w:tcPr>
            <w:tcW w:w="1980" w:type="dxa"/>
            <w:vAlign w:val="bottom"/>
            <w:tcBorders>
              <w:bottom w:val="single" w:sz="8" w:color="003767"/>
            </w:tcBorders>
            <w:gridSpan w:val="2"/>
          </w:tcPr>
          <w:p>
            <w:pPr>
              <w:spacing w:after="0"/>
              <w:rPr>
                <w:sz w:val="2"/>
                <w:szCs w:val="2"/>
                <w:color w:val="auto"/>
              </w:rPr>
            </w:pPr>
          </w:p>
        </w:tc>
        <w:tc>
          <w:tcPr>
            <w:tcW w:w="760" w:type="dxa"/>
            <w:vAlign w:val="bottom"/>
            <w:tcBorders>
              <w:bottom w:val="single" w:sz="8" w:color="003767"/>
              <w:right w:val="single" w:sz="8" w:color="003767"/>
            </w:tcBorders>
          </w:tcPr>
          <w:p>
            <w:pPr>
              <w:spacing w:after="0"/>
              <w:rPr>
                <w:sz w:val="2"/>
                <w:szCs w:val="2"/>
                <w:color w:val="auto"/>
              </w:rPr>
            </w:pPr>
          </w:p>
        </w:tc>
      </w:tr>
      <w:tr>
        <w:trPr>
          <w:trHeight w:val="264"/>
        </w:trPr>
        <w:tc>
          <w:tcPr>
            <w:tcW w:w="3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291"/>
        </w:trPr>
        <w:tc>
          <w:tcPr>
            <w:tcW w:w="300" w:type="dxa"/>
            <w:vAlign w:val="bottom"/>
            <w:tcBorders>
              <w:left w:val="single" w:sz="8" w:color="003767"/>
            </w:tcBorders>
            <w:shd w:val="clear" w:color="auto" w:fill="003767"/>
          </w:tcPr>
          <w:p>
            <w:pPr>
              <w:spacing w:after="0"/>
              <w:rPr>
                <w:sz w:val="24"/>
                <w:szCs w:val="24"/>
                <w:color w:val="auto"/>
              </w:rPr>
            </w:pPr>
          </w:p>
        </w:tc>
        <w:tc>
          <w:tcPr>
            <w:tcW w:w="380" w:type="dxa"/>
            <w:vAlign w:val="bottom"/>
            <w:shd w:val="clear" w:color="auto" w:fill="003767"/>
          </w:tcPr>
          <w:p>
            <w:pPr>
              <w:spacing w:after="0"/>
              <w:rPr>
                <w:sz w:val="24"/>
                <w:szCs w:val="24"/>
                <w:color w:val="auto"/>
              </w:rPr>
            </w:pPr>
          </w:p>
        </w:tc>
        <w:tc>
          <w:tcPr>
            <w:tcW w:w="1980" w:type="dxa"/>
            <w:vAlign w:val="bottom"/>
            <w:gridSpan w:val="2"/>
            <w:shd w:val="clear" w:color="auto" w:fill="003767"/>
          </w:tcPr>
          <w:p>
            <w:pPr>
              <w:jc w:val="center"/>
              <w:spacing w:after="0"/>
              <w:rPr>
                <w:sz w:val="20"/>
                <w:szCs w:val="20"/>
                <w:color w:val="auto"/>
              </w:rPr>
            </w:pPr>
            <w:r>
              <w:rPr>
                <w:rFonts w:ascii="Times New Roman" w:cs="Times New Roman" w:eastAsia="Times New Roman" w:hAnsi="Times New Roman"/>
                <w:sz w:val="16"/>
                <w:szCs w:val="16"/>
                <w:b w:val="1"/>
                <w:bCs w:val="1"/>
                <w:color w:val="FFFFFF"/>
              </w:rPr>
              <w:t>Dividend (per share)</w:t>
            </w:r>
          </w:p>
        </w:tc>
        <w:tc>
          <w:tcPr>
            <w:tcW w:w="760" w:type="dxa"/>
            <w:vAlign w:val="bottom"/>
            <w:tcBorders>
              <w:right w:val="single" w:sz="8" w:color="003767"/>
            </w:tcBorders>
            <w:shd w:val="clear" w:color="auto" w:fill="003767"/>
          </w:tcPr>
          <w:p>
            <w:pPr>
              <w:spacing w:after="0"/>
              <w:rPr>
                <w:sz w:val="24"/>
                <w:szCs w:val="24"/>
                <w:color w:val="auto"/>
              </w:rPr>
            </w:pPr>
          </w:p>
        </w:tc>
      </w:tr>
      <w:tr>
        <w:trPr>
          <w:trHeight w:val="101"/>
        </w:trPr>
        <w:tc>
          <w:tcPr>
            <w:tcW w:w="300" w:type="dxa"/>
            <w:vAlign w:val="bottom"/>
            <w:tcBorders>
              <w:left w:val="single" w:sz="8" w:color="003767"/>
            </w:tcBorders>
            <w:shd w:val="clear" w:color="auto" w:fill="003767"/>
          </w:tcPr>
          <w:p>
            <w:pPr>
              <w:spacing w:after="0"/>
              <w:rPr>
                <w:sz w:val="8"/>
                <w:szCs w:val="8"/>
                <w:color w:val="auto"/>
              </w:rPr>
            </w:pPr>
          </w:p>
        </w:tc>
        <w:tc>
          <w:tcPr>
            <w:tcW w:w="380" w:type="dxa"/>
            <w:vAlign w:val="bottom"/>
            <w:shd w:val="clear" w:color="auto" w:fill="003767"/>
          </w:tcPr>
          <w:p>
            <w:pPr>
              <w:spacing w:after="0"/>
              <w:rPr>
                <w:sz w:val="8"/>
                <w:szCs w:val="8"/>
                <w:color w:val="auto"/>
              </w:rPr>
            </w:pPr>
          </w:p>
        </w:tc>
        <w:tc>
          <w:tcPr>
            <w:tcW w:w="1980" w:type="dxa"/>
            <w:vAlign w:val="bottom"/>
            <w:gridSpan w:val="2"/>
            <w:shd w:val="clear" w:color="auto" w:fill="003767"/>
          </w:tcPr>
          <w:p>
            <w:pPr>
              <w:spacing w:after="0"/>
              <w:rPr>
                <w:sz w:val="8"/>
                <w:szCs w:val="8"/>
                <w:color w:val="auto"/>
              </w:rPr>
            </w:pPr>
          </w:p>
        </w:tc>
        <w:tc>
          <w:tcPr>
            <w:tcW w:w="760" w:type="dxa"/>
            <w:vAlign w:val="bottom"/>
            <w:tcBorders>
              <w:right w:val="single" w:sz="8" w:color="003767"/>
            </w:tcBorders>
            <w:shd w:val="clear" w:color="auto" w:fill="003767"/>
          </w:tcPr>
          <w:p>
            <w:pPr>
              <w:spacing w:after="0"/>
              <w:rPr>
                <w:sz w:val="8"/>
                <w:szCs w:val="8"/>
                <w:color w:val="auto"/>
              </w:rPr>
            </w:pPr>
          </w:p>
        </w:tc>
      </w:tr>
      <w:tr>
        <w:trPr>
          <w:trHeight w:val="224"/>
        </w:trPr>
        <w:tc>
          <w:tcPr>
            <w:tcW w:w="300" w:type="dxa"/>
            <w:vAlign w:val="bottom"/>
            <w:tcBorders>
              <w:left w:val="single" w:sz="8" w:color="003767"/>
            </w:tcBorders>
          </w:tcPr>
          <w:p>
            <w:pPr>
              <w:ind w:left="80"/>
              <w:spacing w:after="0"/>
              <w:rPr>
                <w:sz w:val="20"/>
                <w:szCs w:val="20"/>
                <w:color w:val="auto"/>
              </w:rPr>
            </w:pPr>
            <w:r>
              <w:rPr>
                <w:rFonts w:ascii="Times New Roman" w:cs="Times New Roman" w:eastAsia="Times New Roman" w:hAnsi="Times New Roman"/>
                <w:sz w:val="16"/>
                <w:szCs w:val="16"/>
                <w:b w:val="1"/>
                <w:bCs w:val="1"/>
                <w:color w:val="auto"/>
                <w:w w:val="97"/>
              </w:rPr>
              <w:t>Q2</w:t>
            </w:r>
          </w:p>
        </w:tc>
        <w:tc>
          <w:tcPr>
            <w:tcW w:w="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2019</w:t>
            </w:r>
          </w:p>
        </w:tc>
        <w:tc>
          <w:tcPr>
            <w:tcW w:w="19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(Supp.):</w:t>
            </w:r>
          </w:p>
        </w:tc>
        <w:tc>
          <w:tcPr>
            <w:tcW w:w="760" w:type="dxa"/>
            <w:vAlign w:val="bottom"/>
            <w:tcBorders>
              <w:right w:val="single" w:sz="8" w:color="00376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$0.04</w:t>
            </w:r>
          </w:p>
        </w:tc>
      </w:tr>
      <w:tr>
        <w:trPr>
          <w:trHeight w:val="284"/>
        </w:trPr>
        <w:tc>
          <w:tcPr>
            <w:tcW w:w="300" w:type="dxa"/>
            <w:vAlign w:val="bottom"/>
            <w:tcBorders>
              <w:left w:val="single" w:sz="8" w:color="003767"/>
            </w:tcBorders>
          </w:tcPr>
          <w:p>
            <w:pPr>
              <w:ind w:left="80"/>
              <w:spacing w:after="0"/>
              <w:rPr>
                <w:sz w:val="20"/>
                <w:szCs w:val="20"/>
                <w:color w:val="auto"/>
              </w:rPr>
            </w:pPr>
            <w:r>
              <w:rPr>
                <w:rFonts w:ascii="Times New Roman" w:cs="Times New Roman" w:eastAsia="Times New Roman" w:hAnsi="Times New Roman"/>
                <w:sz w:val="16"/>
                <w:szCs w:val="16"/>
                <w:b w:val="1"/>
                <w:bCs w:val="1"/>
                <w:color w:val="auto"/>
                <w:w w:val="97"/>
              </w:rPr>
              <w:t>Q3</w:t>
            </w:r>
          </w:p>
        </w:tc>
        <w:tc>
          <w:tcPr>
            <w:tcW w:w="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2019</w:t>
            </w:r>
          </w:p>
        </w:tc>
        <w:tc>
          <w:tcPr>
            <w:tcW w:w="19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(Base):</w:t>
            </w:r>
          </w:p>
        </w:tc>
        <w:tc>
          <w:tcPr>
            <w:tcW w:w="760" w:type="dxa"/>
            <w:vAlign w:val="bottom"/>
            <w:tcBorders>
              <w:right w:val="single" w:sz="8" w:color="00376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$0.39</w:t>
            </w:r>
          </w:p>
        </w:tc>
      </w:tr>
      <w:tr>
        <w:trPr>
          <w:trHeight w:val="324"/>
        </w:trPr>
        <w:tc>
          <w:tcPr>
            <w:tcW w:w="1060" w:type="dxa"/>
            <w:vAlign w:val="bottom"/>
            <w:tcBorders>
              <w:left w:val="single" w:sz="8" w:color="003767"/>
            </w:tcBorders>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w w:val="99"/>
              </w:rPr>
              <w:t>LTM Q2 2019</w:t>
            </w:r>
          </w:p>
        </w:tc>
        <w:tc>
          <w:tcPr>
            <w:tcW w:w="1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w:t>
            </w:r>
          </w:p>
        </w:tc>
        <w:tc>
          <w:tcPr>
            <w:tcW w:w="760" w:type="dxa"/>
            <w:vAlign w:val="bottom"/>
            <w:tcBorders>
              <w:right w:val="single" w:sz="8" w:color="00376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$0.22</w:t>
            </w:r>
          </w:p>
        </w:tc>
      </w:tr>
      <w:tr>
        <w:trPr>
          <w:trHeight w:val="297"/>
        </w:trPr>
        <w:tc>
          <w:tcPr>
            <w:tcW w:w="1060" w:type="dxa"/>
            <w:vAlign w:val="bottom"/>
            <w:tcBorders>
              <w:left w:val="single" w:sz="8" w:color="003767"/>
            </w:tcBorders>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w w:val="99"/>
              </w:rPr>
              <w:t>LTM Q2 2019</w:t>
            </w:r>
          </w:p>
        </w:tc>
        <w:tc>
          <w:tcPr>
            <w:tcW w:w="1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(Base):</w:t>
            </w:r>
          </w:p>
        </w:tc>
        <w:tc>
          <w:tcPr>
            <w:tcW w:w="760" w:type="dxa"/>
            <w:vAlign w:val="bottom"/>
            <w:tcBorders>
              <w:right w:val="single" w:sz="8" w:color="00376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$1.56</w:t>
            </w:r>
          </w:p>
        </w:tc>
      </w:tr>
      <w:tr>
        <w:trPr>
          <w:trHeight w:val="405"/>
        </w:trPr>
        <w:tc>
          <w:tcPr>
            <w:tcW w:w="1060" w:type="dxa"/>
            <w:vAlign w:val="bottom"/>
            <w:tcBorders>
              <w:left w:val="single" w:sz="8" w:color="003767"/>
            </w:tcBorders>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w w:val="99"/>
              </w:rPr>
              <w:t>LTM Q2 2019</w:t>
            </w:r>
          </w:p>
        </w:tc>
        <w:tc>
          <w:tcPr>
            <w:tcW w:w="1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760" w:type="dxa"/>
            <w:vAlign w:val="bottom"/>
            <w:tcBorders>
              <w:right w:val="single" w:sz="8" w:color="00376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$1.78</w:t>
            </w:r>
          </w:p>
        </w:tc>
      </w:tr>
      <w:tr>
        <w:trPr>
          <w:trHeight w:val="33"/>
        </w:trPr>
        <w:tc>
          <w:tcPr>
            <w:tcW w:w="300" w:type="dxa"/>
            <w:vAlign w:val="bottom"/>
            <w:tcBorders>
              <w:left w:val="single" w:sz="8" w:color="003767"/>
              <w:bottom w:val="single" w:sz="8" w:color="003767"/>
            </w:tcBorders>
          </w:tcPr>
          <w:p>
            <w:pPr>
              <w:spacing w:after="0"/>
              <w:rPr>
                <w:sz w:val="2"/>
                <w:szCs w:val="2"/>
                <w:color w:val="auto"/>
              </w:rPr>
            </w:pPr>
          </w:p>
        </w:tc>
        <w:tc>
          <w:tcPr>
            <w:tcW w:w="380" w:type="dxa"/>
            <w:vAlign w:val="bottom"/>
            <w:tcBorders>
              <w:bottom w:val="single" w:sz="8" w:color="003767"/>
            </w:tcBorders>
          </w:tcPr>
          <w:p>
            <w:pPr>
              <w:spacing w:after="0"/>
              <w:rPr>
                <w:sz w:val="2"/>
                <w:szCs w:val="2"/>
                <w:color w:val="auto"/>
              </w:rPr>
            </w:pPr>
          </w:p>
        </w:tc>
        <w:tc>
          <w:tcPr>
            <w:tcW w:w="380" w:type="dxa"/>
            <w:vAlign w:val="bottom"/>
            <w:tcBorders>
              <w:bottom w:val="single" w:sz="8" w:color="003767"/>
            </w:tcBorders>
          </w:tcPr>
          <w:p>
            <w:pPr>
              <w:spacing w:after="0"/>
              <w:rPr>
                <w:sz w:val="2"/>
                <w:szCs w:val="2"/>
                <w:color w:val="auto"/>
              </w:rPr>
            </w:pPr>
          </w:p>
        </w:tc>
        <w:tc>
          <w:tcPr>
            <w:tcW w:w="1600" w:type="dxa"/>
            <w:vAlign w:val="bottom"/>
            <w:tcBorders>
              <w:bottom w:val="single" w:sz="8" w:color="003767"/>
            </w:tcBorders>
          </w:tcPr>
          <w:p>
            <w:pPr>
              <w:spacing w:after="0"/>
              <w:rPr>
                <w:sz w:val="2"/>
                <w:szCs w:val="2"/>
                <w:color w:val="auto"/>
              </w:rPr>
            </w:pPr>
          </w:p>
        </w:tc>
        <w:tc>
          <w:tcPr>
            <w:tcW w:w="760" w:type="dxa"/>
            <w:vAlign w:val="bottom"/>
            <w:tcBorders>
              <w:bottom w:val="single" w:sz="8" w:color="003767"/>
              <w:right w:val="single" w:sz="8" w:color="003767"/>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2162810</wp:posOffset>
            </wp:positionH>
            <wp:positionV relativeFrom="paragraph">
              <wp:posOffset>-1431290</wp:posOffset>
            </wp:positionV>
            <wp:extent cx="8890" cy="1885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18859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-1431290</wp:posOffset>
            </wp:positionV>
            <wp:extent cx="8890" cy="188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890"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540" w:space="460"/>
            <w:col w:w="3420"/>
          </w:cols>
          <w:pgMar w:left="240" w:top="117"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134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2"/>
          <w:szCs w:val="22"/>
          <w:i w:val="1"/>
          <w:iCs w:val="1"/>
          <w:color w:val="FFFFFF"/>
        </w:rPr>
        <w:drawing>
          <wp:anchor simplePos="0" relativeHeight="251657728" behindDoc="1" locked="0" layoutInCell="0" allowOverlap="1">
            <wp:simplePos x="0" y="0"/>
            <wp:positionH relativeFrom="page">
              <wp:posOffset>157480</wp:posOffset>
            </wp:positionH>
            <wp:positionV relativeFrom="page">
              <wp:posOffset>783590</wp:posOffset>
            </wp:positionV>
            <wp:extent cx="7246620" cy="3429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3429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1132205" cy="4718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132205" cy="471805"/>
                    </a:xfrm>
                    <a:prstGeom prst="rect">
                      <a:avLst/>
                    </a:prstGeom>
                    <a:noFill/>
                  </pic:spPr>
                </pic:pic>
              </a:graphicData>
            </a:graphic>
          </wp:anchor>
        </w:drawing>
        <w:t>Portfolio and Investment Activity</w:t>
      </w:r>
    </w:p>
    <w:p>
      <w:pPr>
        <w:spacing w:after="0" w:line="200" w:lineRule="exact"/>
        <w:rPr>
          <w:sz w:val="20"/>
          <w:szCs w:val="20"/>
          <w:color w:val="auto"/>
        </w:rPr>
      </w:pPr>
    </w:p>
    <w:p>
      <w:pPr>
        <w:spacing w:after="0" w:line="384"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For the three months ended June 30, 2019, gross originations totaled $1,495.4 million, compared to $179.4 million for the three months ended March 31, 2019.</w:t>
      </w:r>
    </w:p>
    <w:p>
      <w:pPr>
        <w:spacing w:after="0" w:line="9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2019, the principal amount of new investments funded was $344.0 million in twelve new portfolio companies and two existing portfolio companies. For this period, the Company had $128.1 million aggregate principal amount in exits and repayments.</w:t>
      </w:r>
    </w:p>
    <w:p>
      <w:pPr>
        <w:spacing w:after="0" w:line="9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2019, the principal amount of new investments funded was $145.3 million in four new portfolio companies and four existing portfolio companies. For this period, the Company had $33.1 million aggregate principal amount in exits and repayments.</w:t>
      </w:r>
    </w:p>
    <w:p>
      <w:pPr>
        <w:spacing w:after="0" w:line="10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of June 30, 2019 and March 31, 2019, the Company had investments in 56 and 48 portfolio companies with an aggregate fair value of $2,060.5 million and $1,824.9 million, respectively. As of June 30, 2019, the average investment size in each portfolio company was $36.8 million based on fair value.</w:t>
      </w:r>
    </w:p>
    <w:p>
      <w:pPr>
        <w:spacing w:after="0" w:line="10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 of June 30, 2019, the Company’s portfolio based on fair value consisted of 97.3% first-lien debt investments, 0.3% second-lien debt investments, 0.1% mezzanine debt investments, and 2.3% equity and other investments.</w:t>
      </w:r>
    </w:p>
    <w:p>
      <w:pPr>
        <w:spacing w:after="0" w:line="95"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As of March 31, 2019, the portfolio based on fair value consisted of 97.4% first-lien debt investments, 0.2% second-lien debt investments, 0.1% mezzanine debt investments, and 2.3% equity and other investments.</w:t>
      </w:r>
    </w:p>
    <w:p>
      <w:pPr>
        <w:spacing w:after="0" w:line="10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As of both June 30, 2019 and March 31, 2019, approximately 97.6% of the portfolio was invested in secured debt.</w:t>
      </w:r>
    </w:p>
    <w:p>
      <w:pPr>
        <w:spacing w:after="0" w:line="9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As of June 30, 2019, 99.4% of debt investments based on fair value in the portfolio bore interest at floating rates (when including investment specific hedges), with 94.7% of these subject to interest rate floors. The Company’s credit facility bears interest at floating rates. In connection with the Company’s Convertible Notes and other Notes, which bear interest at fixed rates, the Company entered into fixed-to-floating interest rate swaps in order to align the nature of the interest rates of its liabilities with its investment portfolio.</w:t>
      </w:r>
    </w:p>
    <w:p>
      <w:pPr>
        <w:spacing w:after="0" w:line="10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of June 30, 2019 and March 31, 2019, the weighted average total yield of debt and income-producing securities at fair value (which includes interest income and amortization of fees and discounts) was 11.2% and 11.4%, respectively, and the weighted average total yield of debt and income-producing securities at amortized cost (which includes interest income and amortization of fees and discounts) was 11.4% and 11.6%, respectively.</w:t>
      </w:r>
    </w:p>
    <w:p>
      <w:pPr>
        <w:spacing w:after="0" w:line="116"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As of June 30, 2019, 100% of the portfolio at fair value was meeting all payment and covenant requirements, and no investments were on non-accrual status.</w:t>
      </w:r>
    </w:p>
    <w:p>
      <w:pPr>
        <w:spacing w:after="0" w:line="90" w:lineRule="exact"/>
        <w:rPr>
          <w:sz w:val="20"/>
          <w:szCs w:val="20"/>
          <w:color w:val="auto"/>
        </w:rPr>
      </w:pPr>
    </w:p>
    <w:p>
      <w:pPr>
        <w:ind w:left="820" w:hanging="812"/>
        <w:spacing w:after="0"/>
        <w:tabs>
          <w:tab w:leader="none" w:pos="8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Weighted average total yield of debt and income-producing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817245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FFFFFF"/>
        </w:rPr>
        <w:t>Gross Originations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-166370</wp:posOffset>
            </wp:positionV>
            <wp:extent cx="2169795" cy="4629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69795" cy="462915"/>
                    </a:xfrm>
                    <a:prstGeom prst="rect">
                      <a:avLst/>
                    </a:prstGeom>
                    <a:noFill/>
                  </pic:spPr>
                </pic:pic>
              </a:graphicData>
            </a:graphic>
          </wp:anchor>
        </w:drawing>
      </w:r>
    </w:p>
    <w:p>
      <w:pPr>
        <w:spacing w:after="0" w:line="14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6"/>
          <w:szCs w:val="16"/>
          <w:b w:val="1"/>
          <w:bCs w:val="1"/>
          <w:color w:val="auto"/>
        </w:rPr>
        <w:t>$1,495.4MM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219075</wp:posOffset>
            </wp:positionV>
            <wp:extent cx="2169795" cy="4629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69795" cy="46291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FFFFFF"/>
        </w:rPr>
        <w:t>Net Fundings</w:t>
      </w:r>
    </w:p>
    <w:p>
      <w:pPr>
        <w:spacing w:after="0" w:line="16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b w:val="1"/>
          <w:bCs w:val="1"/>
          <w:color w:val="auto"/>
        </w:rPr>
        <w:t>$215.9MM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365125</wp:posOffset>
            </wp:positionV>
            <wp:extent cx="2169795" cy="548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6979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FFFFFF"/>
        </w:rPr>
        <w:t>Average Investment Size</w:t>
      </w:r>
    </w:p>
    <w:p>
      <w:pPr>
        <w:spacing w:after="0" w:line="14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$36.8MM</w:t>
      </w:r>
    </w:p>
    <w:p>
      <w:pPr>
        <w:spacing w:after="0" w:line="2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i w:val="1"/>
          <w:iCs w:val="1"/>
          <w:color w:val="auto"/>
        </w:rPr>
        <w:t>(1.8% of the portfolio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187325</wp:posOffset>
            </wp:positionV>
            <wp:extent cx="2169795" cy="4629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69795" cy="462915"/>
                    </a:xfrm>
                    <a:prstGeom prst="rect">
                      <a:avLst/>
                    </a:prstGeom>
                    <a:noFill/>
                  </pic:spPr>
                </pic:pic>
              </a:graphicData>
            </a:graphic>
          </wp:anchor>
        </w:drawing>
      </w:r>
    </w:p>
    <w:p>
      <w:pPr>
        <w:spacing w:after="0" w:line="35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FFFFFF"/>
        </w:rPr>
        <w:t>First Lien Debt Investments (% FV)</w:t>
      </w:r>
    </w:p>
    <w:p>
      <w:pPr>
        <w:spacing w:after="0" w:line="16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6"/>
          <w:szCs w:val="16"/>
          <w:b w:val="1"/>
          <w:bCs w:val="1"/>
          <w:color w:val="auto"/>
        </w:rPr>
        <w:t>97.3%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365125</wp:posOffset>
            </wp:positionV>
            <wp:extent cx="2169795" cy="4629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6979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FFFFFF"/>
        </w:rPr>
        <w:t>Secured Debt Investments (% FV)</w:t>
      </w:r>
    </w:p>
    <w:p>
      <w:pPr>
        <w:spacing w:after="0" w:line="16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6"/>
          <w:szCs w:val="16"/>
          <w:b w:val="1"/>
          <w:bCs w:val="1"/>
          <w:color w:val="auto"/>
        </w:rPr>
        <w:t>97.6%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1094105</wp:posOffset>
            </wp:positionV>
            <wp:extent cx="2169795" cy="6686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6979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b w:val="1"/>
          <w:bCs w:val="1"/>
          <w:color w:val="FFFFFF"/>
        </w:rPr>
        <w:t>Weighted Average Portfolio Yields</w:t>
      </w:r>
      <w:r>
        <w:rPr>
          <w:rFonts w:ascii="Times New Roman" w:cs="Times New Roman" w:eastAsia="Times New Roman" w:hAnsi="Times New Roman"/>
          <w:sz w:val="27"/>
          <w:szCs w:val="27"/>
          <w:b w:val="1"/>
          <w:bCs w:val="1"/>
          <w:color w:val="FFFFFF"/>
          <w:vertAlign w:val="superscript"/>
        </w:rPr>
        <w:t>(1)</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Yield at Fair Value:</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11.2%</w:t>
            </w:r>
          </w:p>
        </w:tc>
      </w:tr>
      <w:tr>
        <w:trPr>
          <w:trHeight w:val="312"/>
        </w:trPr>
        <w:tc>
          <w:tcPr>
            <w:tcW w:w="2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Yield at Amortized Cost: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2">
            <w:col w:w="7640" w:space="440"/>
            <w:col w:w="3340"/>
          </w:cols>
          <w:pgMar w:left="240" w:top="1351"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1"/>
          <w:szCs w:val="21"/>
          <w:i w:val="1"/>
          <w:iCs w:val="1"/>
          <w:color w:val="FFFFFF"/>
        </w:rPr>
        <w:drawing>
          <wp:anchor simplePos="0" relativeHeight="251657728" behindDoc="1" locked="0" layoutInCell="0" allowOverlap="1">
            <wp:simplePos x="0" y="0"/>
            <wp:positionH relativeFrom="page">
              <wp:posOffset>157480</wp:posOffset>
            </wp:positionH>
            <wp:positionV relativeFrom="page">
              <wp:posOffset>706120</wp:posOffset>
            </wp:positionV>
            <wp:extent cx="7246620" cy="3257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32575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1132205" cy="4718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132205" cy="471805"/>
                    </a:xfrm>
                    <a:prstGeom prst="rect">
                      <a:avLst/>
                    </a:prstGeom>
                    <a:noFill/>
                  </pic:spPr>
                </pic:pic>
              </a:graphicData>
            </a:graphic>
          </wp:anchor>
        </w:drawing>
        <w:t>Results of Operations for the Three Months Ended June 30, 2019</w:t>
      </w:r>
    </w:p>
    <w:p>
      <w:pPr>
        <w:sectPr>
          <w:pgSz w:w="11900" w:h="16838" w:orient="portrait"/>
          <w:cols w:equalWidth="0" w:num="1">
            <w:col w:w="11420"/>
          </w:cols>
          <w:pgMar w:left="240" w:top="122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Income</w:t>
      </w:r>
    </w:p>
    <w:p>
      <w:pPr>
        <w:spacing w:after="0" w:line="162" w:lineRule="exact"/>
        <w:rPr>
          <w:sz w:val="20"/>
          <w:szCs w:val="20"/>
          <w:color w:val="auto"/>
        </w:rPr>
      </w:pPr>
    </w:p>
    <w:p>
      <w:pPr>
        <w:jc w:val="both"/>
        <w:ind w:right="60"/>
        <w:spacing w:after="0" w:line="289" w:lineRule="auto"/>
        <w:rPr>
          <w:sz w:val="20"/>
          <w:szCs w:val="20"/>
          <w:color w:val="auto"/>
        </w:rPr>
      </w:pPr>
      <w:r>
        <w:rPr>
          <w:rFonts w:ascii="Times New Roman" w:cs="Times New Roman" w:eastAsia="Times New Roman" w:hAnsi="Times New Roman"/>
          <w:sz w:val="17"/>
          <w:szCs w:val="17"/>
          <w:color w:val="auto"/>
        </w:rPr>
        <w:t>For the three months ended June 30, 2019 and 2018, investment income totaled $62.4 million and $66.4 million, respectively. The decrease in investment income was primarily driven by lower prepayment fees and accelerated amortization of upfront fees from unscheduled paydowns and lower syndication fees.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expenses totaled $30.3 million and $29.2 million for the three months ended June 30, 2019 and 2018, respectively. The increase in net expenses was primarily due to an increase in interest expense as a result of an increase in the average interest rate on debt outstanding.</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4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As of June 30, 2019, the Company had $10.0 million in cash and cash equivalents, including $5.0 million of restricted cash, total principal value of debt outstanding of $947.7 million, and $734.8 million of undrawn capacity on its revolving credit facility, subject to borrowing base and other limitations. The Company’s weighted average interest rate on debt outstanding was 4.6% and 4.7% for the three months ended June 30, 2019 and March 31, 2019, respectively. Average debt to equity was 0.85x and 0.66x during the three months ended June 30, 2019 and March 31, 2019, respectively.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FFFFFF"/>
        </w:rPr>
        <w:t>Total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-166370</wp:posOffset>
            </wp:positionV>
            <wp:extent cx="2169795" cy="4629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69795" cy="462915"/>
                    </a:xfrm>
                    <a:prstGeom prst="rect">
                      <a:avLst/>
                    </a:prstGeom>
                    <a:noFill/>
                  </pic:spPr>
                </pic:pic>
              </a:graphicData>
            </a:graphic>
          </wp:anchor>
        </w:drawing>
      </w:r>
    </w:p>
    <w:p>
      <w:pPr>
        <w:spacing w:after="0" w:line="14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b w:val="1"/>
          <w:bCs w:val="1"/>
          <w:color w:val="auto"/>
        </w:rPr>
        <w:t>$62.4MM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784860</wp:posOffset>
            </wp:positionV>
            <wp:extent cx="2169795" cy="4629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6979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FFFFFF"/>
        </w:rPr>
        <w:t>Net Expenses</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b w:val="1"/>
          <w:bCs w:val="1"/>
          <w:color w:val="auto"/>
        </w:rPr>
        <w:t>$30.3MM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544830</wp:posOffset>
            </wp:positionV>
            <wp:extent cx="2169795" cy="4629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6979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FFFFFF"/>
        </w:rPr>
        <w:t>Total Principal Debt Outstanding</w:t>
      </w:r>
    </w:p>
    <w:p>
      <w:pPr>
        <w:spacing w:after="0" w:line="16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b w:val="1"/>
          <w:bCs w:val="1"/>
          <w:color w:val="auto"/>
        </w:rPr>
        <w:t>$947.7MM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313690</wp:posOffset>
            </wp:positionV>
            <wp:extent cx="2169795" cy="4629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69795" cy="46291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FFFFFF"/>
        </w:rPr>
        <w:t>Available Liquidity</w:t>
      </w:r>
    </w:p>
    <w:p>
      <w:pPr>
        <w:spacing w:after="0" w:line="16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b w:val="1"/>
          <w:bCs w:val="1"/>
          <w:color w:val="auto"/>
        </w:rPr>
        <w:t>$734.8MM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313690</wp:posOffset>
            </wp:positionV>
            <wp:extent cx="2169795" cy="6686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169795" cy="66865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FFFFFF"/>
        </w:rPr>
        <w:t>Debt-to-Equity Ratio</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97"/>
              </w:rPr>
              <w:t>Q2</w:t>
            </w:r>
          </w:p>
        </w:tc>
        <w:tc>
          <w:tcPr>
            <w:tcW w:w="2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2019 Quarter End:</w:t>
            </w:r>
          </w:p>
        </w:tc>
        <w:tc>
          <w:tcPr>
            <w:tcW w:w="1040" w:type="dxa"/>
            <w:vAlign w:val="bottom"/>
          </w:tcPr>
          <w:p>
            <w:pPr>
              <w:ind w:left="680"/>
              <w:spacing w:after="0"/>
              <w:rPr>
                <w:sz w:val="20"/>
                <w:szCs w:val="20"/>
                <w:color w:val="auto"/>
              </w:rPr>
            </w:pPr>
            <w:r>
              <w:rPr>
                <w:rFonts w:ascii="Times New Roman" w:cs="Times New Roman" w:eastAsia="Times New Roman" w:hAnsi="Times New Roman"/>
                <w:sz w:val="16"/>
                <w:szCs w:val="16"/>
                <w:b w:val="1"/>
                <w:bCs w:val="1"/>
                <w:color w:val="auto"/>
                <w:w w:val="94"/>
              </w:rPr>
              <w:t>0.86x</w:t>
            </w:r>
          </w:p>
        </w:tc>
      </w:tr>
      <w:tr>
        <w:trPr>
          <w:trHeight w:val="475"/>
        </w:trPr>
        <w:tc>
          <w:tcPr>
            <w:tcW w:w="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97"/>
              </w:rPr>
              <w:t>Q2</w:t>
            </w:r>
          </w:p>
        </w:tc>
        <w:tc>
          <w:tcPr>
            <w:tcW w:w="2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2019 Average</w:t>
            </w:r>
            <w:r>
              <w:rPr>
                <w:rFonts w:ascii="Times New Roman" w:cs="Times New Roman" w:eastAsia="Times New Roman" w:hAnsi="Times New Roman"/>
                <w:sz w:val="27"/>
                <w:szCs w:val="27"/>
                <w:b w:val="1"/>
                <w:bCs w:val="1"/>
                <w:color w:val="auto"/>
                <w:vertAlign w:val="superscript"/>
              </w:rPr>
              <w:t>(1)</w:t>
            </w:r>
            <w:r>
              <w:rPr>
                <w:rFonts w:ascii="Times New Roman" w:cs="Times New Roman" w:eastAsia="Times New Roman" w:hAnsi="Times New Roman"/>
                <w:sz w:val="16"/>
                <w:szCs w:val="16"/>
                <w:b w:val="1"/>
                <w:bCs w:val="1"/>
                <w:color w:val="auto"/>
              </w:rPr>
              <w:t>:</w:t>
            </w:r>
          </w:p>
        </w:tc>
        <w:tc>
          <w:tcPr>
            <w:tcW w:w="1040" w:type="dxa"/>
            <w:vAlign w:val="bottom"/>
          </w:tcPr>
          <w:p>
            <w:pPr>
              <w:ind w:left="680"/>
              <w:spacing w:after="0"/>
              <w:rPr>
                <w:sz w:val="20"/>
                <w:szCs w:val="20"/>
                <w:color w:val="auto"/>
              </w:rPr>
            </w:pPr>
            <w:r>
              <w:rPr>
                <w:rFonts w:ascii="Times New Roman" w:cs="Times New Roman" w:eastAsia="Times New Roman" w:hAnsi="Times New Roman"/>
                <w:sz w:val="16"/>
                <w:szCs w:val="16"/>
                <w:b w:val="1"/>
                <w:bCs w:val="1"/>
                <w:color w:val="auto"/>
                <w:w w:val="94"/>
              </w:rPr>
              <w:t>0.85x</w:t>
            </w:r>
          </w:p>
        </w:tc>
      </w:tr>
    </w:tbl>
    <w:p>
      <w:pPr>
        <w:spacing w:after="0" w:line="200" w:lineRule="exact"/>
        <w:rPr>
          <w:sz w:val="20"/>
          <w:szCs w:val="20"/>
          <w:color w:val="auto"/>
        </w:rPr>
      </w:pPr>
    </w:p>
    <w:p>
      <w:pPr>
        <w:sectPr>
          <w:pgSz w:w="11900" w:h="16838" w:orient="portrait"/>
          <w:cols w:equalWidth="0" w:num="2">
            <w:col w:w="7620" w:space="460"/>
            <w:col w:w="3340"/>
          </w:cols>
          <w:pgMar w:left="240" w:top="1229" w:right="239" w:bottom="1440" w:gutter="0" w:footer="0" w:header="0"/>
          <w:type w:val="continuous"/>
        </w:sectPr>
      </w:pPr>
    </w:p>
    <w:p>
      <w:pPr>
        <w:spacing w:after="0" w:line="10" w:lineRule="exact"/>
        <w:rPr>
          <w:sz w:val="20"/>
          <w:szCs w:val="20"/>
          <w:color w:val="auto"/>
        </w:rPr>
      </w:pPr>
    </w:p>
    <w:p>
      <w:pPr>
        <w:ind w:left="820" w:right="60" w:hanging="812"/>
        <w:spacing w:after="0" w:line="262" w:lineRule="auto"/>
        <w:tabs>
          <w:tab w:leader="none" w:pos="8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Daily average debt outstanding during the quarter divided by the daily average net assets during the quarter. Daily average net assets is calculated by starting with the prior quarter end net asset value and adjusting for capital activity during the quarter (adding common stock offerings / DRIP contributions).</w:t>
      </w: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9" w:right="2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22"/>
          <w:szCs w:val="22"/>
          <w:i w:val="1"/>
          <w:iCs w:val="1"/>
          <w:color w:val="FFFFFF"/>
        </w:rPr>
        <w:drawing>
          <wp:anchor simplePos="0" relativeHeight="251657728" behindDoc="1" locked="0" layoutInCell="0" allowOverlap="1">
            <wp:simplePos x="0" y="0"/>
            <wp:positionH relativeFrom="page">
              <wp:posOffset>157480</wp:posOffset>
            </wp:positionH>
            <wp:positionV relativeFrom="page">
              <wp:posOffset>706120</wp:posOffset>
            </wp:positionV>
            <wp:extent cx="7246620" cy="3429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3429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1132205" cy="4718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1132205" cy="471805"/>
                    </a:xfrm>
                    <a:prstGeom prst="rect">
                      <a:avLst/>
                    </a:prstGeom>
                    <a:noFill/>
                  </pic:spPr>
                </pic:pic>
              </a:graphicData>
            </a:graphic>
          </wp:anchor>
        </w:drawing>
        <w:t>Conference Call and Webcast</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Information:</w:t>
      </w:r>
    </w:p>
    <w:p>
      <w:pPr>
        <w:spacing w:after="0" w:line="162"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A conference call to discuss the Company’s financial results will be held live at 8:30 a.m. Eastern Time on August 1, 2019. Please visit TSLX’s webcast link located on the Events &amp; Presentations page of the Investor Resources section of TSLX’s website http://www.tpgspecialtylending.com for a slide presentation that complements the Earnings Conference Call. Please visit the website to test your connection before the webcast.</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Participants are also invited to access the conference call by dialing one of the following numbers: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Domestic: (877) 359-9508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International: +1 (253) 237-1122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Conference ID: 2291949</w:t>
      </w:r>
    </w:p>
    <w:p>
      <w:pPr>
        <w:spacing w:after="0" w:line="13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All callers will need to enter the Conference ID followed by the # sign and reference “TPG Specialty Lending” once connected with the operator. All callers are asked to dial in 10-15 minutes prior to the call so that name and company information can be collected.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Replay Information:</w:t>
      </w:r>
    </w:p>
    <w:p>
      <w:pPr>
        <w:spacing w:after="0" w:line="14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An archived replay will be available from approximately 12:00 p.m. Eastern Time on August 1 through August 7 via a webcast link located on the Investor Resources section of TSLX’s website, and via the dial-in numbers listed below:</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Domestic: (855) 859-2056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International: +1 (404) 537-3406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Conference ID: 2291949</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9" w:right="2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36"/>
          <w:szCs w:val="36"/>
          <w:b w:val="1"/>
          <w:bCs w:val="1"/>
          <w:color w:val="FFFFFF"/>
        </w:rPr>
        <w:drawing>
          <wp:anchor simplePos="0" relativeHeight="251657728" behindDoc="1" locked="0" layoutInCell="0" allowOverlap="1">
            <wp:simplePos x="0" y="0"/>
            <wp:positionH relativeFrom="page">
              <wp:posOffset>157480</wp:posOffset>
            </wp:positionH>
            <wp:positionV relativeFrom="page">
              <wp:posOffset>706120</wp:posOffset>
            </wp:positionV>
            <wp:extent cx="7246620" cy="4203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42037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1132205" cy="4718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1132205" cy="471805"/>
                    </a:xfrm>
                    <a:prstGeom prst="rect">
                      <a:avLst/>
                    </a:prstGeom>
                    <a:noFill/>
                  </pic:spPr>
                </pic:pic>
              </a:graphicData>
            </a:graphic>
          </wp:anchor>
        </w:drawing>
        <w:t>Financial Highlights</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(Amounts in millions, except per share amounts)</w:t>
      </w:r>
    </w:p>
    <w:p>
      <w:pPr>
        <w:sectPr>
          <w:pgSz w:w="11900" w:h="16838" w:orient="portrait"/>
          <w:cols w:equalWidth="0" w:num="1">
            <w:col w:w="11420"/>
          </w:cols>
          <w:pgMar w:left="240" w:top="118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Investments at Fair Value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Net Asset Value Per Share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Dividend Per Share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Pro Forma Net Asset Value Per Share</w:t>
            </w:r>
            <w:r>
              <w:rPr>
                <w:rFonts w:ascii="Times New Roman" w:cs="Times New Roman" w:eastAsia="Times New Roman" w:hAnsi="Times New Roman"/>
                <w:sz w:val="15"/>
                <w:szCs w:val="15"/>
                <w:color w:val="auto"/>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54"/>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54"/>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 Per Share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and Unrealized Gains (and Losses)</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6"/>
        </w:trPr>
        <w:tc>
          <w:tcPr>
            <w:tcW w:w="4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Per Share</w:t>
            </w:r>
          </w:p>
        </w:tc>
        <w:tc>
          <w:tcPr>
            <w:tcW w:w="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41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Annualized Return on Equity (Net Investment Income)</w:t>
            </w:r>
            <w:r>
              <w:rPr>
                <w:rFonts w:ascii="Times New Roman" w:cs="Times New Roman" w:eastAsia="Times New Roman" w:hAnsi="Times New Roman"/>
                <w:sz w:val="15"/>
                <w:szCs w:val="15"/>
                <w:color w:val="auto"/>
              </w:rPr>
              <w:t>(2)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Annualized Return on Equity (Net Income)</w:t>
            </w:r>
            <w:r>
              <w:rPr>
                <w:rFonts w:ascii="Times New Roman" w:cs="Times New Roman" w:eastAsia="Times New Roman" w:hAnsi="Times New Roman"/>
                <w:sz w:val="15"/>
                <w:szCs w:val="15"/>
                <w:color w:val="auto"/>
              </w:rPr>
              <w:t>(2)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Yield of Debt and Income Producing</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Securities at Fair Value</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Yield of Debt and Income Producing</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Securities at Amortized Cost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Debt Investment Commitments at Floating</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Rates </w:t>
            </w:r>
            <w:r>
              <w:rPr>
                <w:rFonts w:ascii="Times New Roman" w:cs="Times New Roman" w:eastAsia="Times New Roman" w:hAnsi="Times New Roman"/>
                <w:sz w:val="15"/>
                <w:szCs w:val="15"/>
                <w:color w:val="auto"/>
              </w:rPr>
              <w:t>(3)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43"/>
        </w:trPr>
        <w:tc>
          <w:tcPr>
            <w:tcW w:w="1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182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w w:val="97"/>
              </w:rPr>
              <w:t>June 30, 2019</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March 31, 2019</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June 30, 2018</w:t>
            </w:r>
          </w:p>
        </w:tc>
      </w:tr>
      <w:tr>
        <w:trPr>
          <w:trHeight w:val="218"/>
        </w:trPr>
        <w:tc>
          <w:tcPr>
            <w:tcW w:w="1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2,060.5</w:t>
            </w:r>
          </w:p>
        </w:tc>
        <w:tc>
          <w:tcPr>
            <w:tcW w:w="1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1,824.9</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top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1,955.1</w:t>
            </w:r>
          </w:p>
        </w:tc>
        <w:tc>
          <w:tcPr>
            <w:tcW w:w="160" w:type="dxa"/>
            <w:vAlign w:val="bottom"/>
          </w:tcPr>
          <w:p>
            <w:pPr>
              <w:spacing w:after="0"/>
              <w:rPr>
                <w:sz w:val="18"/>
                <w:szCs w:val="18"/>
                <w:color w:val="auto"/>
              </w:rPr>
            </w:pPr>
          </w:p>
        </w:tc>
      </w:tr>
      <w:tr>
        <w:trPr>
          <w:trHeight w:val="230"/>
        </w:trPr>
        <w:tc>
          <w:tcPr>
            <w:tcW w:w="1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2,089.7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1,849.5</w:t>
            </w:r>
          </w:p>
        </w:tc>
        <w:tc>
          <w:tcPr>
            <w:tcW w:w="320" w:type="dxa"/>
            <w:vAlign w:val="bottom"/>
          </w:tcPr>
          <w:p>
            <w:pPr>
              <w:spacing w:after="0"/>
              <w:rPr>
                <w:sz w:val="19"/>
                <w:szCs w:val="19"/>
                <w:color w:val="auto"/>
              </w:rPr>
            </w:pPr>
          </w:p>
        </w:tc>
        <w:tc>
          <w:tcPr>
            <w:tcW w:w="46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1,978.5</w:t>
            </w:r>
          </w:p>
        </w:tc>
        <w:tc>
          <w:tcPr>
            <w:tcW w:w="160" w:type="dxa"/>
            <w:vAlign w:val="bottom"/>
          </w:tcPr>
          <w:p>
            <w:pPr>
              <w:spacing w:after="0"/>
              <w:rPr>
                <w:sz w:val="19"/>
                <w:szCs w:val="19"/>
                <w:color w:val="auto"/>
              </w:rPr>
            </w:pPr>
          </w:p>
        </w:tc>
      </w:tr>
      <w:tr>
        <w:trPr>
          <w:trHeight w:val="230"/>
        </w:trPr>
        <w:tc>
          <w:tcPr>
            <w:tcW w:w="1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16.68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320" w:type="dxa"/>
            <w:vAlign w:val="bottom"/>
          </w:tcPr>
          <w:p>
            <w:pPr>
              <w:spacing w:after="0"/>
              <w:rPr>
                <w:sz w:val="19"/>
                <w:szCs w:val="19"/>
                <w:color w:val="auto"/>
              </w:rPr>
            </w:pPr>
          </w:p>
        </w:tc>
        <w:tc>
          <w:tcPr>
            <w:tcW w:w="46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160" w:type="dxa"/>
            <w:vAlign w:val="bottom"/>
          </w:tcPr>
          <w:p>
            <w:pPr>
              <w:spacing w:after="0"/>
              <w:rPr>
                <w:sz w:val="19"/>
                <w:szCs w:val="19"/>
                <w:color w:val="auto"/>
              </w:rPr>
            </w:pPr>
          </w:p>
        </w:tc>
      </w:tr>
      <w:tr>
        <w:trPr>
          <w:trHeight w:val="230"/>
        </w:trPr>
        <w:tc>
          <w:tcPr>
            <w:tcW w:w="1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0.04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320" w:type="dxa"/>
            <w:vAlign w:val="bottom"/>
          </w:tcPr>
          <w:p>
            <w:pPr>
              <w:spacing w:after="0"/>
              <w:rPr>
                <w:sz w:val="19"/>
                <w:szCs w:val="19"/>
                <w:color w:val="auto"/>
              </w:rPr>
            </w:pPr>
          </w:p>
        </w:tc>
        <w:tc>
          <w:tcPr>
            <w:tcW w:w="46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60" w:type="dxa"/>
            <w:vAlign w:val="bottom"/>
          </w:tcPr>
          <w:p>
            <w:pPr>
              <w:spacing w:after="0"/>
              <w:rPr>
                <w:sz w:val="19"/>
                <w:szCs w:val="19"/>
                <w:color w:val="auto"/>
              </w:rPr>
            </w:pPr>
          </w:p>
        </w:tc>
      </w:tr>
      <w:tr>
        <w:trPr>
          <w:trHeight w:val="234"/>
        </w:trPr>
        <w:tc>
          <w:tcPr>
            <w:tcW w:w="1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16.64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320" w:type="dxa"/>
            <w:vAlign w:val="bottom"/>
          </w:tcPr>
          <w:p>
            <w:pPr>
              <w:spacing w:after="0"/>
              <w:rPr>
                <w:sz w:val="20"/>
                <w:szCs w:val="20"/>
                <w:color w:val="auto"/>
              </w:rPr>
            </w:pPr>
          </w:p>
        </w:tc>
        <w:tc>
          <w:tcPr>
            <w:tcW w:w="46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160" w:type="dxa"/>
            <w:vAlign w:val="bottom"/>
          </w:tcPr>
          <w:p>
            <w:pPr>
              <w:spacing w:after="0"/>
              <w:rPr>
                <w:sz w:val="20"/>
                <w:szCs w:val="20"/>
                <w:color w:val="auto"/>
              </w:rPr>
            </w:pPr>
          </w:p>
        </w:tc>
      </w:tr>
      <w:tr>
        <w:trPr>
          <w:trHeight w:val="454"/>
        </w:trPr>
        <w:tc>
          <w:tcPr>
            <w:tcW w:w="1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62.4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320" w:type="dxa"/>
            <w:vAlign w:val="bottom"/>
          </w:tcPr>
          <w:p>
            <w:pPr>
              <w:spacing w:after="0"/>
              <w:rPr>
                <w:sz w:val="24"/>
                <w:szCs w:val="24"/>
                <w:color w:val="auto"/>
              </w:rPr>
            </w:pPr>
          </w:p>
        </w:tc>
        <w:tc>
          <w:tcPr>
            <w:tcW w:w="46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60" w:type="dxa"/>
            <w:vAlign w:val="bottom"/>
          </w:tcPr>
          <w:p>
            <w:pPr>
              <w:spacing w:after="0"/>
              <w:rPr>
                <w:sz w:val="24"/>
                <w:szCs w:val="24"/>
                <w:color w:val="auto"/>
              </w:rPr>
            </w:pPr>
          </w:p>
        </w:tc>
      </w:tr>
      <w:tr>
        <w:trPr>
          <w:trHeight w:val="230"/>
        </w:trPr>
        <w:tc>
          <w:tcPr>
            <w:tcW w:w="1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31.1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320" w:type="dxa"/>
            <w:vAlign w:val="bottom"/>
          </w:tcPr>
          <w:p>
            <w:pPr>
              <w:spacing w:after="0"/>
              <w:rPr>
                <w:sz w:val="19"/>
                <w:szCs w:val="19"/>
                <w:color w:val="auto"/>
              </w:rPr>
            </w:pPr>
          </w:p>
        </w:tc>
        <w:tc>
          <w:tcPr>
            <w:tcW w:w="46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60" w:type="dxa"/>
            <w:vAlign w:val="bottom"/>
          </w:tcPr>
          <w:p>
            <w:pPr>
              <w:spacing w:after="0"/>
              <w:rPr>
                <w:sz w:val="19"/>
                <w:szCs w:val="19"/>
                <w:color w:val="auto"/>
              </w:rPr>
            </w:pPr>
          </w:p>
        </w:tc>
      </w:tr>
      <w:tr>
        <w:trPr>
          <w:trHeight w:val="234"/>
        </w:trPr>
        <w:tc>
          <w:tcPr>
            <w:tcW w:w="1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47.8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320" w:type="dxa"/>
            <w:vAlign w:val="bottom"/>
          </w:tcPr>
          <w:p>
            <w:pPr>
              <w:spacing w:after="0"/>
              <w:rPr>
                <w:sz w:val="20"/>
                <w:szCs w:val="20"/>
                <w:color w:val="auto"/>
              </w:rPr>
            </w:pPr>
          </w:p>
        </w:tc>
        <w:tc>
          <w:tcPr>
            <w:tcW w:w="46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60" w:type="dxa"/>
            <w:vAlign w:val="bottom"/>
          </w:tcPr>
          <w:p>
            <w:pPr>
              <w:spacing w:after="0"/>
              <w:rPr>
                <w:sz w:val="20"/>
                <w:szCs w:val="20"/>
                <w:color w:val="auto"/>
              </w:rPr>
            </w:pPr>
          </w:p>
        </w:tc>
      </w:tr>
      <w:tr>
        <w:trPr>
          <w:trHeight w:val="459"/>
        </w:trPr>
        <w:tc>
          <w:tcPr>
            <w:tcW w:w="1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0.47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320" w:type="dxa"/>
            <w:vAlign w:val="bottom"/>
          </w:tcPr>
          <w:p>
            <w:pPr>
              <w:spacing w:after="0"/>
              <w:rPr>
                <w:sz w:val="24"/>
                <w:szCs w:val="24"/>
                <w:color w:val="auto"/>
              </w:rPr>
            </w:pPr>
          </w:p>
        </w:tc>
        <w:tc>
          <w:tcPr>
            <w:tcW w:w="46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160" w:type="dxa"/>
            <w:vAlign w:val="bottom"/>
          </w:tcPr>
          <w:p>
            <w:pPr>
              <w:spacing w:after="0"/>
              <w:rPr>
                <w:sz w:val="24"/>
                <w:szCs w:val="24"/>
                <w:color w:val="auto"/>
              </w:rPr>
            </w:pPr>
          </w:p>
        </w:tc>
      </w:tr>
      <w:tr>
        <w:trPr>
          <w:trHeight w:val="338"/>
        </w:trPr>
        <w:tc>
          <w:tcPr>
            <w:tcW w:w="1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0.25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320" w:type="dxa"/>
            <w:vAlign w:val="bottom"/>
          </w:tcPr>
          <w:p>
            <w:pPr>
              <w:spacing w:after="0"/>
              <w:rPr>
                <w:sz w:val="24"/>
                <w:szCs w:val="24"/>
                <w:color w:val="auto"/>
              </w:rPr>
            </w:pPr>
          </w:p>
        </w:tc>
        <w:tc>
          <w:tcPr>
            <w:tcW w:w="46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(0.04)</w:t>
            </w:r>
          </w:p>
        </w:tc>
      </w:tr>
      <w:tr>
        <w:trPr>
          <w:trHeight w:val="333"/>
        </w:trPr>
        <w:tc>
          <w:tcPr>
            <w:tcW w:w="1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0.72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320" w:type="dxa"/>
            <w:vAlign w:val="bottom"/>
          </w:tcPr>
          <w:p>
            <w:pPr>
              <w:spacing w:after="0"/>
              <w:rPr>
                <w:sz w:val="24"/>
                <w:szCs w:val="24"/>
                <w:color w:val="auto"/>
              </w:rPr>
            </w:pPr>
          </w:p>
        </w:tc>
        <w:tc>
          <w:tcPr>
            <w:tcW w:w="46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60" w:type="dxa"/>
            <w:vAlign w:val="bottom"/>
          </w:tcPr>
          <w:p>
            <w:pPr>
              <w:spacing w:after="0"/>
              <w:rPr>
                <w:sz w:val="24"/>
                <w:szCs w:val="24"/>
                <w:color w:val="auto"/>
              </w:rPr>
            </w:pPr>
          </w:p>
        </w:tc>
      </w:tr>
      <w:tr>
        <w:trPr>
          <w:trHeight w:val="230"/>
        </w:trPr>
        <w:tc>
          <w:tcPr>
            <w:tcW w:w="18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34"/>
        </w:trPr>
        <w:tc>
          <w:tcPr>
            <w:tcW w:w="18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17.7%</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14.5%</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567"/>
        </w:trPr>
        <w:tc>
          <w:tcPr>
            <w:tcW w:w="18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11.2%</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11.4%</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446"/>
        </w:trPr>
        <w:tc>
          <w:tcPr>
            <w:tcW w:w="18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11.4%</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11.6%</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446"/>
        </w:trPr>
        <w:tc>
          <w:tcPr>
            <w:tcW w:w="18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99.4%</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99.7%</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-2935605</wp:posOffset>
            </wp:positionH>
            <wp:positionV relativeFrom="paragraph">
              <wp:posOffset>-2957830</wp:posOffset>
            </wp:positionV>
            <wp:extent cx="7117715"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17715" cy="146050"/>
                    </a:xfrm>
                    <a:prstGeom prst="rect">
                      <a:avLst/>
                    </a:prstGeom>
                    <a:noFill/>
                  </pic:spPr>
                </pic:pic>
              </a:graphicData>
            </a:graphic>
          </wp:anchor>
        </w:drawing>
        <w:drawing>
          <wp:anchor simplePos="0" relativeHeight="251657728" behindDoc="1" locked="0" layoutInCell="0" allowOverlap="1">
            <wp:simplePos x="0" y="0"/>
            <wp:positionH relativeFrom="column">
              <wp:posOffset>-2935605</wp:posOffset>
            </wp:positionH>
            <wp:positionV relativeFrom="paragraph">
              <wp:posOffset>-2666365</wp:posOffset>
            </wp:positionV>
            <wp:extent cx="7117715" cy="146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17715" cy="146050"/>
                    </a:xfrm>
                    <a:prstGeom prst="rect">
                      <a:avLst/>
                    </a:prstGeom>
                    <a:noFill/>
                  </pic:spPr>
                </pic:pic>
              </a:graphicData>
            </a:graphic>
          </wp:anchor>
        </w:drawing>
        <w:drawing>
          <wp:anchor simplePos="0" relativeHeight="251657728" behindDoc="1" locked="0" layoutInCell="0" allowOverlap="1">
            <wp:simplePos x="0" y="0"/>
            <wp:positionH relativeFrom="column">
              <wp:posOffset>-2935605</wp:posOffset>
            </wp:positionH>
            <wp:positionV relativeFrom="paragraph">
              <wp:posOffset>-2374900</wp:posOffset>
            </wp:positionV>
            <wp:extent cx="7117715" cy="146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17715" cy="146050"/>
                    </a:xfrm>
                    <a:prstGeom prst="rect">
                      <a:avLst/>
                    </a:prstGeom>
                    <a:noFill/>
                  </pic:spPr>
                </pic:pic>
              </a:graphicData>
            </a:graphic>
          </wp:anchor>
        </w:drawing>
        <w:drawing>
          <wp:anchor simplePos="0" relativeHeight="251657728" behindDoc="1" locked="0" layoutInCell="0" allowOverlap="1">
            <wp:simplePos x="0" y="0"/>
            <wp:positionH relativeFrom="column">
              <wp:posOffset>-2935605</wp:posOffset>
            </wp:positionH>
            <wp:positionV relativeFrom="paragraph">
              <wp:posOffset>-2083435</wp:posOffset>
            </wp:positionV>
            <wp:extent cx="7117715" cy="14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17715" cy="146050"/>
                    </a:xfrm>
                    <a:prstGeom prst="rect">
                      <a:avLst/>
                    </a:prstGeom>
                    <a:noFill/>
                  </pic:spPr>
                </pic:pic>
              </a:graphicData>
            </a:graphic>
          </wp:anchor>
        </w:drawing>
        <w:drawing>
          <wp:anchor simplePos="0" relativeHeight="251657728" behindDoc="1" locked="0" layoutInCell="0" allowOverlap="1">
            <wp:simplePos x="0" y="0"/>
            <wp:positionH relativeFrom="column">
              <wp:posOffset>-2935605</wp:posOffset>
            </wp:positionH>
            <wp:positionV relativeFrom="paragraph">
              <wp:posOffset>-1791970</wp:posOffset>
            </wp:positionV>
            <wp:extent cx="7117715" cy="146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17715" cy="146050"/>
                    </a:xfrm>
                    <a:prstGeom prst="rect">
                      <a:avLst/>
                    </a:prstGeom>
                    <a:noFill/>
                  </pic:spPr>
                </pic:pic>
              </a:graphicData>
            </a:graphic>
          </wp:anchor>
        </w:drawing>
        <w:drawing>
          <wp:anchor simplePos="0" relativeHeight="251657728" behindDoc="1" locked="0" layoutInCell="0" allowOverlap="1">
            <wp:simplePos x="0" y="0"/>
            <wp:positionH relativeFrom="column">
              <wp:posOffset>-2935605</wp:posOffset>
            </wp:positionH>
            <wp:positionV relativeFrom="paragraph">
              <wp:posOffset>-1362710</wp:posOffset>
            </wp:positionV>
            <wp:extent cx="7117715" cy="146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17715" cy="146050"/>
                    </a:xfrm>
                    <a:prstGeom prst="rect">
                      <a:avLst/>
                    </a:prstGeom>
                    <a:noFill/>
                  </pic:spPr>
                </pic:pic>
              </a:graphicData>
            </a:graphic>
          </wp:anchor>
        </w:drawing>
        <w:drawing>
          <wp:anchor simplePos="0" relativeHeight="251657728" behindDoc="1" locked="0" layoutInCell="0" allowOverlap="1">
            <wp:simplePos x="0" y="0"/>
            <wp:positionH relativeFrom="column">
              <wp:posOffset>-2935605</wp:posOffset>
            </wp:positionH>
            <wp:positionV relativeFrom="paragraph">
              <wp:posOffset>-1071245</wp:posOffset>
            </wp:positionV>
            <wp:extent cx="7117715" cy="146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17715" cy="146050"/>
                    </a:xfrm>
                    <a:prstGeom prst="rect">
                      <a:avLst/>
                    </a:prstGeom>
                    <a:noFill/>
                  </pic:spPr>
                </pic:pic>
              </a:graphicData>
            </a:graphic>
          </wp:anchor>
        </w:drawing>
        <w:drawing>
          <wp:anchor simplePos="0" relativeHeight="251657728" behindDoc="1" locked="0" layoutInCell="0" allowOverlap="1">
            <wp:simplePos x="0" y="0"/>
            <wp:positionH relativeFrom="column">
              <wp:posOffset>-2935605</wp:posOffset>
            </wp:positionH>
            <wp:positionV relativeFrom="paragraph">
              <wp:posOffset>-779780</wp:posOffset>
            </wp:positionV>
            <wp:extent cx="7117715" cy="2832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17715" cy="283210"/>
                    </a:xfrm>
                    <a:prstGeom prst="rect">
                      <a:avLst/>
                    </a:prstGeom>
                    <a:noFill/>
                  </pic:spPr>
                </pic:pic>
              </a:graphicData>
            </a:graphic>
          </wp:anchor>
        </w:drawing>
        <w:drawing>
          <wp:anchor simplePos="0" relativeHeight="251657728" behindDoc="1" locked="0" layoutInCell="0" allowOverlap="1">
            <wp:simplePos x="0" y="0"/>
            <wp:positionH relativeFrom="column">
              <wp:posOffset>-2935605</wp:posOffset>
            </wp:positionH>
            <wp:positionV relativeFrom="paragraph">
              <wp:posOffset>-213995</wp:posOffset>
            </wp:positionV>
            <wp:extent cx="7117715" cy="2832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17715" cy="283210"/>
                    </a:xfrm>
                    <a:prstGeom prst="rect">
                      <a:avLst/>
                    </a:prstGeom>
                    <a:noFill/>
                  </pic:spPr>
                </pic:pic>
              </a:graphicData>
            </a:graphic>
          </wp:anchor>
        </w:drawing>
        <w:drawing>
          <wp:anchor simplePos="0" relativeHeight="251657728" behindDoc="1" locked="0" layoutInCell="0" allowOverlap="1">
            <wp:simplePos x="0" y="0"/>
            <wp:positionH relativeFrom="column">
              <wp:posOffset>-2935605</wp:posOffset>
            </wp:positionH>
            <wp:positionV relativeFrom="paragraph">
              <wp:posOffset>-3258185</wp:posOffset>
            </wp:positionV>
            <wp:extent cx="7117715" cy="1543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17715" cy="154305"/>
                    </a:xfrm>
                    <a:prstGeom prst="rect">
                      <a:avLst/>
                    </a:prstGeom>
                    <a:noFill/>
                  </pic:spPr>
                </pic:pic>
              </a:graphicData>
            </a:graphic>
          </wp:anchor>
        </w:drawing>
      </w:r>
    </w:p>
    <w:p>
      <w:pPr>
        <w:spacing w:after="0" w:line="234" w:lineRule="exact"/>
        <w:rPr>
          <w:sz w:val="20"/>
          <w:szCs w:val="20"/>
          <w:color w:val="auto"/>
        </w:rPr>
      </w:pPr>
    </w:p>
    <w:p>
      <w:pPr>
        <w:sectPr>
          <w:pgSz w:w="11900" w:h="16838" w:orient="portrait"/>
          <w:cols w:equalWidth="0" w:num="2">
            <w:col w:w="4400" w:space="340"/>
            <w:col w:w="6680"/>
          </w:cols>
          <w:pgMar w:left="240" w:top="1189" w:right="239" w:bottom="1440" w:gutter="0" w:footer="0" w:header="0"/>
          <w:type w:val="continuous"/>
        </w:sectPr>
      </w:pPr>
    </w:p>
    <w:p>
      <w:pPr>
        <w:ind w:left="820" w:hanging="812"/>
        <w:spacing w:after="0"/>
        <w:tabs>
          <w:tab w:leader="none" w:pos="8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 Forma Net Asset Value Per Share gives effect to the supplemental dividend declared related to earnings in the applicable period.</w:t>
      </w:r>
    </w:p>
    <w:p>
      <w:pPr>
        <w:spacing w:after="0" w:line="3" w:lineRule="exact"/>
        <w:rPr>
          <w:rFonts w:ascii="Times New Roman" w:cs="Times New Roman" w:eastAsia="Times New Roman" w:hAnsi="Times New Roman"/>
          <w:sz w:val="14"/>
          <w:szCs w:val="14"/>
          <w:color w:val="auto"/>
        </w:rPr>
      </w:pPr>
    </w:p>
    <w:p>
      <w:pPr>
        <w:ind w:left="820" w:hanging="812"/>
        <w:spacing w:after="0" w:line="221" w:lineRule="auto"/>
        <w:tabs>
          <w:tab w:leader="none" w:pos="8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Return on equity is calculated using prior period’s ending net asset value per share.</w:t>
      </w:r>
    </w:p>
    <w:p>
      <w:pPr>
        <w:ind w:left="820" w:hanging="812"/>
        <w:spacing w:after="0"/>
        <w:tabs>
          <w:tab w:leader="none" w:pos="8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one or more fixed rate investments for which the Company entered into an interest rate swap agreement to swap to floating rate.</w:t>
      </w:r>
    </w:p>
    <w:p>
      <w:pPr>
        <w:spacing w:after="0" w:line="3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9" w:right="239" w:bottom="1440" w:gutter="0" w:footer="0" w:header="0"/>
          <w:type w:val="continuous"/>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36"/>
          <w:szCs w:val="36"/>
          <w:b w:val="1"/>
          <w:bCs w:val="1"/>
          <w:color w:val="FFFFFF"/>
        </w:rPr>
        <w:drawing>
          <wp:anchor simplePos="0" relativeHeight="251657728" behindDoc="1" locked="0" layoutInCell="0" allowOverlap="1">
            <wp:simplePos x="0" y="0"/>
            <wp:positionH relativeFrom="page">
              <wp:posOffset>157480</wp:posOffset>
            </wp:positionH>
            <wp:positionV relativeFrom="page">
              <wp:posOffset>706120</wp:posOffset>
            </wp:positionV>
            <wp:extent cx="7246620" cy="4203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42037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1132205" cy="4718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1132205" cy="471805"/>
                    </a:xfrm>
                    <a:prstGeom prst="rect">
                      <a:avLst/>
                    </a:prstGeom>
                    <a:noFill/>
                  </pic:spPr>
                </pic:pic>
              </a:graphicData>
            </a:graphic>
          </wp:anchor>
        </w:drawing>
        <w:t>Financial Statements and Tables</w:t>
      </w:r>
    </w:p>
    <w:p>
      <w:pPr>
        <w:spacing w:after="0" w:line="378"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TPG Specialty Lending, Inc.</w:t>
      </w:r>
    </w:p>
    <w:p>
      <w:pPr>
        <w:spacing w:after="0" w:line="22"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color w:val="auto"/>
        </w:rPr>
        <w:t>Consolidated Balance Sheets</w:t>
      </w: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(Amounts in thousands, except share and per share amounts)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80" w:type="dxa"/>
            <w:vAlign w:val="bottom"/>
            <w:gridSpan w:val="2"/>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80" w:type="dxa"/>
            <w:vAlign w:val="bottom"/>
          </w:tcPr>
          <w:p>
            <w:pPr>
              <w:spacing w:after="0"/>
              <w:rPr>
                <w:sz w:val="14"/>
                <w:szCs w:val="14"/>
                <w:color w:val="auto"/>
              </w:rPr>
            </w:pPr>
          </w:p>
        </w:tc>
        <w:tc>
          <w:tcPr>
            <w:tcW w:w="162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7340" w:type="dxa"/>
            <w:vAlign w:val="bottom"/>
            <w:tcBorders>
              <w:bottom w:val="single" w:sz="8" w:color="CFF0FC"/>
            </w:tcBorders>
          </w:tcPr>
          <w:p>
            <w:pPr>
              <w:spacing w:after="0"/>
              <w:rPr>
                <w:sz w:val="15"/>
                <w:szCs w:val="15"/>
                <w:color w:val="auto"/>
              </w:rPr>
            </w:pPr>
          </w:p>
        </w:tc>
        <w:tc>
          <w:tcPr>
            <w:tcW w:w="160" w:type="dxa"/>
            <w:vAlign w:val="bottom"/>
            <w:tcBorders>
              <w:bottom w:val="single" w:sz="8" w:color="CFF0FC"/>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FF0F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Investments at fair value</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3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Non-controlled, non-affiliated investments (amortized cost of $1,912,392 and $1,546,780,</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3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respectively)</w:t>
            </w:r>
          </w:p>
        </w:tc>
        <w:tc>
          <w:tcPr>
            <w:tcW w:w="52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1,959,122</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1,565,532</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Non-controlled, affiliated investments (amortized cost of $49,962 and $84,602, respectively)</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49,918</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83,932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Controlled, affiliated investments (amortized cost of $87,974 and $85,018, respectively)</w:t>
            </w:r>
          </w:p>
        </w:tc>
        <w:tc>
          <w:tcPr>
            <w:tcW w:w="1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51,493</w:t>
            </w:r>
          </w:p>
        </w:tc>
        <w:tc>
          <w:tcPr>
            <w:tcW w:w="2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56,505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Total investments at fair value (amortized cost of $2,050,328 and $1,716,400, respectively)</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2,060,533</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1,705,969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(restricted cash of $4,965 and $7,303, respectively)</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9,962</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10,575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Interest receivable</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11,012</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8,225</w:t>
            </w:r>
          </w:p>
        </w:tc>
        <w:tc>
          <w:tcPr>
            <w:tcW w:w="2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34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2,089,732</w:t>
            </w:r>
          </w:p>
        </w:tc>
        <w:tc>
          <w:tcPr>
            <w:tcW w:w="28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1,730,324</w:t>
            </w: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Debt (net of deferred financing costs of $16,790 and $15,508, respectively)</w:t>
            </w:r>
          </w:p>
        </w:tc>
        <w:tc>
          <w:tcPr>
            <w:tcW w:w="5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929,855</w:t>
            </w:r>
          </w:p>
        </w:tc>
        <w:tc>
          <w:tcPr>
            <w:tcW w:w="28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608,007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Management fees payable to affiliate</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7,373</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7,069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Incentive fees payable to affiliate</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6,606</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Dividends payable</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25,752</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25,499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Other payables to affiliate</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2,458</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16,045</w:t>
            </w:r>
          </w:p>
        </w:tc>
        <w:tc>
          <w:tcPr>
            <w:tcW w:w="2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15,570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4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988,089</w:t>
            </w:r>
          </w:p>
        </w:tc>
        <w:tc>
          <w:tcPr>
            <w:tcW w:w="2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667,122</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Preferred stock, $0.01 par value; 100,000,000 shares authorized; no shares issued</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and outstanding</w:t>
            </w: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6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$0.01 par value; 400,000,000 shares authorized, 66,127,370 and 65,501,897 shares</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issued, respectively; and 66,038,290 and 65,412,817 shares outstanding, respectively</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1,003,391</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991,919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Treasury stock at cost; 89,080 and 89,080 shares held, respectively</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(1,359)</w:t>
            </w:r>
          </w:p>
        </w:tc>
        <w:tc>
          <w:tcPr>
            <w:tcW w:w="280" w:type="dxa"/>
            <w:vAlign w:val="bottom"/>
          </w:tcPr>
          <w:p>
            <w:pPr>
              <w:spacing w:after="0"/>
              <w:rPr>
                <w:sz w:val="19"/>
                <w:szCs w:val="19"/>
                <w:color w:val="auto"/>
              </w:rPr>
            </w:pP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Distributable earnings</w:t>
            </w:r>
          </w:p>
        </w:tc>
        <w:tc>
          <w:tcPr>
            <w:tcW w:w="1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98,950</w:t>
            </w:r>
          </w:p>
        </w:tc>
        <w:tc>
          <w:tcPr>
            <w:tcW w:w="2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71,987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4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Total Net Assets</w:t>
            </w:r>
          </w:p>
        </w:tc>
        <w:tc>
          <w:tcPr>
            <w:tcW w:w="1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1,101,643</w:t>
            </w:r>
          </w:p>
        </w:tc>
        <w:tc>
          <w:tcPr>
            <w:tcW w:w="2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1,063,202</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4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b w:val="1"/>
                <w:bCs w:val="1"/>
                <w:color w:val="auto"/>
              </w:rPr>
              <w:t>Total Liabilities and Net Assets</w:t>
            </w:r>
          </w:p>
        </w:tc>
        <w:tc>
          <w:tcPr>
            <w:tcW w:w="1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2,089,732</w:t>
            </w:r>
          </w:p>
        </w:tc>
        <w:tc>
          <w:tcPr>
            <w:tcW w:w="2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1,730,324</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Net Asset Value Per Share</w:t>
            </w:r>
          </w:p>
        </w:tc>
        <w:tc>
          <w:tcPr>
            <w:tcW w:w="52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2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7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15"/>
        </w:trPr>
        <w:tc>
          <w:tcPr>
            <w:tcW w:w="73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89" w:right="21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132205" cy="4718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1132205" cy="471805"/>
                    </a:xfrm>
                    <a:prstGeom prst="rect">
                      <a:avLst/>
                    </a:prstGeom>
                    <a:noFill/>
                  </pic:spPr>
                </pic:pic>
              </a:graphicData>
            </a:graphic>
          </wp:anchor>
        </w:drawing>
        <w:t>TPG Specialty Lending,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Consolidated Statements of Operations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in thousands, except share and per share amounts)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20" w:type="dxa"/>
            <w:vAlign w:val="bottom"/>
            <w:gridSpan w:val="5"/>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4"/>
                <w:szCs w:val="14"/>
                <w:color w:val="auto"/>
              </w:rPr>
            </w:pPr>
          </w:p>
        </w:tc>
        <w:tc>
          <w:tcPr>
            <w:tcW w:w="2820" w:type="dxa"/>
            <w:vAlign w:val="bottom"/>
            <w:gridSpan w:val="5"/>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5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140" w:type="dxa"/>
            <w:vAlign w:val="bottom"/>
          </w:tcPr>
          <w:p>
            <w:pPr>
              <w:spacing w:after="0"/>
              <w:rPr>
                <w:sz w:val="15"/>
                <w:szCs w:val="15"/>
                <w:color w:val="auto"/>
              </w:rPr>
            </w:pPr>
          </w:p>
        </w:tc>
        <w:tc>
          <w:tcPr>
            <w:tcW w:w="14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June 30, 2018</w:t>
            </w:r>
          </w:p>
        </w:tc>
        <w:tc>
          <w:tcPr>
            <w:tcW w:w="140" w:type="dxa"/>
            <w:vAlign w:val="bottom"/>
          </w:tcPr>
          <w:p>
            <w:pPr>
              <w:spacing w:after="0"/>
              <w:rPr>
                <w:sz w:val="15"/>
                <w:szCs w:val="15"/>
                <w:color w:val="auto"/>
              </w:rPr>
            </w:pPr>
          </w:p>
        </w:tc>
        <w:tc>
          <w:tcPr>
            <w:tcW w:w="14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140" w:type="dxa"/>
            <w:vAlign w:val="bottom"/>
          </w:tcPr>
          <w:p>
            <w:pPr>
              <w:spacing w:after="0"/>
              <w:rPr>
                <w:sz w:val="15"/>
                <w:szCs w:val="15"/>
                <w:color w:val="auto"/>
              </w:rPr>
            </w:pPr>
          </w:p>
        </w:tc>
        <w:tc>
          <w:tcPr>
            <w:tcW w:w="12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June 30, 2018</w:t>
            </w:r>
          </w:p>
        </w:tc>
        <w:tc>
          <w:tcPr>
            <w:tcW w:w="0" w:type="dxa"/>
            <w:vAlign w:val="bottom"/>
          </w:tcPr>
          <w:p>
            <w:pPr>
              <w:spacing w:after="0"/>
              <w:rPr>
                <w:sz w:val="1"/>
                <w:szCs w:val="1"/>
                <w:color w:val="auto"/>
              </w:rPr>
            </w:pPr>
          </w:p>
        </w:tc>
      </w:tr>
      <w:tr>
        <w:trPr>
          <w:trHeight w:val="156"/>
        </w:trPr>
        <w:tc>
          <w:tcPr>
            <w:tcW w:w="5040" w:type="dxa"/>
            <w:vAlign w:val="bottom"/>
            <w:tcBorders>
              <w:top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Income</w:t>
            </w:r>
          </w:p>
        </w:tc>
        <w:tc>
          <w:tcPr>
            <w:tcW w:w="3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12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14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14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16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Investment income from non-controlled, non-affiliated investments:</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Interest from investments</w:t>
            </w:r>
          </w:p>
        </w:tc>
        <w:tc>
          <w:tcPr>
            <w:tcW w:w="500" w:type="dxa"/>
            <w:vAlign w:val="bottom"/>
            <w:gridSpan w:val="2"/>
            <w:shd w:val="clear" w:color="auto" w:fill="CFF0FC"/>
          </w:tcPr>
          <w:p>
            <w:pPr>
              <w:jc w:val="right"/>
              <w:ind w:right="23"/>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57,632</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58,640</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104,155</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106,607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Dividend income</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Other income</w:t>
            </w:r>
          </w:p>
        </w:tc>
        <w:tc>
          <w:tcPr>
            <w:tcW w:w="36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1,940</w:t>
            </w:r>
          </w:p>
        </w:tc>
        <w:tc>
          <w:tcPr>
            <w:tcW w:w="26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3,035</w:t>
            </w:r>
          </w:p>
        </w:tc>
        <w:tc>
          <w:tcPr>
            <w:tcW w:w="26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4,018</w:t>
            </w:r>
          </w:p>
        </w:tc>
        <w:tc>
          <w:tcPr>
            <w:tcW w:w="26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8,854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40" w:type="dxa"/>
            <w:vAlign w:val="bottom"/>
          </w:tcPr>
          <w:p>
            <w:pPr>
              <w:ind w:left="500"/>
              <w:spacing w:after="0" w:line="155" w:lineRule="exact"/>
              <w:rPr>
                <w:sz w:val="20"/>
                <w:szCs w:val="20"/>
                <w:color w:val="auto"/>
              </w:rPr>
            </w:pPr>
            <w:r>
              <w:rPr>
                <w:rFonts w:ascii="Times New Roman" w:cs="Times New Roman" w:eastAsia="Times New Roman" w:hAnsi="Times New Roman"/>
                <w:sz w:val="14"/>
                <w:szCs w:val="14"/>
                <w:color w:val="auto"/>
              </w:rPr>
              <w:t>Total investment income from non-controlled, non-affiliated investments</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59,572</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61,675</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108,173</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115,657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Investment income from non-controlled, affiliated investments:</w:t>
            </w:r>
          </w:p>
        </w:tc>
        <w:tc>
          <w:tcPr>
            <w:tcW w:w="3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Interest from investments</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1,351</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3,762</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Other income</w:t>
            </w:r>
          </w:p>
        </w:tc>
        <w:tc>
          <w:tcPr>
            <w:tcW w:w="36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26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26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26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40" w:type="dxa"/>
            <w:vAlign w:val="bottom"/>
          </w:tcPr>
          <w:p>
            <w:pPr>
              <w:ind w:left="500"/>
              <w:spacing w:after="0" w:line="155" w:lineRule="exact"/>
              <w:rPr>
                <w:sz w:val="20"/>
                <w:szCs w:val="20"/>
                <w:color w:val="auto"/>
              </w:rPr>
            </w:pPr>
            <w:r>
              <w:rPr>
                <w:rFonts w:ascii="Times New Roman" w:cs="Times New Roman" w:eastAsia="Times New Roman" w:hAnsi="Times New Roman"/>
                <w:sz w:val="14"/>
                <w:szCs w:val="14"/>
                <w:color w:val="auto"/>
              </w:rPr>
              <w:t>Total investment income from non-controlled, affiliated investments</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1,370</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591</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3,812</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591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Investment income from controlled, affiliated investments:</w:t>
            </w:r>
          </w:p>
        </w:tc>
        <w:tc>
          <w:tcPr>
            <w:tcW w:w="3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Interest from investments</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1,481</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4,084</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2,920</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Other income</w:t>
            </w:r>
          </w:p>
        </w:tc>
        <w:tc>
          <w:tcPr>
            <w:tcW w:w="36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6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26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6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40" w:type="dxa"/>
            <w:vAlign w:val="bottom"/>
            <w:tcBorders>
              <w:bottom w:val="single" w:sz="8" w:color="CFF0FC"/>
            </w:tcBorders>
          </w:tcPr>
          <w:p>
            <w:pPr>
              <w:ind w:left="500"/>
              <w:spacing w:after="0" w:line="155" w:lineRule="exact"/>
              <w:rPr>
                <w:sz w:val="20"/>
                <w:szCs w:val="20"/>
                <w:color w:val="auto"/>
              </w:rPr>
            </w:pPr>
            <w:r>
              <w:rPr>
                <w:rFonts w:ascii="Times New Roman" w:cs="Times New Roman" w:eastAsia="Times New Roman" w:hAnsi="Times New Roman"/>
                <w:sz w:val="14"/>
                <w:szCs w:val="14"/>
                <w:color w:val="auto"/>
              </w:rPr>
              <w:t>Total investment income from controlled, affiliated investments</w:t>
            </w:r>
          </w:p>
        </w:tc>
        <w:tc>
          <w:tcPr>
            <w:tcW w:w="36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1,485</w:t>
            </w:r>
          </w:p>
        </w:tc>
        <w:tc>
          <w:tcPr>
            <w:tcW w:w="26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4,135</w:t>
            </w:r>
          </w:p>
        </w:tc>
        <w:tc>
          <w:tcPr>
            <w:tcW w:w="26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2,928</w:t>
            </w:r>
          </w:p>
        </w:tc>
        <w:tc>
          <w:tcPr>
            <w:tcW w:w="26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7,921</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040" w:type="dxa"/>
            <w:vAlign w:val="bottom"/>
            <w:shd w:val="clear" w:color="auto" w:fill="CFF0FC"/>
          </w:tcPr>
          <w:p>
            <w:pPr>
              <w:ind w:left="740"/>
              <w:spacing w:after="0" w:line="155" w:lineRule="exact"/>
              <w:rPr>
                <w:sz w:val="20"/>
                <w:szCs w:val="20"/>
                <w:color w:val="auto"/>
              </w:rPr>
            </w:pPr>
            <w:r>
              <w:rPr>
                <w:rFonts w:ascii="Times New Roman" w:cs="Times New Roman" w:eastAsia="Times New Roman" w:hAnsi="Times New Roman"/>
                <w:sz w:val="14"/>
                <w:szCs w:val="14"/>
                <w:b w:val="1"/>
                <w:bCs w:val="1"/>
                <w:color w:val="auto"/>
              </w:rPr>
              <w:t>Total Investment Income</w:t>
            </w:r>
          </w:p>
        </w:tc>
        <w:tc>
          <w:tcPr>
            <w:tcW w:w="36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12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62,427</w:t>
            </w:r>
          </w:p>
        </w:tc>
        <w:tc>
          <w:tcPr>
            <w:tcW w:w="26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14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66,401</w:t>
            </w:r>
          </w:p>
        </w:tc>
        <w:tc>
          <w:tcPr>
            <w:tcW w:w="26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14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114,913</w:t>
            </w:r>
          </w:p>
        </w:tc>
        <w:tc>
          <w:tcPr>
            <w:tcW w:w="26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16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124,169</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04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Expenses</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Interest</w:t>
            </w:r>
          </w:p>
        </w:tc>
        <w:tc>
          <w:tcPr>
            <w:tcW w:w="3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12,724</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11,161</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23,094</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20,231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Management fees</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7,373</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7,322</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13,995</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13,982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Incentive fees</w:t>
            </w:r>
          </w:p>
        </w:tc>
        <w:tc>
          <w:tcPr>
            <w:tcW w:w="3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6,606</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7,700</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12,256</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14,309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Professional fees</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1,897</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1,621</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3,191</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Directors’ fees</w:t>
            </w:r>
          </w:p>
        </w:tc>
        <w:tc>
          <w:tcPr>
            <w:tcW w:w="3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color w:val="auto"/>
              </w:rPr>
              <w:t>Other general and administrative</w:t>
            </w:r>
          </w:p>
        </w:tc>
        <w:tc>
          <w:tcPr>
            <w:tcW w:w="36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1,556</w:t>
            </w:r>
          </w:p>
        </w:tc>
        <w:tc>
          <w:tcPr>
            <w:tcW w:w="26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1,297</w:t>
            </w:r>
          </w:p>
        </w:tc>
        <w:tc>
          <w:tcPr>
            <w:tcW w:w="26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3,033</w:t>
            </w:r>
          </w:p>
        </w:tc>
        <w:tc>
          <w:tcPr>
            <w:tcW w:w="26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2,535</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40" w:type="dxa"/>
            <w:vAlign w:val="bottom"/>
            <w:shd w:val="clear" w:color="auto" w:fill="CFF0FC"/>
          </w:tcPr>
          <w:p>
            <w:pPr>
              <w:ind w:left="500"/>
              <w:spacing w:after="0" w:line="155" w:lineRule="exact"/>
              <w:rPr>
                <w:sz w:val="20"/>
                <w:szCs w:val="20"/>
                <w:color w:val="auto"/>
              </w:rPr>
            </w:pPr>
            <w:r>
              <w:rPr>
                <w:rFonts w:ascii="Times New Roman" w:cs="Times New Roman" w:eastAsia="Times New Roman" w:hAnsi="Times New Roman"/>
                <w:sz w:val="14"/>
                <w:szCs w:val="14"/>
                <w:color w:val="auto"/>
              </w:rPr>
              <w:t>Total expenses</w:t>
            </w:r>
          </w:p>
        </w:tc>
        <w:tc>
          <w:tcPr>
            <w:tcW w:w="36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12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30,285</w:t>
            </w:r>
          </w:p>
        </w:tc>
        <w:tc>
          <w:tcPr>
            <w:tcW w:w="26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14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29,199</w:t>
            </w:r>
          </w:p>
        </w:tc>
        <w:tc>
          <w:tcPr>
            <w:tcW w:w="26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14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55,833</w:t>
            </w:r>
          </w:p>
        </w:tc>
        <w:tc>
          <w:tcPr>
            <w:tcW w:w="26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16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54,993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040" w:type="dxa"/>
            <w:vAlign w:val="bottom"/>
            <w:tcBorders>
              <w:bottom w:val="single" w:sz="8" w:color="CFF0FC"/>
            </w:tcBorders>
          </w:tcPr>
          <w:p>
            <w:pPr>
              <w:spacing w:after="0" w:line="155" w:lineRule="exact"/>
              <w:rPr>
                <w:sz w:val="20"/>
                <w:szCs w:val="20"/>
                <w:color w:val="auto"/>
              </w:rPr>
            </w:pPr>
            <w:r>
              <w:rPr>
                <w:rFonts w:ascii="Times New Roman" w:cs="Times New Roman" w:eastAsia="Times New Roman" w:hAnsi="Times New Roman"/>
                <w:sz w:val="14"/>
                <w:szCs w:val="14"/>
                <w:color w:val="auto"/>
              </w:rPr>
              <w:t>Management and incentive fees waived</w:t>
            </w:r>
          </w:p>
        </w:tc>
        <w:tc>
          <w:tcPr>
            <w:tcW w:w="36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(63)</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040" w:type="dxa"/>
            <w:vAlign w:val="bottom"/>
            <w:shd w:val="clear" w:color="auto" w:fill="CFF0FC"/>
          </w:tcPr>
          <w:p>
            <w:pPr>
              <w:ind w:left="740"/>
              <w:spacing w:after="0" w:line="155" w:lineRule="exact"/>
              <w:rPr>
                <w:sz w:val="20"/>
                <w:szCs w:val="20"/>
                <w:color w:val="auto"/>
              </w:rPr>
            </w:pPr>
            <w:r>
              <w:rPr>
                <w:rFonts w:ascii="Times New Roman" w:cs="Times New Roman" w:eastAsia="Times New Roman" w:hAnsi="Times New Roman"/>
                <w:sz w:val="14"/>
                <w:szCs w:val="14"/>
                <w:b w:val="1"/>
                <w:bCs w:val="1"/>
                <w:color w:val="auto"/>
              </w:rPr>
              <w:t>Net Expenses</w:t>
            </w:r>
          </w:p>
        </w:tc>
        <w:tc>
          <w:tcPr>
            <w:tcW w:w="36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12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30,285</w:t>
            </w:r>
          </w:p>
        </w:tc>
        <w:tc>
          <w:tcPr>
            <w:tcW w:w="26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14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29,199</w:t>
            </w:r>
          </w:p>
        </w:tc>
        <w:tc>
          <w:tcPr>
            <w:tcW w:w="26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14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55,833</w:t>
            </w:r>
          </w:p>
        </w:tc>
        <w:tc>
          <w:tcPr>
            <w:tcW w:w="26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16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54,930</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04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Net Investment Income Before Income Taxes</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32,142</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37,202</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59,080</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69,239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Income taxes, including excise taxes</w:t>
            </w:r>
          </w:p>
        </w:tc>
        <w:tc>
          <w:tcPr>
            <w:tcW w:w="36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26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900</w:t>
            </w:r>
          </w:p>
        </w:tc>
        <w:tc>
          <w:tcPr>
            <w:tcW w:w="26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1,300</w:t>
            </w:r>
          </w:p>
        </w:tc>
        <w:tc>
          <w:tcPr>
            <w:tcW w:w="26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1,750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4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Net Investment Income</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31,142</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36,302</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57,780</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67,489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Unrealized and Realized Gains (Losses)</w:t>
            </w:r>
          </w:p>
        </w:tc>
        <w:tc>
          <w:tcPr>
            <w:tcW w:w="3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Net change in unrealized gains (losses):</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Non-controlled, non-affiliated investments</w:t>
            </w:r>
          </w:p>
        </w:tc>
        <w:tc>
          <w:tcPr>
            <w:tcW w:w="3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15,253</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(5,274)</w:t>
            </w:r>
          </w:p>
        </w:tc>
        <w:tc>
          <w:tcPr>
            <w:tcW w:w="14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28,067</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3,065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Non-controlled, affiliated investments</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(9)</w:t>
            </w: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62"/>
        </w:trPr>
        <w:tc>
          <w:tcPr>
            <w:tcW w:w="5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Controlled, affiliated investments</w:t>
            </w:r>
          </w:p>
        </w:tc>
        <w:tc>
          <w:tcPr>
            <w:tcW w:w="3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(4,299)</w:t>
            </w:r>
          </w:p>
        </w:tc>
        <w:tc>
          <w:tcPr>
            <w:tcW w:w="14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8,616</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(7,966)</w:t>
            </w:r>
          </w:p>
        </w:tc>
        <w:tc>
          <w:tcPr>
            <w:tcW w:w="14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5,244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Translation of other assets and liabilities in foreign currencies</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(764)</w:t>
            </w: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4,886</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(2,196)</w:t>
            </w:r>
          </w:p>
        </w:tc>
        <w:tc>
          <w:tcPr>
            <w:tcW w:w="1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Interest rate swaps</w:t>
            </w:r>
          </w:p>
        </w:tc>
        <w:tc>
          <w:tcPr>
            <w:tcW w:w="3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6,124</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(1,785)</w:t>
            </w:r>
          </w:p>
        </w:tc>
        <w:tc>
          <w:tcPr>
            <w:tcW w:w="14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9,443</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(5,979)</w:t>
            </w:r>
          </w:p>
        </w:tc>
        <w:tc>
          <w:tcPr>
            <w:tcW w:w="0" w:type="dxa"/>
            <w:vAlign w:val="bottom"/>
          </w:tcPr>
          <w:p>
            <w:pPr>
              <w:spacing w:after="0"/>
              <w:rPr>
                <w:sz w:val="1"/>
                <w:szCs w:val="1"/>
                <w:color w:val="auto"/>
              </w:rPr>
            </w:pPr>
          </w:p>
        </w:tc>
      </w:tr>
      <w:tr>
        <w:trPr>
          <w:trHeight w:val="156"/>
        </w:trPr>
        <w:tc>
          <w:tcPr>
            <w:tcW w:w="5040" w:type="dxa"/>
            <w:vAlign w:val="bottom"/>
            <w:tcBorders>
              <w:bottom w:val="single" w:sz="8" w:color="CFF0FC"/>
            </w:tcBorders>
          </w:tcPr>
          <w:p>
            <w:pPr>
              <w:ind w:left="740"/>
              <w:spacing w:after="0" w:line="155" w:lineRule="exact"/>
              <w:rPr>
                <w:sz w:val="20"/>
                <w:szCs w:val="20"/>
                <w:color w:val="auto"/>
              </w:rPr>
            </w:pPr>
            <w:r>
              <w:rPr>
                <w:rFonts w:ascii="Times New Roman" w:cs="Times New Roman" w:eastAsia="Times New Roman" w:hAnsi="Times New Roman"/>
                <w:sz w:val="14"/>
                <w:szCs w:val="14"/>
                <w:color w:val="auto"/>
              </w:rPr>
              <w:t>Total net change in unrealized gains</w:t>
            </w:r>
          </w:p>
        </w:tc>
        <w:tc>
          <w:tcPr>
            <w:tcW w:w="36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16,423</w:t>
            </w:r>
          </w:p>
        </w:tc>
        <w:tc>
          <w:tcPr>
            <w:tcW w:w="26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6,434</w:t>
            </w:r>
          </w:p>
        </w:tc>
        <w:tc>
          <w:tcPr>
            <w:tcW w:w="26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27,884</w:t>
            </w:r>
          </w:p>
        </w:tc>
        <w:tc>
          <w:tcPr>
            <w:tcW w:w="26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6,226</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040" w:type="dxa"/>
            <w:vAlign w:val="bottom"/>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Realized gains (losses):</w:t>
            </w:r>
          </w:p>
        </w:tc>
        <w:tc>
          <w:tcPr>
            <w:tcW w:w="3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0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Non-controlled, non-affiliated investments</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448</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Controlled, affiliated investments</w:t>
            </w:r>
          </w:p>
        </w:tc>
        <w:tc>
          <w:tcPr>
            <w:tcW w:w="3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(9,589)</w:t>
            </w:r>
          </w:p>
        </w:tc>
        <w:tc>
          <w:tcPr>
            <w:tcW w:w="14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570</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(9,589)</w:t>
            </w:r>
          </w:p>
        </w:tc>
        <w:tc>
          <w:tcPr>
            <w:tcW w:w="0" w:type="dxa"/>
            <w:vAlign w:val="bottom"/>
          </w:tcPr>
          <w:p>
            <w:pPr>
              <w:spacing w:after="0"/>
              <w:rPr>
                <w:sz w:val="1"/>
                <w:szCs w:val="1"/>
                <w:color w:val="auto"/>
              </w:rPr>
            </w:pPr>
          </w:p>
        </w:tc>
      </w:tr>
      <w:tr>
        <w:trPr>
          <w:trHeight w:val="162"/>
        </w:trPr>
        <w:tc>
          <w:tcPr>
            <w:tcW w:w="50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Foreign currency transactions</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(46)</w:t>
            </w:r>
          </w:p>
        </w:tc>
        <w:tc>
          <w:tcPr>
            <w:tcW w:w="140" w:type="dxa"/>
            <w:vAlign w:val="bottom"/>
          </w:tcPr>
          <w:p>
            <w:pPr>
              <w:spacing w:after="0"/>
              <w:rPr>
                <w:sz w:val="14"/>
                <w:szCs w:val="14"/>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(26)</w:t>
            </w:r>
          </w:p>
        </w:tc>
        <w:tc>
          <w:tcPr>
            <w:tcW w:w="140" w:type="dxa"/>
            <w:vAlign w:val="bottom"/>
          </w:tcPr>
          <w:p>
            <w:pPr>
              <w:spacing w:after="0"/>
              <w:rPr>
                <w:sz w:val="14"/>
                <w:szCs w:val="14"/>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(148)</w:t>
            </w:r>
          </w:p>
        </w:tc>
        <w:tc>
          <w:tcPr>
            <w:tcW w:w="1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40" w:type="dxa"/>
            <w:vAlign w:val="bottom"/>
            <w:tcBorders>
              <w:top w:val="single" w:sz="8" w:color="CFF0FC"/>
            </w:tcBorders>
            <w:shd w:val="clear" w:color="auto" w:fill="CFF0FC"/>
          </w:tcPr>
          <w:p>
            <w:pPr>
              <w:ind w:left="740"/>
              <w:spacing w:after="0" w:line="155" w:lineRule="exact"/>
              <w:rPr>
                <w:sz w:val="20"/>
                <w:szCs w:val="20"/>
                <w:color w:val="auto"/>
              </w:rPr>
            </w:pPr>
            <w:r>
              <w:rPr>
                <w:rFonts w:ascii="Times New Roman" w:cs="Times New Roman" w:eastAsia="Times New Roman" w:hAnsi="Times New Roman"/>
                <w:sz w:val="14"/>
                <w:szCs w:val="14"/>
                <w:color w:val="auto"/>
              </w:rPr>
              <w:t>Total net realized gains (losses)</w:t>
            </w:r>
          </w:p>
        </w:tc>
        <w:tc>
          <w:tcPr>
            <w:tcW w:w="3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rPr>
                <w:sz w:val="13"/>
                <w:szCs w:val="13"/>
                <w:color w:val="auto"/>
              </w:rPr>
            </w:pPr>
          </w:p>
        </w:tc>
        <w:tc>
          <w:tcPr>
            <w:tcW w:w="1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230</w:t>
            </w:r>
          </w:p>
        </w:tc>
        <w:tc>
          <w:tcPr>
            <w:tcW w:w="2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rPr>
                <w:sz w:val="13"/>
                <w:szCs w:val="13"/>
                <w:color w:val="auto"/>
              </w:rPr>
            </w:pPr>
          </w:p>
        </w:tc>
        <w:tc>
          <w:tcPr>
            <w:tcW w:w="1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(9,167)</w:t>
            </w:r>
          </w:p>
        </w:tc>
        <w:tc>
          <w:tcPr>
            <w:tcW w:w="2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rPr>
                <w:sz w:val="13"/>
                <w:szCs w:val="13"/>
                <w:color w:val="auto"/>
              </w:rPr>
            </w:pPr>
          </w:p>
        </w:tc>
        <w:tc>
          <w:tcPr>
            <w:tcW w:w="1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877</w:t>
            </w:r>
          </w:p>
        </w:tc>
        <w:tc>
          <w:tcPr>
            <w:tcW w:w="2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rPr>
                <w:sz w:val="13"/>
                <w:szCs w:val="13"/>
                <w:color w:val="auto"/>
              </w:rPr>
            </w:pPr>
          </w:p>
        </w:tc>
        <w:tc>
          <w:tcPr>
            <w:tcW w:w="11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(6,310)</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040" w:type="dxa"/>
            <w:vAlign w:val="bottom"/>
            <w:tcBorders>
              <w:bottom w:val="single" w:sz="8" w:color="CFF0FC"/>
            </w:tcBorders>
          </w:tcPr>
          <w:p>
            <w:pPr>
              <w:ind w:left="1000"/>
              <w:spacing w:after="0" w:line="155" w:lineRule="exact"/>
              <w:rPr>
                <w:sz w:val="20"/>
                <w:szCs w:val="20"/>
                <w:color w:val="auto"/>
              </w:rPr>
            </w:pPr>
            <w:r>
              <w:rPr>
                <w:rFonts w:ascii="Times New Roman" w:cs="Times New Roman" w:eastAsia="Times New Roman" w:hAnsi="Times New Roman"/>
                <w:sz w:val="14"/>
                <w:szCs w:val="14"/>
                <w:b w:val="1"/>
                <w:bCs w:val="1"/>
                <w:color w:val="auto"/>
              </w:rPr>
              <w:t>Total Net Unrealized and Realized Gains (Losses)</w:t>
            </w:r>
          </w:p>
        </w:tc>
        <w:tc>
          <w:tcPr>
            <w:tcW w:w="36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16,653</w:t>
            </w:r>
          </w:p>
        </w:tc>
        <w:tc>
          <w:tcPr>
            <w:tcW w:w="26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(2,733)</w:t>
            </w:r>
          </w:p>
        </w:tc>
        <w:tc>
          <w:tcPr>
            <w:tcW w:w="26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28,761</w:t>
            </w:r>
          </w:p>
        </w:tc>
        <w:tc>
          <w:tcPr>
            <w:tcW w:w="26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(84)</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040" w:type="dxa"/>
            <w:vAlign w:val="bottom"/>
            <w:tcBorders>
              <w:bottom w:val="single" w:sz="8" w:color="CFF0FC"/>
            </w:tcBorders>
            <w:shd w:val="clear" w:color="auto" w:fill="CFF0FC"/>
          </w:tcPr>
          <w:p>
            <w:pPr>
              <w:ind w:left="1000"/>
              <w:spacing w:after="0" w:line="155" w:lineRule="exact"/>
              <w:rPr>
                <w:sz w:val="20"/>
                <w:szCs w:val="20"/>
                <w:color w:val="auto"/>
              </w:rPr>
            </w:pPr>
            <w:r>
              <w:rPr>
                <w:rFonts w:ascii="Times New Roman" w:cs="Times New Roman" w:eastAsia="Times New Roman" w:hAnsi="Times New Roman"/>
                <w:sz w:val="14"/>
                <w:szCs w:val="14"/>
                <w:b w:val="1"/>
                <w:bCs w:val="1"/>
                <w:color w:val="auto"/>
              </w:rPr>
              <w:t>Increase in Net Assets Resulting from Operations</w:t>
            </w:r>
          </w:p>
        </w:tc>
        <w:tc>
          <w:tcPr>
            <w:tcW w:w="36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47,795</w:t>
            </w:r>
          </w:p>
        </w:tc>
        <w:tc>
          <w:tcPr>
            <w:tcW w:w="26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33,569</w:t>
            </w:r>
          </w:p>
        </w:tc>
        <w:tc>
          <w:tcPr>
            <w:tcW w:w="26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86,541</w:t>
            </w:r>
          </w:p>
        </w:tc>
        <w:tc>
          <w:tcPr>
            <w:tcW w:w="26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67,405</w:t>
            </w:r>
          </w:p>
        </w:tc>
        <w:tc>
          <w:tcPr>
            <w:tcW w:w="12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Earnings per common share—basic and diluted</w:t>
            </w:r>
          </w:p>
        </w:tc>
        <w:tc>
          <w:tcPr>
            <w:tcW w:w="5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040" w:type="dxa"/>
            <w:vAlign w:val="bottom"/>
            <w:tcBorders>
              <w:bottom w:val="single" w:sz="8" w:color="CFF0FC"/>
            </w:tcBorders>
            <w:vMerge w:val="continue"/>
          </w:tcPr>
          <w:p>
            <w:pPr>
              <w:spacing w:after="0"/>
              <w:rPr>
                <w:sz w:val="12"/>
                <w:szCs w:val="12"/>
                <w:color w:val="auto"/>
              </w:rPr>
            </w:pPr>
          </w:p>
        </w:tc>
        <w:tc>
          <w:tcPr>
            <w:tcW w:w="360" w:type="dxa"/>
            <w:vAlign w:val="bottom"/>
            <w:tcBorders>
              <w:bottom w:val="single" w:sz="8" w:color="CFF0FC"/>
            </w:tcBorders>
          </w:tcPr>
          <w:p>
            <w:pPr>
              <w:spacing w:after="0"/>
              <w:rPr>
                <w:sz w:val="12"/>
                <w:szCs w:val="12"/>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0.72</w:t>
            </w:r>
          </w:p>
        </w:tc>
        <w:tc>
          <w:tcPr>
            <w:tcW w:w="260" w:type="dxa"/>
            <w:vAlign w:val="bottom"/>
            <w:tcBorders>
              <w:bottom w:val="single" w:sz="8" w:color="CFF0FC"/>
            </w:tcBorders>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0.52</w:t>
            </w:r>
          </w:p>
        </w:tc>
        <w:tc>
          <w:tcPr>
            <w:tcW w:w="260" w:type="dxa"/>
            <w:vAlign w:val="bottom"/>
            <w:tcBorders>
              <w:bottom w:val="single" w:sz="8" w:color="CFF0FC"/>
            </w:tcBorders>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1.32</w:t>
            </w:r>
          </w:p>
        </w:tc>
        <w:tc>
          <w:tcPr>
            <w:tcW w:w="260" w:type="dxa"/>
            <w:vAlign w:val="bottom"/>
            <w:tcBorders>
              <w:bottom w:val="single" w:sz="8" w:color="CFF0FC"/>
            </w:tcBorders>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1.07</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040" w:type="dxa"/>
            <w:vAlign w:val="bottom"/>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Weighted average shares of common stock outstanding—basic and diluted</w:t>
            </w:r>
          </w:p>
        </w:tc>
        <w:tc>
          <w:tcPr>
            <w:tcW w:w="36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12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65,982,373</w:t>
            </w:r>
          </w:p>
        </w:tc>
        <w:tc>
          <w:tcPr>
            <w:tcW w:w="26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14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64,758,752</w:t>
            </w:r>
          </w:p>
        </w:tc>
        <w:tc>
          <w:tcPr>
            <w:tcW w:w="26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14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65,789,976</w:t>
            </w:r>
          </w:p>
        </w:tc>
        <w:tc>
          <w:tcPr>
            <w:tcW w:w="26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16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62,810,429</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089" w:right="239" w:bottom="1440" w:gutter="0" w:footer="0" w:header="0"/>
        </w:sectPr>
      </w:pPr>
    </w:p>
    <w:bookmarkStart w:id="10" w:name="page11"/>
    <w:bookmarkEnd w:id="10"/>
    <w:p>
      <w:pPr>
        <w:ind w:right="5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132205" cy="4718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1132205" cy="471805"/>
                    </a:xfrm>
                    <a:prstGeom prst="rect">
                      <a:avLst/>
                    </a:prstGeom>
                    <a:noFill/>
                  </pic:spPr>
                </pic:pic>
              </a:graphicData>
            </a:graphic>
          </wp:anchor>
        </w:drawing>
        <w:t>The Company’s investment activity for the three months ended June 30, 2019 and 2018 is presented below (information presented herein is at par value unless otherwise indicated).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2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60" w:type="dxa"/>
            <w:vAlign w:val="bottom"/>
            <w:gridSpan w:val="6"/>
          </w:tcPr>
          <w:p>
            <w:pPr>
              <w:jc w:val="right"/>
              <w:ind w:right="1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56"/>
        </w:trPr>
        <w:tc>
          <w:tcPr>
            <w:tcW w:w="5740" w:type="dxa"/>
            <w:vAlign w:val="bottom"/>
            <w:vMerge w:val="continue"/>
          </w:tcPr>
          <w:p>
            <w:pPr>
              <w:spacing w:after="0"/>
              <w:rPr>
                <w:sz w:val="13"/>
                <w:szCs w:val="13"/>
                <w:color w:val="auto"/>
              </w:rPr>
            </w:pPr>
          </w:p>
        </w:tc>
        <w:tc>
          <w:tcPr>
            <w:tcW w:w="20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gridSpan w:val="2"/>
          </w:tcPr>
          <w:p>
            <w:pPr>
              <w:jc w:val="right"/>
              <w:ind w:right="620"/>
              <w:spacing w:after="0" w:line="155" w:lineRule="exact"/>
              <w:rPr>
                <w:sz w:val="20"/>
                <w:szCs w:val="20"/>
                <w:color w:val="auto"/>
              </w:rPr>
            </w:pPr>
            <w:r>
              <w:rPr>
                <w:rFonts w:ascii="Times New Roman" w:cs="Times New Roman" w:eastAsia="Times New Roman" w:hAnsi="Times New Roman"/>
                <w:sz w:val="14"/>
                <w:szCs w:val="14"/>
                <w:b w:val="1"/>
                <w:bCs w:val="1"/>
                <w:color w:val="auto"/>
              </w:rPr>
              <w:t>June 30, 2019</w:t>
            </w:r>
          </w:p>
        </w:tc>
        <w:tc>
          <w:tcPr>
            <w:tcW w:w="1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right"/>
              <w:ind w:right="291"/>
              <w:spacing w:after="0" w:line="155" w:lineRule="exact"/>
              <w:rPr>
                <w:sz w:val="20"/>
                <w:szCs w:val="20"/>
                <w:color w:val="auto"/>
              </w:rPr>
            </w:pPr>
            <w:r>
              <w:rPr>
                <w:rFonts w:ascii="Times New Roman" w:cs="Times New Roman" w:eastAsia="Times New Roman" w:hAnsi="Times New Roman"/>
                <w:sz w:val="14"/>
                <w:szCs w:val="14"/>
                <w:b w:val="1"/>
                <w:bCs w:val="1"/>
                <w:color w:val="auto"/>
              </w:rPr>
              <w:t>June 30, 2018</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7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New investment commitments:</w:t>
            </w:r>
          </w:p>
        </w:tc>
        <w:tc>
          <w:tcPr>
            <w:tcW w:w="20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Gross originations</w:t>
            </w:r>
          </w:p>
        </w:tc>
        <w:tc>
          <w:tcPr>
            <w:tcW w:w="222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1,495.4</w:t>
            </w:r>
          </w:p>
        </w:tc>
        <w:tc>
          <w:tcPr>
            <w:tcW w:w="240" w:type="dxa"/>
            <w:vAlign w:val="bottom"/>
          </w:tcPr>
          <w:p>
            <w:pPr>
              <w:spacing w:after="0"/>
              <w:rPr>
                <w:sz w:val="19"/>
                <w:szCs w:val="19"/>
                <w:color w:val="auto"/>
              </w:rPr>
            </w:pP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Less: Syndications/sell downs</w:t>
            </w:r>
          </w:p>
        </w:tc>
        <w:tc>
          <w:tcPr>
            <w:tcW w:w="20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1,099.2</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new investment commitments</w:t>
            </w:r>
          </w:p>
        </w:tc>
        <w:tc>
          <w:tcPr>
            <w:tcW w:w="2000" w:type="dxa"/>
            <w:vAlign w:val="bottom"/>
          </w:tcPr>
          <w:p>
            <w:pPr>
              <w:spacing w:after="0"/>
              <w:rPr>
                <w:sz w:val="19"/>
                <w:szCs w:val="19"/>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Principal amount of investments funded:</w:t>
            </w:r>
          </w:p>
        </w:tc>
        <w:tc>
          <w:tcPr>
            <w:tcW w:w="2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First-lien</w:t>
            </w:r>
          </w:p>
        </w:tc>
        <w:tc>
          <w:tcPr>
            <w:tcW w:w="222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240" w:type="dxa"/>
            <w:vAlign w:val="bottom"/>
          </w:tcPr>
          <w:p>
            <w:pPr>
              <w:spacing w:after="0"/>
              <w:rPr>
                <w:sz w:val="19"/>
                <w:szCs w:val="19"/>
                <w:color w:val="auto"/>
              </w:rPr>
            </w:pP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Second-lien</w:t>
            </w:r>
          </w:p>
        </w:tc>
        <w:tc>
          <w:tcPr>
            <w:tcW w:w="2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Mezzanine</w:t>
            </w:r>
          </w:p>
        </w:tc>
        <w:tc>
          <w:tcPr>
            <w:tcW w:w="2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Equity and other</w:t>
            </w:r>
          </w:p>
        </w:tc>
        <w:tc>
          <w:tcPr>
            <w:tcW w:w="20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2000" w:type="dxa"/>
            <w:vAlign w:val="bottom"/>
          </w:tcPr>
          <w:p>
            <w:pPr>
              <w:spacing w:after="0"/>
              <w:rPr>
                <w:sz w:val="19"/>
                <w:szCs w:val="19"/>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Principal amount of investments sold or repaid:</w:t>
            </w:r>
          </w:p>
        </w:tc>
        <w:tc>
          <w:tcPr>
            <w:tcW w:w="2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First-lien</w:t>
            </w:r>
          </w:p>
        </w:tc>
        <w:tc>
          <w:tcPr>
            <w:tcW w:w="222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240" w:type="dxa"/>
            <w:vAlign w:val="bottom"/>
          </w:tcPr>
          <w:p>
            <w:pPr>
              <w:spacing w:after="0"/>
              <w:rPr>
                <w:sz w:val="19"/>
                <w:szCs w:val="19"/>
                <w:color w:val="auto"/>
              </w:rPr>
            </w:pP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Second-lien</w:t>
            </w:r>
          </w:p>
        </w:tc>
        <w:tc>
          <w:tcPr>
            <w:tcW w:w="2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Mezzanine</w:t>
            </w:r>
          </w:p>
        </w:tc>
        <w:tc>
          <w:tcPr>
            <w:tcW w:w="2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Equity and other</w:t>
            </w:r>
          </w:p>
        </w:tc>
        <w:tc>
          <w:tcPr>
            <w:tcW w:w="20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4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20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182.9</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5740" w:type="dxa"/>
            <w:vAlign w:val="bottom"/>
            <w:shd w:val="clear" w:color="auto" w:fill="CFF0FC"/>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Number of new investment commitments in</w:t>
            </w:r>
          </w:p>
        </w:tc>
        <w:tc>
          <w:tcPr>
            <w:tcW w:w="2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5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new portfolio companies</w:t>
            </w:r>
          </w:p>
        </w:tc>
        <w:tc>
          <w:tcPr>
            <w:tcW w:w="20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Average new investment commitment amount in</w:t>
            </w:r>
          </w:p>
        </w:tc>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new portfolio companies</w:t>
            </w:r>
          </w:p>
        </w:tc>
        <w:tc>
          <w:tcPr>
            <w:tcW w:w="222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240" w:type="dxa"/>
            <w:vAlign w:val="bottom"/>
          </w:tcPr>
          <w:p>
            <w:pPr>
              <w:spacing w:after="0"/>
              <w:rPr>
                <w:sz w:val="20"/>
                <w:szCs w:val="20"/>
                <w:color w:val="auto"/>
              </w:rPr>
            </w:pP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Weighted average term for new investment</w:t>
            </w:r>
          </w:p>
        </w:tc>
        <w:tc>
          <w:tcPr>
            <w:tcW w:w="2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commitments in new portfolio companies</w:t>
            </w:r>
          </w:p>
        </w:tc>
        <w:tc>
          <w:tcPr>
            <w:tcW w:w="2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(in years)</w:t>
            </w:r>
          </w:p>
        </w:tc>
        <w:tc>
          <w:tcPr>
            <w:tcW w:w="20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Percentage of new debt investment commitments</w:t>
            </w:r>
          </w:p>
        </w:tc>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at floating rates </w:t>
            </w:r>
            <w:r>
              <w:rPr>
                <w:rFonts w:ascii="Times New Roman" w:cs="Times New Roman" w:eastAsia="Times New Roman" w:hAnsi="Times New Roman"/>
                <w:sz w:val="15"/>
                <w:szCs w:val="15"/>
                <w:b w:val="1"/>
                <w:bCs w:val="1"/>
                <w:color w:val="auto"/>
              </w:rPr>
              <w:t>(1)</w:t>
            </w:r>
          </w:p>
        </w:tc>
        <w:tc>
          <w:tcPr>
            <w:tcW w:w="2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7"/>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Percentage of new debt investment commitments</w:t>
            </w:r>
          </w:p>
        </w:tc>
        <w:tc>
          <w:tcPr>
            <w:tcW w:w="2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at fixed rates</w:t>
            </w:r>
          </w:p>
        </w:tc>
        <w:tc>
          <w:tcPr>
            <w:tcW w:w="20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7"/>
        </w:trPr>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interest rate of new</w:t>
            </w:r>
          </w:p>
        </w:tc>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investment commitments</w:t>
            </w:r>
          </w:p>
        </w:tc>
        <w:tc>
          <w:tcPr>
            <w:tcW w:w="2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07"/>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Weighted average spread over LIBOR of new</w:t>
            </w:r>
          </w:p>
        </w:tc>
        <w:tc>
          <w:tcPr>
            <w:tcW w:w="2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floating rate investment commitments</w:t>
            </w:r>
          </w:p>
        </w:tc>
        <w:tc>
          <w:tcPr>
            <w:tcW w:w="20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07"/>
        </w:trPr>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interest rate on investments</w:t>
            </w:r>
          </w:p>
        </w:tc>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sold or paid down</w:t>
            </w:r>
          </w:p>
        </w:tc>
        <w:tc>
          <w:tcPr>
            <w:tcW w:w="2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820" w:hanging="812"/>
        <w:spacing w:after="0"/>
        <w:tabs>
          <w:tab w:leader="none" w:pos="8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two fixed rate investments for the three months ended June 30, 2019, for which the Company entered into interest rate swap agreements to swap to floating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094" w:right="2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132205" cy="4718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1132205" cy="471805"/>
                    </a:xfrm>
                    <a:prstGeom prst="rect">
                      <a:avLst/>
                    </a:prstGeom>
                    <a:noFill/>
                  </pic:spPr>
                </pic:pic>
              </a:graphicData>
            </a:graphic>
          </wp:anchor>
        </w:drawing>
        <w:t>About TPG Specialty Lending</w:t>
      </w:r>
    </w:p>
    <w:p>
      <w:pPr>
        <w:spacing w:after="0" w:line="112"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20"/>
          <w:szCs w:val="20"/>
          <w:color w:val="auto"/>
        </w:rPr>
        <w:t>TSLX is a specialty finance company focused on lending to middle-market companies. The Company seeks to generate current income primarily in U.S.-domiciled middle-market companies through direct originations of senior secured loans and, to a lesser extent, originations of mezzanine loans and investments in corporate bonds and equity securities. The Company has elected to be regulated as a business development company, or a BDC, under the Investment Company Act of 1940 and the rules and regulations promulgated thereunder. TSLX is externally managed by TSL Advisers, LLC, a Securities and Exchange Commission (“SEC”) registered investment adviser. TSLX leverages the deep investment, sector, and operating resources of TPG Sixth Street Partners (“TSSP”), a global finance and investment firm with over $31 billion of assets under management as of March 31, 2019. TSSP is in a strategic partnership with TPG, the global alternative asset firm. For more information, visit the Company’s website at www.tpgspecialtylending.com.</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112"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20"/>
          <w:szCs w:val="20"/>
          <w:color w:val="auto"/>
        </w:rPr>
        <w:t>Statements included herein may constitute “forward-looking statements,” which relate to future events or the Company’s future performance or financial condition. These statements are not guarantees of future performance, conditions or results and involve a number of risks and uncertainties. Actual results may differ materially from those in the forward-looking statements as a result of a number of factors, including those described from time to time in the Company’s filings with the Securities and Exchange Commission. The Company assumes no obligation to update any such forward-looking statements.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Investors: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Lucy Lu, 212–601-4753</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IRTSL@tpg.com</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Media:</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Patrick Clifford, 617-793-2004</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PClifford@tssp.com</w:t>
      </w:r>
    </w:p>
    <w:p>
      <w:pPr>
        <w:spacing w:after="0" w:line="2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w:t>
      </w:r>
    </w:p>
    <w:sectPr>
      <w:pgSz w:w="11900" w:h="16838" w:orient="portrait"/>
      <w:cols w:equalWidth="0" w:num="1">
        <w:col w:w="11420"/>
      </w:cols>
      <w:pgMar w:left="240" w:top="132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2019-12-28T09:35:27Z</dcterms:created>
  <dcterms:modified xsi:type="dcterms:W3CDTF">2019-12-28T09:35:27Z</dcterms:modified>
</cp:coreProperties>
</file>