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158750</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1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161290</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Pursuant to Section 13 or 15(d)</w:t>
      </w:r>
    </w:p>
    <w:p>
      <w:pPr>
        <w:jc w:val="center"/>
        <w:ind w:right="-1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May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88265</wp:posOffset>
            </wp:positionV>
            <wp:extent cx="164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05"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Sixth Street Specialty Lending,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90170</wp:posOffset>
            </wp:positionV>
            <wp:extent cx="1645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53" w:lineRule="exact"/>
        <w:rPr>
          <w:sz w:val="24"/>
          <w:szCs w:val="24"/>
          <w:color w:val="auto"/>
        </w:rPr>
      </w:pPr>
    </w:p>
    <w:tbl>
      <w:tblPr>
        <w:tblLayout w:type="fixed"/>
        <w:tblInd w:w="560" w:type="dxa"/>
        <w:tblCellMar>
          <w:top w:w="0" w:type="dxa"/>
          <w:left w:w="0" w:type="dxa"/>
          <w:bottom w:w="0" w:type="dxa"/>
          <w:right w:w="0" w:type="dxa"/>
        </w:tblCellMar>
      </w:tblPr>
      <w:tr>
        <w:trPr>
          <w:trHeight w:val="212"/>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3"/>
              </w:rPr>
              <w:t>Delaware</w:t>
            </w:r>
          </w:p>
        </w:tc>
        <w:tc>
          <w:tcPr>
            <w:tcW w:w="3220" w:type="dxa"/>
            <w:vAlign w:val="bottom"/>
          </w:tcPr>
          <w:p>
            <w:pPr>
              <w:ind w:left="1060"/>
              <w:spacing w:after="0"/>
              <w:rPr>
                <w:sz w:val="20"/>
                <w:szCs w:val="20"/>
                <w:color w:val="auto"/>
              </w:rPr>
            </w:pPr>
            <w:r>
              <w:rPr>
                <w:rFonts w:ascii="Arial" w:cs="Arial" w:eastAsia="Arial" w:hAnsi="Arial"/>
                <w:sz w:val="18"/>
                <w:szCs w:val="18"/>
                <w:b w:val="1"/>
                <w:bCs w:val="1"/>
                <w:color w:val="auto"/>
              </w:rPr>
              <w:t>001-36364</w:t>
            </w:r>
          </w:p>
        </w:tc>
        <w:tc>
          <w:tcPr>
            <w:tcW w:w="250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8"/>
        </w:trPr>
        <w:tc>
          <w:tcPr>
            <w:tcW w:w="3740" w:type="dxa"/>
            <w:vAlign w:val="bottom"/>
          </w:tcPr>
          <w:p>
            <w:pPr>
              <w:jc w:val="center"/>
              <w:ind w:right="9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220" w:type="dxa"/>
            <w:vAlign w:val="bottom"/>
          </w:tcPr>
          <w:p>
            <w:pPr>
              <w:ind w:left="1040"/>
              <w:spacing w:after="0" w:line="149" w:lineRule="exact"/>
              <w:rPr>
                <w:sz w:val="20"/>
                <w:szCs w:val="20"/>
                <w:color w:val="auto"/>
              </w:rPr>
            </w:pPr>
            <w:r>
              <w:rPr>
                <w:rFonts w:ascii="Arial" w:cs="Arial" w:eastAsia="Arial" w:hAnsi="Arial"/>
                <w:sz w:val="14"/>
                <w:szCs w:val="14"/>
                <w:b w:val="1"/>
                <w:bCs w:val="1"/>
                <w:color w:val="auto"/>
              </w:rPr>
              <w:t>(Commission</w:t>
            </w:r>
          </w:p>
        </w:tc>
        <w:tc>
          <w:tcPr>
            <w:tcW w:w="2500" w:type="dxa"/>
            <w:vAlign w:val="bottom"/>
          </w:tcPr>
          <w:p>
            <w:pPr>
              <w:jc w:val="center"/>
              <w:ind w:left="1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4"/>
              </w:rPr>
              <w:t>of Incorporation)</w:t>
            </w:r>
          </w:p>
        </w:tc>
        <w:tc>
          <w:tcPr>
            <w:tcW w:w="3220" w:type="dxa"/>
            <w:vAlign w:val="bottom"/>
          </w:tcPr>
          <w:p>
            <w:pPr>
              <w:ind w:left="1040"/>
              <w:spacing w:after="0"/>
              <w:rPr>
                <w:sz w:val="20"/>
                <w:szCs w:val="20"/>
                <w:color w:val="auto"/>
              </w:rPr>
            </w:pPr>
            <w:r>
              <w:rPr>
                <w:rFonts w:ascii="Arial" w:cs="Arial" w:eastAsia="Arial" w:hAnsi="Arial"/>
                <w:sz w:val="14"/>
                <w:szCs w:val="14"/>
                <w:b w:val="1"/>
                <w:bCs w:val="1"/>
                <w:color w:val="auto"/>
              </w:rPr>
              <w:t>File Number)</w:t>
            </w: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0"/>
              </w:rPr>
              <w:t>2100 McKinney Avenue, Suite 1500</w:t>
            </w:r>
          </w:p>
        </w:tc>
        <w:tc>
          <w:tcPr>
            <w:tcW w:w="32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2"/>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5"/>
              </w:rPr>
              <w:t>Dallas, TX</w:t>
            </w:r>
          </w:p>
        </w:tc>
        <w:tc>
          <w:tcPr>
            <w:tcW w:w="3220" w:type="dxa"/>
            <w:vAlign w:val="bottom"/>
          </w:tcPr>
          <w:p>
            <w:pPr>
              <w:spacing w:after="0"/>
              <w:rPr>
                <w:sz w:val="18"/>
                <w:szCs w:val="18"/>
                <w:color w:val="auto"/>
              </w:rPr>
            </w:pPr>
          </w:p>
        </w:tc>
        <w:tc>
          <w:tcPr>
            <w:tcW w:w="2500" w:type="dxa"/>
            <w:vAlign w:val="bottom"/>
          </w:tcPr>
          <w:p>
            <w:pPr>
              <w:jc w:val="right"/>
              <w:ind w:right="261"/>
              <w:spacing w:after="0"/>
              <w:rPr>
                <w:sz w:val="20"/>
                <w:szCs w:val="20"/>
                <w:color w:val="auto"/>
              </w:rPr>
            </w:pPr>
            <w:r>
              <w:rPr>
                <w:rFonts w:ascii="Arial" w:cs="Arial" w:eastAsia="Arial" w:hAnsi="Arial"/>
                <w:sz w:val="18"/>
                <w:szCs w:val="18"/>
                <w:b w:val="1"/>
                <w:bCs w:val="1"/>
                <w:color w:val="auto"/>
              </w:rPr>
              <w:t>75201</w:t>
            </w:r>
          </w:p>
        </w:tc>
      </w:tr>
      <w:tr>
        <w:trPr>
          <w:trHeight w:val="186"/>
        </w:trPr>
        <w:tc>
          <w:tcPr>
            <w:tcW w:w="3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20" w:type="dxa"/>
            <w:vAlign w:val="bottom"/>
          </w:tcPr>
          <w:p>
            <w:pPr>
              <w:spacing w:after="0"/>
              <w:rPr>
                <w:sz w:val="16"/>
                <w:szCs w:val="16"/>
                <w:color w:val="auto"/>
              </w:rPr>
            </w:pP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88"/>
              </w:rPr>
              <w:t>(zip code)</w:t>
            </w:r>
          </w:p>
        </w:tc>
      </w:tr>
    </w:tbl>
    <w:p>
      <w:pPr>
        <w:spacing w:after="0" w:line="18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68580</wp:posOffset>
            </wp:positionV>
            <wp:extent cx="16459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5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2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41" w:lineRule="exact"/>
        <w:rPr>
          <w:sz w:val="24"/>
          <w:szCs w:val="24"/>
          <w:color w:val="auto"/>
        </w:rPr>
      </w:pPr>
    </w:p>
    <w:tbl>
      <w:tblPr>
        <w:tblLayout w:type="fixed"/>
        <w:tblInd w:w="600" w:type="dxa"/>
        <w:tblCellMar>
          <w:top w:w="0" w:type="dxa"/>
          <w:left w:w="0" w:type="dxa"/>
          <w:bottom w:w="0" w:type="dxa"/>
          <w:right w:w="0" w:type="dxa"/>
        </w:tblCellMar>
      </w:tblPr>
      <w:tr>
        <w:trPr>
          <w:trHeight w:val="162"/>
        </w:trPr>
        <w:tc>
          <w:tcPr>
            <w:tcW w:w="3520" w:type="dxa"/>
            <w:vAlign w:val="bottom"/>
          </w:tcPr>
          <w:p>
            <w:pPr>
              <w:jc w:val="center"/>
              <w:ind w:right="848"/>
              <w:spacing w:after="0"/>
              <w:rPr>
                <w:sz w:val="20"/>
                <w:szCs w:val="20"/>
                <w:color w:val="auto"/>
              </w:rPr>
            </w:pPr>
            <w:r>
              <w:rPr>
                <w:rFonts w:ascii="Arial" w:cs="Arial" w:eastAsia="Arial" w:hAnsi="Arial"/>
                <w:sz w:val="14"/>
                <w:szCs w:val="14"/>
                <w:b w:val="1"/>
                <w:bCs w:val="1"/>
                <w:color w:val="auto"/>
                <w:w w:val="89"/>
              </w:rPr>
              <w:t>Title of each class</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580" w:type="dxa"/>
            <w:vAlign w:val="bottom"/>
          </w:tcPr>
          <w:p>
            <w:pPr>
              <w:jc w:val="center"/>
              <w:ind w:left="848"/>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6"/>
        </w:trPr>
        <w:tc>
          <w:tcPr>
            <w:tcW w:w="3520" w:type="dxa"/>
            <w:vAlign w:val="bottom"/>
          </w:tcPr>
          <w:p>
            <w:pPr>
              <w:jc w:val="center"/>
              <w:ind w:right="868"/>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rPr>
              <w:t>TSLX</w:t>
            </w:r>
          </w:p>
        </w:tc>
        <w:tc>
          <w:tcPr>
            <w:tcW w:w="3580" w:type="dxa"/>
            <w:vAlign w:val="bottom"/>
          </w:tcPr>
          <w:p>
            <w:pPr>
              <w:jc w:val="center"/>
              <w:ind w:left="848"/>
              <w:spacing w:after="0"/>
              <w:rPr>
                <w:sz w:val="20"/>
                <w:szCs w:val="20"/>
                <w:color w:val="auto"/>
              </w:rPr>
            </w:pPr>
            <w:r>
              <w:rPr>
                <w:rFonts w:ascii="Arial" w:cs="Arial" w:eastAsia="Arial" w:hAnsi="Arial"/>
                <w:sz w:val="14"/>
                <w:szCs w:val="14"/>
                <w:b w:val="1"/>
                <w:bCs w:val="1"/>
                <w:color w:val="auto"/>
                <w:w w:val="92"/>
              </w:rPr>
              <w:t>The 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86" w:lineRule="exact"/>
        <w:rPr>
          <w:sz w:val="24"/>
          <w:szCs w:val="24"/>
          <w:color w:val="auto"/>
        </w:rPr>
      </w:pPr>
    </w:p>
    <w:p>
      <w:pPr>
        <w:jc w:val="both"/>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79"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May 8, 2023, the registrant issued a press release announcing its financial results for the quarter ended March 31, 2023. The text of the press release is included as Exhibit 99.1 to this Form 8-K.</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May 8, 2023, the registrant issued a press release, included herewith as Exhibit 99.1, announcing the declaration of a second quarter 2023 base dividend per share of $0.46 to shareholders of record as of June 15, 2023, payable on June 30, 2023, and a first quarter 2023 supplemental dividend per share of $0.04 to shareholders of record as of May 31, 2023, payable on June 20, 2023.</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0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10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2440" w:type="dxa"/>
            <w:vAlign w:val="bottom"/>
            <w:tcBorders>
              <w:top w:val="single" w:sz="8" w:color="auto"/>
              <w:bottom w:val="single" w:sz="8" w:color="0000EE"/>
            </w:tcBorders>
          </w:tcPr>
          <w:p>
            <w:pPr>
              <w:ind w:left="20"/>
              <w:spacing w:after="0"/>
              <w:rPr>
                <w:sz w:val="20"/>
                <w:szCs w:val="20"/>
                <w:color w:val="auto"/>
              </w:rPr>
            </w:pPr>
            <w:r>
              <w:rPr>
                <w:rFonts w:ascii="Arial" w:cs="Arial" w:eastAsia="Arial" w:hAnsi="Arial"/>
                <w:sz w:val="18"/>
                <w:szCs w:val="18"/>
                <w:color w:val="0000EE"/>
                <w:w w:val="86"/>
              </w:rPr>
              <w:t>Press Release, dated May 8, 2023</w:t>
            </w:r>
          </w:p>
        </w:tc>
        <w:tc>
          <w:tcPr>
            <w:tcW w:w="75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0000" w:type="dxa"/>
            <w:vAlign w:val="bottom"/>
            <w:gridSpan w:val="2"/>
          </w:tcPr>
          <w:p>
            <w:pPr>
              <w:ind w:left="20"/>
              <w:spacing w:after="0"/>
              <w:rPr>
                <w:sz w:val="20"/>
                <w:szCs w:val="20"/>
                <w:color w:val="auto"/>
              </w:rPr>
            </w:pPr>
            <w:r>
              <w:rPr>
                <w:rFonts w:ascii="Arial" w:cs="Arial" w:eastAsia="Arial" w:hAnsi="Arial"/>
                <w:sz w:val="18"/>
                <w:szCs w:val="18"/>
                <w:color w:val="auto"/>
              </w:rPr>
              <w:t>The cover page of this Current Report on Form 8-K, formatted in Inline XBRL</w:t>
            </w:r>
          </w:p>
        </w:tc>
        <w:tc>
          <w:tcPr>
            <w:tcW w:w="0" w:type="dxa"/>
            <w:vAlign w:val="bottom"/>
          </w:tcPr>
          <w:p>
            <w:pPr>
              <w:spacing w:after="0"/>
              <w:rPr>
                <w:sz w:val="1"/>
                <w:szCs w:val="1"/>
                <w:color w:val="auto"/>
              </w:rPr>
            </w:pPr>
          </w:p>
        </w:tc>
      </w:tr>
      <w:tr>
        <w:trPr>
          <w:trHeight w:val="790"/>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7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480" w:type="dxa"/>
            <w:vAlign w:val="bottom"/>
          </w:tcPr>
          <w:p>
            <w:pPr>
              <w:spacing w:after="0"/>
              <w:rPr>
                <w:sz w:val="20"/>
                <w:szCs w:val="20"/>
                <w:color w:val="auto"/>
              </w:rPr>
            </w:pPr>
          </w:p>
        </w:tc>
        <w:tc>
          <w:tcPr>
            <w:tcW w:w="7760" w:type="dxa"/>
            <w:vAlign w:val="bottom"/>
            <w:gridSpan w:val="2"/>
          </w:tcPr>
          <w:p>
            <w:pPr>
              <w:ind w:left="2140"/>
              <w:spacing w:after="0"/>
              <w:rPr>
                <w:sz w:val="20"/>
                <w:szCs w:val="20"/>
                <w:color w:val="auto"/>
              </w:rPr>
            </w:pPr>
            <w:r>
              <w:rPr>
                <w:rFonts w:ascii="Arial" w:cs="Arial" w:eastAsia="Arial" w:hAnsi="Arial"/>
                <w:sz w:val="20"/>
                <w:szCs w:val="20"/>
                <w:color w:val="auto"/>
              </w:rPr>
              <w:t>SIXTH STREET SPECIALTY LENDING, INC.</w:t>
            </w:r>
          </w:p>
        </w:tc>
      </w:tr>
      <w:tr>
        <w:trPr>
          <w:trHeight w:val="230"/>
        </w:trPr>
        <w:tc>
          <w:tcPr>
            <w:tcW w:w="34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00" w:type="dxa"/>
            <w:vAlign w:val="bottom"/>
          </w:tcPr>
          <w:p>
            <w:pPr>
              <w:ind w:left="580"/>
              <w:spacing w:after="0"/>
              <w:rPr>
                <w:sz w:val="20"/>
                <w:szCs w:val="20"/>
                <w:color w:val="auto"/>
              </w:rPr>
            </w:pPr>
            <w:r>
              <w:rPr>
                <w:rFonts w:ascii="Arial" w:cs="Arial" w:eastAsia="Arial" w:hAnsi="Arial"/>
                <w:sz w:val="18"/>
                <w:szCs w:val="18"/>
                <w:color w:val="auto"/>
              </w:rPr>
              <w:t>(Registrant)</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May 8, 2023</w:t>
            </w:r>
          </w:p>
        </w:tc>
        <w:tc>
          <w:tcPr>
            <w:tcW w:w="7760" w:type="dxa"/>
            <w:vAlign w:val="bottom"/>
            <w:gridSpan w:val="2"/>
          </w:tcPr>
          <w:p>
            <w:pPr>
              <w:ind w:left="2140"/>
              <w:spacing w:after="0"/>
              <w:rPr>
                <w:sz w:val="20"/>
                <w:szCs w:val="20"/>
                <w:color w:val="auto"/>
              </w:rPr>
            </w:pPr>
            <w:r>
              <w:rPr>
                <w:rFonts w:ascii="Arial" w:cs="Arial" w:eastAsia="Arial" w:hAnsi="Arial"/>
                <w:sz w:val="18"/>
                <w:szCs w:val="18"/>
                <w:color w:val="auto"/>
              </w:rPr>
              <w:t>By: /s/ Ian Simmonds</w:t>
            </w:r>
          </w:p>
        </w:tc>
      </w:tr>
      <w:tr>
        <w:trPr>
          <w:trHeight w:val="195"/>
        </w:trPr>
        <w:tc>
          <w:tcPr>
            <w:tcW w:w="34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4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571" w:right="339" w:bottom="1440" w:gutter="0" w:footer="0" w:header="0"/>
        </w:sectPr>
      </w:pPr>
    </w:p>
    <w:bookmarkStart w:id="3" w:name="page4"/>
    <w:bookmarkEnd w:id="3"/>
    <w:p>
      <w:pPr>
        <w:jc w:val="right"/>
        <w:ind w:right="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371600" cy="402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FIRST QUARTER 2023 EARNINGS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p>
      <w:pPr>
        <w:jc w:val="both"/>
        <w:ind w:right="40"/>
        <w:spacing w:after="0" w:line="282" w:lineRule="auto"/>
        <w:rPr>
          <w:sz w:val="20"/>
          <w:szCs w:val="20"/>
          <w:color w:val="auto"/>
        </w:rPr>
      </w:pPr>
      <w:r>
        <w:rPr>
          <w:rFonts w:ascii="Arial" w:cs="Arial" w:eastAsia="Arial" w:hAnsi="Arial"/>
          <w:sz w:val="18"/>
          <w:szCs w:val="18"/>
          <w:b w:val="1"/>
          <w:bCs w:val="1"/>
          <w:color w:val="auto"/>
        </w:rPr>
        <w:t>Sixth Street Specialty Lending, Inc. Reports First Results; Declares a Second Quarter Base Dividend Per Share of $0.46, and a First Quarter Supplemental Dividend Per Share of $0.04</w:t>
      </w:r>
    </w:p>
    <w:p>
      <w:pPr>
        <w:spacing w:after="0" w:line="5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NEW YORK—May 8, 2023— Sixth Street Specialty Lending, Inc. (NYSE: TSLX, or the “Company”) today reported net investment income of $0.53 per share and net income of $0.65 per share for the first quarter ended March 31, 2023. These results correspond to an annualized return on equity (ROE) on net investment income and net income of 12.8% and 15.8%,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57150</wp:posOffset>
            </wp:positionV>
            <wp:extent cx="2348865" cy="248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Both net investment income per share and net income per share include approximately $0.02 per share of capital gains incentive fee expenses that were accrued, but not paid or payable, related to cumulative unrealized capital gains in excess of cumulative net realized capital gains less any cumulative unrealized losses and capital gains incentive fees paid inception-to-date. Excluding the impact of the accrued capital gains incentive fee expenses, the Company’s adjusted net investment income and adjusted net income for the quarter ended March 31, 2023, were $44.7 million, or $0.55 per share, and $54.7 million, or $0.67 per share, respectively. These results correspond to an annualized return on equity (ROE) on adjusted net investment income and adjusted net income of 13.3% and 16.3%, respectively. The Company’s strong net investment income in the first quarter reflects continued strength of the core earnings power of its portfolio. Net investment income was supported by elevated portfolio yields driven by higher interest rates.</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Reported net asset value (NAV) per share was $16.59 at March 31, 2023 as compared to NAV per share of $16.48 or an adjusted NAV per share of $16.39 at December 31, 2022 (which accounts for the impact of the $0.09 per share fourth quarter 2022 supplemental dividend). The drivers of this quarter’s NAV per share growth were primarily the continued overearning of the Company’s base quarterly dividend and net realized and unrealized gains related to certain portfolio-company specific events.</w:t>
      </w:r>
    </w:p>
    <w:p>
      <w:pPr>
        <w:spacing w:after="0" w:line="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announced that its Board of Directors has declared a second quarter 2023 base dividend of $0.46 per share to shareholders of record as of June 15, 2023, payable on June 30, 2023, and a first quarter supplemental dividend of $0.04 per share to shareholders of record as of May 31, 2023, payable on June 20, 2023. Adjusted for the impact of the supplemental dividend related to this quarter’s earnings, the Company’s Q1 adjusted NAV per share was $16.55.</w:t>
      </w:r>
    </w:p>
    <w:p>
      <w:pPr>
        <w:spacing w:after="0" w:line="5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quarter, the Company satisfied the maturity of its $150 million January 2023 unsecured notes through utilization of undrawn capacity on its revolving credit facility. The settlement marginally decreased the Company’s weighted average cost of debt and had no impact on leverage.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FFFFFF"/>
        </w:rPr>
        <w:t>Net Investment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23488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2520" w:type="dxa"/>
            <w:vAlign w:val="bottom"/>
            <w:gridSpan w:val="2"/>
          </w:tcPr>
          <w:p>
            <w:pPr>
              <w:ind w:left="20"/>
              <w:spacing w:after="0"/>
              <w:rPr>
                <w:sz w:val="20"/>
                <w:szCs w:val="20"/>
                <w:color w:val="auto"/>
              </w:rPr>
            </w:pPr>
            <w:r>
              <w:rPr>
                <w:rFonts w:ascii="Arial" w:cs="Arial" w:eastAsia="Arial" w:hAnsi="Arial"/>
                <w:sz w:val="18"/>
                <w:szCs w:val="18"/>
                <w:b w:val="1"/>
                <w:bCs w:val="1"/>
                <w:color w:val="auto"/>
              </w:rPr>
              <w:t>2023:</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$0.53</w:t>
            </w:r>
          </w:p>
        </w:tc>
      </w:tr>
      <w:tr>
        <w:trPr>
          <w:trHeight w:val="81"/>
        </w:trPr>
        <w:tc>
          <w:tcPr>
            <w:tcW w:w="320" w:type="dxa"/>
            <w:vAlign w:val="bottom"/>
            <w:tcBorders>
              <w:bottom w:val="single" w:sz="8" w:color="D9DDE1"/>
            </w:tcBorders>
          </w:tcPr>
          <w:p>
            <w:pPr>
              <w:spacing w:after="0"/>
              <w:rPr>
                <w:sz w:val="7"/>
                <w:szCs w:val="7"/>
                <w:color w:val="auto"/>
              </w:rPr>
            </w:pPr>
          </w:p>
        </w:tc>
        <w:tc>
          <w:tcPr>
            <w:tcW w:w="400" w:type="dxa"/>
            <w:vAlign w:val="bottom"/>
            <w:tcBorders>
              <w:bottom w:val="single" w:sz="8" w:color="D9DDE1"/>
            </w:tcBorders>
          </w:tcPr>
          <w:p>
            <w:pPr>
              <w:spacing w:after="0"/>
              <w:rPr>
                <w:sz w:val="7"/>
                <w:szCs w:val="7"/>
                <w:color w:val="auto"/>
              </w:rPr>
            </w:pPr>
          </w:p>
        </w:tc>
        <w:tc>
          <w:tcPr>
            <w:tcW w:w="2120" w:type="dxa"/>
            <w:vAlign w:val="bottom"/>
            <w:tcBorders>
              <w:bottom w:val="single" w:sz="8" w:color="D9DDE1"/>
            </w:tcBorders>
          </w:tcPr>
          <w:p>
            <w:pPr>
              <w:spacing w:after="0"/>
              <w:rPr>
                <w:sz w:val="7"/>
                <w:szCs w:val="7"/>
                <w:color w:val="auto"/>
              </w:rPr>
            </w:pPr>
          </w:p>
        </w:tc>
        <w:tc>
          <w:tcPr>
            <w:tcW w:w="860" w:type="dxa"/>
            <w:vAlign w:val="bottom"/>
            <w:tcBorders>
              <w:bottom w:val="single" w:sz="8" w:color="D9DDE1"/>
            </w:tcBorders>
          </w:tcPr>
          <w:p>
            <w:pPr>
              <w:spacing w:after="0"/>
              <w:rPr>
                <w:sz w:val="7"/>
                <w:szCs w:val="7"/>
                <w:color w:val="auto"/>
              </w:rPr>
            </w:pPr>
          </w:p>
        </w:tc>
      </w:tr>
      <w:tr>
        <w:trPr>
          <w:trHeight w:val="290"/>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2023</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(adjusted):</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$0.55</w:t>
            </w:r>
          </w:p>
        </w:tc>
      </w:tr>
      <w:tr>
        <w:trPr>
          <w:trHeight w:val="324"/>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7"/>
        </w:trPr>
        <w:tc>
          <w:tcPr>
            <w:tcW w:w="320" w:type="dxa"/>
            <w:vAlign w:val="bottom"/>
            <w:shd w:val="clear" w:color="auto" w:fill="0F2F50"/>
          </w:tcPr>
          <w:p>
            <w:pPr>
              <w:spacing w:after="0"/>
              <w:rPr>
                <w:sz w:val="24"/>
                <w:szCs w:val="24"/>
                <w:color w:val="auto"/>
              </w:rPr>
            </w:pPr>
          </w:p>
        </w:tc>
        <w:tc>
          <w:tcPr>
            <w:tcW w:w="400" w:type="dxa"/>
            <w:vAlign w:val="bottom"/>
            <w:shd w:val="clear" w:color="auto" w:fill="0F2F50"/>
          </w:tcPr>
          <w:p>
            <w:pPr>
              <w:spacing w:after="0"/>
              <w:rPr>
                <w:sz w:val="24"/>
                <w:szCs w:val="24"/>
                <w:color w:val="auto"/>
              </w:rPr>
            </w:pPr>
          </w:p>
        </w:tc>
        <w:tc>
          <w:tcPr>
            <w:tcW w:w="2120" w:type="dxa"/>
            <w:vAlign w:val="bottom"/>
            <w:shd w:val="clear" w:color="auto" w:fill="0F2F50"/>
          </w:tcPr>
          <w:p>
            <w:pPr>
              <w:jc w:val="center"/>
              <w:ind w:left="50"/>
              <w:spacing w:after="0"/>
              <w:rPr>
                <w:sz w:val="20"/>
                <w:szCs w:val="20"/>
                <w:color w:val="auto"/>
              </w:rPr>
            </w:pPr>
            <w:r>
              <w:rPr>
                <w:rFonts w:ascii="Arial" w:cs="Arial" w:eastAsia="Arial" w:hAnsi="Arial"/>
                <w:sz w:val="18"/>
                <w:szCs w:val="18"/>
                <w:b w:val="1"/>
                <w:bCs w:val="1"/>
                <w:color w:val="FFFFFF"/>
                <w:w w:val="91"/>
              </w:rPr>
              <w:t>Net Income Per Share</w:t>
            </w:r>
          </w:p>
        </w:tc>
        <w:tc>
          <w:tcPr>
            <w:tcW w:w="860" w:type="dxa"/>
            <w:vAlign w:val="bottom"/>
            <w:shd w:val="clear" w:color="auto" w:fill="0F2F50"/>
          </w:tcPr>
          <w:p>
            <w:pPr>
              <w:spacing w:after="0"/>
              <w:rPr>
                <w:sz w:val="24"/>
                <w:szCs w:val="24"/>
                <w:color w:val="auto"/>
              </w:rPr>
            </w:pPr>
          </w:p>
        </w:tc>
      </w:tr>
      <w:tr>
        <w:trPr>
          <w:trHeight w:val="108"/>
        </w:trPr>
        <w:tc>
          <w:tcPr>
            <w:tcW w:w="320" w:type="dxa"/>
            <w:vAlign w:val="bottom"/>
            <w:shd w:val="clear" w:color="auto" w:fill="0F2F50"/>
          </w:tcPr>
          <w:p>
            <w:pPr>
              <w:spacing w:after="0"/>
              <w:rPr>
                <w:sz w:val="9"/>
                <w:szCs w:val="9"/>
                <w:color w:val="auto"/>
              </w:rPr>
            </w:pPr>
          </w:p>
        </w:tc>
        <w:tc>
          <w:tcPr>
            <w:tcW w:w="2520" w:type="dxa"/>
            <w:vAlign w:val="bottom"/>
            <w:gridSpan w:val="2"/>
            <w:shd w:val="clear" w:color="auto" w:fill="0F2F50"/>
          </w:tcPr>
          <w:p>
            <w:pPr>
              <w:spacing w:after="0"/>
              <w:rPr>
                <w:sz w:val="9"/>
                <w:szCs w:val="9"/>
                <w:color w:val="auto"/>
              </w:rPr>
            </w:pPr>
          </w:p>
        </w:tc>
        <w:tc>
          <w:tcPr>
            <w:tcW w:w="860" w:type="dxa"/>
            <w:vAlign w:val="bottom"/>
            <w:shd w:val="clear" w:color="auto" w:fill="0F2F50"/>
          </w:tcPr>
          <w:p>
            <w:pPr>
              <w:spacing w:after="0"/>
              <w:rPr>
                <w:sz w:val="9"/>
                <w:szCs w:val="9"/>
                <w:color w:val="auto"/>
              </w:rPr>
            </w:pPr>
          </w:p>
        </w:tc>
      </w:tr>
      <w:tr>
        <w:trPr>
          <w:trHeight w:val="297"/>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2520" w:type="dxa"/>
            <w:vAlign w:val="bottom"/>
            <w:gridSpan w:val="2"/>
          </w:tcPr>
          <w:p>
            <w:pPr>
              <w:ind w:left="20"/>
              <w:spacing w:after="0"/>
              <w:rPr>
                <w:sz w:val="20"/>
                <w:szCs w:val="20"/>
                <w:color w:val="auto"/>
              </w:rPr>
            </w:pPr>
            <w:r>
              <w:rPr>
                <w:rFonts w:ascii="Arial" w:cs="Arial" w:eastAsia="Arial" w:hAnsi="Arial"/>
                <w:sz w:val="18"/>
                <w:szCs w:val="18"/>
                <w:b w:val="1"/>
                <w:bCs w:val="1"/>
                <w:color w:val="auto"/>
              </w:rPr>
              <w:t>2023:</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$0.65</w:t>
            </w:r>
          </w:p>
        </w:tc>
      </w:tr>
      <w:tr>
        <w:trPr>
          <w:trHeight w:val="81"/>
        </w:trPr>
        <w:tc>
          <w:tcPr>
            <w:tcW w:w="320" w:type="dxa"/>
            <w:vAlign w:val="bottom"/>
            <w:tcBorders>
              <w:bottom w:val="single" w:sz="8" w:color="D9DDE1"/>
            </w:tcBorders>
          </w:tcPr>
          <w:p>
            <w:pPr>
              <w:spacing w:after="0"/>
              <w:rPr>
                <w:sz w:val="7"/>
                <w:szCs w:val="7"/>
                <w:color w:val="auto"/>
              </w:rPr>
            </w:pPr>
          </w:p>
        </w:tc>
        <w:tc>
          <w:tcPr>
            <w:tcW w:w="400" w:type="dxa"/>
            <w:vAlign w:val="bottom"/>
            <w:tcBorders>
              <w:bottom w:val="single" w:sz="8" w:color="D9DDE1"/>
            </w:tcBorders>
          </w:tcPr>
          <w:p>
            <w:pPr>
              <w:spacing w:after="0"/>
              <w:rPr>
                <w:sz w:val="7"/>
                <w:szCs w:val="7"/>
                <w:color w:val="auto"/>
              </w:rPr>
            </w:pPr>
          </w:p>
        </w:tc>
        <w:tc>
          <w:tcPr>
            <w:tcW w:w="2120" w:type="dxa"/>
            <w:vAlign w:val="bottom"/>
            <w:tcBorders>
              <w:bottom w:val="single" w:sz="8" w:color="D9DDE1"/>
            </w:tcBorders>
          </w:tcPr>
          <w:p>
            <w:pPr>
              <w:spacing w:after="0"/>
              <w:rPr>
                <w:sz w:val="7"/>
                <w:szCs w:val="7"/>
                <w:color w:val="auto"/>
              </w:rPr>
            </w:pPr>
          </w:p>
        </w:tc>
        <w:tc>
          <w:tcPr>
            <w:tcW w:w="860" w:type="dxa"/>
            <w:vAlign w:val="bottom"/>
            <w:tcBorders>
              <w:bottom w:val="single" w:sz="8" w:color="D9DDE1"/>
            </w:tcBorders>
          </w:tcPr>
          <w:p>
            <w:pPr>
              <w:spacing w:after="0"/>
              <w:rPr>
                <w:sz w:val="7"/>
                <w:szCs w:val="7"/>
                <w:color w:val="auto"/>
              </w:rPr>
            </w:pPr>
          </w:p>
        </w:tc>
      </w:tr>
      <w:tr>
        <w:trPr>
          <w:trHeight w:val="290"/>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2023</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(adjusted):</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$0.67</w:t>
            </w:r>
          </w:p>
        </w:tc>
      </w:tr>
      <w:tr>
        <w:trPr>
          <w:trHeight w:val="324"/>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7"/>
        </w:trPr>
        <w:tc>
          <w:tcPr>
            <w:tcW w:w="320" w:type="dxa"/>
            <w:vAlign w:val="bottom"/>
            <w:shd w:val="clear" w:color="auto" w:fill="0F2F50"/>
          </w:tcPr>
          <w:p>
            <w:pPr>
              <w:spacing w:after="0"/>
              <w:rPr>
                <w:sz w:val="24"/>
                <w:szCs w:val="24"/>
                <w:color w:val="auto"/>
              </w:rPr>
            </w:pPr>
          </w:p>
        </w:tc>
        <w:tc>
          <w:tcPr>
            <w:tcW w:w="400" w:type="dxa"/>
            <w:vAlign w:val="bottom"/>
            <w:shd w:val="clear" w:color="auto" w:fill="0F2F50"/>
          </w:tcPr>
          <w:p>
            <w:pPr>
              <w:spacing w:after="0"/>
              <w:rPr>
                <w:sz w:val="24"/>
                <w:szCs w:val="24"/>
                <w:color w:val="auto"/>
              </w:rPr>
            </w:pPr>
          </w:p>
        </w:tc>
        <w:tc>
          <w:tcPr>
            <w:tcW w:w="2120" w:type="dxa"/>
            <w:vAlign w:val="bottom"/>
            <w:shd w:val="clear" w:color="auto" w:fill="0F2F50"/>
          </w:tcPr>
          <w:p>
            <w:pPr>
              <w:jc w:val="center"/>
              <w:ind w:left="30"/>
              <w:spacing w:after="0"/>
              <w:rPr>
                <w:sz w:val="20"/>
                <w:szCs w:val="20"/>
                <w:color w:val="auto"/>
              </w:rPr>
            </w:pPr>
            <w:r>
              <w:rPr>
                <w:rFonts w:ascii="Arial" w:cs="Arial" w:eastAsia="Arial" w:hAnsi="Arial"/>
                <w:sz w:val="18"/>
                <w:szCs w:val="18"/>
                <w:b w:val="1"/>
                <w:bCs w:val="1"/>
                <w:color w:val="FFFFFF"/>
                <w:w w:val="94"/>
              </w:rPr>
              <w:t>Annualized ROE</w:t>
            </w:r>
          </w:p>
        </w:tc>
        <w:tc>
          <w:tcPr>
            <w:tcW w:w="860" w:type="dxa"/>
            <w:vAlign w:val="bottom"/>
            <w:shd w:val="clear" w:color="auto" w:fill="0F2F50"/>
          </w:tcPr>
          <w:p>
            <w:pPr>
              <w:spacing w:after="0"/>
              <w:rPr>
                <w:sz w:val="24"/>
                <w:szCs w:val="24"/>
                <w:color w:val="auto"/>
              </w:rPr>
            </w:pPr>
          </w:p>
        </w:tc>
      </w:tr>
      <w:tr>
        <w:trPr>
          <w:trHeight w:val="95"/>
        </w:trPr>
        <w:tc>
          <w:tcPr>
            <w:tcW w:w="320" w:type="dxa"/>
            <w:vAlign w:val="bottom"/>
            <w:shd w:val="clear" w:color="auto" w:fill="0F2F50"/>
          </w:tcPr>
          <w:p>
            <w:pPr>
              <w:spacing w:after="0"/>
              <w:rPr>
                <w:sz w:val="8"/>
                <w:szCs w:val="8"/>
                <w:color w:val="auto"/>
              </w:rPr>
            </w:pPr>
          </w:p>
        </w:tc>
        <w:tc>
          <w:tcPr>
            <w:tcW w:w="400" w:type="dxa"/>
            <w:vAlign w:val="bottom"/>
            <w:shd w:val="clear" w:color="auto" w:fill="0F2F50"/>
          </w:tcPr>
          <w:p>
            <w:pPr>
              <w:spacing w:after="0"/>
              <w:rPr>
                <w:sz w:val="8"/>
                <w:szCs w:val="8"/>
                <w:color w:val="auto"/>
              </w:rPr>
            </w:pPr>
          </w:p>
        </w:tc>
        <w:tc>
          <w:tcPr>
            <w:tcW w:w="2120" w:type="dxa"/>
            <w:vAlign w:val="bottom"/>
            <w:shd w:val="clear" w:color="auto" w:fill="0F2F50"/>
          </w:tcPr>
          <w:p>
            <w:pPr>
              <w:spacing w:after="0"/>
              <w:rPr>
                <w:sz w:val="8"/>
                <w:szCs w:val="8"/>
                <w:color w:val="auto"/>
              </w:rPr>
            </w:pPr>
          </w:p>
        </w:tc>
        <w:tc>
          <w:tcPr>
            <w:tcW w:w="860" w:type="dxa"/>
            <w:vAlign w:val="bottom"/>
            <w:shd w:val="clear" w:color="auto" w:fill="0F2F50"/>
          </w:tcPr>
          <w:p>
            <w:pPr>
              <w:spacing w:after="0"/>
              <w:rPr>
                <w:sz w:val="8"/>
                <w:szCs w:val="8"/>
                <w:color w:val="auto"/>
              </w:rPr>
            </w:pPr>
          </w:p>
        </w:tc>
      </w:tr>
      <w:tr>
        <w:trPr>
          <w:trHeight w:val="32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2023</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(NII):</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12.8%</w:t>
            </w:r>
          </w:p>
        </w:tc>
      </w:tr>
      <w:tr>
        <w:trPr>
          <w:trHeight w:val="108"/>
        </w:trPr>
        <w:tc>
          <w:tcPr>
            <w:tcW w:w="320" w:type="dxa"/>
            <w:vAlign w:val="bottom"/>
            <w:tcBorders>
              <w:bottom w:val="single" w:sz="8" w:color="D9DDE1"/>
            </w:tcBorders>
          </w:tcPr>
          <w:p>
            <w:pPr>
              <w:spacing w:after="0"/>
              <w:rPr>
                <w:sz w:val="9"/>
                <w:szCs w:val="9"/>
                <w:color w:val="auto"/>
              </w:rPr>
            </w:pPr>
          </w:p>
        </w:tc>
        <w:tc>
          <w:tcPr>
            <w:tcW w:w="400" w:type="dxa"/>
            <w:vAlign w:val="bottom"/>
            <w:tcBorders>
              <w:bottom w:val="single" w:sz="8" w:color="D9DDE1"/>
            </w:tcBorders>
          </w:tcPr>
          <w:p>
            <w:pPr>
              <w:spacing w:after="0"/>
              <w:rPr>
                <w:sz w:val="9"/>
                <w:szCs w:val="9"/>
                <w:color w:val="auto"/>
              </w:rPr>
            </w:pPr>
          </w:p>
        </w:tc>
        <w:tc>
          <w:tcPr>
            <w:tcW w:w="2120" w:type="dxa"/>
            <w:vAlign w:val="bottom"/>
            <w:tcBorders>
              <w:bottom w:val="single" w:sz="8" w:color="D9DDE1"/>
            </w:tcBorders>
          </w:tcPr>
          <w:p>
            <w:pPr>
              <w:spacing w:after="0"/>
              <w:rPr>
                <w:sz w:val="9"/>
                <w:szCs w:val="9"/>
                <w:color w:val="auto"/>
              </w:rPr>
            </w:pPr>
          </w:p>
        </w:tc>
        <w:tc>
          <w:tcPr>
            <w:tcW w:w="860" w:type="dxa"/>
            <w:vAlign w:val="bottom"/>
            <w:tcBorders>
              <w:bottom w:val="single" w:sz="8" w:color="D9DDE1"/>
            </w:tcBorders>
          </w:tcPr>
          <w:p>
            <w:pPr>
              <w:spacing w:after="0"/>
              <w:rPr>
                <w:sz w:val="9"/>
                <w:szCs w:val="9"/>
                <w:color w:val="auto"/>
              </w:rPr>
            </w:pPr>
          </w:p>
        </w:tc>
      </w:tr>
      <w:tr>
        <w:trPr>
          <w:trHeight w:val="290"/>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2023</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(NI):</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15.8%</w:t>
            </w:r>
          </w:p>
        </w:tc>
      </w:tr>
      <w:tr>
        <w:trPr>
          <w:trHeight w:val="81"/>
        </w:trPr>
        <w:tc>
          <w:tcPr>
            <w:tcW w:w="320" w:type="dxa"/>
            <w:vAlign w:val="bottom"/>
            <w:tcBorders>
              <w:bottom w:val="single" w:sz="8" w:color="D9DDE1"/>
            </w:tcBorders>
          </w:tcPr>
          <w:p>
            <w:pPr>
              <w:spacing w:after="0"/>
              <w:rPr>
                <w:sz w:val="7"/>
                <w:szCs w:val="7"/>
                <w:color w:val="auto"/>
              </w:rPr>
            </w:pPr>
          </w:p>
        </w:tc>
        <w:tc>
          <w:tcPr>
            <w:tcW w:w="400" w:type="dxa"/>
            <w:vAlign w:val="bottom"/>
            <w:tcBorders>
              <w:bottom w:val="single" w:sz="8" w:color="D9DDE1"/>
            </w:tcBorders>
          </w:tcPr>
          <w:p>
            <w:pPr>
              <w:spacing w:after="0"/>
              <w:rPr>
                <w:sz w:val="7"/>
                <w:szCs w:val="7"/>
                <w:color w:val="auto"/>
              </w:rPr>
            </w:pPr>
          </w:p>
        </w:tc>
        <w:tc>
          <w:tcPr>
            <w:tcW w:w="2120" w:type="dxa"/>
            <w:vAlign w:val="bottom"/>
            <w:tcBorders>
              <w:bottom w:val="single" w:sz="8" w:color="D9DDE1"/>
            </w:tcBorders>
          </w:tcPr>
          <w:p>
            <w:pPr>
              <w:spacing w:after="0"/>
              <w:rPr>
                <w:sz w:val="7"/>
                <w:szCs w:val="7"/>
                <w:color w:val="auto"/>
              </w:rPr>
            </w:pPr>
          </w:p>
        </w:tc>
        <w:tc>
          <w:tcPr>
            <w:tcW w:w="860" w:type="dxa"/>
            <w:vAlign w:val="bottom"/>
            <w:tcBorders>
              <w:bottom w:val="single" w:sz="8" w:color="D9DDE1"/>
            </w:tcBorders>
          </w:tcPr>
          <w:p>
            <w:pPr>
              <w:spacing w:after="0"/>
              <w:rPr>
                <w:sz w:val="7"/>
                <w:szCs w:val="7"/>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2023</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(Adj NII):</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13.3%</w:t>
            </w:r>
          </w:p>
        </w:tc>
      </w:tr>
      <w:tr>
        <w:trPr>
          <w:trHeight w:val="81"/>
        </w:trPr>
        <w:tc>
          <w:tcPr>
            <w:tcW w:w="320" w:type="dxa"/>
            <w:vAlign w:val="bottom"/>
            <w:tcBorders>
              <w:bottom w:val="single" w:sz="8" w:color="D9DDE1"/>
            </w:tcBorders>
          </w:tcPr>
          <w:p>
            <w:pPr>
              <w:spacing w:after="0"/>
              <w:rPr>
                <w:sz w:val="7"/>
                <w:szCs w:val="7"/>
                <w:color w:val="auto"/>
              </w:rPr>
            </w:pPr>
          </w:p>
        </w:tc>
        <w:tc>
          <w:tcPr>
            <w:tcW w:w="400" w:type="dxa"/>
            <w:vAlign w:val="bottom"/>
            <w:tcBorders>
              <w:bottom w:val="single" w:sz="8" w:color="D9DDE1"/>
            </w:tcBorders>
          </w:tcPr>
          <w:p>
            <w:pPr>
              <w:spacing w:after="0"/>
              <w:rPr>
                <w:sz w:val="7"/>
                <w:szCs w:val="7"/>
                <w:color w:val="auto"/>
              </w:rPr>
            </w:pPr>
          </w:p>
        </w:tc>
        <w:tc>
          <w:tcPr>
            <w:tcW w:w="2120" w:type="dxa"/>
            <w:vAlign w:val="bottom"/>
            <w:tcBorders>
              <w:bottom w:val="single" w:sz="8" w:color="D9DDE1"/>
            </w:tcBorders>
          </w:tcPr>
          <w:p>
            <w:pPr>
              <w:spacing w:after="0"/>
              <w:rPr>
                <w:sz w:val="7"/>
                <w:szCs w:val="7"/>
                <w:color w:val="auto"/>
              </w:rPr>
            </w:pPr>
          </w:p>
        </w:tc>
        <w:tc>
          <w:tcPr>
            <w:tcW w:w="860" w:type="dxa"/>
            <w:vAlign w:val="bottom"/>
            <w:tcBorders>
              <w:bottom w:val="single" w:sz="8" w:color="D9DDE1"/>
            </w:tcBorders>
          </w:tcPr>
          <w:p>
            <w:pPr>
              <w:spacing w:after="0"/>
              <w:rPr>
                <w:sz w:val="7"/>
                <w:szCs w:val="7"/>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2023</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(Adj NI):</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16.3%</w:t>
            </w:r>
          </w:p>
        </w:tc>
      </w:tr>
      <w:tr>
        <w:trPr>
          <w:trHeight w:val="324"/>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7"/>
        </w:trPr>
        <w:tc>
          <w:tcPr>
            <w:tcW w:w="320" w:type="dxa"/>
            <w:vAlign w:val="bottom"/>
            <w:shd w:val="clear" w:color="auto" w:fill="0F2F50"/>
          </w:tcPr>
          <w:p>
            <w:pPr>
              <w:spacing w:after="0"/>
              <w:rPr>
                <w:sz w:val="24"/>
                <w:szCs w:val="24"/>
                <w:color w:val="auto"/>
              </w:rPr>
            </w:pPr>
          </w:p>
        </w:tc>
        <w:tc>
          <w:tcPr>
            <w:tcW w:w="400" w:type="dxa"/>
            <w:vAlign w:val="bottom"/>
            <w:shd w:val="clear" w:color="auto" w:fill="0F2F50"/>
          </w:tcPr>
          <w:p>
            <w:pPr>
              <w:spacing w:after="0"/>
              <w:rPr>
                <w:sz w:val="24"/>
                <w:szCs w:val="24"/>
                <w:color w:val="auto"/>
              </w:rPr>
            </w:pPr>
          </w:p>
        </w:tc>
        <w:tc>
          <w:tcPr>
            <w:tcW w:w="2120" w:type="dxa"/>
            <w:vAlign w:val="bottom"/>
            <w:shd w:val="clear" w:color="auto" w:fill="0F2F50"/>
          </w:tcPr>
          <w:p>
            <w:pPr>
              <w:jc w:val="center"/>
              <w:ind w:left="50"/>
              <w:spacing w:after="0"/>
              <w:rPr>
                <w:sz w:val="20"/>
                <w:szCs w:val="20"/>
                <w:color w:val="auto"/>
              </w:rPr>
            </w:pPr>
            <w:r>
              <w:rPr>
                <w:rFonts w:ascii="Arial" w:cs="Arial" w:eastAsia="Arial" w:hAnsi="Arial"/>
                <w:sz w:val="18"/>
                <w:szCs w:val="18"/>
                <w:b w:val="1"/>
                <w:bCs w:val="1"/>
                <w:color w:val="FFFFFF"/>
                <w:w w:val="99"/>
              </w:rPr>
              <w:t>NAV</w:t>
            </w:r>
          </w:p>
        </w:tc>
        <w:tc>
          <w:tcPr>
            <w:tcW w:w="860" w:type="dxa"/>
            <w:vAlign w:val="bottom"/>
            <w:shd w:val="clear" w:color="auto" w:fill="0F2F50"/>
          </w:tcPr>
          <w:p>
            <w:pPr>
              <w:spacing w:after="0"/>
              <w:rPr>
                <w:sz w:val="24"/>
                <w:szCs w:val="24"/>
                <w:color w:val="auto"/>
              </w:rPr>
            </w:pPr>
          </w:p>
        </w:tc>
      </w:tr>
      <w:tr>
        <w:trPr>
          <w:trHeight w:val="94"/>
        </w:trPr>
        <w:tc>
          <w:tcPr>
            <w:tcW w:w="320" w:type="dxa"/>
            <w:vAlign w:val="bottom"/>
            <w:shd w:val="clear" w:color="auto" w:fill="0F2F50"/>
          </w:tcPr>
          <w:p>
            <w:pPr>
              <w:spacing w:after="0"/>
              <w:rPr>
                <w:sz w:val="8"/>
                <w:szCs w:val="8"/>
                <w:color w:val="auto"/>
              </w:rPr>
            </w:pPr>
          </w:p>
        </w:tc>
        <w:tc>
          <w:tcPr>
            <w:tcW w:w="400" w:type="dxa"/>
            <w:vAlign w:val="bottom"/>
            <w:shd w:val="clear" w:color="auto" w:fill="0F2F50"/>
          </w:tcPr>
          <w:p>
            <w:pPr>
              <w:spacing w:after="0"/>
              <w:rPr>
                <w:sz w:val="8"/>
                <w:szCs w:val="8"/>
                <w:color w:val="auto"/>
              </w:rPr>
            </w:pPr>
          </w:p>
        </w:tc>
        <w:tc>
          <w:tcPr>
            <w:tcW w:w="2120" w:type="dxa"/>
            <w:vAlign w:val="bottom"/>
            <w:shd w:val="clear" w:color="auto" w:fill="0F2F50"/>
          </w:tcPr>
          <w:p>
            <w:pPr>
              <w:spacing w:after="0"/>
              <w:rPr>
                <w:sz w:val="8"/>
                <w:szCs w:val="8"/>
                <w:color w:val="auto"/>
              </w:rPr>
            </w:pPr>
          </w:p>
        </w:tc>
        <w:tc>
          <w:tcPr>
            <w:tcW w:w="860" w:type="dxa"/>
            <w:vAlign w:val="bottom"/>
            <w:shd w:val="clear" w:color="auto" w:fill="0F2F50"/>
          </w:tcPr>
          <w:p>
            <w:pPr>
              <w:spacing w:after="0"/>
              <w:rPr>
                <w:sz w:val="8"/>
                <w:szCs w:val="8"/>
                <w:color w:val="auto"/>
              </w:rPr>
            </w:pPr>
          </w:p>
        </w:tc>
      </w:tr>
      <w:tr>
        <w:trPr>
          <w:trHeight w:val="31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2023</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($MM):</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$1,356.0</w:t>
            </w:r>
          </w:p>
        </w:tc>
      </w:tr>
      <w:tr>
        <w:trPr>
          <w:trHeight w:val="94"/>
        </w:trPr>
        <w:tc>
          <w:tcPr>
            <w:tcW w:w="320" w:type="dxa"/>
            <w:vAlign w:val="bottom"/>
            <w:tcBorders>
              <w:bottom w:val="single" w:sz="8" w:color="D9DDE1"/>
            </w:tcBorders>
          </w:tcPr>
          <w:p>
            <w:pPr>
              <w:spacing w:after="0"/>
              <w:rPr>
                <w:sz w:val="8"/>
                <w:szCs w:val="8"/>
                <w:color w:val="auto"/>
              </w:rPr>
            </w:pPr>
          </w:p>
        </w:tc>
        <w:tc>
          <w:tcPr>
            <w:tcW w:w="400" w:type="dxa"/>
            <w:vAlign w:val="bottom"/>
            <w:tcBorders>
              <w:bottom w:val="single" w:sz="8" w:color="D9DDE1"/>
            </w:tcBorders>
          </w:tcPr>
          <w:p>
            <w:pPr>
              <w:spacing w:after="0"/>
              <w:rPr>
                <w:sz w:val="8"/>
                <w:szCs w:val="8"/>
                <w:color w:val="auto"/>
              </w:rPr>
            </w:pPr>
          </w:p>
        </w:tc>
        <w:tc>
          <w:tcPr>
            <w:tcW w:w="2120" w:type="dxa"/>
            <w:vAlign w:val="bottom"/>
            <w:tcBorders>
              <w:bottom w:val="single" w:sz="8" w:color="D9DDE1"/>
            </w:tcBorders>
          </w:tcPr>
          <w:p>
            <w:pPr>
              <w:spacing w:after="0"/>
              <w:rPr>
                <w:sz w:val="8"/>
                <w:szCs w:val="8"/>
                <w:color w:val="auto"/>
              </w:rPr>
            </w:pPr>
          </w:p>
        </w:tc>
        <w:tc>
          <w:tcPr>
            <w:tcW w:w="860" w:type="dxa"/>
            <w:vAlign w:val="bottom"/>
            <w:tcBorders>
              <w:bottom w:val="single" w:sz="8" w:color="D9DDE1"/>
            </w:tcBorders>
          </w:tcPr>
          <w:p>
            <w:pPr>
              <w:spacing w:after="0"/>
              <w:rPr>
                <w:sz w:val="8"/>
                <w:szCs w:val="8"/>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2023</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(per share):</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$16.59</w:t>
            </w:r>
          </w:p>
        </w:tc>
      </w:tr>
      <w:tr>
        <w:trPr>
          <w:trHeight w:val="81"/>
        </w:trPr>
        <w:tc>
          <w:tcPr>
            <w:tcW w:w="320" w:type="dxa"/>
            <w:vAlign w:val="bottom"/>
            <w:tcBorders>
              <w:bottom w:val="single" w:sz="8" w:color="D9DDE1"/>
            </w:tcBorders>
          </w:tcPr>
          <w:p>
            <w:pPr>
              <w:spacing w:after="0"/>
              <w:rPr>
                <w:sz w:val="7"/>
                <w:szCs w:val="7"/>
                <w:color w:val="auto"/>
              </w:rPr>
            </w:pPr>
          </w:p>
        </w:tc>
        <w:tc>
          <w:tcPr>
            <w:tcW w:w="400" w:type="dxa"/>
            <w:vAlign w:val="bottom"/>
            <w:tcBorders>
              <w:bottom w:val="single" w:sz="8" w:color="D9DDE1"/>
            </w:tcBorders>
          </w:tcPr>
          <w:p>
            <w:pPr>
              <w:spacing w:after="0"/>
              <w:rPr>
                <w:sz w:val="7"/>
                <w:szCs w:val="7"/>
                <w:color w:val="auto"/>
              </w:rPr>
            </w:pPr>
          </w:p>
        </w:tc>
        <w:tc>
          <w:tcPr>
            <w:tcW w:w="2120" w:type="dxa"/>
            <w:vAlign w:val="bottom"/>
            <w:tcBorders>
              <w:bottom w:val="single" w:sz="8" w:color="D9DDE1"/>
            </w:tcBorders>
          </w:tcPr>
          <w:p>
            <w:pPr>
              <w:spacing w:after="0"/>
              <w:rPr>
                <w:sz w:val="7"/>
                <w:szCs w:val="7"/>
                <w:color w:val="auto"/>
              </w:rPr>
            </w:pPr>
          </w:p>
        </w:tc>
        <w:tc>
          <w:tcPr>
            <w:tcW w:w="860" w:type="dxa"/>
            <w:vAlign w:val="bottom"/>
            <w:tcBorders>
              <w:bottom w:val="single" w:sz="8" w:color="D9DDE1"/>
            </w:tcBorders>
          </w:tcPr>
          <w:p>
            <w:pPr>
              <w:spacing w:after="0"/>
              <w:rPr>
                <w:sz w:val="7"/>
                <w:szCs w:val="7"/>
                <w:color w:val="auto"/>
              </w:rPr>
            </w:pPr>
          </w:p>
        </w:tc>
      </w:tr>
      <w:tr>
        <w:trPr>
          <w:trHeight w:val="250"/>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2023</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(per share, adj):</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179705</wp:posOffset>
            </wp:positionV>
            <wp:extent cx="2348865" cy="248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48865" cy="2482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00" w:space="340"/>
            <w:col w:w="3720"/>
          </w:cols>
          <w:pgMar w:left="320" w:top="121" w:right="319" w:bottom="1440" w:gutter="0" w:footer="0" w:header="0"/>
          <w:type w:val="continuous"/>
        </w:sectPr>
      </w:pPr>
    </w:p>
    <w:p>
      <w:pPr>
        <w:spacing w:after="0" w:line="146"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FFFFFF"/>
        </w:rPr>
        <w:t>Dividends Declared (per share)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2740" w:type="dxa"/>
            <w:vAlign w:val="bottom"/>
          </w:tcPr>
          <w:p>
            <w:pPr>
              <w:ind w:left="60"/>
              <w:spacing w:after="0"/>
              <w:rPr>
                <w:sz w:val="20"/>
                <w:szCs w:val="20"/>
                <w:color w:val="auto"/>
              </w:rPr>
            </w:pPr>
            <w:r>
              <w:rPr>
                <w:rFonts w:ascii="Arial" w:cs="Arial" w:eastAsia="Arial" w:hAnsi="Arial"/>
                <w:sz w:val="18"/>
                <w:szCs w:val="18"/>
                <w:b w:val="1"/>
                <w:bCs w:val="1"/>
                <w:color w:val="auto"/>
              </w:rPr>
              <w:t>Q1 2023 (Base):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$0.46</w:t>
            </w:r>
          </w:p>
        </w:tc>
        <w:tc>
          <w:tcPr>
            <w:tcW w:w="20" w:type="dxa"/>
            <w:vAlign w:val="bottom"/>
          </w:tcPr>
          <w:p>
            <w:pPr>
              <w:spacing w:after="0"/>
              <w:rPr>
                <w:sz w:val="20"/>
                <w:szCs w:val="20"/>
                <w:color w:val="auto"/>
              </w:rPr>
            </w:pPr>
          </w:p>
        </w:tc>
      </w:tr>
      <w:tr>
        <w:trPr>
          <w:trHeight w:val="54"/>
        </w:trPr>
        <w:tc>
          <w:tcPr>
            <w:tcW w:w="7540" w:type="dxa"/>
            <w:vAlign w:val="bottom"/>
          </w:tcPr>
          <w:p>
            <w:pPr>
              <w:spacing w:after="0"/>
              <w:rPr>
                <w:sz w:val="4"/>
                <w:szCs w:val="4"/>
                <w:color w:val="auto"/>
              </w:rPr>
            </w:pPr>
          </w:p>
        </w:tc>
        <w:tc>
          <w:tcPr>
            <w:tcW w:w="2740" w:type="dxa"/>
            <w:vAlign w:val="bottom"/>
            <w:tcBorders>
              <w:bottom w:val="single" w:sz="8" w:color="D9DDE1"/>
            </w:tcBorders>
          </w:tcPr>
          <w:p>
            <w:pPr>
              <w:spacing w:after="0"/>
              <w:rPr>
                <w:sz w:val="4"/>
                <w:szCs w:val="4"/>
                <w:color w:val="auto"/>
              </w:rPr>
            </w:pPr>
          </w:p>
        </w:tc>
        <w:tc>
          <w:tcPr>
            <w:tcW w:w="960" w:type="dxa"/>
            <w:vAlign w:val="bottom"/>
            <w:tcBorders>
              <w:bottom w:val="single" w:sz="8" w:color="D9DDE1"/>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7540" w:type="dxa"/>
            <w:vAlign w:val="bottom"/>
          </w:tcPr>
          <w:p>
            <w:pPr>
              <w:spacing w:after="0"/>
              <w:rPr>
                <w:sz w:val="21"/>
                <w:szCs w:val="21"/>
                <w:color w:val="auto"/>
              </w:rPr>
            </w:pPr>
          </w:p>
        </w:tc>
        <w:tc>
          <w:tcPr>
            <w:tcW w:w="2740" w:type="dxa"/>
            <w:vAlign w:val="bottom"/>
          </w:tcPr>
          <w:p>
            <w:pPr>
              <w:ind w:left="60"/>
              <w:spacing w:after="0"/>
              <w:rPr>
                <w:sz w:val="20"/>
                <w:szCs w:val="20"/>
                <w:color w:val="auto"/>
              </w:rPr>
            </w:pPr>
            <w:r>
              <w:rPr>
                <w:rFonts w:ascii="Arial" w:cs="Arial" w:eastAsia="Arial" w:hAnsi="Arial"/>
                <w:sz w:val="18"/>
                <w:szCs w:val="18"/>
                <w:b w:val="1"/>
                <w:bCs w:val="1"/>
                <w:color w:val="auto"/>
              </w:rPr>
              <w:t>LTM Q1’23 (Base):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$1.74</w:t>
            </w:r>
          </w:p>
        </w:tc>
        <w:tc>
          <w:tcPr>
            <w:tcW w:w="20" w:type="dxa"/>
            <w:vAlign w:val="bottom"/>
          </w:tcPr>
          <w:p>
            <w:pPr>
              <w:spacing w:after="0"/>
              <w:rPr>
                <w:sz w:val="21"/>
                <w:szCs w:val="21"/>
                <w:color w:val="auto"/>
              </w:rPr>
            </w:pPr>
          </w:p>
        </w:tc>
      </w:tr>
      <w:tr>
        <w:trPr>
          <w:trHeight w:val="54"/>
        </w:trPr>
        <w:tc>
          <w:tcPr>
            <w:tcW w:w="7540" w:type="dxa"/>
            <w:vAlign w:val="bottom"/>
          </w:tcPr>
          <w:p>
            <w:pPr>
              <w:spacing w:after="0"/>
              <w:rPr>
                <w:sz w:val="4"/>
                <w:szCs w:val="4"/>
                <w:color w:val="auto"/>
              </w:rPr>
            </w:pPr>
          </w:p>
        </w:tc>
        <w:tc>
          <w:tcPr>
            <w:tcW w:w="2740" w:type="dxa"/>
            <w:vAlign w:val="bottom"/>
            <w:tcBorders>
              <w:bottom w:val="single" w:sz="8" w:color="D9DDE1"/>
            </w:tcBorders>
          </w:tcPr>
          <w:p>
            <w:pPr>
              <w:spacing w:after="0"/>
              <w:rPr>
                <w:sz w:val="4"/>
                <w:szCs w:val="4"/>
                <w:color w:val="auto"/>
              </w:rPr>
            </w:pPr>
          </w:p>
        </w:tc>
        <w:tc>
          <w:tcPr>
            <w:tcW w:w="960" w:type="dxa"/>
            <w:vAlign w:val="bottom"/>
            <w:tcBorders>
              <w:bottom w:val="single" w:sz="8" w:color="D9DDE1"/>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7540" w:type="dxa"/>
            <w:vAlign w:val="bottom"/>
          </w:tcPr>
          <w:p>
            <w:pPr>
              <w:spacing w:after="0"/>
              <w:rPr>
                <w:sz w:val="21"/>
                <w:szCs w:val="21"/>
                <w:color w:val="auto"/>
              </w:rPr>
            </w:pPr>
          </w:p>
        </w:tc>
        <w:tc>
          <w:tcPr>
            <w:tcW w:w="2740" w:type="dxa"/>
            <w:vAlign w:val="bottom"/>
          </w:tcPr>
          <w:p>
            <w:pPr>
              <w:ind w:left="60"/>
              <w:spacing w:after="0"/>
              <w:rPr>
                <w:sz w:val="20"/>
                <w:szCs w:val="20"/>
                <w:color w:val="auto"/>
              </w:rPr>
            </w:pPr>
            <w:r>
              <w:rPr>
                <w:rFonts w:ascii="Arial" w:cs="Arial" w:eastAsia="Arial" w:hAnsi="Arial"/>
                <w:sz w:val="18"/>
                <w:szCs w:val="18"/>
                <w:b w:val="1"/>
                <w:bCs w:val="1"/>
                <w:color w:val="auto"/>
              </w:rPr>
              <w:t>LTM Q1’23 (Supplemental):</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$0.13</w:t>
            </w:r>
          </w:p>
        </w:tc>
        <w:tc>
          <w:tcPr>
            <w:tcW w:w="20" w:type="dxa"/>
            <w:vAlign w:val="bottom"/>
          </w:tcPr>
          <w:p>
            <w:pPr>
              <w:spacing w:after="0"/>
              <w:rPr>
                <w:sz w:val="21"/>
                <w:szCs w:val="21"/>
                <w:color w:val="auto"/>
              </w:rPr>
            </w:pPr>
          </w:p>
        </w:tc>
      </w:tr>
      <w:tr>
        <w:trPr>
          <w:trHeight w:val="40"/>
        </w:trPr>
        <w:tc>
          <w:tcPr>
            <w:tcW w:w="7540" w:type="dxa"/>
            <w:vAlign w:val="bottom"/>
          </w:tcPr>
          <w:p>
            <w:pPr>
              <w:spacing w:after="0"/>
              <w:rPr>
                <w:sz w:val="3"/>
                <w:szCs w:val="3"/>
                <w:color w:val="auto"/>
              </w:rPr>
            </w:pPr>
          </w:p>
        </w:tc>
        <w:tc>
          <w:tcPr>
            <w:tcW w:w="2740" w:type="dxa"/>
            <w:vAlign w:val="bottom"/>
            <w:tcBorders>
              <w:bottom w:val="single" w:sz="8" w:color="D9DDE1"/>
            </w:tcBorders>
          </w:tcPr>
          <w:p>
            <w:pPr>
              <w:spacing w:after="0"/>
              <w:rPr>
                <w:sz w:val="3"/>
                <w:szCs w:val="3"/>
                <w:color w:val="auto"/>
              </w:rPr>
            </w:pPr>
          </w:p>
        </w:tc>
        <w:tc>
          <w:tcPr>
            <w:tcW w:w="960" w:type="dxa"/>
            <w:vAlign w:val="bottom"/>
            <w:tcBorders>
              <w:bottom w:val="single" w:sz="8" w:color="D9DDE1"/>
            </w:tcBorders>
          </w:tcPr>
          <w:p>
            <w:pPr>
              <w:spacing w:after="0"/>
              <w:rPr>
                <w:sz w:val="3"/>
                <w:szCs w:val="3"/>
                <w:color w:val="auto"/>
              </w:rPr>
            </w:pPr>
          </w:p>
        </w:tc>
        <w:tc>
          <w:tcPr>
            <w:tcW w:w="20" w:type="dxa"/>
            <w:vAlign w:val="bottom"/>
          </w:tcPr>
          <w:p>
            <w:pPr>
              <w:spacing w:after="0"/>
              <w:rPr>
                <w:sz w:val="3"/>
                <w:szCs w:val="3"/>
                <w:color w:val="auto"/>
              </w:rPr>
            </w:pPr>
          </w:p>
        </w:tc>
      </w:tr>
      <w:tr>
        <w:trPr>
          <w:trHeight w:val="237"/>
        </w:trPr>
        <w:tc>
          <w:tcPr>
            <w:tcW w:w="7540" w:type="dxa"/>
            <w:vAlign w:val="bottom"/>
          </w:tcPr>
          <w:p>
            <w:pPr>
              <w:spacing w:after="0"/>
              <w:rPr>
                <w:sz w:val="20"/>
                <w:szCs w:val="20"/>
                <w:color w:val="auto"/>
              </w:rPr>
            </w:pPr>
          </w:p>
        </w:tc>
        <w:tc>
          <w:tcPr>
            <w:tcW w:w="2740" w:type="dxa"/>
            <w:vAlign w:val="bottom"/>
          </w:tcPr>
          <w:p>
            <w:pPr>
              <w:ind w:left="60"/>
              <w:spacing w:after="0"/>
              <w:rPr>
                <w:sz w:val="20"/>
                <w:szCs w:val="20"/>
                <w:color w:val="auto"/>
              </w:rPr>
            </w:pPr>
            <w:r>
              <w:rPr>
                <w:rFonts w:ascii="Arial" w:cs="Arial" w:eastAsia="Arial" w:hAnsi="Arial"/>
                <w:sz w:val="18"/>
                <w:szCs w:val="18"/>
                <w:b w:val="1"/>
                <w:bCs w:val="1"/>
                <w:color w:val="auto"/>
              </w:rPr>
              <w:t>LTM Q1’23 (Total):</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$1.87</w:t>
            </w:r>
          </w:p>
        </w:tc>
        <w:tc>
          <w:tcPr>
            <w:tcW w:w="20" w:type="dxa"/>
            <w:vAlign w:val="bottom"/>
          </w:tcPr>
          <w:p>
            <w:pPr>
              <w:spacing w:after="0"/>
              <w:rPr>
                <w:sz w:val="20"/>
                <w:szCs w:val="20"/>
                <w:color w:val="auto"/>
              </w:rPr>
            </w:pPr>
          </w:p>
        </w:tc>
      </w:tr>
      <w:tr>
        <w:trPr>
          <w:trHeight w:val="729"/>
        </w:trPr>
        <w:tc>
          <w:tcPr>
            <w:tcW w:w="75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345"/>
        </w:trPr>
        <w:tc>
          <w:tcPr>
            <w:tcW w:w="754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PORTFOLIO AND INVESTMENT ACTIVITY</w:t>
      </w:r>
    </w:p>
    <w:p>
      <w:pPr>
        <w:spacing w:after="0" w:line="242"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3.Calculation includes income earning debt investments only.</w:t>
      </w:r>
    </w:p>
    <w:p>
      <w:pPr>
        <w:sectPr>
          <w:pgSz w:w="11900" w:h="16838" w:orient="portrait"/>
          <w:cols w:equalWidth="0" w:num="1">
            <w:col w:w="11240"/>
          </w:cols>
          <w:pgMar w:left="320" w:top="1435" w:right="339" w:bottom="1440" w:gutter="0" w:footer="0" w:header="0"/>
        </w:sectPr>
      </w:pPr>
    </w:p>
    <w:p>
      <w:pPr>
        <w:spacing w:after="0" w:line="3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quarter ended March 31, 2023, new investment commitments totaled $176.1 million. This compares to $241.1 million for the quarter ended December 31, 2022.</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quarter ended March 31, 2023, the principal amount of new investments funded was $138.9 million across 6 new portfolio companies, 5 upsizes to existing portfolio companies and 1 structured credit position. For this period, the Company had $50.8 million aggregate principal amount in exits and repayments. For the quarter ended December 31, 2022, the principal amount of new investments funded was $211.9 million across 7 new portfolio companies, 5 existing portfolio companies and 1 structured credit position. For that period, the Company had $281.6 million aggregate principal amount in exits and repayments.</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2023 and December 31, 2022, the Company had investments in 83</w:t>
      </w:r>
      <w:r>
        <w:rPr>
          <w:rFonts w:ascii="Arial" w:cs="Arial" w:eastAsia="Arial" w:hAnsi="Arial"/>
          <w:sz w:val="15"/>
          <w:szCs w:val="15"/>
          <w:color w:val="auto"/>
        </w:rPr>
        <w:t>1</w:t>
      </w:r>
      <w:r>
        <w:rPr>
          <w:rFonts w:ascii="Arial" w:cs="Arial" w:eastAsia="Arial" w:hAnsi="Arial"/>
          <w:sz w:val="18"/>
          <w:szCs w:val="18"/>
          <w:color w:val="auto"/>
        </w:rPr>
        <w:t xml:space="preserve"> and 78</w:t>
      </w:r>
      <w:r>
        <w:rPr>
          <w:rFonts w:ascii="Arial" w:cs="Arial" w:eastAsia="Arial" w:hAnsi="Arial"/>
          <w:sz w:val="15"/>
          <w:szCs w:val="15"/>
          <w:color w:val="auto"/>
        </w:rPr>
        <w:t>2</w:t>
      </w:r>
      <w:r>
        <w:rPr>
          <w:rFonts w:ascii="Arial" w:cs="Arial" w:eastAsia="Arial" w:hAnsi="Arial"/>
          <w:sz w:val="18"/>
          <w:szCs w:val="18"/>
          <w:color w:val="auto"/>
        </w:rPr>
        <w:t xml:space="preserve"> portfolio companies, respectively, with an aggregate fair value of $2,918.6 million and $2,787.9 million, respectively. As of March 31, 2023, the average investment size in each portfolio company was $34.5</w:t>
      </w:r>
      <w:r>
        <w:rPr>
          <w:rFonts w:ascii="Arial" w:cs="Arial" w:eastAsia="Arial" w:hAnsi="Arial"/>
          <w:sz w:val="15"/>
          <w:szCs w:val="15"/>
          <w:color w:val="auto"/>
        </w:rPr>
        <w:t>1</w:t>
      </w:r>
      <w:r>
        <w:rPr>
          <w:rFonts w:ascii="Arial" w:cs="Arial" w:eastAsia="Arial" w:hAnsi="Arial"/>
          <w:sz w:val="18"/>
          <w:szCs w:val="18"/>
          <w:color w:val="auto"/>
        </w:rPr>
        <w:t xml:space="preserve"> million based on fair value.</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2023, the Company’s portfolio based on fair value consisted of 90.8% first-lien debt investments, 1.6% second-lien debt investments, 1.8% structured credit investments, 0.4% mezzanine investments, and 5.4% equity and other investments. As of December 31, 2022, the Company’s portfolio based on fair value consisted of 90.3% first-lien debt investments, 1.5% second-lien debt investments, 1.8% structured credit investments, 0.4% mezzanine debt investments, and 6.0% equity and other investments.</w:t>
      </w:r>
    </w:p>
    <w:p>
      <w:pPr>
        <w:spacing w:after="0" w:line="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March 31, 2023, 99.2% of debt investments</w:t>
      </w:r>
      <w:r>
        <w:rPr>
          <w:rFonts w:ascii="Arial" w:cs="Arial" w:eastAsia="Arial" w:hAnsi="Arial"/>
          <w:sz w:val="13"/>
          <w:szCs w:val="13"/>
          <w:color w:val="auto"/>
        </w:rPr>
        <w:t>3</w:t>
      </w:r>
      <w:r>
        <w:rPr>
          <w:rFonts w:ascii="Arial" w:cs="Arial" w:eastAsia="Arial" w:hAnsi="Arial"/>
          <w:sz w:val="16"/>
          <w:szCs w:val="16"/>
          <w:color w:val="auto"/>
        </w:rPr>
        <w:t xml:space="preserve"> based on fair value in the portfolio bore interest at floating rates with 100.0% of these subject to reference rate floors. The Company’s credit facilities also bear interest at floating rates. In connection with the Company’s Unsecured Notes, which bear interest at fixed rates, the Company has entered into fixed-to-floating interest rate swaps in order to align the nature of the interest rates of its liabilities with its investment portfolio.</w:t>
      </w:r>
    </w:p>
    <w:p>
      <w:pPr>
        <w:spacing w:after="0" w:line="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2023 and December 31, 2022, the weighted average total yield of debt and income-producing securities at fair value (which includes interest income and amortization of fees and discounts) was 13.9% and 13.5%, respectively, and the weighted average total yield of debt and income-producing securities at amortized cost (which includes interest income and amortization of fees and discounts) was 13.9% and 13.4% for the quarter ended March 31, 2023 and December 31, 2022, respectively.</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2023 and December 31, 2022, 0.68% and 0.01% of the portfolio at fair value was on non-accrual status, respectively. The increase in the notional quoted value from the prior quarter reflects another tranche of the Company’s legacy non-accrual investment, American Achievement, being placed on non-accrual during the quarter. American Achievement remains the only portfolio company on non-accrual status.</w:t>
      </w:r>
    </w:p>
    <w:p>
      <w:pPr>
        <w:spacing w:after="0" w:line="75"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As of March 31, 2023, excludes 44 structured credit investments with a total fair value of $53.7 million.</w:t>
      </w:r>
    </w:p>
    <w:p>
      <w:pPr>
        <w:ind w:left="260" w:hanging="252"/>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As of December 31, 2022, excludes 43 structured credit investments with a total fair value of $51.4 million.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FFFFFF"/>
        </w:rPr>
        <w:t>Origination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-170815</wp:posOffset>
            </wp:positionV>
            <wp:extent cx="2348865" cy="248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ind w:left="80"/>
              <w:spacing w:after="0"/>
              <w:rPr>
                <w:sz w:val="20"/>
                <w:szCs w:val="20"/>
                <w:color w:val="auto"/>
              </w:rPr>
            </w:pPr>
            <w:r>
              <w:rPr>
                <w:rFonts w:ascii="Arial" w:cs="Arial" w:eastAsia="Arial" w:hAnsi="Arial"/>
                <w:sz w:val="18"/>
                <w:szCs w:val="18"/>
                <w:b w:val="1"/>
                <w:bCs w:val="1"/>
                <w:color w:val="auto"/>
              </w:rPr>
              <w:t>Commitments:</w:t>
            </w:r>
          </w:p>
        </w:tc>
        <w:tc>
          <w:tcPr>
            <w:tcW w:w="1760" w:type="dxa"/>
            <w:vAlign w:val="bottom"/>
          </w:tcPr>
          <w:p>
            <w:pPr>
              <w:jc w:val="center"/>
              <w:ind w:left="390"/>
              <w:spacing w:after="0"/>
              <w:rPr>
                <w:sz w:val="20"/>
                <w:szCs w:val="20"/>
                <w:color w:val="auto"/>
              </w:rPr>
            </w:pPr>
            <w:r>
              <w:rPr>
                <w:rFonts w:ascii="Arial" w:cs="Arial" w:eastAsia="Arial" w:hAnsi="Arial"/>
                <w:sz w:val="18"/>
                <w:szCs w:val="18"/>
                <w:b w:val="1"/>
                <w:bCs w:val="1"/>
                <w:color w:val="auto"/>
                <w:w w:val="98"/>
              </w:rPr>
              <w:t>$176.1MM</w:t>
            </w:r>
          </w:p>
        </w:tc>
      </w:tr>
      <w:tr>
        <w:trPr>
          <w:trHeight w:val="27"/>
        </w:trPr>
        <w:tc>
          <w:tcPr>
            <w:tcW w:w="1940" w:type="dxa"/>
            <w:vAlign w:val="bottom"/>
            <w:tcBorders>
              <w:bottom w:val="single" w:sz="8" w:color="E7E6E6"/>
            </w:tcBorders>
          </w:tcPr>
          <w:p>
            <w:pPr>
              <w:spacing w:after="0"/>
              <w:rPr>
                <w:sz w:val="2"/>
                <w:szCs w:val="2"/>
                <w:color w:val="auto"/>
              </w:rPr>
            </w:pPr>
          </w:p>
        </w:tc>
        <w:tc>
          <w:tcPr>
            <w:tcW w:w="1760" w:type="dxa"/>
            <w:vAlign w:val="bottom"/>
            <w:tcBorders>
              <w:bottom w:val="single" w:sz="8" w:color="E7E6E6"/>
            </w:tcBorders>
          </w:tcPr>
          <w:p>
            <w:pPr>
              <w:spacing w:after="0"/>
              <w:rPr>
                <w:sz w:val="2"/>
                <w:szCs w:val="2"/>
                <w:color w:val="auto"/>
              </w:rPr>
            </w:pPr>
          </w:p>
        </w:tc>
      </w:tr>
      <w:tr>
        <w:trPr>
          <w:trHeight w:val="237"/>
        </w:trPr>
        <w:tc>
          <w:tcPr>
            <w:tcW w:w="1940" w:type="dxa"/>
            <w:vAlign w:val="bottom"/>
          </w:tcPr>
          <w:p>
            <w:pPr>
              <w:ind w:left="80"/>
              <w:spacing w:after="0"/>
              <w:rPr>
                <w:sz w:val="20"/>
                <w:szCs w:val="20"/>
                <w:color w:val="auto"/>
              </w:rPr>
            </w:pPr>
            <w:r>
              <w:rPr>
                <w:rFonts w:ascii="Arial" w:cs="Arial" w:eastAsia="Arial" w:hAnsi="Arial"/>
                <w:sz w:val="18"/>
                <w:szCs w:val="18"/>
                <w:b w:val="1"/>
                <w:bCs w:val="1"/>
                <w:color w:val="auto"/>
              </w:rPr>
              <w:t>Fundings:</w:t>
            </w:r>
          </w:p>
        </w:tc>
        <w:tc>
          <w:tcPr>
            <w:tcW w:w="1760" w:type="dxa"/>
            <w:vAlign w:val="bottom"/>
          </w:tcPr>
          <w:p>
            <w:pPr>
              <w:jc w:val="center"/>
              <w:ind w:left="390"/>
              <w:spacing w:after="0"/>
              <w:rPr>
                <w:sz w:val="20"/>
                <w:szCs w:val="20"/>
                <w:color w:val="auto"/>
              </w:rPr>
            </w:pPr>
            <w:r>
              <w:rPr>
                <w:rFonts w:ascii="Arial" w:cs="Arial" w:eastAsia="Arial" w:hAnsi="Arial"/>
                <w:sz w:val="18"/>
                <w:szCs w:val="18"/>
                <w:b w:val="1"/>
                <w:bCs w:val="1"/>
                <w:color w:val="auto"/>
                <w:w w:val="98"/>
              </w:rPr>
              <w:t>$138.9MM</w:t>
            </w:r>
          </w:p>
        </w:tc>
      </w:tr>
      <w:tr>
        <w:trPr>
          <w:trHeight w:val="27"/>
        </w:trPr>
        <w:tc>
          <w:tcPr>
            <w:tcW w:w="1940" w:type="dxa"/>
            <w:vAlign w:val="bottom"/>
            <w:tcBorders>
              <w:bottom w:val="single" w:sz="8" w:color="E7E6E6"/>
            </w:tcBorders>
          </w:tcPr>
          <w:p>
            <w:pPr>
              <w:spacing w:after="0"/>
              <w:rPr>
                <w:sz w:val="2"/>
                <w:szCs w:val="2"/>
                <w:color w:val="auto"/>
              </w:rPr>
            </w:pPr>
          </w:p>
        </w:tc>
        <w:tc>
          <w:tcPr>
            <w:tcW w:w="1760" w:type="dxa"/>
            <w:vAlign w:val="bottom"/>
            <w:tcBorders>
              <w:bottom w:val="single" w:sz="8" w:color="E7E6E6"/>
            </w:tcBorders>
          </w:tcPr>
          <w:p>
            <w:pPr>
              <w:spacing w:after="0"/>
              <w:rPr>
                <w:sz w:val="2"/>
                <w:szCs w:val="2"/>
                <w:color w:val="auto"/>
              </w:rPr>
            </w:pPr>
          </w:p>
        </w:tc>
      </w:tr>
      <w:tr>
        <w:trPr>
          <w:trHeight w:val="237"/>
        </w:trPr>
        <w:tc>
          <w:tcPr>
            <w:tcW w:w="1940" w:type="dxa"/>
            <w:vAlign w:val="bottom"/>
          </w:tcPr>
          <w:p>
            <w:pPr>
              <w:ind w:left="80"/>
              <w:spacing w:after="0"/>
              <w:rPr>
                <w:sz w:val="20"/>
                <w:szCs w:val="20"/>
                <w:color w:val="auto"/>
              </w:rPr>
            </w:pPr>
            <w:r>
              <w:rPr>
                <w:rFonts w:ascii="Arial" w:cs="Arial" w:eastAsia="Arial" w:hAnsi="Arial"/>
                <w:sz w:val="18"/>
                <w:szCs w:val="18"/>
                <w:b w:val="1"/>
                <w:bCs w:val="1"/>
                <w:color w:val="auto"/>
              </w:rPr>
              <w:t>Net Fundings:</w:t>
            </w:r>
          </w:p>
        </w:tc>
        <w:tc>
          <w:tcPr>
            <w:tcW w:w="1760" w:type="dxa"/>
            <w:vAlign w:val="bottom"/>
          </w:tcPr>
          <w:p>
            <w:pPr>
              <w:jc w:val="center"/>
              <w:ind w:left="410"/>
              <w:spacing w:after="0"/>
              <w:rPr>
                <w:sz w:val="20"/>
                <w:szCs w:val="20"/>
                <w:color w:val="auto"/>
              </w:rPr>
            </w:pPr>
            <w:r>
              <w:rPr>
                <w:rFonts w:ascii="Arial" w:cs="Arial" w:eastAsia="Arial" w:hAnsi="Arial"/>
                <w:sz w:val="18"/>
                <w:szCs w:val="18"/>
                <w:b w:val="1"/>
                <w:bCs w:val="1"/>
                <w:color w:val="auto"/>
                <w:w w:val="98"/>
              </w:rPr>
              <w:t>$88.1MM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325755</wp:posOffset>
            </wp:positionV>
            <wp:extent cx="2348865" cy="248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Average Investment Size</w:t>
      </w:r>
      <w:r>
        <w:rPr>
          <w:rFonts w:ascii="Arial" w:cs="Arial" w:eastAsia="Arial" w:hAnsi="Arial"/>
          <w:sz w:val="15"/>
          <w:szCs w:val="15"/>
          <w:b w:val="1"/>
          <w:bCs w:val="1"/>
          <w:color w:val="FFFFFF"/>
        </w:rPr>
        <w:t>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$34.5MM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(1.2% of the portfolio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331470</wp:posOffset>
            </wp:positionV>
            <wp:extent cx="2348865" cy="248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First Lien Debt Investments (% FV)</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90.8%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2348865" cy="248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Secured Debt Investments (% FV)</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92.4%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386080</wp:posOffset>
            </wp:positionV>
            <wp:extent cx="2348865"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48865" cy="30861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Floating Rate Debt Investments</w:t>
      </w:r>
      <w:r>
        <w:rPr>
          <w:rFonts w:ascii="Arial" w:cs="Arial" w:eastAsia="Arial" w:hAnsi="Arial"/>
          <w:sz w:val="15"/>
          <w:szCs w:val="15"/>
          <w:b w:val="1"/>
          <w:bCs w:val="1"/>
          <w:color w:val="FFFFFF"/>
        </w:rPr>
        <w:t>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 FV)</w:t>
      </w:r>
    </w:p>
    <w:p>
      <w:pPr>
        <w:spacing w:after="0" w:line="99"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2348865"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48865" cy="30861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Weighted Average Yield of Debt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Incoming-Producing Securities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ind w:left="80"/>
              <w:spacing w:after="0"/>
              <w:rPr>
                <w:sz w:val="20"/>
                <w:szCs w:val="20"/>
                <w:color w:val="auto"/>
              </w:rPr>
            </w:pPr>
            <w:r>
              <w:rPr>
                <w:rFonts w:ascii="Arial" w:cs="Arial" w:eastAsia="Arial" w:hAnsi="Arial"/>
                <w:sz w:val="18"/>
                <w:szCs w:val="18"/>
                <w:b w:val="1"/>
                <w:bCs w:val="1"/>
                <w:color w:val="auto"/>
              </w:rPr>
              <w:t>Yield at Fair Value:</w:t>
            </w: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13.9%</w:t>
            </w:r>
          </w:p>
        </w:tc>
      </w:tr>
      <w:tr>
        <w:trPr>
          <w:trHeight w:val="81"/>
        </w:trPr>
        <w:tc>
          <w:tcPr>
            <w:tcW w:w="2500" w:type="dxa"/>
            <w:vAlign w:val="bottom"/>
            <w:tcBorders>
              <w:bottom w:val="single" w:sz="8" w:color="D9DDE1"/>
            </w:tcBorders>
          </w:tcPr>
          <w:p>
            <w:pPr>
              <w:spacing w:after="0"/>
              <w:rPr>
                <w:sz w:val="7"/>
                <w:szCs w:val="7"/>
                <w:color w:val="auto"/>
              </w:rPr>
            </w:pPr>
          </w:p>
        </w:tc>
        <w:tc>
          <w:tcPr>
            <w:tcW w:w="1200" w:type="dxa"/>
            <w:vAlign w:val="bottom"/>
            <w:tcBorders>
              <w:bottom w:val="single" w:sz="8" w:color="D9DDE1"/>
            </w:tcBorders>
          </w:tcPr>
          <w:p>
            <w:pPr>
              <w:spacing w:after="0"/>
              <w:rPr>
                <w:sz w:val="7"/>
                <w:szCs w:val="7"/>
                <w:color w:val="auto"/>
              </w:rPr>
            </w:pPr>
          </w:p>
        </w:tc>
      </w:tr>
      <w:tr>
        <w:trPr>
          <w:trHeight w:val="291"/>
        </w:trPr>
        <w:tc>
          <w:tcPr>
            <w:tcW w:w="2500" w:type="dxa"/>
            <w:vAlign w:val="bottom"/>
          </w:tcPr>
          <w:p>
            <w:pPr>
              <w:ind w:left="80"/>
              <w:spacing w:after="0"/>
              <w:rPr>
                <w:sz w:val="20"/>
                <w:szCs w:val="20"/>
                <w:color w:val="auto"/>
              </w:rPr>
            </w:pPr>
            <w:r>
              <w:rPr>
                <w:rFonts w:ascii="Arial" w:cs="Arial" w:eastAsia="Arial" w:hAnsi="Arial"/>
                <w:sz w:val="18"/>
                <w:szCs w:val="18"/>
                <w:b w:val="1"/>
                <w:bCs w:val="1"/>
                <w:color w:val="auto"/>
              </w:rPr>
              <w:t>Yield at Amortized Cost:</w:t>
            </w: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13.9%</w:t>
            </w:r>
          </w:p>
        </w:tc>
      </w:tr>
    </w:tbl>
    <w:p>
      <w:pPr>
        <w:spacing w:after="0" w:line="1096" w:lineRule="exact"/>
        <w:rPr>
          <w:sz w:val="20"/>
          <w:szCs w:val="20"/>
          <w:color w:val="auto"/>
        </w:rPr>
      </w:pPr>
    </w:p>
    <w:p>
      <w:pPr>
        <w:sectPr>
          <w:pgSz w:w="11900" w:h="16838" w:orient="portrait"/>
          <w:cols w:equalWidth="0" w:num="2">
            <w:col w:w="7200" w:space="320"/>
            <w:col w:w="3720"/>
          </w:cols>
          <w:pgMar w:left="320" w:top="14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RESULTS OF OPERATIONS FOR THE THREE MONTHS ENDED MARCH 31, 2023</w:t>
      </w:r>
    </w:p>
    <w:p>
      <w:pPr>
        <w:sectPr>
          <w:pgSz w:w="11900" w:h="16838" w:orient="portrait"/>
          <w:cols w:equalWidth="0" w:num="1">
            <w:col w:w="11240"/>
          </w:cols>
          <w:pgMar w:left="320" w:top="1435"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Investment Income</w:t>
      </w:r>
    </w:p>
    <w:p>
      <w:pPr>
        <w:spacing w:after="0" w:line="3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2023 and 2022, investment income was $96.5 million and $67.4 million, respectively. The increase in investment income was largely the result of higher interest from investments driven by increased all-in yields.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Expenses</w:t>
      </w:r>
    </w:p>
    <w:p>
      <w:pPr>
        <w:spacing w:after="0" w:line="3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expenses totaled $53.2 million and $31.4 million for the three months ended March 31, 2023 and 2022, respectively. The increase in net expenses was primarily due to the upward movement in reference rates which increased the Company’s weighted average interest rate on average debt outstanding.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Capital Resources</w:t>
      </w:r>
    </w:p>
    <w:p>
      <w:pPr>
        <w:spacing w:after="0" w:line="35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March 31, 2023, the Company had $25.7 million in cash and cash equivalents (including $16.2 million of restricted cash), total principal value of debt outstanding of $1,629.4 million, and $603.1 million of undrawn capacity on its revolving credit facility, subject to borrowing base and other limitations. The Company’s weighted average interest rate on debt outstanding was 6.7% and 5.4% for the three-month periods ended March 31, 2023 and December 31, 2022, respectively. At March 31, 2023, the Company’s debt to equity ratio was 1.20x, compared to 1.13x at December 31, 2022. Average debt to equity was 1.17x for the three-month period ended March 31, 2023, compared to 1.14x for the three-month period ended December 31, 2022.</w:t>
      </w:r>
    </w:p>
    <w:p>
      <w:pPr>
        <w:spacing w:after="0" w:line="148" w:lineRule="exact"/>
        <w:rPr>
          <w:sz w:val="20"/>
          <w:szCs w:val="20"/>
          <w:color w:val="auto"/>
        </w:rPr>
      </w:pPr>
    </w:p>
    <w:p>
      <w:pPr>
        <w:jc w:val="both"/>
        <w:ind w:left="260" w:right="20" w:hanging="252"/>
        <w:spacing w:after="0" w:line="238" w:lineRule="auto"/>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Daily average debt outstanding during the quarter divided by the daily average net assets during the quarter. Daily average net assets is calculated by starting with the prior quarter end net asset value and adjusting for capital activity during the quarter (adding common stock offerings / DRIP contributions).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-170815</wp:posOffset>
            </wp:positionV>
            <wp:extent cx="2348865" cy="2482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48865" cy="248285"/>
                    </a:xfrm>
                    <a:prstGeom prst="rect">
                      <a:avLst/>
                    </a:prstGeom>
                    <a:noFill/>
                  </pic:spPr>
                </pic:pic>
              </a:graphicData>
            </a:graphic>
          </wp:anchor>
        </w:drawing>
      </w:r>
    </w:p>
    <w:p>
      <w:pPr>
        <w:spacing w:after="0" w:line="205"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$96.5MM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565785</wp:posOffset>
            </wp:positionV>
            <wp:extent cx="2348865" cy="248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Net Expenses</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$53.2MM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831850</wp:posOffset>
            </wp:positionV>
            <wp:extent cx="2348865" cy="2489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Total Principal Debt Outstanding</w:t>
      </w:r>
    </w:p>
    <w:p>
      <w:pPr>
        <w:spacing w:after="0" w:line="185"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$1,629.4MM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231775</wp:posOffset>
            </wp:positionV>
            <wp:extent cx="2348865" cy="2489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FFFFFF"/>
        </w:rPr>
        <w:t>Debt-to-Equity Ratio</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2000" w:type="dxa"/>
            <w:vAlign w:val="bottom"/>
          </w:tcPr>
          <w:p>
            <w:pPr>
              <w:ind w:left="20"/>
              <w:spacing w:after="0"/>
              <w:rPr>
                <w:sz w:val="20"/>
                <w:szCs w:val="20"/>
                <w:color w:val="auto"/>
              </w:rPr>
            </w:pPr>
            <w:r>
              <w:rPr>
                <w:rFonts w:ascii="Arial" w:cs="Arial" w:eastAsia="Arial" w:hAnsi="Arial"/>
                <w:sz w:val="18"/>
                <w:szCs w:val="18"/>
                <w:b w:val="1"/>
                <w:bCs w:val="1"/>
                <w:color w:val="auto"/>
              </w:rPr>
              <w:t>2023 Quarter End:</w:t>
            </w:r>
          </w:p>
        </w:tc>
        <w:tc>
          <w:tcPr>
            <w:tcW w:w="1380" w:type="dxa"/>
            <w:vAlign w:val="bottom"/>
          </w:tcPr>
          <w:p>
            <w:pPr>
              <w:ind w:left="520"/>
              <w:spacing w:after="0"/>
              <w:rPr>
                <w:sz w:val="20"/>
                <w:szCs w:val="20"/>
                <w:color w:val="auto"/>
              </w:rPr>
            </w:pPr>
            <w:r>
              <w:rPr>
                <w:rFonts w:ascii="Arial" w:cs="Arial" w:eastAsia="Arial" w:hAnsi="Arial"/>
                <w:sz w:val="18"/>
                <w:szCs w:val="18"/>
                <w:b w:val="1"/>
                <w:bCs w:val="1"/>
                <w:color w:val="auto"/>
              </w:rPr>
              <w:t>1.20x</w:t>
            </w:r>
          </w:p>
        </w:tc>
      </w:tr>
      <w:tr>
        <w:trPr>
          <w:trHeight w:val="40"/>
        </w:trPr>
        <w:tc>
          <w:tcPr>
            <w:tcW w:w="320" w:type="dxa"/>
            <w:vAlign w:val="bottom"/>
            <w:tcBorders>
              <w:bottom w:val="single" w:sz="8" w:color="D9DDE1"/>
            </w:tcBorders>
          </w:tcPr>
          <w:p>
            <w:pPr>
              <w:spacing w:after="0"/>
              <w:rPr>
                <w:sz w:val="3"/>
                <w:szCs w:val="3"/>
                <w:color w:val="auto"/>
              </w:rPr>
            </w:pPr>
          </w:p>
        </w:tc>
        <w:tc>
          <w:tcPr>
            <w:tcW w:w="2000" w:type="dxa"/>
            <w:vAlign w:val="bottom"/>
            <w:tcBorders>
              <w:bottom w:val="single" w:sz="8" w:color="D9DDE1"/>
            </w:tcBorders>
          </w:tcPr>
          <w:p>
            <w:pPr>
              <w:spacing w:after="0"/>
              <w:rPr>
                <w:sz w:val="3"/>
                <w:szCs w:val="3"/>
                <w:color w:val="auto"/>
              </w:rPr>
            </w:pPr>
          </w:p>
        </w:tc>
        <w:tc>
          <w:tcPr>
            <w:tcW w:w="1380" w:type="dxa"/>
            <w:vAlign w:val="bottom"/>
            <w:tcBorders>
              <w:bottom w:val="single" w:sz="8" w:color="D9DDE1"/>
            </w:tcBorders>
          </w:tcPr>
          <w:p>
            <w:pPr>
              <w:spacing w:after="0"/>
              <w:rPr>
                <w:sz w:val="3"/>
                <w:szCs w:val="3"/>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2000" w:type="dxa"/>
            <w:vAlign w:val="bottom"/>
          </w:tcPr>
          <w:p>
            <w:pPr>
              <w:ind w:left="20"/>
              <w:spacing w:after="0"/>
              <w:rPr>
                <w:sz w:val="20"/>
                <w:szCs w:val="20"/>
                <w:color w:val="auto"/>
              </w:rPr>
            </w:pPr>
            <w:r>
              <w:rPr>
                <w:rFonts w:ascii="Arial" w:cs="Arial" w:eastAsia="Arial" w:hAnsi="Arial"/>
                <w:sz w:val="18"/>
                <w:szCs w:val="18"/>
                <w:b w:val="1"/>
                <w:bCs w:val="1"/>
                <w:color w:val="auto"/>
              </w:rPr>
              <w:t>2023 Average</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380" w:type="dxa"/>
            <w:vAlign w:val="bottom"/>
          </w:tcPr>
          <w:p>
            <w:pPr>
              <w:ind w:left="520"/>
              <w:spacing w:after="0"/>
              <w:rPr>
                <w:sz w:val="20"/>
                <w:szCs w:val="20"/>
                <w:color w:val="auto"/>
              </w:rPr>
            </w:pPr>
            <w:r>
              <w:rPr>
                <w:rFonts w:ascii="Arial" w:cs="Arial" w:eastAsia="Arial" w:hAnsi="Arial"/>
                <w:sz w:val="18"/>
                <w:szCs w:val="18"/>
                <w:b w:val="1"/>
                <w:bCs w:val="1"/>
                <w:color w:val="auto"/>
              </w:rPr>
              <w:t>1.17x</w:t>
            </w:r>
          </w:p>
        </w:tc>
      </w:tr>
    </w:tbl>
    <w:p>
      <w:pPr>
        <w:spacing w:after="0" w:line="862" w:lineRule="exact"/>
        <w:rPr>
          <w:sz w:val="20"/>
          <w:szCs w:val="20"/>
          <w:color w:val="auto"/>
        </w:rPr>
      </w:pPr>
    </w:p>
    <w:p>
      <w:pPr>
        <w:sectPr>
          <w:pgSz w:w="11900" w:h="16838" w:orient="portrait"/>
          <w:cols w:equalWidth="0" w:num="2">
            <w:col w:w="7200" w:space="340"/>
            <w:col w:w="3700"/>
          </w:cols>
          <w:pgMar w:left="320" w:top="14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LIQUIDITY AND FUNDING PROFILE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Company’s liquidity at March 31, 2023 and changes to unfunded commitments since December 31, 2022.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40" w:type="dxa"/>
            <w:vAlign w:val="bottom"/>
          </w:tcPr>
          <w:p>
            <w:pPr>
              <w:spacing w:after="0"/>
              <w:rPr>
                <w:sz w:val="20"/>
                <w:szCs w:val="20"/>
                <w:color w:val="auto"/>
              </w:rPr>
            </w:pPr>
            <w:r>
              <w:rPr>
                <w:rFonts w:ascii="Arial" w:cs="Arial" w:eastAsia="Arial" w:hAnsi="Arial"/>
                <w:sz w:val="14"/>
                <w:szCs w:val="14"/>
                <w:color w:val="auto"/>
              </w:rPr>
              <w:t>$ Millions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4440" w:type="dxa"/>
            <w:vAlign w:val="bottom"/>
            <w:tcBorders>
              <w:bottom w:val="single" w:sz="8" w:color="0F2F50"/>
            </w:tcBorders>
            <w:shd w:val="clear" w:color="auto" w:fill="0F2F50"/>
          </w:tcPr>
          <w:p>
            <w:pPr>
              <w:ind w:left="1820"/>
              <w:spacing w:after="0"/>
              <w:rPr>
                <w:sz w:val="20"/>
                <w:szCs w:val="20"/>
                <w:color w:val="auto"/>
              </w:rPr>
            </w:pPr>
            <w:r>
              <w:rPr>
                <w:rFonts w:ascii="Arial" w:cs="Arial" w:eastAsia="Arial" w:hAnsi="Arial"/>
                <w:sz w:val="18"/>
                <w:szCs w:val="18"/>
                <w:b w:val="1"/>
                <w:bCs w:val="1"/>
                <w:color w:val="FFFFFF"/>
              </w:rPr>
              <w:t>Revolving Credit Facility</w:t>
            </w:r>
          </w:p>
        </w:tc>
        <w:tc>
          <w:tcPr>
            <w:tcW w:w="1120" w:type="dxa"/>
            <w:vAlign w:val="bottom"/>
            <w:tcBorders>
              <w:bottom w:val="single" w:sz="8" w:color="0F2F50"/>
            </w:tcBorders>
            <w:shd w:val="clear" w:color="auto" w:fill="0F2F50"/>
          </w:tcPr>
          <w:p>
            <w:pPr>
              <w:spacing w:after="0"/>
              <w:rPr>
                <w:sz w:val="21"/>
                <w:szCs w:val="21"/>
                <w:color w:val="auto"/>
              </w:rPr>
            </w:pPr>
          </w:p>
        </w:tc>
        <w:tc>
          <w:tcPr>
            <w:tcW w:w="220" w:type="dxa"/>
            <w:vAlign w:val="bottom"/>
          </w:tcPr>
          <w:p>
            <w:pPr>
              <w:spacing w:after="0"/>
              <w:rPr>
                <w:sz w:val="21"/>
                <w:szCs w:val="21"/>
                <w:color w:val="auto"/>
              </w:rPr>
            </w:pPr>
          </w:p>
        </w:tc>
        <w:tc>
          <w:tcPr>
            <w:tcW w:w="4560" w:type="dxa"/>
            <w:vAlign w:val="bottom"/>
            <w:tcBorders>
              <w:bottom w:val="single" w:sz="8" w:color="0F2F50"/>
            </w:tcBorders>
            <w:shd w:val="clear" w:color="auto" w:fill="0F2F50"/>
          </w:tcPr>
          <w:p>
            <w:pPr>
              <w:ind w:left="1480"/>
              <w:spacing w:after="0"/>
              <w:rPr>
                <w:sz w:val="20"/>
                <w:szCs w:val="20"/>
                <w:color w:val="auto"/>
              </w:rPr>
            </w:pPr>
            <w:r>
              <w:rPr>
                <w:rFonts w:ascii="Arial" w:cs="Arial" w:eastAsia="Arial" w:hAnsi="Arial"/>
                <w:sz w:val="18"/>
                <w:szCs w:val="18"/>
                <w:b w:val="1"/>
                <w:bCs w:val="1"/>
                <w:color w:val="FFFFFF"/>
              </w:rPr>
              <w:t>Unfunded Commitment Activity</w:t>
            </w:r>
          </w:p>
        </w:tc>
        <w:tc>
          <w:tcPr>
            <w:tcW w:w="900" w:type="dxa"/>
            <w:vAlign w:val="bottom"/>
            <w:tcBorders>
              <w:bottom w:val="single" w:sz="8" w:color="0F2F50"/>
            </w:tcBorders>
            <w:shd w:val="clear" w:color="auto" w:fill="0F2F50"/>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Revolver Capacity</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$1,585</w:t>
            </w:r>
          </w:p>
        </w:tc>
        <w:tc>
          <w:tcPr>
            <w:tcW w:w="2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b w:val="1"/>
                <w:bCs w:val="1"/>
                <w:color w:val="auto"/>
              </w:rPr>
              <w:t>Unfunded Commitments (See Note 8 in 12/31/22 10-K)</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$336</w:t>
            </w:r>
          </w:p>
        </w:tc>
        <w:tc>
          <w:tcPr>
            <w:tcW w:w="20" w:type="dxa"/>
            <w:vAlign w:val="bottom"/>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1435"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4520" w:type="dxa"/>
            <w:vAlign w:val="bottom"/>
            <w:tcBorders>
              <w:top w:val="single" w:sz="8" w:color="ECEEF0"/>
              <w:bottom w:val="single" w:sz="8" w:color="ECEEF0"/>
            </w:tcBorders>
          </w:tcPr>
          <w:p>
            <w:pPr>
              <w:ind w:left="20"/>
              <w:spacing w:after="0"/>
              <w:rPr>
                <w:sz w:val="20"/>
                <w:szCs w:val="20"/>
                <w:color w:val="auto"/>
              </w:rPr>
            </w:pPr>
            <w:r>
              <w:rPr>
                <w:rFonts w:ascii="Arial" w:cs="Arial" w:eastAsia="Arial" w:hAnsi="Arial"/>
                <w:sz w:val="16"/>
                <w:szCs w:val="16"/>
                <w:color w:val="auto"/>
              </w:rPr>
              <w:t>Drawn on Revolver</w:t>
            </w:r>
          </w:p>
        </w:tc>
        <w:tc>
          <w:tcPr>
            <w:tcW w:w="1040" w:type="dxa"/>
            <w:vAlign w:val="bottom"/>
            <w:tcBorders>
              <w:top w:val="single" w:sz="8" w:color="ECEEF0"/>
              <w:bottom w:val="single" w:sz="8" w:color="ECEEF0"/>
            </w:tcBorders>
          </w:tcPr>
          <w:p>
            <w:pPr>
              <w:jc w:val="right"/>
              <w:spacing w:after="0"/>
              <w:rPr>
                <w:sz w:val="20"/>
                <w:szCs w:val="20"/>
                <w:color w:val="auto"/>
              </w:rPr>
            </w:pPr>
            <w:r>
              <w:rPr>
                <w:rFonts w:ascii="Arial" w:cs="Arial" w:eastAsia="Arial" w:hAnsi="Arial"/>
                <w:sz w:val="16"/>
                <w:szCs w:val="16"/>
                <w:color w:val="auto"/>
              </w:rPr>
              <w:t>($982)</w:t>
            </w:r>
          </w:p>
        </w:tc>
      </w:tr>
      <w:tr>
        <w:trPr>
          <w:trHeight w:val="196"/>
        </w:trPr>
        <w:tc>
          <w:tcPr>
            <w:tcW w:w="4520" w:type="dxa"/>
            <w:vAlign w:val="bottom"/>
            <w:tcBorders>
              <w:bottom w:val="single" w:sz="8" w:color="ECEEF0"/>
            </w:tcBorders>
          </w:tcPr>
          <w:p>
            <w:pPr>
              <w:ind w:left="20"/>
              <w:spacing w:after="0"/>
              <w:rPr>
                <w:sz w:val="20"/>
                <w:szCs w:val="20"/>
                <w:color w:val="auto"/>
              </w:rPr>
            </w:pPr>
            <w:r>
              <w:rPr>
                <w:rFonts w:ascii="Arial" w:cs="Arial" w:eastAsia="Arial" w:hAnsi="Arial"/>
                <w:sz w:val="16"/>
                <w:szCs w:val="16"/>
                <w:color w:val="auto"/>
              </w:rPr>
              <w:t>Unrestricted Cash Balance</w:t>
            </w:r>
          </w:p>
        </w:tc>
        <w:tc>
          <w:tcPr>
            <w:tcW w:w="10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$10</w:t>
            </w:r>
          </w:p>
        </w:tc>
      </w:tr>
      <w:tr>
        <w:trPr>
          <w:trHeight w:val="196"/>
        </w:trPr>
        <w:tc>
          <w:tcPr>
            <w:tcW w:w="4520" w:type="dxa"/>
            <w:vAlign w:val="bottom"/>
            <w:tcBorders>
              <w:bottom w:val="single" w:sz="8" w:color="ECEEF0"/>
            </w:tcBorders>
          </w:tcPr>
          <w:p>
            <w:pPr>
              <w:ind w:left="20"/>
              <w:spacing w:after="0"/>
              <w:rPr>
                <w:sz w:val="20"/>
                <w:szCs w:val="20"/>
                <w:color w:val="auto"/>
              </w:rPr>
            </w:pPr>
            <w:r>
              <w:rPr>
                <w:rFonts w:ascii="Arial" w:cs="Arial" w:eastAsia="Arial" w:hAnsi="Arial"/>
                <w:sz w:val="16"/>
                <w:szCs w:val="16"/>
                <w:b w:val="1"/>
                <w:bCs w:val="1"/>
                <w:color w:val="auto"/>
              </w:rPr>
              <w:t>Total Liquidity (Pre-Unfunded Commitments)</w:t>
            </w:r>
          </w:p>
        </w:tc>
        <w:tc>
          <w:tcPr>
            <w:tcW w:w="104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$613</w:t>
            </w:r>
          </w:p>
        </w:tc>
      </w:tr>
      <w:tr>
        <w:trPr>
          <w:trHeight w:val="196"/>
        </w:trPr>
        <w:tc>
          <w:tcPr>
            <w:tcW w:w="4520" w:type="dxa"/>
            <w:vAlign w:val="bottom"/>
            <w:tcBorders>
              <w:bottom w:val="single" w:sz="8" w:color="ECEEF0"/>
            </w:tcBorders>
          </w:tcPr>
          <w:p>
            <w:pPr>
              <w:ind w:left="20"/>
              <w:spacing w:after="0" w:line="195" w:lineRule="exact"/>
              <w:rPr>
                <w:sz w:val="20"/>
                <w:szCs w:val="20"/>
                <w:color w:val="auto"/>
              </w:rPr>
            </w:pPr>
            <w:r>
              <w:rPr>
                <w:rFonts w:ascii="Arial" w:cs="Arial" w:eastAsia="Arial" w:hAnsi="Arial"/>
                <w:sz w:val="14"/>
                <w:szCs w:val="14"/>
                <w:color w:val="auto"/>
              </w:rPr>
              <w:t>Available Unfunded Commitments</w:t>
            </w:r>
            <w:r>
              <w:rPr>
                <w:rFonts w:ascii="Arial" w:cs="Arial" w:eastAsia="Arial" w:hAnsi="Arial"/>
                <w:sz w:val="22"/>
                <w:szCs w:val="22"/>
                <w:color w:val="auto"/>
                <w:vertAlign w:val="superscript"/>
              </w:rPr>
              <w:t>1</w:t>
            </w:r>
          </w:p>
        </w:tc>
        <w:tc>
          <w:tcPr>
            <w:tcW w:w="10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($190)</w:t>
            </w:r>
          </w:p>
        </w:tc>
      </w:tr>
      <w:tr>
        <w:trPr>
          <w:trHeight w:val="196"/>
        </w:trPr>
        <w:tc>
          <w:tcPr>
            <w:tcW w:w="4520" w:type="dxa"/>
            <w:vAlign w:val="bottom"/>
            <w:tcBorders>
              <w:bottom w:val="single" w:sz="8" w:color="ECEEF0"/>
            </w:tcBorders>
          </w:tcPr>
          <w:p>
            <w:pPr>
              <w:ind w:left="20"/>
              <w:spacing w:after="0"/>
              <w:rPr>
                <w:sz w:val="20"/>
                <w:szCs w:val="20"/>
                <w:color w:val="auto"/>
              </w:rPr>
            </w:pPr>
            <w:r>
              <w:rPr>
                <w:rFonts w:ascii="Arial" w:cs="Arial" w:eastAsia="Arial" w:hAnsi="Arial"/>
                <w:sz w:val="16"/>
                <w:szCs w:val="16"/>
                <w:b w:val="1"/>
                <w:bCs w:val="1"/>
                <w:color w:val="auto"/>
              </w:rPr>
              <w:t>Total Liquidity (Burdened for Unfunded Commitments)</w:t>
            </w:r>
          </w:p>
        </w:tc>
        <w:tc>
          <w:tcPr>
            <w:tcW w:w="104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$423</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3920" w:type="dxa"/>
            <w:vAlign w:val="bottom"/>
            <w:tcBorders>
              <w:top w:val="single" w:sz="8" w:color="ECEEF0"/>
              <w:bottom w:val="single" w:sz="8" w:color="ECEEF0"/>
            </w:tcBorders>
          </w:tcPr>
          <w:p>
            <w:pPr>
              <w:spacing w:after="0"/>
              <w:rPr>
                <w:sz w:val="20"/>
                <w:szCs w:val="20"/>
                <w:color w:val="auto"/>
              </w:rPr>
            </w:pPr>
            <w:r>
              <w:rPr>
                <w:rFonts w:ascii="Arial" w:cs="Arial" w:eastAsia="Arial" w:hAnsi="Arial"/>
                <w:sz w:val="16"/>
                <w:szCs w:val="16"/>
                <w:color w:val="auto"/>
              </w:rPr>
              <w:t>Extinguished Unfunded Commitments</w:t>
            </w:r>
          </w:p>
        </w:tc>
        <w:tc>
          <w:tcPr>
            <w:tcW w:w="1540" w:type="dxa"/>
            <w:vAlign w:val="bottom"/>
            <w:tcBorders>
              <w:top w:val="single" w:sz="8" w:color="ECEEF0"/>
              <w:bottom w:val="single" w:sz="8" w:color="ECEEF0"/>
            </w:tcBorders>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7"/>
                <w:szCs w:val="17"/>
                <w:color w:val="auto"/>
              </w:rPr>
            </w:pPr>
          </w:p>
        </w:tc>
      </w:tr>
      <w:tr>
        <w:trPr>
          <w:trHeight w:val="196"/>
        </w:trPr>
        <w:tc>
          <w:tcPr>
            <w:tcW w:w="3920" w:type="dxa"/>
            <w:vAlign w:val="bottom"/>
            <w:tcBorders>
              <w:bottom w:val="single" w:sz="8" w:color="ECEEF0"/>
            </w:tcBorders>
          </w:tcPr>
          <w:p>
            <w:pPr>
              <w:spacing w:after="0"/>
              <w:rPr>
                <w:sz w:val="20"/>
                <w:szCs w:val="20"/>
                <w:color w:val="auto"/>
              </w:rPr>
            </w:pPr>
            <w:r>
              <w:rPr>
                <w:rFonts w:ascii="Arial" w:cs="Arial" w:eastAsia="Arial" w:hAnsi="Arial"/>
                <w:sz w:val="16"/>
                <w:szCs w:val="16"/>
                <w:color w:val="auto"/>
              </w:rPr>
              <w:t>New Unfunded Commitments</w:t>
            </w:r>
          </w:p>
        </w:tc>
        <w:tc>
          <w:tcPr>
            <w:tcW w:w="15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$40</w:t>
            </w:r>
          </w:p>
        </w:tc>
        <w:tc>
          <w:tcPr>
            <w:tcW w:w="20" w:type="dxa"/>
            <w:vAlign w:val="bottom"/>
          </w:tcPr>
          <w:p>
            <w:pPr>
              <w:spacing w:after="0"/>
              <w:rPr>
                <w:sz w:val="17"/>
                <w:szCs w:val="17"/>
                <w:color w:val="auto"/>
              </w:rPr>
            </w:pPr>
          </w:p>
        </w:tc>
      </w:tr>
      <w:tr>
        <w:trPr>
          <w:trHeight w:val="196"/>
        </w:trPr>
        <w:tc>
          <w:tcPr>
            <w:tcW w:w="3920" w:type="dxa"/>
            <w:vAlign w:val="bottom"/>
            <w:tcBorders>
              <w:bottom w:val="single" w:sz="8" w:color="ECEEF0"/>
            </w:tcBorders>
          </w:tcPr>
          <w:p>
            <w:pPr>
              <w:spacing w:after="0"/>
              <w:rPr>
                <w:sz w:val="20"/>
                <w:szCs w:val="20"/>
                <w:color w:val="auto"/>
              </w:rPr>
            </w:pPr>
            <w:r>
              <w:rPr>
                <w:rFonts w:ascii="Arial" w:cs="Arial" w:eastAsia="Arial" w:hAnsi="Arial"/>
                <w:sz w:val="16"/>
                <w:szCs w:val="16"/>
                <w:color w:val="auto"/>
              </w:rPr>
              <w:t>Net Drawdown of Unfunded Commitments</w:t>
            </w:r>
          </w:p>
        </w:tc>
        <w:tc>
          <w:tcPr>
            <w:tcW w:w="15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17"/>
                <w:szCs w:val="17"/>
                <w:color w:val="auto"/>
              </w:rPr>
            </w:pPr>
          </w:p>
        </w:tc>
      </w:tr>
      <w:tr>
        <w:trPr>
          <w:trHeight w:val="196"/>
        </w:trPr>
        <w:tc>
          <w:tcPr>
            <w:tcW w:w="3920" w:type="dxa"/>
            <w:vAlign w:val="bottom"/>
            <w:tcBorders>
              <w:bottom w:val="single" w:sz="8" w:color="ECEEF0"/>
            </w:tcBorders>
          </w:tcPr>
          <w:p>
            <w:pPr>
              <w:spacing w:after="0"/>
              <w:rPr>
                <w:sz w:val="20"/>
                <w:szCs w:val="20"/>
                <w:color w:val="auto"/>
              </w:rPr>
            </w:pPr>
            <w:r>
              <w:rPr>
                <w:rFonts w:ascii="Arial" w:cs="Arial" w:eastAsia="Arial" w:hAnsi="Arial"/>
                <w:sz w:val="16"/>
                <w:szCs w:val="16"/>
                <w:b w:val="1"/>
                <w:bCs w:val="1"/>
                <w:color w:val="auto"/>
              </w:rPr>
              <w:t>Total Unfunded Commitments</w:t>
            </w:r>
          </w:p>
        </w:tc>
        <w:tc>
          <w:tcPr>
            <w:tcW w:w="154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$328</w:t>
            </w:r>
          </w:p>
        </w:tc>
        <w:tc>
          <w:tcPr>
            <w:tcW w:w="20" w:type="dxa"/>
            <w:vAlign w:val="bottom"/>
          </w:tcPr>
          <w:p>
            <w:pPr>
              <w:spacing w:after="0"/>
              <w:rPr>
                <w:sz w:val="17"/>
                <w:szCs w:val="17"/>
                <w:color w:val="auto"/>
              </w:rPr>
            </w:pPr>
          </w:p>
        </w:tc>
      </w:tr>
      <w:tr>
        <w:trPr>
          <w:trHeight w:val="196"/>
        </w:trPr>
        <w:tc>
          <w:tcPr>
            <w:tcW w:w="3920" w:type="dxa"/>
            <w:vAlign w:val="bottom"/>
            <w:tcBorders>
              <w:bottom w:val="single" w:sz="8" w:color="ECEEF0"/>
            </w:tcBorders>
          </w:tcPr>
          <w:p>
            <w:pPr>
              <w:spacing w:after="0" w:line="195" w:lineRule="exact"/>
              <w:rPr>
                <w:sz w:val="20"/>
                <w:szCs w:val="20"/>
                <w:color w:val="auto"/>
              </w:rPr>
            </w:pPr>
            <w:r>
              <w:rPr>
                <w:rFonts w:ascii="Arial" w:cs="Arial" w:eastAsia="Arial" w:hAnsi="Arial"/>
                <w:sz w:val="14"/>
                <w:szCs w:val="14"/>
                <w:color w:val="auto"/>
              </w:rPr>
              <w:t>Unavailable Unfunded Commitments</w:t>
            </w:r>
            <w:r>
              <w:rPr>
                <w:rFonts w:ascii="Arial" w:cs="Arial" w:eastAsia="Arial" w:hAnsi="Arial"/>
                <w:sz w:val="22"/>
                <w:szCs w:val="22"/>
                <w:color w:val="auto"/>
                <w:vertAlign w:val="superscript"/>
              </w:rPr>
              <w:t>1</w:t>
            </w:r>
          </w:p>
        </w:tc>
        <w:tc>
          <w:tcPr>
            <w:tcW w:w="15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($138)</w:t>
            </w:r>
          </w:p>
        </w:tc>
        <w:tc>
          <w:tcPr>
            <w:tcW w:w="20" w:type="dxa"/>
            <w:vAlign w:val="bottom"/>
          </w:tcPr>
          <w:p>
            <w:pPr>
              <w:spacing w:after="0"/>
              <w:rPr>
                <w:sz w:val="17"/>
                <w:szCs w:val="17"/>
                <w:color w:val="auto"/>
              </w:rPr>
            </w:pPr>
          </w:p>
        </w:tc>
      </w:tr>
      <w:tr>
        <w:trPr>
          <w:trHeight w:val="205"/>
        </w:trPr>
        <w:tc>
          <w:tcPr>
            <w:tcW w:w="3920" w:type="dxa"/>
            <w:vAlign w:val="bottom"/>
          </w:tcPr>
          <w:p>
            <w:pPr>
              <w:spacing w:after="0" w:line="205" w:lineRule="exact"/>
              <w:rPr>
                <w:sz w:val="20"/>
                <w:szCs w:val="20"/>
                <w:color w:val="auto"/>
              </w:rPr>
            </w:pPr>
            <w:r>
              <w:rPr>
                <w:rFonts w:ascii="Arial" w:cs="Arial" w:eastAsia="Arial" w:hAnsi="Arial"/>
                <w:sz w:val="14"/>
                <w:szCs w:val="14"/>
                <w:b w:val="1"/>
                <w:bCs w:val="1"/>
                <w:color w:val="auto"/>
              </w:rPr>
              <w:t>Available Unfunded Commitments</w:t>
            </w:r>
            <w:r>
              <w:rPr>
                <w:rFonts w:ascii="Arial" w:cs="Arial" w:eastAsia="Arial" w:hAnsi="Arial"/>
                <w:sz w:val="23"/>
                <w:szCs w:val="23"/>
                <w:color w:val="auto"/>
                <w:vertAlign w:val="superscript"/>
              </w:rPr>
              <w:t>1</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$190</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34632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60" w:space="220"/>
            <w:col w:w="5460"/>
          </w:cols>
          <w:pgMar w:left="320" w:top="1435" w:right="339" w:bottom="1440" w:gutter="0" w:footer="0" w:header="0"/>
          <w:type w:val="continuous"/>
        </w:sectPr>
      </w:pPr>
    </w:p>
    <w:p>
      <w:pPr>
        <w:ind w:left="400" w:hanging="392"/>
        <w:spacing w:after="0" w:line="216"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Note: May not sum due to rounding</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Profile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2023, the Company’s funding mix was comprised of approximately 40% unsecured and 60% secured debt. As illustrated below, the Company’s nearest debt maturity is in November 2024 at $348 million, and the weighted average remaining life of investments funded with debt was ~2.5 years, compared to a weighted average remaining maturity on debt of ~3.5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74295</wp:posOffset>
            </wp:positionV>
            <wp:extent cx="5760720" cy="30600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60720"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right="20"/>
        <w:spacing w:after="0" w:line="224" w:lineRule="auto"/>
        <w:rPr>
          <w:sz w:val="20"/>
          <w:szCs w:val="20"/>
          <w:color w:val="auto"/>
        </w:rPr>
      </w:pPr>
      <w:r>
        <w:rPr>
          <w:rFonts w:ascii="Arial" w:cs="Arial" w:eastAsia="Arial" w:hAnsi="Arial"/>
          <w:sz w:val="13"/>
          <w:szCs w:val="13"/>
          <w:color w:val="auto"/>
        </w:rPr>
        <w:t>*Includes $25 million of non-extending commitments with a maturity of January 31, 2025 and a revolving period ending January 31, 2024 and $50 million of non-extending commitments with a maturity of February 4, 2026 and a revolving period ending February 4, 2025</w:t>
      </w:r>
    </w:p>
    <w:p>
      <w:pPr>
        <w:spacing w:after="0" w:line="1" w:lineRule="exact"/>
        <w:rPr>
          <w:sz w:val="20"/>
          <w:szCs w:val="20"/>
          <w:color w:val="auto"/>
        </w:rPr>
      </w:pPr>
    </w:p>
    <w:p>
      <w:pPr>
        <w:ind w:left="400" w:hanging="392"/>
        <w:spacing w:after="0" w:line="281" w:lineRule="auto"/>
        <w:tabs>
          <w:tab w:leader="none" w:pos="400" w:val="left"/>
        </w:tabs>
        <w:numPr>
          <w:ilvl w:val="0"/>
          <w:numId w:val="5"/>
        </w:numPr>
        <w:rPr>
          <w:rFonts w:ascii="Arial" w:cs="Arial" w:eastAsia="Arial" w:hAnsi="Arial"/>
          <w:sz w:val="10"/>
          <w:szCs w:val="10"/>
          <w:color w:val="auto"/>
        </w:rPr>
      </w:pPr>
      <w:r>
        <w:rPr>
          <w:rFonts w:ascii="Arial" w:cs="Arial" w:eastAsia="Arial" w:hAnsi="Arial"/>
          <w:sz w:val="10"/>
          <w:szCs w:val="10"/>
          <w:color w:val="auto"/>
        </w:rPr>
        <w:t>Net of Deferred Financing Costs and Interest Rate Fair Value Hedging. Deferred Financing Costs total $17.8M at 3/31/22, $20.6M at 6/30/22, $19.1M at 9/30/22, $17.8M at 12/31/22 and $16.5M at 3/31/23. Fair value hedge on interest rate swaps related to the 2024 and 2026 notes total ($5.9M) at 12/31/21, ($33.0M) at 3/31/22, ($41.1M) at 6/30/22, ($58.3M) at 9/30/22, ($55.1M) at 12/31/222 and $(47.8M) at 3/31/23</w:t>
      </w:r>
    </w:p>
    <w:p>
      <w:pPr>
        <w:jc w:val="both"/>
        <w:ind w:left="400" w:hanging="392"/>
        <w:spacing w:after="0" w:line="216" w:lineRule="auto"/>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Weighted by amortized cost of debt investments. Investments are financed by debt and equity capital. This analysis assumes longer-dated investments are currently funded by equity capital (47% of investments) and the remaining (shorter-dated) investments (53% of investments) are currently funded by debt financing. Investments for purposes of this analysis exclude unfunded commitments, and equity capital is defined as 3/31/23 net assets</w:t>
      </w:r>
    </w:p>
    <w:p>
      <w:pPr>
        <w:spacing w:after="0" w:line="1" w:lineRule="exact"/>
        <w:rPr>
          <w:rFonts w:ascii="Arial" w:cs="Arial" w:eastAsia="Arial" w:hAnsi="Arial"/>
          <w:sz w:val="13"/>
          <w:szCs w:val="13"/>
          <w:color w:val="auto"/>
        </w:rPr>
      </w:pPr>
    </w:p>
    <w:p>
      <w:pPr>
        <w:ind w:left="400" w:hanging="392"/>
        <w:spacing w:after="0" w:line="216" w:lineRule="auto"/>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Weighted by gross commitment amount</w:t>
      </w:r>
    </w:p>
    <w:p>
      <w:pPr>
        <w:spacing w:after="0"/>
        <w:rPr>
          <w:sz w:val="20"/>
          <w:szCs w:val="20"/>
          <w:color w:val="auto"/>
        </w:rPr>
      </w:pPr>
      <w:r>
        <w:rPr>
          <w:rFonts w:ascii="Arial" w:cs="Arial" w:eastAsia="Arial" w:hAnsi="Arial"/>
          <w:sz w:val="13"/>
          <w:szCs w:val="13"/>
          <w:color w:val="auto"/>
        </w:rPr>
        <w:t>Note: Numbers may not sum due to rounding</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CONFERENCE CALL AND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conference call to discuss the Company’s financial results will be held at 8:30 a.m. Eastern Time on May 9, 2023. The conference call will be broadcast live in listen-only mode on the Investor Resources section of TSLX’s website at https://sixthstreetspecialtylending.gcs-web.com/events-and-presentations. The Events &amp; Presentations page of the Investor Resources section of TSLX’s website also includes a slide presentation that complements the Earnings Conference Call. Please visit the website to test your connection before the webcast.</w:t>
      </w:r>
    </w:p>
    <w:p>
      <w:pPr>
        <w:spacing w:after="0" w:line="11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Research analysts who wish to participate in the conference call must first register at https://register.vevent.com/register/BIad1af13ecdc54736929504d961c365a7. Upon registration, all telephone participants will receive a confirmation email detailing how to join the conference call, including the dial-in number along with a unique passcode and registrant ID that can be used to access the call.</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Replay Information:</w:t>
      </w:r>
    </w:p>
    <w:p>
      <w:pPr>
        <w:spacing w:after="0" w:line="3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recorded version will be available under the same webcast link (</w:t>
      </w:r>
      <w:r>
        <w:rPr>
          <w:rFonts w:ascii="Arial" w:cs="Arial" w:eastAsia="Arial" w:hAnsi="Arial"/>
          <w:sz w:val="18"/>
          <w:szCs w:val="18"/>
          <w:u w:val="single" w:color="auto"/>
          <w:color w:val="auto"/>
        </w:rPr>
        <w:t>https://sixthstreetspecialtylending.gcs-web.com/events-and-presentations</w:t>
      </w:r>
      <w:r>
        <w:rPr>
          <w:rFonts w:ascii="Arial" w:cs="Arial" w:eastAsia="Arial" w:hAnsi="Arial"/>
          <w:sz w:val="18"/>
          <w:szCs w:val="18"/>
          <w:color w:val="auto"/>
        </w:rPr>
        <w:t>) following the conclusion of the conference call.</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8" w:name="page9"/>
    <w:bookmarkEnd w:id="8"/>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in millions, except per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78"/>
        </w:trPr>
        <w:tc>
          <w:tcPr>
            <w:tcW w:w="6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1"/>
        </w:trPr>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March 31, 2023</w:t>
            </w: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March 31, 2022</w:t>
            </w:r>
          </w:p>
        </w:tc>
      </w:tr>
      <w:tr>
        <w:trPr>
          <w:trHeight w:val="223"/>
        </w:trPr>
        <w:tc>
          <w:tcPr>
            <w:tcW w:w="6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2,918.6</w:t>
            </w: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2,787.9</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2,451.9</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2,972.5</w:t>
            </w:r>
          </w:p>
        </w:tc>
        <w:tc>
          <w:tcPr>
            <w:tcW w:w="3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2,836.9</w:t>
            </w:r>
          </w:p>
        </w:tc>
        <w:tc>
          <w:tcPr>
            <w:tcW w:w="2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2,491.2</w:t>
            </w:r>
          </w:p>
        </w:tc>
        <w:tc>
          <w:tcPr>
            <w:tcW w:w="18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Net Asset Value Per Share</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2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w:t>
            </w:r>
          </w:p>
        </w:tc>
        <w:tc>
          <w:tcPr>
            <w:tcW w:w="180" w:type="dxa"/>
            <w:vAlign w:val="bottom"/>
            <w:shd w:val="clear" w:color="auto" w:fill="CFF0FC"/>
          </w:tcPr>
          <w:p>
            <w:pPr>
              <w:spacing w:after="0"/>
              <w:rPr>
                <w:sz w:val="19"/>
                <w:szCs w:val="19"/>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Supplemental Dividend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0.04</w:t>
            </w:r>
          </w:p>
        </w:tc>
        <w:tc>
          <w:tcPr>
            <w:tcW w:w="3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19"/>
                <w:szCs w:val="19"/>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Net Asset Value Per Share </w:t>
            </w:r>
            <w:r>
              <w:rPr>
                <w:rFonts w:ascii="Arial" w:cs="Arial" w:eastAsia="Arial" w:hAnsi="Arial"/>
                <w:sz w:val="15"/>
                <w:szCs w:val="15"/>
                <w:color w:val="auto"/>
              </w:rPr>
              <w:t>(1)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w:t>
            </w:r>
          </w:p>
        </w:tc>
        <w:tc>
          <w:tcPr>
            <w:tcW w:w="2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180" w:type="dxa"/>
            <w:vAlign w:val="bottom"/>
            <w:shd w:val="clear" w:color="auto" w:fill="CFF0FC"/>
          </w:tcPr>
          <w:p>
            <w:pPr>
              <w:spacing w:after="0"/>
              <w:rPr>
                <w:sz w:val="19"/>
                <w:szCs w:val="19"/>
                <w:color w:val="auto"/>
              </w:rPr>
            </w:pPr>
          </w:p>
        </w:tc>
      </w:tr>
      <w:tr>
        <w:trPr>
          <w:trHeight w:val="230"/>
        </w:trPr>
        <w:tc>
          <w:tcPr>
            <w:tcW w:w="6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2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180" w:type="dxa"/>
            <w:vAlign w:val="bottom"/>
            <w:shd w:val="clear" w:color="auto" w:fill="CFF0FC"/>
          </w:tcPr>
          <w:p>
            <w:pPr>
              <w:spacing w:after="0"/>
              <w:rPr>
                <w:sz w:val="19"/>
                <w:szCs w:val="19"/>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Net Investment Income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42.8</w:t>
            </w:r>
          </w:p>
        </w:tc>
        <w:tc>
          <w:tcPr>
            <w:tcW w:w="3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52.6</w:t>
            </w:r>
          </w:p>
        </w:tc>
        <w:tc>
          <w:tcPr>
            <w:tcW w:w="2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Pr>
          <w:p>
            <w:pPr>
              <w:spacing w:after="0"/>
              <w:rPr>
                <w:sz w:val="19"/>
                <w:szCs w:val="19"/>
                <w:color w:val="auto"/>
              </w:rPr>
            </w:pPr>
          </w:p>
        </w:tc>
      </w:tr>
      <w:tr>
        <w:trPr>
          <w:trHeight w:val="256"/>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3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240" w:type="dxa"/>
            <w:vAlign w:val="bottom"/>
            <w:shd w:val="clear" w:color="auto" w:fill="CFF0FC"/>
          </w:tcPr>
          <w:p>
            <w:pPr>
              <w:spacing w:after="0"/>
              <w:rPr>
                <w:sz w:val="22"/>
                <w:szCs w:val="22"/>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80" w:type="dxa"/>
            <w:vAlign w:val="bottom"/>
            <w:shd w:val="clear" w:color="auto" w:fill="CFF0FC"/>
          </w:tcPr>
          <w:p>
            <w:pPr>
              <w:spacing w:after="0"/>
              <w:rPr>
                <w:sz w:val="22"/>
                <w:szCs w:val="22"/>
                <w:color w:val="auto"/>
              </w:rPr>
            </w:pPr>
          </w:p>
        </w:tc>
      </w:tr>
      <w:tr>
        <w:trPr>
          <w:trHeight w:val="250"/>
        </w:trPr>
        <w:tc>
          <w:tcPr>
            <w:tcW w:w="6280" w:type="dxa"/>
            <w:vAlign w:val="bottom"/>
          </w:tcPr>
          <w:p>
            <w:pPr>
              <w:spacing w:after="0"/>
              <w:rPr>
                <w:sz w:val="20"/>
                <w:szCs w:val="20"/>
                <w:color w:val="auto"/>
              </w:rPr>
            </w:pPr>
            <w:r>
              <w:rPr>
                <w:rFonts w:ascii="Arial" w:cs="Arial" w:eastAsia="Arial" w:hAnsi="Arial"/>
                <w:sz w:val="18"/>
                <w:szCs w:val="18"/>
                <w:color w:val="auto"/>
              </w:rPr>
              <w:t>Accrued Capital Gains Incentive Fee Expense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r>
      <w:tr>
        <w:trPr>
          <w:trHeight w:val="263"/>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Net Investment Income </w:t>
            </w:r>
            <w:r>
              <w:rPr>
                <w:rFonts w:ascii="Arial" w:cs="Arial" w:eastAsia="Arial" w:hAnsi="Arial"/>
                <w:sz w:val="15"/>
                <w:szCs w:val="15"/>
                <w:color w:val="auto"/>
              </w:rPr>
              <w:t>(2)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3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240" w:type="dxa"/>
            <w:vAlign w:val="bottom"/>
            <w:shd w:val="clear" w:color="auto" w:fill="CFF0FC"/>
          </w:tcPr>
          <w:p>
            <w:pPr>
              <w:spacing w:after="0"/>
              <w:rPr>
                <w:sz w:val="22"/>
                <w:szCs w:val="22"/>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180" w:type="dxa"/>
            <w:vAlign w:val="bottom"/>
            <w:shd w:val="clear" w:color="auto" w:fill="CFF0FC"/>
          </w:tcPr>
          <w:p>
            <w:pPr>
              <w:spacing w:after="0"/>
              <w:rPr>
                <w:sz w:val="22"/>
                <w:szCs w:val="22"/>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 xml:space="preserve">Adjusted Net Income (Loss) </w:t>
            </w:r>
            <w:r>
              <w:rPr>
                <w:rFonts w:ascii="Arial" w:cs="Arial" w:eastAsia="Arial" w:hAnsi="Arial"/>
                <w:sz w:val="15"/>
                <w:szCs w:val="15"/>
                <w:color w:val="auto"/>
              </w:rPr>
              <w:t>(2)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54.6</w:t>
            </w:r>
          </w:p>
        </w:tc>
        <w:tc>
          <w:tcPr>
            <w:tcW w:w="3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45.1</w:t>
            </w:r>
          </w:p>
        </w:tc>
        <w:tc>
          <w:tcPr>
            <w:tcW w:w="2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42.3</w:t>
            </w:r>
          </w:p>
        </w:tc>
        <w:tc>
          <w:tcPr>
            <w:tcW w:w="18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Net Investment Income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0.53</w:t>
            </w:r>
          </w:p>
        </w:tc>
        <w:tc>
          <w:tcPr>
            <w:tcW w:w="3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0.65</w:t>
            </w:r>
          </w:p>
        </w:tc>
        <w:tc>
          <w:tcPr>
            <w:tcW w:w="2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0.47</w:t>
            </w:r>
          </w:p>
        </w:tc>
        <w:tc>
          <w:tcPr>
            <w:tcW w:w="180" w:type="dxa"/>
            <w:vAlign w:val="bottom"/>
          </w:tcPr>
          <w:p>
            <w:pPr>
              <w:spacing w:after="0"/>
              <w:rPr>
                <w:sz w:val="19"/>
                <w:szCs w:val="19"/>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2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0.54</w:t>
            </w:r>
          </w:p>
        </w:tc>
        <w:tc>
          <w:tcPr>
            <w:tcW w:w="180" w:type="dxa"/>
            <w:vAlign w:val="bottom"/>
            <w:shd w:val="clear" w:color="auto" w:fill="CFF0FC"/>
          </w:tcPr>
          <w:p>
            <w:pPr>
              <w:spacing w:after="0"/>
              <w:rPr>
                <w:sz w:val="19"/>
                <w:szCs w:val="19"/>
                <w:color w:val="auto"/>
              </w:rPr>
            </w:pPr>
          </w:p>
        </w:tc>
      </w:tr>
      <w:tr>
        <w:trPr>
          <w:trHeight w:val="250"/>
        </w:trPr>
        <w:tc>
          <w:tcPr>
            <w:tcW w:w="6280" w:type="dxa"/>
            <w:vAlign w:val="bottom"/>
          </w:tcPr>
          <w:p>
            <w:pPr>
              <w:spacing w:after="0"/>
              <w:rPr>
                <w:sz w:val="20"/>
                <w:szCs w:val="20"/>
                <w:color w:val="auto"/>
              </w:rPr>
            </w:pPr>
            <w:r>
              <w:rPr>
                <w:rFonts w:ascii="Arial" w:cs="Arial" w:eastAsia="Arial" w:hAnsi="Arial"/>
                <w:sz w:val="18"/>
                <w:szCs w:val="18"/>
                <w:color w:val="auto"/>
              </w:rPr>
              <w:t>Accrued Capital Gains Incentive Fee Expense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0.02</w:t>
            </w:r>
          </w:p>
        </w:tc>
        <w:tc>
          <w:tcPr>
            <w:tcW w:w="32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21"/>
                <w:szCs w:val="21"/>
                <w:color w:val="auto"/>
              </w:rPr>
            </w:pPr>
          </w:p>
        </w:tc>
      </w:tr>
      <w:tr>
        <w:trPr>
          <w:trHeight w:val="263"/>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Net Investment Income Per Share </w:t>
            </w:r>
            <w:r>
              <w:rPr>
                <w:rFonts w:ascii="Arial" w:cs="Arial" w:eastAsia="Arial" w:hAnsi="Arial"/>
                <w:sz w:val="15"/>
                <w:szCs w:val="15"/>
                <w:color w:val="auto"/>
              </w:rPr>
              <w:t>(2)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0.55</w:t>
            </w:r>
          </w:p>
        </w:tc>
        <w:tc>
          <w:tcPr>
            <w:tcW w:w="3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0.64</w:t>
            </w:r>
          </w:p>
        </w:tc>
        <w:tc>
          <w:tcPr>
            <w:tcW w:w="240" w:type="dxa"/>
            <w:vAlign w:val="bottom"/>
            <w:shd w:val="clear" w:color="auto" w:fill="CFF0FC"/>
          </w:tcPr>
          <w:p>
            <w:pPr>
              <w:spacing w:after="0"/>
              <w:rPr>
                <w:sz w:val="22"/>
                <w:szCs w:val="22"/>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180" w:type="dxa"/>
            <w:vAlign w:val="bottom"/>
            <w:shd w:val="clear" w:color="auto" w:fill="CFF0FC"/>
          </w:tcPr>
          <w:p>
            <w:pPr>
              <w:spacing w:after="0"/>
              <w:rPr>
                <w:sz w:val="22"/>
                <w:szCs w:val="22"/>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 xml:space="preserve">Adjusted Net Income (Loss) Per Share </w:t>
            </w:r>
            <w:r>
              <w:rPr>
                <w:rFonts w:ascii="Arial" w:cs="Arial" w:eastAsia="Arial" w:hAnsi="Arial"/>
                <w:sz w:val="15"/>
                <w:szCs w:val="15"/>
                <w:color w:val="auto"/>
              </w:rPr>
              <w:t>(2)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0.67</w:t>
            </w:r>
          </w:p>
        </w:tc>
        <w:tc>
          <w:tcPr>
            <w:tcW w:w="3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0.56</w:t>
            </w:r>
          </w:p>
        </w:tc>
        <w:tc>
          <w:tcPr>
            <w:tcW w:w="2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0.56</w:t>
            </w:r>
          </w:p>
        </w:tc>
        <w:tc>
          <w:tcPr>
            <w:tcW w:w="180" w:type="dxa"/>
            <w:vAlign w:val="bottom"/>
          </w:tcPr>
          <w:p>
            <w:pPr>
              <w:spacing w:after="0"/>
              <w:rPr>
                <w:sz w:val="19"/>
                <w:szCs w:val="19"/>
                <w:color w:val="auto"/>
              </w:rPr>
            </w:pPr>
          </w:p>
        </w:tc>
      </w:tr>
      <w:tr>
        <w:trPr>
          <w:trHeight w:val="229"/>
        </w:trPr>
        <w:tc>
          <w:tcPr>
            <w:tcW w:w="6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 xml:space="preserve">Annualized Return on Equity (Net Investment Income) </w:t>
            </w:r>
            <w:r>
              <w:rPr>
                <w:rFonts w:ascii="Arial" w:cs="Arial" w:eastAsia="Arial" w:hAnsi="Arial"/>
                <w:sz w:val="15"/>
                <w:szCs w:val="15"/>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Annualized Return on Equity (Net Income (Loss)) </w:t>
            </w:r>
            <w:r>
              <w:rPr>
                <w:rFonts w:ascii="Arial" w:cs="Arial" w:eastAsia="Arial" w:hAnsi="Arial"/>
                <w:sz w:val="15"/>
                <w:szCs w:val="15"/>
                <w:color w:val="auto"/>
              </w:rPr>
              <w:t>(3)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12.8%</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 xml:space="preserve">Annualized Return on Equity (Adjusted Net Investment Income) </w:t>
            </w:r>
            <w:r>
              <w:rPr>
                <w:rFonts w:ascii="Arial" w:cs="Arial" w:eastAsia="Arial" w:hAnsi="Arial"/>
                <w:sz w:val="15"/>
                <w:szCs w:val="15"/>
                <w:color w:val="auto"/>
              </w:rPr>
              <w:t>(2)(3)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Annualized Return on Equity (Adjusted Net Income (Loss)) </w:t>
            </w:r>
            <w:r>
              <w:rPr>
                <w:rFonts w:ascii="Arial" w:cs="Arial" w:eastAsia="Arial" w:hAnsi="Arial"/>
                <w:sz w:val="15"/>
                <w:szCs w:val="15"/>
                <w:color w:val="auto"/>
              </w:rPr>
              <w:t>(2)(3)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w:t>
            </w:r>
          </w:p>
        </w:tc>
      </w:tr>
      <w:tr>
        <w:trPr>
          <w:trHeight w:val="257"/>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w w:val="98"/>
              </w:rPr>
              <w:t>Weighted Average Yield of Debt and Income Producing Securities at Fair Value</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w:t>
            </w: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w w:val="92"/>
              </w:rPr>
              <w:t>Weighted Average Yield of Debt and Income Producing Securities at Amortized Cost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Percentage of Debt Investment Commitments at Floating Rates </w:t>
            </w:r>
            <w:r>
              <w:rPr>
                <w:rFonts w:ascii="Arial" w:cs="Arial" w:eastAsia="Arial" w:hAnsi="Arial"/>
                <w:sz w:val="15"/>
                <w:szCs w:val="15"/>
                <w:color w:val="auto"/>
              </w:rPr>
              <w:t>(4)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99.2%</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99.0%</w:t>
            </w:r>
          </w:p>
        </w:tc>
      </w:tr>
    </w:tbl>
    <w:p>
      <w:pPr>
        <w:spacing w:after="0" w:line="130" w:lineRule="exact"/>
        <w:rPr>
          <w:sz w:val="20"/>
          <w:szCs w:val="20"/>
          <w:color w:val="auto"/>
        </w:rPr>
      </w:pPr>
    </w:p>
    <w:p>
      <w:pPr>
        <w:ind w:left="800" w:hanging="401"/>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Adjusted net asset value per share gives effect to the supplemental dividend declared related to earnings or special dividend in the applicable period.</w:t>
      </w:r>
    </w:p>
    <w:p>
      <w:pPr>
        <w:spacing w:after="0" w:line="82" w:lineRule="exact"/>
        <w:rPr>
          <w:rFonts w:ascii="Arial" w:cs="Arial" w:eastAsia="Arial" w:hAnsi="Arial"/>
          <w:sz w:val="14"/>
          <w:szCs w:val="14"/>
          <w:color w:val="auto"/>
        </w:rPr>
      </w:pPr>
    </w:p>
    <w:p>
      <w:pPr>
        <w:ind w:left="800" w:hanging="401"/>
        <w:spacing w:after="0" w:line="230" w:lineRule="auto"/>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Adjusted to exclude the capital gains incentive fee that was accrued, but not paid, related to cumulative unrealized capital gains in excess of cumulative net realized capital gains less any cumulative unrealized losses and capital gains incentive fees paid inception to date.</w:t>
      </w:r>
    </w:p>
    <w:p>
      <w:pPr>
        <w:ind w:left="800" w:hanging="401"/>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Return on equity is calculated using prior period’s ending net asset value per share.</w:t>
      </w:r>
    </w:p>
    <w:p>
      <w:pPr>
        <w:spacing w:after="0" w:line="70" w:lineRule="exact"/>
        <w:rPr>
          <w:rFonts w:ascii="Arial" w:cs="Arial" w:eastAsia="Arial" w:hAnsi="Arial"/>
          <w:sz w:val="14"/>
          <w:szCs w:val="14"/>
          <w:color w:val="auto"/>
        </w:rPr>
      </w:pPr>
    </w:p>
    <w:p>
      <w:pPr>
        <w:ind w:left="800" w:right="20" w:hanging="401"/>
        <w:spacing w:after="0" w:line="253" w:lineRule="auto"/>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one or more fixed rate investments for which the Company entered into an interest rate swap agreement to swap to floating rate. Calculation includes income earning debt investments only.</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9" w:name="page10"/>
    <w:bookmarkEnd w:id="9"/>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FINANCIAL STATEMENTS AND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Sixth Street Specialty Lending,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Consolidated Balance Sheets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3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Non-controlled, non-affiliated investments (amortized cost of $2,830,361 and $2,707,442,</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2,851,842</w:t>
            </w:r>
          </w:p>
        </w:tc>
        <w:tc>
          <w:tcPr>
            <w:tcW w:w="18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2,717,170</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60"/>
              <w:spacing w:after="0"/>
              <w:rPr>
                <w:sz w:val="20"/>
                <w:szCs w:val="20"/>
                <w:color w:val="auto"/>
              </w:rPr>
            </w:pPr>
            <w:r>
              <w:rPr>
                <w:rFonts w:ascii="Arial" w:cs="Arial" w:eastAsia="Arial" w:hAnsi="Arial"/>
                <w:sz w:val="18"/>
                <w:szCs w:val="18"/>
                <w:color w:val="auto"/>
              </w:rPr>
              <w:t>Controlled, affiliated investments (amortized cost of $69,474 and $67,284, respectively)</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66,742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70,755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Total investments at fair value (amortized cost of $2,899,835 and $2,774,726, respectively)</w:t>
            </w:r>
          </w:p>
        </w:tc>
        <w:tc>
          <w:tcPr>
            <w:tcW w:w="3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2,918,584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2,787,925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Cash and cash equivalents (restricted cash of $16,162 and $15,437, respectively)</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25,737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25,647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Interest receivable</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24,631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2,972,680</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2,836,947</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Debt (net of deferred financing costs of $16,533 and $17,760, respectively)</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1,563,036</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1,441,796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Management fees payable to affiliate</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10,477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10,526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on net investment income payable to affiliate</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Incentive fees on net capital gains accrued to affiliate</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7,822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6,064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3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payables to affiliate</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1,616,675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1,495,378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Assets</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2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issued and outstanding</w:t>
            </w:r>
          </w:p>
        </w:tc>
        <w:tc>
          <w:tcPr>
            <w:tcW w:w="32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 400,000,000 shares authorized, 82,416,115</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82,053,537 shares issued, respectively; and 81,751,865 and 81,389,287</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outstanding, respectively</w:t>
            </w:r>
          </w:p>
        </w:tc>
        <w:tc>
          <w:tcPr>
            <w:tcW w:w="3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1,300,593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1,294,751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at cost; 664,250 and 664,250 shares held, respectively</w:t>
            </w:r>
          </w:p>
        </w:tc>
        <w:tc>
          <w:tcPr>
            <w:tcW w:w="3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(10,459)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Distributable earnings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65,047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56,456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Net Assets</w:t>
            </w:r>
          </w:p>
        </w:tc>
        <w:tc>
          <w:tcPr>
            <w:tcW w:w="3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1,356,005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1,341,569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2,972,680</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2,836,947</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44"/>
        </w:trPr>
        <w:tc>
          <w:tcPr>
            <w:tcW w:w="7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92" w:right="319" w:bottom="1440" w:gutter="0" w:footer="0" w:header="0"/>
        </w:sectPr>
      </w:pPr>
    </w:p>
    <w:bookmarkStart w:id="10" w:name="page11"/>
    <w:bookmarkEnd w:id="10"/>
    <w:p>
      <w:pPr>
        <w:ind w:left="41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Sixth Street Specialty Lending, Inc.</w:t>
      </w:r>
    </w:p>
    <w:p>
      <w:pPr>
        <w:spacing w:after="0" w:line="22"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Consolidated Statements of Operations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20" w:type="dxa"/>
            <w:vAlign w:val="bottom"/>
            <w:gridSpan w:val="6"/>
          </w:tcPr>
          <w:p>
            <w:pPr>
              <w:jc w:val="right"/>
              <w:ind w:right="1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March 31, 2023</w:t>
            </w:r>
          </w:p>
        </w:tc>
        <w:tc>
          <w:tcPr>
            <w:tcW w:w="260" w:type="dxa"/>
            <w:vAlign w:val="bottom"/>
          </w:tcPr>
          <w:p>
            <w:pPr>
              <w:spacing w:after="0"/>
              <w:rPr>
                <w:sz w:val="14"/>
                <w:szCs w:val="14"/>
                <w:color w:val="auto"/>
              </w:rPr>
            </w:pPr>
          </w:p>
        </w:tc>
        <w:tc>
          <w:tcPr>
            <w:tcW w:w="16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March 31, 2022</w:t>
            </w:r>
          </w:p>
        </w:tc>
        <w:tc>
          <w:tcPr>
            <w:tcW w:w="0" w:type="dxa"/>
            <w:vAlign w:val="bottom"/>
          </w:tcPr>
          <w:p>
            <w:pPr>
              <w:spacing w:after="0"/>
              <w:rPr>
                <w:sz w:val="1"/>
                <w:szCs w:val="1"/>
                <w:color w:val="auto"/>
              </w:rPr>
            </w:pPr>
          </w:p>
        </w:tc>
      </w:tr>
      <w:tr>
        <w:trPr>
          <w:trHeight w:val="155"/>
        </w:trPr>
        <w:tc>
          <w:tcPr>
            <w:tcW w:w="73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Income</w:t>
            </w:r>
          </w:p>
        </w:tc>
        <w:tc>
          <w:tcPr>
            <w:tcW w:w="240" w:type="dxa"/>
            <w:vAlign w:val="bottom"/>
            <w:tcBorders>
              <w:top w:val="single" w:sz="8" w:color="auto"/>
            </w:tcBorders>
            <w:shd w:val="clear" w:color="auto" w:fill="CFF0FC"/>
          </w:tcPr>
          <w:p>
            <w:pPr>
              <w:spacing w:after="0"/>
              <w:rPr>
                <w:sz w:val="13"/>
                <w:szCs w:val="13"/>
                <w:color w:val="auto"/>
              </w:rPr>
            </w:pPr>
          </w:p>
        </w:tc>
        <w:tc>
          <w:tcPr>
            <w:tcW w:w="15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5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300" w:type="dxa"/>
            <w:vAlign w:val="bottom"/>
          </w:tcPr>
          <w:p>
            <w:pPr>
              <w:spacing w:after="0"/>
              <w:rPr>
                <w:sz w:val="20"/>
                <w:szCs w:val="20"/>
                <w:color w:val="auto"/>
              </w:rPr>
            </w:pPr>
            <w:r>
              <w:rPr>
                <w:rFonts w:ascii="Arial" w:cs="Arial" w:eastAsia="Arial" w:hAnsi="Arial"/>
                <w:sz w:val="14"/>
                <w:szCs w:val="14"/>
                <w:color w:val="auto"/>
              </w:rPr>
              <w:t>Investment income from non-controlled, non-affiliated investments:</w:t>
            </w: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from investments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91,437</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64,233</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tcPr>
          <w:p>
            <w:pPr>
              <w:ind w:left="260"/>
              <w:spacing w:after="0"/>
              <w:rPr>
                <w:sz w:val="20"/>
                <w:szCs w:val="20"/>
                <w:color w:val="auto"/>
              </w:rPr>
            </w:pPr>
            <w:r>
              <w:rPr>
                <w:rFonts w:ascii="Arial" w:cs="Arial" w:eastAsia="Arial" w:hAnsi="Arial"/>
                <w:sz w:val="14"/>
                <w:szCs w:val="14"/>
                <w:color w:val="auto"/>
              </w:rPr>
              <w:t>Dividend income</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608</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income</w:t>
            </w:r>
          </w:p>
        </w:tc>
        <w:tc>
          <w:tcPr>
            <w:tcW w:w="24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2,757</w:t>
            </w:r>
          </w:p>
        </w:tc>
        <w:tc>
          <w:tcPr>
            <w:tcW w:w="28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1,762</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300" w:type="dxa"/>
            <w:vAlign w:val="bottom"/>
          </w:tcPr>
          <w:p>
            <w:pPr>
              <w:ind w:left="500"/>
              <w:spacing w:after="0" w:line="155" w:lineRule="exact"/>
              <w:rPr>
                <w:sz w:val="20"/>
                <w:szCs w:val="20"/>
                <w:color w:val="auto"/>
              </w:rPr>
            </w:pPr>
            <w:r>
              <w:rPr>
                <w:rFonts w:ascii="Arial" w:cs="Arial" w:eastAsia="Arial" w:hAnsi="Arial"/>
                <w:sz w:val="14"/>
                <w:szCs w:val="14"/>
                <w:color w:val="auto"/>
              </w:rPr>
              <w:t>Total investment income from non-controlled, non-affiliated investments</w:t>
            </w:r>
          </w:p>
        </w:tc>
        <w:tc>
          <w:tcPr>
            <w:tcW w:w="240" w:type="dxa"/>
            <w:vAlign w:val="bottom"/>
          </w:tcPr>
          <w:p>
            <w:pPr>
              <w:spacing w:after="0"/>
              <w:rPr>
                <w:sz w:val="13"/>
                <w:szCs w:val="13"/>
                <w:color w:val="auto"/>
              </w:rPr>
            </w:pPr>
          </w:p>
        </w:tc>
        <w:tc>
          <w:tcPr>
            <w:tcW w:w="1520" w:type="dxa"/>
            <w:vAlign w:val="bottom"/>
          </w:tcPr>
          <w:p>
            <w:pPr>
              <w:jc w:val="right"/>
              <w:spacing w:after="0" w:line="155" w:lineRule="exact"/>
              <w:rPr>
                <w:sz w:val="20"/>
                <w:szCs w:val="20"/>
                <w:color w:val="auto"/>
              </w:rPr>
            </w:pPr>
            <w:r>
              <w:rPr>
                <w:rFonts w:ascii="Arial" w:cs="Arial" w:eastAsia="Arial" w:hAnsi="Arial"/>
                <w:sz w:val="14"/>
                <w:szCs w:val="14"/>
                <w:color w:val="auto"/>
              </w:rPr>
              <w:t>94,802</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spacing w:after="0" w:line="155" w:lineRule="exact"/>
              <w:rPr>
                <w:sz w:val="20"/>
                <w:szCs w:val="20"/>
                <w:color w:val="auto"/>
              </w:rPr>
            </w:pPr>
            <w:r>
              <w:rPr>
                <w:rFonts w:ascii="Arial" w:cs="Arial" w:eastAsia="Arial" w:hAnsi="Arial"/>
                <w:sz w:val="14"/>
                <w:szCs w:val="14"/>
                <w:color w:val="auto"/>
              </w:rPr>
              <w:t>66,230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300" w:type="dxa"/>
            <w:vAlign w:val="bottom"/>
            <w:shd w:val="clear" w:color="auto" w:fill="CFF0FC"/>
          </w:tcPr>
          <w:p>
            <w:pPr>
              <w:spacing w:after="0"/>
              <w:rPr>
                <w:sz w:val="20"/>
                <w:szCs w:val="20"/>
                <w:color w:val="auto"/>
              </w:rPr>
            </w:pPr>
            <w:r>
              <w:rPr>
                <w:rFonts w:ascii="Arial" w:cs="Arial" w:eastAsia="Arial" w:hAnsi="Arial"/>
                <w:sz w:val="14"/>
                <w:szCs w:val="14"/>
                <w:color w:val="auto"/>
              </w:rPr>
              <w:t>Investment income from non-controlled, affiliated investments:</w:t>
            </w:r>
          </w:p>
        </w:tc>
        <w:tc>
          <w:tcPr>
            <w:tcW w:w="24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tcPr>
          <w:p>
            <w:pPr>
              <w:ind w:left="260"/>
              <w:spacing w:after="0"/>
              <w:rPr>
                <w:sz w:val="20"/>
                <w:szCs w:val="20"/>
                <w:color w:val="auto"/>
              </w:rPr>
            </w:pPr>
            <w:r>
              <w:rPr>
                <w:rFonts w:ascii="Arial" w:cs="Arial" w:eastAsia="Arial" w:hAnsi="Arial"/>
                <w:sz w:val="14"/>
                <w:szCs w:val="14"/>
                <w:color w:val="auto"/>
              </w:rPr>
              <w:t>Interest from investments</w:t>
            </w:r>
          </w:p>
        </w:tc>
        <w:tc>
          <w:tcPr>
            <w:tcW w:w="240" w:type="dxa"/>
            <w:vAlign w:val="bottom"/>
          </w:tcPr>
          <w:p>
            <w:pPr>
              <w:spacing w:after="0"/>
              <w:rPr>
                <w:sz w:val="14"/>
                <w:szCs w:val="14"/>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300" w:type="dxa"/>
            <w:vAlign w:val="bottom"/>
            <w:tcBorders>
              <w:top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investment income from non-controlled, affiliated investments</w:t>
            </w:r>
          </w:p>
        </w:tc>
        <w:tc>
          <w:tcPr>
            <w:tcW w:w="240" w:type="dxa"/>
            <w:vAlign w:val="bottom"/>
            <w:tcBorders>
              <w:top w:val="single" w:sz="8" w:color="auto"/>
            </w:tcBorders>
            <w:shd w:val="clear" w:color="auto" w:fill="CFF0FC"/>
          </w:tcPr>
          <w:p>
            <w:pPr>
              <w:spacing w:after="0"/>
              <w:rPr>
                <w:sz w:val="13"/>
                <w:szCs w:val="13"/>
                <w:color w:val="auto"/>
              </w:rPr>
            </w:pPr>
          </w:p>
        </w:tc>
        <w:tc>
          <w:tcPr>
            <w:tcW w:w="1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133</w:t>
            </w: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300" w:type="dxa"/>
            <w:vAlign w:val="bottom"/>
          </w:tcPr>
          <w:p>
            <w:pPr>
              <w:spacing w:after="0"/>
              <w:rPr>
                <w:sz w:val="20"/>
                <w:szCs w:val="20"/>
                <w:color w:val="auto"/>
              </w:rPr>
            </w:pPr>
            <w:r>
              <w:rPr>
                <w:rFonts w:ascii="Arial" w:cs="Arial" w:eastAsia="Arial" w:hAnsi="Arial"/>
                <w:sz w:val="14"/>
                <w:szCs w:val="14"/>
                <w:color w:val="auto"/>
              </w:rPr>
              <w:t>Investment income from controlled, affiliated investments:</w:t>
            </w: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from investments</w:t>
            </w:r>
          </w:p>
        </w:tc>
        <w:tc>
          <w:tcPr>
            <w:tcW w:w="24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1,702</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1,065</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income</w:t>
            </w: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30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investment income from controlled, affiliated investments</w:t>
            </w:r>
          </w:p>
        </w:tc>
        <w:tc>
          <w:tcPr>
            <w:tcW w:w="24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1,703</w:t>
            </w:r>
          </w:p>
        </w:tc>
        <w:tc>
          <w:tcPr>
            <w:tcW w:w="2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1,066</w:t>
            </w: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30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96,505</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67,429</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300" w:type="dxa"/>
            <w:vAlign w:val="bottom"/>
          </w:tcPr>
          <w:p>
            <w:pPr>
              <w:spacing w:after="0"/>
              <w:rPr>
                <w:sz w:val="20"/>
                <w:szCs w:val="20"/>
                <w:color w:val="auto"/>
              </w:rPr>
            </w:pPr>
            <w:r>
              <w:rPr>
                <w:rFonts w:ascii="Arial" w:cs="Arial" w:eastAsia="Arial" w:hAnsi="Arial"/>
                <w:sz w:val="14"/>
                <w:szCs w:val="14"/>
                <w:color w:val="auto"/>
              </w:rPr>
              <w:t>Interest</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28,486</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9,602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shd w:val="clear" w:color="auto" w:fill="CFF0FC"/>
          </w:tcPr>
          <w:p>
            <w:pPr>
              <w:spacing w:after="0"/>
              <w:rPr>
                <w:sz w:val="20"/>
                <w:szCs w:val="20"/>
                <w:color w:val="auto"/>
              </w:rPr>
            </w:pPr>
            <w:r>
              <w:rPr>
                <w:rFonts w:ascii="Arial" w:cs="Arial" w:eastAsia="Arial" w:hAnsi="Arial"/>
                <w:sz w:val="14"/>
                <w:szCs w:val="14"/>
                <w:color w:val="auto"/>
              </w:rPr>
              <w:t>Management fees</w:t>
            </w:r>
          </w:p>
        </w:tc>
        <w:tc>
          <w:tcPr>
            <w:tcW w:w="24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10,733</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9,330</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tcPr>
          <w:p>
            <w:pPr>
              <w:spacing w:after="0"/>
              <w:rPr>
                <w:sz w:val="20"/>
                <w:szCs w:val="20"/>
                <w:color w:val="auto"/>
              </w:rPr>
            </w:pPr>
            <w:r>
              <w:rPr>
                <w:rFonts w:ascii="Arial" w:cs="Arial" w:eastAsia="Arial" w:hAnsi="Arial"/>
                <w:sz w:val="14"/>
                <w:szCs w:val="14"/>
                <w:color w:val="auto"/>
              </w:rPr>
              <w:t>Incentive fees on net investment income</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9,481</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7,877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shd w:val="clear" w:color="auto" w:fill="CFF0FC"/>
          </w:tcPr>
          <w:p>
            <w:pPr>
              <w:spacing w:after="0"/>
              <w:rPr>
                <w:sz w:val="20"/>
                <w:szCs w:val="20"/>
                <w:color w:val="auto"/>
              </w:rPr>
            </w:pPr>
            <w:r>
              <w:rPr>
                <w:rFonts w:ascii="Arial" w:cs="Arial" w:eastAsia="Arial" w:hAnsi="Arial"/>
                <w:sz w:val="14"/>
                <w:szCs w:val="14"/>
                <w:color w:val="auto"/>
              </w:rPr>
              <w:t>Incentive fees on net capital gains</w:t>
            </w:r>
          </w:p>
        </w:tc>
        <w:tc>
          <w:tcPr>
            <w:tcW w:w="24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1,758</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1,424</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tcPr>
          <w:p>
            <w:pPr>
              <w:spacing w:after="0"/>
              <w:rPr>
                <w:sz w:val="20"/>
                <w:szCs w:val="20"/>
                <w:color w:val="auto"/>
              </w:rPr>
            </w:pPr>
            <w:r>
              <w:rPr>
                <w:rFonts w:ascii="Arial" w:cs="Arial" w:eastAsia="Arial" w:hAnsi="Arial"/>
                <w:sz w:val="14"/>
                <w:szCs w:val="14"/>
                <w:color w:val="auto"/>
              </w:rPr>
              <w:t>Professional fees</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1,756</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1,484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shd w:val="clear" w:color="auto" w:fill="CFF0FC"/>
          </w:tcPr>
          <w:p>
            <w:pPr>
              <w:spacing w:after="0"/>
              <w:rPr>
                <w:sz w:val="20"/>
                <w:szCs w:val="20"/>
                <w:color w:val="auto"/>
              </w:rPr>
            </w:pPr>
            <w:r>
              <w:rPr>
                <w:rFonts w:ascii="Arial" w:cs="Arial" w:eastAsia="Arial" w:hAnsi="Arial"/>
                <w:sz w:val="14"/>
                <w:szCs w:val="14"/>
                <w:color w:val="auto"/>
              </w:rPr>
              <w:t>Directors’ fees</w:t>
            </w:r>
          </w:p>
        </w:tc>
        <w:tc>
          <w:tcPr>
            <w:tcW w:w="24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general and administrative</w:t>
            </w: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1,014</w:t>
            </w:r>
          </w:p>
        </w:tc>
        <w:tc>
          <w:tcPr>
            <w:tcW w:w="2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1,459</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30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expenses</w:t>
            </w:r>
          </w:p>
        </w:tc>
        <w:tc>
          <w:tcPr>
            <w:tcW w:w="24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53,411</w:t>
            </w:r>
          </w:p>
        </w:tc>
        <w:tc>
          <w:tcPr>
            <w:tcW w:w="2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31,367</w:t>
            </w: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300" w:type="dxa"/>
            <w:vAlign w:val="bottom"/>
          </w:tcPr>
          <w:p>
            <w:pPr>
              <w:spacing w:after="0" w:line="155" w:lineRule="exact"/>
              <w:rPr>
                <w:sz w:val="20"/>
                <w:szCs w:val="20"/>
                <w:color w:val="auto"/>
              </w:rPr>
            </w:pPr>
            <w:r>
              <w:rPr>
                <w:rFonts w:ascii="Arial" w:cs="Arial" w:eastAsia="Arial" w:hAnsi="Arial"/>
                <w:sz w:val="14"/>
                <w:szCs w:val="14"/>
                <w:color w:val="auto"/>
              </w:rPr>
              <w:t>Management fees waived (Note 3)</w:t>
            </w:r>
          </w:p>
        </w:tc>
        <w:tc>
          <w:tcPr>
            <w:tcW w:w="240" w:type="dxa"/>
            <w:vAlign w:val="bottom"/>
          </w:tcPr>
          <w:p>
            <w:pPr>
              <w:spacing w:after="0"/>
              <w:rPr>
                <w:sz w:val="13"/>
                <w:szCs w:val="13"/>
                <w:color w:val="auto"/>
              </w:rPr>
            </w:pPr>
          </w:p>
        </w:tc>
        <w:tc>
          <w:tcPr>
            <w:tcW w:w="1520" w:type="dxa"/>
            <w:vAlign w:val="bottom"/>
          </w:tcPr>
          <w:p>
            <w:pPr>
              <w:jc w:val="right"/>
              <w:spacing w:after="0" w:line="155" w:lineRule="exact"/>
              <w:rPr>
                <w:sz w:val="20"/>
                <w:szCs w:val="20"/>
                <w:color w:val="auto"/>
              </w:rPr>
            </w:pPr>
            <w:r>
              <w:rPr>
                <w:rFonts w:ascii="Arial" w:cs="Arial" w:eastAsia="Arial" w:hAnsi="Arial"/>
                <w:sz w:val="14"/>
                <w:szCs w:val="14"/>
                <w:color w:val="auto"/>
              </w:rPr>
              <w:t>(256)</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30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b w:val="1"/>
                <w:bCs w:val="1"/>
                <w:color w:val="auto"/>
              </w:rPr>
              <w:t>Net Expenses</w:t>
            </w: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15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53,155</w:t>
            </w:r>
          </w:p>
        </w:tc>
        <w:tc>
          <w:tcPr>
            <w:tcW w:w="2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1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31,367</w:t>
            </w: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300" w:type="dxa"/>
            <w:vAlign w:val="bottom"/>
          </w:tcPr>
          <w:p>
            <w:pPr>
              <w:spacing w:after="0" w:line="155" w:lineRule="exact"/>
              <w:rPr>
                <w:sz w:val="20"/>
                <w:szCs w:val="20"/>
                <w:color w:val="auto"/>
              </w:rPr>
            </w:pPr>
            <w:r>
              <w:rPr>
                <w:rFonts w:ascii="Arial" w:cs="Arial" w:eastAsia="Arial" w:hAnsi="Arial"/>
                <w:sz w:val="14"/>
                <w:szCs w:val="14"/>
                <w:b w:val="1"/>
                <w:bCs w:val="1"/>
                <w:color w:val="auto"/>
              </w:rPr>
              <w:t>Net Investment Income Before Income Taxes</w:t>
            </w:r>
          </w:p>
        </w:tc>
        <w:tc>
          <w:tcPr>
            <w:tcW w:w="240" w:type="dxa"/>
            <w:vAlign w:val="bottom"/>
          </w:tcPr>
          <w:p>
            <w:pPr>
              <w:spacing w:after="0"/>
              <w:rPr>
                <w:sz w:val="13"/>
                <w:szCs w:val="13"/>
                <w:color w:val="auto"/>
              </w:rPr>
            </w:pPr>
          </w:p>
        </w:tc>
        <w:tc>
          <w:tcPr>
            <w:tcW w:w="1520" w:type="dxa"/>
            <w:vAlign w:val="bottom"/>
          </w:tcPr>
          <w:p>
            <w:pPr>
              <w:jc w:val="right"/>
              <w:spacing w:after="0" w:line="155" w:lineRule="exact"/>
              <w:rPr>
                <w:sz w:val="20"/>
                <w:szCs w:val="20"/>
                <w:color w:val="auto"/>
              </w:rPr>
            </w:pPr>
            <w:r>
              <w:rPr>
                <w:rFonts w:ascii="Arial" w:cs="Arial" w:eastAsia="Arial" w:hAnsi="Arial"/>
                <w:sz w:val="14"/>
                <w:szCs w:val="14"/>
                <w:color w:val="auto"/>
              </w:rPr>
              <w:t>43,350</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spacing w:after="0" w:line="155" w:lineRule="exact"/>
              <w:rPr>
                <w:sz w:val="20"/>
                <w:szCs w:val="20"/>
                <w:color w:val="auto"/>
              </w:rPr>
            </w:pPr>
            <w:r>
              <w:rPr>
                <w:rFonts w:ascii="Arial" w:cs="Arial" w:eastAsia="Arial" w:hAnsi="Arial"/>
                <w:sz w:val="14"/>
                <w:szCs w:val="14"/>
                <w:color w:val="auto"/>
              </w:rPr>
              <w:t>36,062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300" w:type="dxa"/>
            <w:vAlign w:val="bottom"/>
            <w:shd w:val="clear" w:color="auto" w:fill="CFF0FC"/>
          </w:tcPr>
          <w:p>
            <w:pPr>
              <w:spacing w:after="0"/>
              <w:rPr>
                <w:sz w:val="20"/>
                <w:szCs w:val="20"/>
                <w:color w:val="auto"/>
              </w:rPr>
            </w:pPr>
            <w:r>
              <w:rPr>
                <w:rFonts w:ascii="Arial" w:cs="Arial" w:eastAsia="Arial" w:hAnsi="Arial"/>
                <w:sz w:val="14"/>
                <w:szCs w:val="14"/>
                <w:color w:val="auto"/>
              </w:rPr>
              <w:t>Income taxes, including excise taxes</w:t>
            </w:r>
          </w:p>
        </w:tc>
        <w:tc>
          <w:tcPr>
            <w:tcW w:w="24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413</w:t>
            </w:r>
          </w:p>
        </w:tc>
        <w:tc>
          <w:tcPr>
            <w:tcW w:w="28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300" w:type="dxa"/>
            <w:vAlign w:val="bottom"/>
          </w:tcPr>
          <w:p>
            <w:pPr>
              <w:spacing w:after="0" w:line="155" w:lineRule="exact"/>
              <w:rPr>
                <w:sz w:val="20"/>
                <w:szCs w:val="20"/>
                <w:color w:val="auto"/>
              </w:rPr>
            </w:pPr>
            <w:r>
              <w:rPr>
                <w:rFonts w:ascii="Arial" w:cs="Arial" w:eastAsia="Arial" w:hAnsi="Arial"/>
                <w:sz w:val="14"/>
                <w:szCs w:val="14"/>
                <w:b w:val="1"/>
                <w:bCs w:val="1"/>
                <w:color w:val="auto"/>
              </w:rPr>
              <w:t>Net Investment Income</w:t>
            </w:r>
          </w:p>
        </w:tc>
        <w:tc>
          <w:tcPr>
            <w:tcW w:w="240" w:type="dxa"/>
            <w:vAlign w:val="bottom"/>
          </w:tcPr>
          <w:p>
            <w:pPr>
              <w:spacing w:after="0"/>
              <w:rPr>
                <w:sz w:val="13"/>
                <w:szCs w:val="13"/>
                <w:color w:val="auto"/>
              </w:rPr>
            </w:pPr>
          </w:p>
        </w:tc>
        <w:tc>
          <w:tcPr>
            <w:tcW w:w="1520" w:type="dxa"/>
            <w:vAlign w:val="bottom"/>
          </w:tcPr>
          <w:p>
            <w:pPr>
              <w:jc w:val="right"/>
              <w:spacing w:after="0" w:line="155" w:lineRule="exact"/>
              <w:rPr>
                <w:sz w:val="20"/>
                <w:szCs w:val="20"/>
                <w:color w:val="auto"/>
              </w:rPr>
            </w:pPr>
            <w:r>
              <w:rPr>
                <w:rFonts w:ascii="Arial" w:cs="Arial" w:eastAsia="Arial" w:hAnsi="Arial"/>
                <w:sz w:val="14"/>
                <w:szCs w:val="14"/>
                <w:color w:val="auto"/>
              </w:rPr>
              <w:t>42,937</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spacing w:after="0" w:line="155" w:lineRule="exact"/>
              <w:rPr>
                <w:sz w:val="20"/>
                <w:szCs w:val="20"/>
                <w:color w:val="auto"/>
              </w:rPr>
            </w:pPr>
            <w:r>
              <w:rPr>
                <w:rFonts w:ascii="Arial" w:cs="Arial" w:eastAsia="Arial" w:hAnsi="Arial"/>
                <w:sz w:val="14"/>
                <w:szCs w:val="14"/>
                <w:color w:val="auto"/>
              </w:rPr>
              <w:t>35,712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3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Unrealized and Realized Gains (Losses)</w:t>
            </w:r>
          </w:p>
        </w:tc>
        <w:tc>
          <w:tcPr>
            <w:tcW w:w="24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tcPr>
          <w:p>
            <w:pPr>
              <w:spacing w:after="0"/>
              <w:rPr>
                <w:sz w:val="20"/>
                <w:szCs w:val="20"/>
                <w:color w:val="auto"/>
              </w:rPr>
            </w:pPr>
            <w:r>
              <w:rPr>
                <w:rFonts w:ascii="Arial" w:cs="Arial" w:eastAsia="Arial" w:hAnsi="Arial"/>
                <w:sz w:val="14"/>
                <w:szCs w:val="14"/>
                <w:color w:val="auto"/>
              </w:rPr>
              <w:t>Net change in unrealized gains (losses):</w:t>
            </w: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24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11,754</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(5,622)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tcPr>
          <w:p>
            <w:pPr>
              <w:ind w:left="260"/>
              <w:spacing w:after="0"/>
              <w:rPr>
                <w:sz w:val="20"/>
                <w:szCs w:val="20"/>
                <w:color w:val="auto"/>
              </w:rPr>
            </w:pPr>
            <w:r>
              <w:rPr>
                <w:rFonts w:ascii="Arial" w:cs="Arial" w:eastAsia="Arial" w:hAnsi="Arial"/>
                <w:sz w:val="14"/>
                <w:szCs w:val="14"/>
                <w:color w:val="auto"/>
              </w:rPr>
              <w:t>Non-controlled, affiliated investments</w:t>
            </w:r>
          </w:p>
        </w:tc>
        <w:tc>
          <w:tcPr>
            <w:tcW w:w="240" w:type="dxa"/>
            <w:vAlign w:val="bottom"/>
          </w:tcPr>
          <w:p>
            <w:pPr>
              <w:spacing w:after="0"/>
              <w:rPr>
                <w:sz w:val="14"/>
                <w:szCs w:val="14"/>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(14,350)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Controlled, affiliated investments</w:t>
            </w:r>
          </w:p>
        </w:tc>
        <w:tc>
          <w:tcPr>
            <w:tcW w:w="240" w:type="dxa"/>
            <w:vAlign w:val="bottom"/>
            <w:shd w:val="clear" w:color="auto" w:fill="CFF0FC"/>
          </w:tcPr>
          <w:p>
            <w:pPr>
              <w:spacing w:after="0"/>
              <w:rPr>
                <w:sz w:val="14"/>
                <w:szCs w:val="14"/>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(6,204)</w:t>
            </w:r>
          </w:p>
        </w:tc>
        <w:tc>
          <w:tcPr>
            <w:tcW w:w="2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16,220</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tcPr>
          <w:p>
            <w:pPr>
              <w:ind w:left="260"/>
              <w:spacing w:after="0"/>
              <w:rPr>
                <w:sz w:val="20"/>
                <w:szCs w:val="20"/>
                <w:color w:val="auto"/>
              </w:rPr>
            </w:pPr>
            <w:r>
              <w:rPr>
                <w:rFonts w:ascii="Arial" w:cs="Arial" w:eastAsia="Arial" w:hAnsi="Arial"/>
                <w:sz w:val="14"/>
                <w:szCs w:val="14"/>
                <w:color w:val="auto"/>
              </w:rPr>
              <w:t>Translation of other assets and liabilities in foreign currencies</w:t>
            </w:r>
          </w:p>
        </w:tc>
        <w:tc>
          <w:tcPr>
            <w:tcW w:w="240" w:type="dxa"/>
            <w:vAlign w:val="bottom"/>
          </w:tcPr>
          <w:p>
            <w:pPr>
              <w:spacing w:after="0"/>
              <w:rPr>
                <w:sz w:val="14"/>
                <w:szCs w:val="14"/>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(1,004)</w:t>
            </w:r>
          </w:p>
        </w:tc>
        <w:tc>
          <w:tcPr>
            <w:tcW w:w="260" w:type="dxa"/>
            <w:vAlign w:val="bottom"/>
          </w:tcPr>
          <w:p>
            <w:pPr>
              <w:spacing w:after="0"/>
              <w:rPr>
                <w:sz w:val="14"/>
                <w:szCs w:val="14"/>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(1,800)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rate swaps</w:t>
            </w:r>
          </w:p>
        </w:tc>
        <w:tc>
          <w:tcPr>
            <w:tcW w:w="24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(2,943)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30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color w:val="auto"/>
              </w:rPr>
              <w:t>Total net change in unrealized gains (losses)</w:t>
            </w:r>
          </w:p>
        </w:tc>
        <w:tc>
          <w:tcPr>
            <w:tcW w:w="24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4,777</w:t>
            </w:r>
          </w:p>
        </w:tc>
        <w:tc>
          <w:tcPr>
            <w:tcW w:w="2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(8,495)</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3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Realized gains (losses):</w:t>
            </w:r>
          </w:p>
        </w:tc>
        <w:tc>
          <w:tcPr>
            <w:tcW w:w="24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30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4,814</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Non-controlled, affiliated investments</w:t>
            </w:r>
          </w:p>
        </w:tc>
        <w:tc>
          <w:tcPr>
            <w:tcW w:w="240" w:type="dxa"/>
            <w:vAlign w:val="bottom"/>
            <w:shd w:val="clear" w:color="auto" w:fill="CFF0FC"/>
          </w:tcPr>
          <w:p>
            <w:pPr>
              <w:spacing w:after="0"/>
              <w:rPr>
                <w:sz w:val="14"/>
                <w:szCs w:val="14"/>
                <w:color w:val="auto"/>
              </w:rPr>
            </w:pPr>
          </w:p>
        </w:tc>
        <w:tc>
          <w:tcPr>
            <w:tcW w:w="18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13,673</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tcPr>
          <w:p>
            <w:pPr>
              <w:ind w:left="260"/>
              <w:spacing w:after="0"/>
              <w:rPr>
                <w:sz w:val="20"/>
                <w:szCs w:val="20"/>
                <w:color w:val="auto"/>
              </w:rPr>
            </w:pPr>
            <w:r>
              <w:rPr>
                <w:rFonts w:ascii="Arial" w:cs="Arial" w:eastAsia="Arial" w:hAnsi="Arial"/>
                <w:sz w:val="14"/>
                <w:szCs w:val="14"/>
                <w:color w:val="auto"/>
              </w:rPr>
              <w:t>Foreign currency transactions</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424</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30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Total net realized gains (losses)</w:t>
            </w: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15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5,238</w:t>
            </w:r>
          </w:p>
        </w:tc>
        <w:tc>
          <w:tcPr>
            <w:tcW w:w="2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1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13,668</w:t>
            </w: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300" w:type="dxa"/>
            <w:vAlign w:val="bottom"/>
            <w:tcBorders>
              <w:bottom w:val="single" w:sz="8" w:color="CFF0FC"/>
            </w:tcBorders>
          </w:tcPr>
          <w:p>
            <w:pPr>
              <w:ind w:left="1000"/>
              <w:spacing w:after="0" w:line="155" w:lineRule="exact"/>
              <w:rPr>
                <w:sz w:val="20"/>
                <w:szCs w:val="20"/>
                <w:color w:val="auto"/>
              </w:rPr>
            </w:pPr>
            <w:r>
              <w:rPr>
                <w:rFonts w:ascii="Arial" w:cs="Arial" w:eastAsia="Arial" w:hAnsi="Arial"/>
                <w:sz w:val="14"/>
                <w:szCs w:val="14"/>
                <w:b w:val="1"/>
                <w:bCs w:val="1"/>
                <w:color w:val="auto"/>
              </w:rPr>
              <w:t>Total Net Unrealized and Realized Gains (Losses)</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10,015</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5,173</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300" w:type="dxa"/>
            <w:vAlign w:val="bottom"/>
            <w:tcBorders>
              <w:bottom w:val="single" w:sz="8" w:color="CFF0FC"/>
            </w:tcBorders>
            <w:shd w:val="clear" w:color="auto" w:fill="CFF0FC"/>
          </w:tcPr>
          <w:p>
            <w:pPr>
              <w:ind w:left="1000"/>
              <w:spacing w:after="0" w:line="155" w:lineRule="exact"/>
              <w:rPr>
                <w:sz w:val="20"/>
                <w:szCs w:val="20"/>
                <w:color w:val="auto"/>
              </w:rPr>
            </w:pPr>
            <w:r>
              <w:rPr>
                <w:rFonts w:ascii="Arial" w:cs="Arial" w:eastAsia="Arial" w:hAnsi="Arial"/>
                <w:sz w:val="14"/>
                <w:szCs w:val="14"/>
                <w:b w:val="1"/>
                <w:bCs w:val="1"/>
                <w:color w:val="auto"/>
              </w:rPr>
              <w:t>Increase in Net Assets Resulting from Operations</w:t>
            </w:r>
          </w:p>
        </w:tc>
        <w:tc>
          <w:tcPr>
            <w:tcW w:w="2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52,952</w:t>
            </w:r>
          </w:p>
        </w:tc>
        <w:tc>
          <w:tcPr>
            <w:tcW w:w="2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40,885</w:t>
            </w:r>
          </w:p>
        </w:tc>
        <w:tc>
          <w:tcPr>
            <w:tcW w:w="100" w:type="dxa"/>
            <w:vAlign w:val="bottom"/>
            <w:tcBorders>
              <w:bottom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4"/>
                <w:szCs w:val="14"/>
                <w:color w:val="auto"/>
              </w:rPr>
              <w:t>Earnings per common share—basic</w:t>
            </w: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00" w:type="dxa"/>
            <w:vAlign w:val="bottom"/>
            <w:tcBorders>
              <w:bottom w:val="single" w:sz="8" w:color="CFF0FC"/>
            </w:tcBorders>
            <w:vMerge w:val="continue"/>
          </w:tcPr>
          <w:p>
            <w:pPr>
              <w:spacing w:after="0"/>
              <w:rPr>
                <w:sz w:val="12"/>
                <w:szCs w:val="12"/>
                <w:color w:val="auto"/>
              </w:rPr>
            </w:pPr>
          </w:p>
        </w:tc>
        <w:tc>
          <w:tcPr>
            <w:tcW w:w="24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0.65</w:t>
            </w:r>
          </w:p>
        </w:tc>
        <w:tc>
          <w:tcPr>
            <w:tcW w:w="28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0.54</w:t>
            </w:r>
          </w:p>
        </w:tc>
        <w:tc>
          <w:tcPr>
            <w:tcW w:w="100" w:type="dxa"/>
            <w:vAlign w:val="bottom"/>
            <w:tcBorders>
              <w:bottom w:val="single" w:sz="8" w:color="CFF0F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3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Weighted average shares of common stock outstanding—basic</w:t>
            </w:r>
          </w:p>
        </w:tc>
        <w:tc>
          <w:tcPr>
            <w:tcW w:w="24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81,400,843</w:t>
            </w:r>
          </w:p>
        </w:tc>
        <w:tc>
          <w:tcPr>
            <w:tcW w:w="2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75,972,079</w:t>
            </w: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30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Earnings per common share—diluted</w:t>
            </w: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0.65</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0.51</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3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Weighted average shares of common stock outstanding—diluted</w:t>
            </w:r>
          </w:p>
        </w:tc>
        <w:tc>
          <w:tcPr>
            <w:tcW w:w="24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81,400,843</w:t>
            </w:r>
          </w:p>
        </w:tc>
        <w:tc>
          <w:tcPr>
            <w:tcW w:w="2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81,536,251</w:t>
            </w: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7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44"/>
        </w:trPr>
        <w:tc>
          <w:tcPr>
            <w:tcW w:w="7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1" w:name="page12"/>
    <w:bookmarkEnd w:id="11"/>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ind w:right="20"/>
        <w:spacing w:after="0" w:line="258" w:lineRule="auto"/>
        <w:rPr>
          <w:sz w:val="20"/>
          <w:szCs w:val="20"/>
          <w:color w:val="auto"/>
        </w:rPr>
      </w:pPr>
      <w:r>
        <w:rPr>
          <w:rFonts w:ascii="Arial" w:cs="Arial" w:eastAsia="Arial" w:hAnsi="Arial"/>
          <w:sz w:val="18"/>
          <w:szCs w:val="18"/>
          <w:color w:val="auto"/>
        </w:rPr>
        <w:t>The Company’s investment activity for quarter ended March 31, 2023 and 2022 is presented below (information presented herein is at par value unless otherwise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60" w:type="dxa"/>
            <w:vAlign w:val="bottom"/>
            <w:gridSpan w:val="6"/>
          </w:tcPr>
          <w:p>
            <w:pPr>
              <w:jc w:val="right"/>
              <w:ind w:right="12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5"/>
        </w:trPr>
        <w:tc>
          <w:tcPr>
            <w:tcW w:w="5800" w:type="dxa"/>
            <w:vAlign w:val="bottom"/>
            <w:gridSpan w:val="2"/>
            <w:vMerge w:val="continue"/>
          </w:tcPr>
          <w:p>
            <w:pPr>
              <w:spacing w:after="0"/>
              <w:rPr>
                <w:sz w:val="13"/>
                <w:szCs w:val="13"/>
                <w:color w:val="auto"/>
              </w:rPr>
            </w:pPr>
          </w:p>
        </w:tc>
        <w:tc>
          <w:tcPr>
            <w:tcW w:w="18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2"/>
          </w:tcPr>
          <w:p>
            <w:pPr>
              <w:jc w:val="right"/>
              <w:ind w:right="660"/>
              <w:spacing w:after="0" w:line="155" w:lineRule="exact"/>
              <w:rPr>
                <w:sz w:val="20"/>
                <w:szCs w:val="20"/>
                <w:color w:val="auto"/>
              </w:rPr>
            </w:pPr>
            <w:r>
              <w:rPr>
                <w:rFonts w:ascii="Arial" w:cs="Arial" w:eastAsia="Arial" w:hAnsi="Arial"/>
                <w:sz w:val="14"/>
                <w:szCs w:val="14"/>
                <w:b w:val="1"/>
                <w:bCs w:val="1"/>
                <w:color w:val="auto"/>
              </w:rPr>
              <w:t>March 31, 2023</w:t>
            </w:r>
          </w:p>
        </w:tc>
        <w:tc>
          <w:tcPr>
            <w:tcW w:w="1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March 31, 2022</w:t>
            </w: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18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gridSpan w:val="2"/>
          </w:tcPr>
          <w:p>
            <w:pPr>
              <w:ind w:left="260"/>
              <w:spacing w:after="0"/>
              <w:rPr>
                <w:sz w:val="20"/>
                <w:szCs w:val="20"/>
                <w:color w:val="auto"/>
              </w:rPr>
            </w:pPr>
            <w:r>
              <w:rPr>
                <w:rFonts w:ascii="Arial" w:cs="Arial" w:eastAsia="Arial" w:hAnsi="Arial"/>
                <w:sz w:val="18"/>
                <w:szCs w:val="18"/>
                <w:color w:val="auto"/>
              </w:rPr>
              <w:t xml:space="preserve">Gross originations </w:t>
            </w:r>
            <w:r>
              <w:rPr>
                <w:rFonts w:ascii="Arial" w:cs="Arial" w:eastAsia="Arial" w:hAnsi="Arial"/>
                <w:sz w:val="15"/>
                <w:szCs w:val="15"/>
                <w:color w:val="auto"/>
              </w:rPr>
              <w:t>(1)</w:t>
            </w:r>
          </w:p>
        </w:tc>
        <w:tc>
          <w:tcPr>
            <w:tcW w:w="20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1,079.4</w:t>
            </w:r>
          </w:p>
        </w:tc>
        <w:tc>
          <w:tcPr>
            <w:tcW w:w="3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304.5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 xml:space="preserve">Less: Syndications/sell downs </w:t>
            </w:r>
            <w:r>
              <w:rPr>
                <w:rFonts w:ascii="Arial" w:cs="Arial" w:eastAsia="Arial" w:hAnsi="Arial"/>
                <w:sz w:val="15"/>
                <w:szCs w:val="15"/>
                <w:color w:val="auto"/>
              </w:rPr>
              <w:t>(1)</w:t>
            </w:r>
          </w:p>
        </w:tc>
        <w:tc>
          <w:tcPr>
            <w:tcW w:w="18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903.3</w:t>
            </w:r>
          </w:p>
        </w:tc>
        <w:tc>
          <w:tcPr>
            <w:tcW w:w="3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225.2</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gridSpan w:val="2"/>
          </w:tcPr>
          <w:p>
            <w:pPr>
              <w:ind w:left="500"/>
              <w:spacing w:after="0"/>
              <w:rPr>
                <w:sz w:val="20"/>
                <w:szCs w:val="20"/>
                <w:color w:val="auto"/>
              </w:rPr>
            </w:pPr>
            <w:r>
              <w:rPr>
                <w:rFonts w:ascii="Arial" w:cs="Arial" w:eastAsia="Arial" w:hAnsi="Arial"/>
                <w:sz w:val="18"/>
                <w:szCs w:val="18"/>
                <w:color w:val="auto"/>
              </w:rPr>
              <w:t>Total new investment commitments</w:t>
            </w:r>
          </w:p>
        </w:tc>
        <w:tc>
          <w:tcPr>
            <w:tcW w:w="18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176.1</w:t>
            </w:r>
          </w:p>
        </w:tc>
        <w:tc>
          <w:tcPr>
            <w:tcW w:w="3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79.3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gridSpan w:val="2"/>
          </w:tcPr>
          <w:p>
            <w:pPr>
              <w:ind w:left="260"/>
              <w:spacing w:after="0"/>
              <w:rPr>
                <w:sz w:val="20"/>
                <w:szCs w:val="20"/>
                <w:color w:val="auto"/>
              </w:rPr>
            </w:pPr>
            <w:r>
              <w:rPr>
                <w:rFonts w:ascii="Arial" w:cs="Arial" w:eastAsia="Arial" w:hAnsi="Arial"/>
                <w:sz w:val="18"/>
                <w:szCs w:val="18"/>
                <w:color w:val="auto"/>
              </w:rPr>
              <w:t>First-lien</w:t>
            </w:r>
          </w:p>
        </w:tc>
        <w:tc>
          <w:tcPr>
            <w:tcW w:w="20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130.2</w:t>
            </w:r>
          </w:p>
        </w:tc>
        <w:tc>
          <w:tcPr>
            <w:tcW w:w="3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48.5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1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gridSpan w:val="2"/>
          </w:tcPr>
          <w:p>
            <w:pPr>
              <w:ind w:left="260"/>
              <w:spacing w:after="0"/>
              <w:rPr>
                <w:sz w:val="20"/>
                <w:szCs w:val="20"/>
                <w:color w:val="auto"/>
              </w:rPr>
            </w:pPr>
            <w:r>
              <w:rPr>
                <w:rFonts w:ascii="Arial" w:cs="Arial" w:eastAsia="Arial" w:hAnsi="Arial"/>
                <w:sz w:val="18"/>
                <w:szCs w:val="18"/>
                <w:color w:val="auto"/>
              </w:rPr>
              <w:t>Mezzanine</w:t>
            </w: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1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gridSpan w:val="2"/>
          </w:tcPr>
          <w:p>
            <w:pPr>
              <w:ind w:left="260"/>
              <w:spacing w:after="0"/>
              <w:rPr>
                <w:sz w:val="20"/>
                <w:szCs w:val="20"/>
                <w:color w:val="auto"/>
              </w:rPr>
            </w:pPr>
            <w:r>
              <w:rPr>
                <w:rFonts w:ascii="Arial" w:cs="Arial" w:eastAsia="Arial" w:hAnsi="Arial"/>
                <w:sz w:val="18"/>
                <w:szCs w:val="18"/>
                <w:color w:val="auto"/>
              </w:rPr>
              <w:t>Structured Products</w:t>
            </w: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Borders>
              <w:top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8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138.9</w:t>
            </w:r>
          </w:p>
        </w:tc>
        <w:tc>
          <w:tcPr>
            <w:tcW w:w="3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First-lien</w:t>
            </w:r>
          </w:p>
        </w:tc>
        <w:tc>
          <w:tcPr>
            <w:tcW w:w="20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gridSpan w:val="2"/>
          </w:tcPr>
          <w:p>
            <w:pPr>
              <w:ind w:left="260"/>
              <w:spacing w:after="0"/>
              <w:rPr>
                <w:sz w:val="20"/>
                <w:szCs w:val="20"/>
                <w:color w:val="auto"/>
              </w:rPr>
            </w:pPr>
            <w:r>
              <w:rPr>
                <w:rFonts w:ascii="Arial" w:cs="Arial" w:eastAsia="Arial" w:hAnsi="Arial"/>
                <w:sz w:val="18"/>
                <w:szCs w:val="18"/>
                <w:color w:val="auto"/>
              </w:rPr>
              <w:t>Second-lien</w:t>
            </w: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Mezzanine</w:t>
            </w:r>
          </w:p>
        </w:tc>
        <w:tc>
          <w:tcPr>
            <w:tcW w:w="1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gridSpan w:val="2"/>
          </w:tcPr>
          <w:p>
            <w:pPr>
              <w:ind w:left="260"/>
              <w:spacing w:after="0"/>
              <w:rPr>
                <w:sz w:val="20"/>
                <w:szCs w:val="20"/>
                <w:color w:val="auto"/>
              </w:rPr>
            </w:pPr>
            <w:r>
              <w:rPr>
                <w:rFonts w:ascii="Arial" w:cs="Arial" w:eastAsia="Arial" w:hAnsi="Arial"/>
                <w:sz w:val="18"/>
                <w:szCs w:val="18"/>
                <w:color w:val="auto"/>
              </w:rPr>
              <w:t>Equity and other</w:t>
            </w: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Structured Products</w:t>
            </w:r>
          </w:p>
        </w:tc>
        <w:tc>
          <w:tcPr>
            <w:tcW w:w="1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3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800" w:type="dxa"/>
            <w:vAlign w:val="bottom"/>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w:t>
            </w:r>
          </w:p>
        </w:tc>
        <w:tc>
          <w:tcPr>
            <w:tcW w:w="1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0" w:type="dxa"/>
            <w:vAlign w:val="bottom"/>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1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0" w:type="dxa"/>
            <w:vAlign w:val="bottom"/>
            <w:gridSpan w:val="2"/>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20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21.6</w:t>
            </w:r>
          </w:p>
        </w:tc>
        <w:tc>
          <w:tcPr>
            <w:tcW w:w="36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1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1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0" w:type="dxa"/>
            <w:vAlign w:val="bottom"/>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1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0" w:type="dxa"/>
            <w:vAlign w:val="bottom"/>
            <w:gridSpan w:val="2"/>
          </w:tcPr>
          <w:p>
            <w:pPr>
              <w:ind w:left="140"/>
              <w:spacing w:after="0"/>
              <w:rPr>
                <w:sz w:val="20"/>
                <w:szCs w:val="20"/>
                <w:color w:val="auto"/>
              </w:rPr>
            </w:pPr>
            <w:r>
              <w:rPr>
                <w:rFonts w:ascii="Arial" w:cs="Arial" w:eastAsia="Arial" w:hAnsi="Arial"/>
                <w:sz w:val="18"/>
                <w:szCs w:val="18"/>
                <w:b w:val="1"/>
                <w:bCs w:val="1"/>
                <w:color w:val="auto"/>
              </w:rPr>
              <w:t>at floating rates</w:t>
            </w: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99.6%</w:t>
            </w:r>
          </w:p>
        </w:tc>
        <w:tc>
          <w:tcPr>
            <w:tcW w:w="18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0" w:type="dxa"/>
            <w:vAlign w:val="bottom"/>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1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0" w:type="dxa"/>
            <w:vAlign w:val="bottom"/>
            <w:gridSpan w:val="2"/>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reference rate of new</w:t>
            </w:r>
          </w:p>
        </w:tc>
        <w:tc>
          <w:tcPr>
            <w:tcW w:w="1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0" w:type="dxa"/>
            <w:vAlign w:val="bottom"/>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floating rate investment commitments</w:t>
            </w:r>
          </w:p>
        </w:tc>
        <w:tc>
          <w:tcPr>
            <w:tcW w:w="1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0" w:type="dxa"/>
            <w:vAlign w:val="bottom"/>
            <w:gridSpan w:val="2"/>
          </w:tcPr>
          <w:p>
            <w:pPr>
              <w:ind w:left="140"/>
              <w:spacing w:after="0"/>
              <w:rPr>
                <w:sz w:val="20"/>
                <w:szCs w:val="20"/>
                <w:color w:val="auto"/>
              </w:rPr>
            </w:pPr>
            <w:r>
              <w:rPr>
                <w:rFonts w:ascii="Arial" w:cs="Arial" w:eastAsia="Arial" w:hAnsi="Arial"/>
                <w:sz w:val="18"/>
                <w:szCs w:val="18"/>
                <w:b w:val="1"/>
                <w:bCs w:val="1"/>
                <w:color w:val="auto"/>
              </w:rPr>
              <w:t>fully sold or paid down</w:t>
            </w: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640" w:type="dxa"/>
            <w:vAlign w:val="bottom"/>
          </w:tcPr>
          <w:p>
            <w:pPr>
              <w:ind w:left="400"/>
              <w:spacing w:after="0"/>
              <w:rPr>
                <w:sz w:val="20"/>
                <w:szCs w:val="20"/>
                <w:color w:val="auto"/>
              </w:rPr>
            </w:pPr>
            <w:r>
              <w:rPr>
                <w:rFonts w:ascii="Arial" w:cs="Arial" w:eastAsia="Arial" w:hAnsi="Arial"/>
                <w:sz w:val="14"/>
                <w:szCs w:val="14"/>
                <w:color w:val="auto"/>
              </w:rPr>
              <w:t>1.</w:t>
            </w:r>
          </w:p>
        </w:tc>
        <w:tc>
          <w:tcPr>
            <w:tcW w:w="5160" w:type="dxa"/>
            <w:vAlign w:val="bottom"/>
          </w:tcPr>
          <w:p>
            <w:pPr>
              <w:ind w:left="160"/>
              <w:spacing w:after="0"/>
              <w:rPr>
                <w:sz w:val="20"/>
                <w:szCs w:val="20"/>
                <w:color w:val="auto"/>
              </w:rPr>
            </w:pPr>
            <w:r>
              <w:rPr>
                <w:rFonts w:ascii="Arial" w:cs="Arial" w:eastAsia="Arial" w:hAnsi="Arial"/>
                <w:sz w:val="14"/>
                <w:szCs w:val="14"/>
                <w:color w:val="auto"/>
              </w:rPr>
              <w:t>Includes affiliates of Sixth Street.</w:t>
            </w: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1"/>
        </w:trPr>
        <w:tc>
          <w:tcPr>
            <w:tcW w:w="6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44"/>
        </w:trPr>
        <w:tc>
          <w:tcPr>
            <w:tcW w:w="64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2" w:name="page13"/>
    <w:bookmarkEnd w:id="12"/>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About Sixth Street Specialty Lending</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Sixth Street Specialty Lending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The Company is externally managed by Sixth Street Specialty Lending Advisers, LLC, an affiliate of Sixth Street and a Securities and Exchange Commission (“SEC”) registered investment adviser. The Company leverages the deep investment, sector, and operating resources of Sixth Street, a global investment firm with $65 billion in assets under management and committed capital. For more information, visit the Company’s website at </w:t>
      </w:r>
      <w:r>
        <w:rPr>
          <w:rFonts w:ascii="Arial" w:cs="Arial" w:eastAsia="Arial" w:hAnsi="Arial"/>
          <w:sz w:val="16"/>
          <w:szCs w:val="16"/>
          <w:u w:val="single" w:color="auto"/>
          <w:color w:val="auto"/>
        </w:rPr>
        <w:t>https://sixthstreetspecialtylending.com</w:t>
      </w:r>
      <w:r>
        <w:rPr>
          <w:rFonts w:ascii="Arial" w:cs="Arial" w:eastAsia="Arial" w:hAnsi="Arial"/>
          <w:sz w:val="16"/>
          <w:szCs w:val="16"/>
          <w:color w:val="auto"/>
        </w:rPr>
        <w: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Sixth Street</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Sixth Street is a global investment firm with $65 billion in assets under management and committed capital. The firm uses its long-term flexible capital, data-enabled capabilities, and One Team culture to develop themes and offer solutions to companies across all stages of growth. Founded in 2009, Sixth Street has more than 450 team members including over 180 investment professionals around the world. For more information, visit https://sixthstreet.com or follow Sixth Street on LinkedIn.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net investment income and adjusted net income are each non-GAAP financial measures, which represent net investment income and net income, respectively, in each case less the impact of accrued capital gains incentive fee expenses. The Company believes that adjusted net investment income and adjusted net income provide useful information to investors regarding the fundamental earnings power of the business, and these figures are used by the Company to measure its financial condition and results of operations. The presentation of this additional information is not meant to be considered in isolation or as a substitute for financial results prepared in accordance with GAAP.</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Cami VanHorn, 469-621-2033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IRTSLX@sixthstreet.com</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Patrick Clifford, 617-793-2004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PClifford@sixthstreet.com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2023-05-08T15:42:30Z</dcterms:created>
  <dcterms:modified xsi:type="dcterms:W3CDTF">2023-05-08T15:42:30Z</dcterms:modified>
</cp:coreProperties>
</file>