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March 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 Other Events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8, 2016, the registrant issued a press release, included herewith as Exhibit 99.1, and by this reference incorporated herein.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8, 2016</w:t>
      </w:r>
    </w:p>
    <w:p>
      <w:pPr>
        <w:sectPr>
          <w:pgSz w:w="11900" w:h="16838" w:orient="portrait"/>
          <w:cols w:equalWidth="0" w:num="1">
            <w:col w:w="10219"/>
          </w:cols>
          <w:pgMar w:left="240" w:top="270"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March 8, 2016</w:t>
      </w:r>
      <w:r>
        <w:rPr>
          <w:sz w:val="20"/>
          <w:szCs w:val="20"/>
          <w:color w:val="auto"/>
        </w:rPr>
        <w:tab/>
      </w:r>
      <w:r>
        <w:rPr>
          <w:rFonts w:ascii="Arial" w:cs="Arial" w:eastAsia="Arial" w:hAnsi="Arial"/>
          <w:sz w:val="16"/>
          <w:szCs w:val="16"/>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27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Closes Public Offering of Common Stock</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NEW YORK—(BUSINESS WIRE)—Mar. 8, 2016—TPG Specialty Lending, Inc. (NYSE:TSLX) (“TSLX” or the “Company”) announced today that it has closed a public offering of 5,000,000 shares of its common stock at a public offering price of $16.42 per share.</w:t>
      </w:r>
    </w:p>
    <w:p>
      <w:pPr>
        <w:spacing w:after="0" w:line="17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TSLX expects to use the net proceeds of the offering to pay down outstanding debt under its revolving credit facility. However, through re-borrowing under the revolving credit facility, the Company intends to make new investments in accordance with its investment objectives and strategies.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BofA Merrill Lynch, Wells Fargo Securities, Goldman, Sachs &amp; Co., Barclays and Citigroup are acting as joint book-running managers for this offering. TPG Capital BD, LLC, Ladenburg Thalmann, Comerica Securities, Houlihan Lokey and Santander are acting as co-managers.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and unsecured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an SEC registered investment adviser. TSLX leverages the deep investment, sector, and operating resources of TPG Special Situations Partners, the dedicated special situations and credit platform of TPG, with over $16 billion of assets under management as of December 31, 2015, and the broader TPG platform, a global private investment firm with over $70 billion of assets under management as of September 30,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Statements included herein may constitute “forward-looking statements,” which relate to future events or the Company’s future performance or financial condition.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 The Company assumes no obligation to update any such 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212–601-4753 or 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IRTSL@tpg.com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jennifer@blicksilverpr.com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2019-12-08T20:04:25Z</dcterms:created>
  <dcterms:modified xsi:type="dcterms:W3CDTF">2019-12-08T20:04:25Z</dcterms:modified>
</cp:coreProperties>
</file>