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158750</wp:posOffset>
            </wp:positionV>
            <wp:extent cx="16725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31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161290</wp:posOffset>
            </wp:positionV>
            <wp:extent cx="16725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w:t>
      </w: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Date of Report (Date of earliest event reported): November 7, 2017</w:t>
      </w:r>
    </w:p>
    <w:p>
      <w:pPr>
        <w:spacing w:after="0" w:line="204"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TPG Specialty Lending,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-294640</wp:posOffset>
            </wp:positionV>
            <wp:extent cx="16725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3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167640</wp:posOffset>
            </wp:positionV>
            <wp:extent cx="16725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tbl>
      <w:tblPr>
        <w:tblLayout w:type="fixed"/>
        <w:tblInd w:w="680" w:type="dxa"/>
        <w:tblCellMar>
          <w:top w:w="0" w:type="dxa"/>
          <w:left w:w="0" w:type="dxa"/>
          <w:bottom w:w="0" w:type="dxa"/>
          <w:right w:w="0" w:type="dxa"/>
        </w:tblCellMar>
      </w:tblPr>
      <w:tr>
        <w:trPr>
          <w:trHeight w:val="212"/>
        </w:trPr>
        <w:tc>
          <w:tcPr>
            <w:tcW w:w="3640" w:type="dxa"/>
            <w:vAlign w:val="bottom"/>
          </w:tcPr>
          <w:p>
            <w:pPr>
              <w:jc w:val="center"/>
              <w:ind w:right="1039"/>
              <w:spacing w:after="0"/>
              <w:rPr>
                <w:sz w:val="20"/>
                <w:szCs w:val="20"/>
                <w:color w:val="auto"/>
              </w:rPr>
            </w:pPr>
            <w:r>
              <w:rPr>
                <w:rFonts w:ascii="Arial" w:cs="Arial" w:eastAsia="Arial" w:hAnsi="Arial"/>
                <w:sz w:val="18"/>
                <w:szCs w:val="18"/>
                <w:b w:val="1"/>
                <w:bCs w:val="1"/>
                <w:color w:val="auto"/>
                <w:w w:val="91"/>
              </w:rPr>
              <w:t>Delaware</w:t>
            </w:r>
          </w:p>
        </w:tc>
        <w:tc>
          <w:tcPr>
            <w:tcW w:w="3320" w:type="dxa"/>
            <w:vAlign w:val="bottom"/>
          </w:tcPr>
          <w:p>
            <w:pPr>
              <w:ind w:left="1140"/>
              <w:spacing w:after="0"/>
              <w:rPr>
                <w:sz w:val="20"/>
                <w:szCs w:val="20"/>
                <w:color w:val="auto"/>
              </w:rPr>
            </w:pPr>
            <w:r>
              <w:rPr>
                <w:rFonts w:ascii="Arial" w:cs="Arial" w:eastAsia="Arial" w:hAnsi="Arial"/>
                <w:sz w:val="18"/>
                <w:szCs w:val="18"/>
                <w:b w:val="1"/>
                <w:bCs w:val="1"/>
                <w:color w:val="auto"/>
              </w:rPr>
              <w:t>001-36364</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27-3380000</w:t>
            </w:r>
          </w:p>
        </w:tc>
      </w:tr>
      <w:tr>
        <w:trPr>
          <w:trHeight w:val="149"/>
        </w:trPr>
        <w:tc>
          <w:tcPr>
            <w:tcW w:w="3640" w:type="dxa"/>
            <w:vAlign w:val="bottom"/>
          </w:tcPr>
          <w:p>
            <w:pPr>
              <w:jc w:val="center"/>
              <w:ind w:right="101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3320" w:type="dxa"/>
            <w:vAlign w:val="bottom"/>
          </w:tcPr>
          <w:p>
            <w:pPr>
              <w:ind w:left="1120"/>
              <w:spacing w:after="0" w:line="149" w:lineRule="exact"/>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3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640" w:type="dxa"/>
            <w:vAlign w:val="bottom"/>
          </w:tcPr>
          <w:p>
            <w:pPr>
              <w:jc w:val="center"/>
              <w:ind w:right="1019"/>
              <w:spacing w:after="0"/>
              <w:rPr>
                <w:sz w:val="20"/>
                <w:szCs w:val="20"/>
                <w:color w:val="auto"/>
              </w:rPr>
            </w:pPr>
            <w:r>
              <w:rPr>
                <w:rFonts w:ascii="Arial" w:cs="Arial" w:eastAsia="Arial" w:hAnsi="Arial"/>
                <w:sz w:val="14"/>
                <w:szCs w:val="14"/>
                <w:b w:val="1"/>
                <w:bCs w:val="1"/>
                <w:color w:val="auto"/>
                <w:w w:val="94"/>
              </w:rPr>
              <w:t>of Incorporation)</w:t>
            </w:r>
          </w:p>
        </w:tc>
        <w:tc>
          <w:tcPr>
            <w:tcW w:w="3320" w:type="dxa"/>
            <w:vAlign w:val="bottom"/>
          </w:tcPr>
          <w:p>
            <w:pPr>
              <w:ind w:left="1100"/>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4"/>
              </w:rPr>
              <w:t>Identification No.)</w:t>
            </w:r>
          </w:p>
        </w:tc>
      </w:tr>
      <w:tr>
        <w:trPr>
          <w:trHeight w:val="426"/>
        </w:trPr>
        <w:tc>
          <w:tcPr>
            <w:tcW w:w="3640" w:type="dxa"/>
            <w:vAlign w:val="bottom"/>
          </w:tcPr>
          <w:p>
            <w:pPr>
              <w:jc w:val="center"/>
              <w:ind w:right="1019"/>
              <w:spacing w:after="0"/>
              <w:rPr>
                <w:sz w:val="20"/>
                <w:szCs w:val="20"/>
                <w:color w:val="auto"/>
              </w:rPr>
            </w:pPr>
            <w:r>
              <w:rPr>
                <w:rFonts w:ascii="Arial" w:cs="Arial" w:eastAsia="Arial" w:hAnsi="Arial"/>
                <w:sz w:val="18"/>
                <w:szCs w:val="18"/>
                <w:b w:val="1"/>
                <w:bCs w:val="1"/>
                <w:color w:val="auto"/>
                <w:w w:val="89"/>
              </w:rPr>
              <w:t>301 Commerce Street, Suite 3300</w:t>
            </w:r>
          </w:p>
        </w:tc>
        <w:tc>
          <w:tcPr>
            <w:tcW w:w="332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12"/>
        </w:trPr>
        <w:tc>
          <w:tcPr>
            <w:tcW w:w="3640" w:type="dxa"/>
            <w:vAlign w:val="bottom"/>
          </w:tcPr>
          <w:p>
            <w:pPr>
              <w:jc w:val="center"/>
              <w:ind w:right="1019"/>
              <w:spacing w:after="0"/>
              <w:rPr>
                <w:sz w:val="20"/>
                <w:szCs w:val="20"/>
                <w:color w:val="auto"/>
              </w:rPr>
            </w:pPr>
            <w:r>
              <w:rPr>
                <w:rFonts w:ascii="Arial" w:cs="Arial" w:eastAsia="Arial" w:hAnsi="Arial"/>
                <w:sz w:val="18"/>
                <w:szCs w:val="18"/>
                <w:b w:val="1"/>
                <w:bCs w:val="1"/>
                <w:color w:val="auto"/>
                <w:w w:val="97"/>
              </w:rPr>
              <w:t>Fort Worth, TX</w:t>
            </w:r>
          </w:p>
        </w:tc>
        <w:tc>
          <w:tcPr>
            <w:tcW w:w="3320" w:type="dxa"/>
            <w:vAlign w:val="bottom"/>
          </w:tcPr>
          <w:p>
            <w:pPr>
              <w:spacing w:after="0"/>
              <w:rPr>
                <w:sz w:val="18"/>
                <w:szCs w:val="18"/>
                <w:color w:val="auto"/>
              </w:rPr>
            </w:pP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76102</w:t>
            </w:r>
          </w:p>
        </w:tc>
      </w:tr>
      <w:tr>
        <w:trPr>
          <w:trHeight w:val="186"/>
        </w:trPr>
        <w:tc>
          <w:tcPr>
            <w:tcW w:w="3640" w:type="dxa"/>
            <w:vAlign w:val="bottom"/>
          </w:tcPr>
          <w:p>
            <w:pPr>
              <w:jc w:val="center"/>
              <w:ind w:right="101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320" w:type="dxa"/>
            <w:vAlign w:val="bottom"/>
          </w:tcPr>
          <w:p>
            <w:pPr>
              <w:spacing w:after="0"/>
              <w:rPr>
                <w:sz w:val="16"/>
                <w:szCs w:val="16"/>
                <w:color w:val="auto"/>
              </w:rPr>
            </w:pP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1"/>
              </w:rPr>
              <w:t>(zip code)</w:t>
            </w:r>
          </w:p>
        </w:tc>
      </w:tr>
    </w:tbl>
    <w:p>
      <w:pPr>
        <w:spacing w:after="0" w:line="27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154940</wp:posOffset>
            </wp:positionV>
            <wp:extent cx="16725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371"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1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99060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215265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30"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 Results of Operations and Financial Condition</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On November 7, 2017, the registrant issued a press release announcing its financial results for the quarter ended September 30, 2017. The text of the press release is included as Exhibit 99.1 to this Form 8-K.</w:t>
      </w:r>
    </w:p>
    <w:p>
      <w:pPr>
        <w:spacing w:after="0" w:line="17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information disclosed under this Item 2.02,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November 7, 2017, the registrant issued a press release, included herewith as Exhibit 99.1, announcing the declaration of a fourth fiscal quarter 2017 base dividend of $0.39 per share for stockholders of record as of December 15, 2017, payable on January 12, 2018, and a quarterly variable supplemental dividend of $0.06 per share for stockholders of record as of November 30, 2017, payable on December 29, 2017.</w:t>
      </w:r>
    </w:p>
    <w:p>
      <w:pPr>
        <w:spacing w:after="0" w:line="166"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information disclosed under this Item 7.01,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4"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20"/>
        <w:spacing w:after="0"/>
        <w:tabs>
          <w:tab w:leader="none" w:pos="122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1" w:lineRule="exact"/>
        <w:rPr>
          <w:sz w:val="20"/>
          <w:szCs w:val="20"/>
          <w:color w:val="auto"/>
        </w:rPr>
      </w:pPr>
    </w:p>
    <w:p>
      <w:pPr>
        <w:spacing w:after="0"/>
        <w:tabs>
          <w:tab w:leader="none" w:pos="122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November 7,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7980" w:type="dxa"/>
            <w:vAlign w:val="bottom"/>
            <w:gridSpan w:val="2"/>
          </w:tcPr>
          <w:p>
            <w:pPr>
              <w:ind w:left="1640"/>
              <w:spacing w:after="0"/>
              <w:rPr>
                <w:sz w:val="20"/>
                <w:szCs w:val="20"/>
                <w:color w:val="auto"/>
              </w:rPr>
            </w:pPr>
            <w:r>
              <w:rPr>
                <w:rFonts w:ascii="Arial" w:cs="Arial" w:eastAsia="Arial" w:hAnsi="Arial"/>
                <w:sz w:val="18"/>
                <w:szCs w:val="18"/>
                <w:color w:val="auto"/>
              </w:rPr>
              <w:t>TPG SPECIALTY LENDING, INC.</w:t>
            </w:r>
          </w:p>
        </w:tc>
      </w:tr>
      <w:tr>
        <w:trPr>
          <w:trHeight w:val="230"/>
        </w:trPr>
        <w:tc>
          <w:tcPr>
            <w:tcW w:w="34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720" w:type="dxa"/>
            <w:vAlign w:val="bottom"/>
          </w:tcPr>
          <w:p>
            <w:pPr>
              <w:ind w:left="280"/>
              <w:spacing w:after="0"/>
              <w:rPr>
                <w:sz w:val="20"/>
                <w:szCs w:val="20"/>
                <w:color w:val="auto"/>
              </w:rPr>
            </w:pPr>
            <w:r>
              <w:rPr>
                <w:rFonts w:ascii="Arial" w:cs="Arial" w:eastAsia="Arial" w:hAnsi="Arial"/>
                <w:sz w:val="18"/>
                <w:szCs w:val="18"/>
                <w:color w:val="auto"/>
              </w:rPr>
              <w:t>(Registrant)</w:t>
            </w:r>
          </w:p>
        </w:tc>
      </w:tr>
      <w:tr>
        <w:trPr>
          <w:trHeight w:val="432"/>
        </w:trPr>
        <w:tc>
          <w:tcPr>
            <w:tcW w:w="3440" w:type="dxa"/>
            <w:vAlign w:val="bottom"/>
          </w:tcPr>
          <w:p>
            <w:pPr>
              <w:spacing w:after="0"/>
              <w:rPr>
                <w:sz w:val="20"/>
                <w:szCs w:val="20"/>
                <w:color w:val="auto"/>
              </w:rPr>
            </w:pPr>
            <w:r>
              <w:rPr>
                <w:rFonts w:ascii="Arial" w:cs="Arial" w:eastAsia="Arial" w:hAnsi="Arial"/>
                <w:sz w:val="18"/>
                <w:szCs w:val="18"/>
                <w:color w:val="auto"/>
              </w:rPr>
              <w:t>Date: November 7, 2017</w:t>
            </w:r>
          </w:p>
        </w:tc>
        <w:tc>
          <w:tcPr>
            <w:tcW w:w="2260" w:type="dxa"/>
            <w:vAlign w:val="bottom"/>
          </w:tcPr>
          <w:p>
            <w:pPr>
              <w:ind w:left="1640"/>
              <w:spacing w:after="0"/>
              <w:rPr>
                <w:sz w:val="20"/>
                <w:szCs w:val="20"/>
                <w:color w:val="auto"/>
              </w:rPr>
            </w:pPr>
            <w:r>
              <w:rPr>
                <w:rFonts w:ascii="Arial" w:cs="Arial" w:eastAsia="Arial" w:hAnsi="Arial"/>
                <w:sz w:val="18"/>
                <w:szCs w:val="18"/>
                <w:color w:val="auto"/>
              </w:rPr>
              <w:t>By:</w:t>
            </w:r>
          </w:p>
        </w:tc>
        <w:tc>
          <w:tcPr>
            <w:tcW w:w="57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Ian Simmonds</w:t>
            </w:r>
          </w:p>
        </w:tc>
      </w:tr>
      <w:tr>
        <w:trPr>
          <w:trHeight w:val="195"/>
        </w:trPr>
        <w:tc>
          <w:tcPr>
            <w:tcW w:w="34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5720" w:type="dxa"/>
            <w:vAlign w:val="bottom"/>
          </w:tcPr>
          <w:p>
            <w:pPr>
              <w:ind w:left="60"/>
              <w:spacing w:after="0" w:line="195" w:lineRule="exact"/>
              <w:rPr>
                <w:sz w:val="20"/>
                <w:szCs w:val="20"/>
                <w:color w:val="auto"/>
              </w:rPr>
            </w:pPr>
            <w:r>
              <w:rPr>
                <w:rFonts w:ascii="Arial" w:cs="Arial" w:eastAsia="Arial" w:hAnsi="Arial"/>
                <w:sz w:val="18"/>
                <w:szCs w:val="18"/>
                <w:color w:val="auto"/>
              </w:rPr>
              <w:t>Ian Simmonds</w:t>
            </w:r>
          </w:p>
        </w:tc>
      </w:tr>
      <w:tr>
        <w:trPr>
          <w:trHeight w:val="230"/>
        </w:trPr>
        <w:tc>
          <w:tcPr>
            <w:tcW w:w="34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720" w:type="dxa"/>
            <w:vAlign w:val="bottom"/>
          </w:tcPr>
          <w:p>
            <w:pPr>
              <w:ind w:left="6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125" w:right="239" w:bottom="1440" w:gutter="0" w:footer="0" w:header="0"/>
        </w:sectPr>
      </w:pPr>
    </w:p>
    <w:bookmarkStart w:id="3" w:name="page4"/>
    <w:bookmarkEnd w:id="3"/>
    <w:p>
      <w:pPr>
        <w:ind w:left="10480"/>
        <w:spacing w:after="0"/>
        <w:rPr>
          <w:sz w:val="20"/>
          <w:szCs w:val="20"/>
          <w:color w:val="auto"/>
        </w:rPr>
      </w:pPr>
      <w:r>
        <w:rPr>
          <w:rFonts w:ascii="Arial" w:cs="Arial" w:eastAsia="Arial" w:hAnsi="Arial"/>
          <w:sz w:val="16"/>
          <w:szCs w:val="16"/>
          <w:b w:val="1"/>
          <w:bCs w:val="1"/>
          <w:color w:val="auto"/>
        </w:rPr>
        <w:t>Exhibit 99.1</w:t>
      </w:r>
    </w:p>
    <w:p>
      <w:pPr>
        <w:spacing w:after="0" w:line="248" w:lineRule="exact"/>
        <w:rPr>
          <w:sz w:val="20"/>
          <w:szCs w:val="20"/>
          <w:color w:val="auto"/>
        </w:rPr>
      </w:pPr>
    </w:p>
    <w:p>
      <w:pPr>
        <w:ind w:right="300"/>
        <w:spacing w:after="0" w:line="313" w:lineRule="auto"/>
        <w:rPr>
          <w:sz w:val="20"/>
          <w:szCs w:val="20"/>
          <w:color w:val="auto"/>
        </w:rPr>
      </w:pPr>
      <w:r>
        <w:rPr>
          <w:rFonts w:ascii="Arial" w:cs="Arial" w:eastAsia="Arial" w:hAnsi="Arial"/>
          <w:sz w:val="17"/>
          <w:szCs w:val="17"/>
          <w:b w:val="1"/>
          <w:bCs w:val="1"/>
          <w:color w:val="auto"/>
        </w:rPr>
        <w:t>TPG Specialty Lending, Inc. Announces Quarter Ended September 30, 2017 Financial Results; Board Declares Quarterly Base Dividend of $0.39 Per Share for the Fourth Fiscal Quarter of 2017 and a Quarterly Variable Supplemental Dividend of $0.06 Per Share</w:t>
      </w:r>
    </w:p>
    <w:p>
      <w:pPr>
        <w:spacing w:after="0" w:line="14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NEW YORK—(BUSINESS WIRE)—November 7, 2017— TPG Specialty Lending, Inc. (NYSE: TSLX, or the “Company”) today reported net investment income of $30.9 million, or $0.51 per share, for the quarter ended September 30, 2017. Net asset value per share was $16.09 at September 30, 2017 as compared to $16.15 at June 30, 2017. The Company’s Board of Directors previously declared a second quarter variable supplemental dividend of $0.09 per share and a third quarter base dividend of $0.39 per share, payable to stockholders of record as of August 31, 2017 and September 15, 2017, respectively, that was paid on September 29, 2017 and October 13, 2017, respectively.</w:t>
      </w:r>
    </w:p>
    <w:p>
      <w:pPr>
        <w:spacing w:after="0" w:line="188"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Company announced that its Board of Directors has declared a fourth quarter base dividend of $0.39 per share for stockholders of record as of December 15, 2017, payable on January 12, 2018. The Company’s Board of Directors also declared a third quarter variable supplemental dividend of $0.06 per share for stockholders of record as of November 30, 2017, payable on December 29, 2017.</w:t>
      </w:r>
    </w:p>
    <w:p>
      <w:pPr>
        <w:sectPr>
          <w:pgSz w:w="11900" w:h="16838" w:orient="portrait"/>
          <w:cols w:equalWidth="0" w:num="1">
            <w:col w:w="11420"/>
          </w:cols>
          <w:pgMar w:left="240" w:top="121" w:right="239" w:bottom="1440" w:gutter="0" w:footer="0" w:header="0"/>
        </w:sect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(amounts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Investments at Fair Value</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Total Assets</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Net Asset Value Per Share</w:t>
      </w:r>
    </w:p>
    <w:p>
      <w:pPr>
        <w:spacing w:after="0" w:line="27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Investment Income</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Net Investment Income</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Net Income</w:t>
      </w:r>
    </w:p>
    <w:p>
      <w:pPr>
        <w:spacing w:after="0" w:line="27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Net Investment Income Per Share</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Net Realized and Unrealized Gains (and</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Losses) Per Share</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Net Income Per Share</w:t>
      </w:r>
    </w:p>
    <w:p>
      <w:pPr>
        <w:spacing w:after="0" w:line="278" w:lineRule="exact"/>
        <w:rPr>
          <w:sz w:val="20"/>
          <w:szCs w:val="20"/>
          <w:color w:val="auto"/>
        </w:rPr>
      </w:pPr>
    </w:p>
    <w:p>
      <w:pPr>
        <w:ind w:left="1140" w:right="40"/>
        <w:spacing w:after="0" w:line="274" w:lineRule="auto"/>
        <w:rPr>
          <w:sz w:val="20"/>
          <w:szCs w:val="20"/>
          <w:color w:val="auto"/>
        </w:rPr>
      </w:pPr>
      <w:r>
        <w:rPr>
          <w:rFonts w:ascii="Arial" w:cs="Arial" w:eastAsia="Arial" w:hAnsi="Arial"/>
          <w:sz w:val="17"/>
          <w:szCs w:val="17"/>
          <w:color w:val="auto"/>
        </w:rPr>
        <w:t>Weighted Average Yield of Debt and Income Producing Securities at Fair Value</w:t>
      </w:r>
    </w:p>
    <w:p>
      <w:pPr>
        <w:ind w:left="1140" w:right="40"/>
        <w:spacing w:after="0" w:line="341" w:lineRule="auto"/>
        <w:rPr>
          <w:sz w:val="20"/>
          <w:szCs w:val="20"/>
          <w:color w:val="auto"/>
        </w:rPr>
      </w:pPr>
      <w:r>
        <w:rPr>
          <w:rFonts w:ascii="Arial" w:cs="Arial" w:eastAsia="Arial" w:hAnsi="Arial"/>
          <w:sz w:val="16"/>
          <w:szCs w:val="16"/>
          <w:color w:val="auto"/>
        </w:rPr>
        <w:t>Weighted Average Yield of Debt and Income Producing Securities at Amortized Cost</w:t>
      </w:r>
    </w:p>
    <w:p>
      <w:pPr>
        <w:spacing w:after="0" w:line="179" w:lineRule="exact"/>
        <w:rPr>
          <w:sz w:val="20"/>
          <w:szCs w:val="20"/>
          <w:color w:val="auto"/>
        </w:rPr>
      </w:pPr>
    </w:p>
    <w:p>
      <w:pPr>
        <w:ind w:left="1140"/>
        <w:spacing w:after="0" w:line="277" w:lineRule="auto"/>
        <w:rPr>
          <w:sz w:val="20"/>
          <w:szCs w:val="20"/>
          <w:color w:val="auto"/>
        </w:rPr>
      </w:pPr>
      <w:r>
        <w:rPr>
          <w:rFonts w:ascii="Arial" w:cs="Arial" w:eastAsia="Arial" w:hAnsi="Arial"/>
          <w:sz w:val="18"/>
          <w:szCs w:val="18"/>
          <w:color w:val="auto"/>
        </w:rPr>
        <w:t xml:space="preserve">Percentage of Debt Investment Commitments at Floating Rates </w:t>
      </w: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78"/>
        </w:trPr>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center"/>
              <w:ind w:right="133"/>
              <w:spacing w:after="0"/>
              <w:rPr>
                <w:sz w:val="20"/>
                <w:szCs w:val="20"/>
                <w:color w:val="auto"/>
              </w:rPr>
            </w:pPr>
            <w:r>
              <w:rPr>
                <w:rFonts w:ascii="Arial" w:cs="Arial" w:eastAsia="Arial" w:hAnsi="Arial"/>
                <w:sz w:val="14"/>
                <w:szCs w:val="14"/>
                <w:b w:val="1"/>
                <w:bCs w:val="1"/>
                <w:color w:val="auto"/>
                <w:w w:val="94"/>
              </w:rPr>
              <w:t>(unaudited)</w:t>
            </w: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71"/>
        </w:trPr>
        <w:tc>
          <w:tcPr>
            <w:tcW w:w="18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September 30, 2017</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center"/>
              <w:ind w:right="133"/>
              <w:spacing w:after="0"/>
              <w:rPr>
                <w:sz w:val="20"/>
                <w:szCs w:val="20"/>
                <w:color w:val="auto"/>
              </w:rPr>
            </w:pPr>
            <w:r>
              <w:rPr>
                <w:rFonts w:ascii="Arial" w:cs="Arial" w:eastAsia="Arial" w:hAnsi="Arial"/>
                <w:sz w:val="14"/>
                <w:szCs w:val="14"/>
                <w:b w:val="1"/>
                <w:bCs w:val="1"/>
                <w:color w:val="auto"/>
                <w:w w:val="92"/>
              </w:rPr>
              <w:t>June 30, 2017</w:t>
            </w: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w w:val="93"/>
              </w:rPr>
              <w:t>September 30, 2016</w:t>
            </w:r>
          </w:p>
        </w:tc>
        <w:tc>
          <w:tcPr>
            <w:tcW w:w="220" w:type="dxa"/>
            <w:vAlign w:val="bottom"/>
          </w:tcPr>
          <w:p>
            <w:pPr>
              <w:spacing w:after="0"/>
              <w:rPr>
                <w:sz w:val="14"/>
                <w:szCs w:val="14"/>
                <w:color w:val="auto"/>
              </w:rPr>
            </w:pPr>
          </w:p>
        </w:tc>
      </w:tr>
      <w:tr>
        <w:trPr>
          <w:trHeight w:val="20"/>
        </w:trPr>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84"/>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1,550.3</w:t>
            </w:r>
          </w:p>
        </w:tc>
        <w:tc>
          <w:tcPr>
            <w:tcW w:w="360" w:type="dxa"/>
            <w:vAlign w:val="bottom"/>
          </w:tcPr>
          <w:p>
            <w:pPr>
              <w:spacing w:after="0"/>
              <w:rPr>
                <w:sz w:val="24"/>
                <w:szCs w:val="24"/>
                <w:color w:val="auto"/>
              </w:rPr>
            </w:pPr>
          </w:p>
        </w:tc>
        <w:tc>
          <w:tcPr>
            <w:tcW w:w="3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1,554.5</w:t>
            </w:r>
          </w:p>
        </w:tc>
        <w:tc>
          <w:tcPr>
            <w:tcW w:w="380" w:type="dxa"/>
            <w:vAlign w:val="bottom"/>
          </w:tcPr>
          <w:p>
            <w:pPr>
              <w:spacing w:after="0"/>
              <w:rPr>
                <w:sz w:val="24"/>
                <w:szCs w:val="24"/>
                <w:color w:val="auto"/>
              </w:rPr>
            </w:pP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1,643.6</w:t>
            </w:r>
          </w:p>
        </w:tc>
        <w:tc>
          <w:tcPr>
            <w:tcW w:w="220" w:type="dxa"/>
            <w:vAlign w:val="bottom"/>
          </w:tcPr>
          <w:p>
            <w:pPr>
              <w:spacing w:after="0"/>
              <w:rPr>
                <w:sz w:val="24"/>
                <w:szCs w:val="24"/>
                <w:color w:val="auto"/>
              </w:rPr>
            </w:pPr>
          </w:p>
        </w:tc>
      </w:tr>
      <w:tr>
        <w:trPr>
          <w:trHeight w:val="230"/>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1,581.1</w:t>
            </w:r>
          </w:p>
        </w:tc>
        <w:tc>
          <w:tcPr>
            <w:tcW w:w="360" w:type="dxa"/>
            <w:vAlign w:val="bottom"/>
          </w:tcPr>
          <w:p>
            <w:pPr>
              <w:spacing w:after="0"/>
              <w:rPr>
                <w:sz w:val="19"/>
                <w:szCs w:val="19"/>
                <w:color w:val="auto"/>
              </w:rPr>
            </w:pPr>
          </w:p>
        </w:tc>
        <w:tc>
          <w:tcPr>
            <w:tcW w:w="3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1,589.1</w:t>
            </w:r>
          </w:p>
        </w:tc>
        <w:tc>
          <w:tcPr>
            <w:tcW w:w="380" w:type="dxa"/>
            <w:vAlign w:val="bottom"/>
          </w:tcPr>
          <w:p>
            <w:pPr>
              <w:spacing w:after="0"/>
              <w:rPr>
                <w:sz w:val="19"/>
                <w:szCs w:val="19"/>
                <w:color w:val="auto"/>
              </w:rPr>
            </w:pP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1,665.2</w:t>
            </w:r>
          </w:p>
        </w:tc>
        <w:tc>
          <w:tcPr>
            <w:tcW w:w="220" w:type="dxa"/>
            <w:vAlign w:val="bottom"/>
          </w:tcPr>
          <w:p>
            <w:pPr>
              <w:spacing w:after="0"/>
              <w:rPr>
                <w:sz w:val="19"/>
                <w:szCs w:val="19"/>
                <w:color w:val="auto"/>
              </w:rPr>
            </w:pPr>
          </w:p>
        </w:tc>
      </w:tr>
      <w:tr>
        <w:trPr>
          <w:trHeight w:val="230"/>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16.09</w:t>
            </w:r>
          </w:p>
        </w:tc>
        <w:tc>
          <w:tcPr>
            <w:tcW w:w="360" w:type="dxa"/>
            <w:vAlign w:val="bottom"/>
          </w:tcPr>
          <w:p>
            <w:pPr>
              <w:spacing w:after="0"/>
              <w:rPr>
                <w:sz w:val="20"/>
                <w:szCs w:val="20"/>
                <w:color w:val="auto"/>
              </w:rPr>
            </w:pPr>
          </w:p>
        </w:tc>
        <w:tc>
          <w:tcPr>
            <w:tcW w:w="3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16.15</w:t>
            </w:r>
          </w:p>
        </w:tc>
        <w:tc>
          <w:tcPr>
            <w:tcW w:w="380" w:type="dxa"/>
            <w:vAlign w:val="bottom"/>
          </w:tcPr>
          <w:p>
            <w:pPr>
              <w:spacing w:after="0"/>
              <w:rPr>
                <w:sz w:val="20"/>
                <w:szCs w:val="20"/>
                <w:color w:val="auto"/>
              </w:rPr>
            </w:pP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15.78</w:t>
            </w:r>
          </w:p>
        </w:tc>
        <w:tc>
          <w:tcPr>
            <w:tcW w:w="220" w:type="dxa"/>
            <w:vAlign w:val="bottom"/>
          </w:tcPr>
          <w:p>
            <w:pPr>
              <w:spacing w:after="0"/>
              <w:rPr>
                <w:sz w:val="20"/>
                <w:szCs w:val="20"/>
                <w:color w:val="auto"/>
              </w:rPr>
            </w:pPr>
          </w:p>
        </w:tc>
      </w:tr>
      <w:tr>
        <w:trPr>
          <w:trHeight w:val="485"/>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52.3</w:t>
            </w:r>
          </w:p>
        </w:tc>
        <w:tc>
          <w:tcPr>
            <w:tcW w:w="360" w:type="dxa"/>
            <w:vAlign w:val="bottom"/>
          </w:tcPr>
          <w:p>
            <w:pPr>
              <w:spacing w:after="0"/>
              <w:rPr>
                <w:sz w:val="24"/>
                <w:szCs w:val="24"/>
                <w:color w:val="auto"/>
              </w:rPr>
            </w:pPr>
          </w:p>
        </w:tc>
        <w:tc>
          <w:tcPr>
            <w:tcW w:w="3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58.8</w:t>
            </w:r>
          </w:p>
        </w:tc>
        <w:tc>
          <w:tcPr>
            <w:tcW w:w="380" w:type="dxa"/>
            <w:vAlign w:val="bottom"/>
          </w:tcPr>
          <w:p>
            <w:pPr>
              <w:spacing w:after="0"/>
              <w:rPr>
                <w:sz w:val="24"/>
                <w:szCs w:val="24"/>
                <w:color w:val="auto"/>
              </w:rPr>
            </w:pP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53.9</w:t>
            </w:r>
          </w:p>
        </w:tc>
        <w:tc>
          <w:tcPr>
            <w:tcW w:w="220" w:type="dxa"/>
            <w:vAlign w:val="bottom"/>
          </w:tcPr>
          <w:p>
            <w:pPr>
              <w:spacing w:after="0"/>
              <w:rPr>
                <w:sz w:val="24"/>
                <w:szCs w:val="24"/>
                <w:color w:val="auto"/>
              </w:rPr>
            </w:pPr>
          </w:p>
        </w:tc>
      </w:tr>
      <w:tr>
        <w:trPr>
          <w:trHeight w:val="230"/>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30.9</w:t>
            </w:r>
          </w:p>
        </w:tc>
        <w:tc>
          <w:tcPr>
            <w:tcW w:w="360" w:type="dxa"/>
            <w:vAlign w:val="bottom"/>
          </w:tcPr>
          <w:p>
            <w:pPr>
              <w:spacing w:after="0"/>
              <w:rPr>
                <w:sz w:val="19"/>
                <w:szCs w:val="19"/>
                <w:color w:val="auto"/>
              </w:rPr>
            </w:pPr>
          </w:p>
        </w:tc>
        <w:tc>
          <w:tcPr>
            <w:tcW w:w="3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33.9</w:t>
            </w:r>
          </w:p>
        </w:tc>
        <w:tc>
          <w:tcPr>
            <w:tcW w:w="380" w:type="dxa"/>
            <w:vAlign w:val="bottom"/>
          </w:tcPr>
          <w:p>
            <w:pPr>
              <w:spacing w:after="0"/>
              <w:rPr>
                <w:sz w:val="19"/>
                <w:szCs w:val="19"/>
                <w:color w:val="auto"/>
              </w:rPr>
            </w:pP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30.6</w:t>
            </w:r>
          </w:p>
        </w:tc>
        <w:tc>
          <w:tcPr>
            <w:tcW w:w="220" w:type="dxa"/>
            <w:vAlign w:val="bottom"/>
          </w:tcPr>
          <w:p>
            <w:pPr>
              <w:spacing w:after="0"/>
              <w:rPr>
                <w:sz w:val="19"/>
                <w:szCs w:val="19"/>
                <w:color w:val="auto"/>
              </w:rPr>
            </w:pPr>
          </w:p>
        </w:tc>
      </w:tr>
      <w:tr>
        <w:trPr>
          <w:trHeight w:val="230"/>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24.8</w:t>
            </w:r>
          </w:p>
        </w:tc>
        <w:tc>
          <w:tcPr>
            <w:tcW w:w="360" w:type="dxa"/>
            <w:vAlign w:val="bottom"/>
          </w:tcPr>
          <w:p>
            <w:pPr>
              <w:spacing w:after="0"/>
              <w:rPr>
                <w:sz w:val="20"/>
                <w:szCs w:val="20"/>
                <w:color w:val="auto"/>
              </w:rPr>
            </w:pPr>
          </w:p>
        </w:tc>
        <w:tc>
          <w:tcPr>
            <w:tcW w:w="3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31.8</w:t>
            </w:r>
          </w:p>
        </w:tc>
        <w:tc>
          <w:tcPr>
            <w:tcW w:w="380" w:type="dxa"/>
            <w:vAlign w:val="bottom"/>
          </w:tcPr>
          <w:p>
            <w:pPr>
              <w:spacing w:after="0"/>
              <w:rPr>
                <w:sz w:val="20"/>
                <w:szCs w:val="20"/>
                <w:color w:val="auto"/>
              </w:rPr>
            </w:pP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36.9</w:t>
            </w:r>
          </w:p>
        </w:tc>
        <w:tc>
          <w:tcPr>
            <w:tcW w:w="220" w:type="dxa"/>
            <w:vAlign w:val="bottom"/>
          </w:tcPr>
          <w:p>
            <w:pPr>
              <w:spacing w:after="0"/>
              <w:rPr>
                <w:sz w:val="20"/>
                <w:szCs w:val="20"/>
                <w:color w:val="auto"/>
              </w:rPr>
            </w:pPr>
          </w:p>
        </w:tc>
      </w:tr>
      <w:tr>
        <w:trPr>
          <w:trHeight w:val="48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0.51</w:t>
            </w:r>
          </w:p>
        </w:tc>
        <w:tc>
          <w:tcPr>
            <w:tcW w:w="360" w:type="dxa"/>
            <w:vAlign w:val="bottom"/>
          </w:tcPr>
          <w:p>
            <w:pPr>
              <w:spacing w:after="0"/>
              <w:rPr>
                <w:sz w:val="24"/>
                <w:szCs w:val="24"/>
                <w:color w:val="auto"/>
              </w:rPr>
            </w:pPr>
          </w:p>
        </w:tc>
        <w:tc>
          <w:tcPr>
            <w:tcW w:w="3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0.57</w:t>
            </w:r>
          </w:p>
        </w:tc>
        <w:tc>
          <w:tcPr>
            <w:tcW w:w="380" w:type="dxa"/>
            <w:vAlign w:val="bottom"/>
          </w:tcPr>
          <w:p>
            <w:pPr>
              <w:spacing w:after="0"/>
              <w:rPr>
                <w:sz w:val="24"/>
                <w:szCs w:val="24"/>
                <w:color w:val="auto"/>
              </w:rPr>
            </w:pP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0.51</w:t>
            </w:r>
          </w:p>
        </w:tc>
        <w:tc>
          <w:tcPr>
            <w:tcW w:w="220" w:type="dxa"/>
            <w:vAlign w:val="bottom"/>
          </w:tcPr>
          <w:p>
            <w:pPr>
              <w:spacing w:after="0"/>
              <w:rPr>
                <w:sz w:val="24"/>
                <w:szCs w:val="24"/>
                <w:color w:val="auto"/>
              </w:rPr>
            </w:pPr>
          </w:p>
        </w:tc>
      </w:tr>
      <w:tr>
        <w:trPr>
          <w:trHeight w:val="338"/>
        </w:trPr>
        <w:tc>
          <w:tcPr>
            <w:tcW w:w="180" w:type="dxa"/>
            <w:vAlign w:val="bottom"/>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0.10</w:t>
            </w: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0.04</w:t>
            </w:r>
          </w:p>
        </w:tc>
        <w:tc>
          <w:tcPr>
            <w:tcW w:w="380" w:type="dxa"/>
            <w:vAlign w:val="bottom"/>
          </w:tcPr>
          <w:p>
            <w:pPr>
              <w:ind w:left="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0.11</w:t>
            </w:r>
          </w:p>
        </w:tc>
        <w:tc>
          <w:tcPr>
            <w:tcW w:w="220" w:type="dxa"/>
            <w:vAlign w:val="bottom"/>
          </w:tcPr>
          <w:p>
            <w:pPr>
              <w:spacing w:after="0"/>
              <w:rPr>
                <w:sz w:val="24"/>
                <w:szCs w:val="24"/>
                <w:color w:val="auto"/>
              </w:rPr>
            </w:pPr>
          </w:p>
        </w:tc>
      </w:tr>
      <w:tr>
        <w:trPr>
          <w:trHeight w:val="338"/>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0.41</w:t>
            </w:r>
          </w:p>
        </w:tc>
        <w:tc>
          <w:tcPr>
            <w:tcW w:w="360" w:type="dxa"/>
            <w:vAlign w:val="bottom"/>
          </w:tcPr>
          <w:p>
            <w:pPr>
              <w:spacing w:after="0"/>
              <w:rPr>
                <w:sz w:val="24"/>
                <w:szCs w:val="24"/>
                <w:color w:val="auto"/>
              </w:rPr>
            </w:pPr>
          </w:p>
        </w:tc>
        <w:tc>
          <w:tcPr>
            <w:tcW w:w="3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0.53</w:t>
            </w:r>
          </w:p>
        </w:tc>
        <w:tc>
          <w:tcPr>
            <w:tcW w:w="380" w:type="dxa"/>
            <w:vAlign w:val="bottom"/>
          </w:tcPr>
          <w:p>
            <w:pPr>
              <w:spacing w:after="0"/>
              <w:rPr>
                <w:sz w:val="24"/>
                <w:szCs w:val="24"/>
                <w:color w:val="auto"/>
              </w:rPr>
            </w:pP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0.62</w:t>
            </w:r>
          </w:p>
        </w:tc>
        <w:tc>
          <w:tcPr>
            <w:tcW w:w="220" w:type="dxa"/>
            <w:vAlign w:val="bottom"/>
          </w:tcPr>
          <w:p>
            <w:pPr>
              <w:spacing w:after="0"/>
              <w:rPr>
                <w:sz w:val="24"/>
                <w:szCs w:val="24"/>
                <w:color w:val="auto"/>
              </w:rPr>
            </w:pPr>
          </w:p>
        </w:tc>
      </w:tr>
      <w:tr>
        <w:trPr>
          <w:trHeight w:val="594"/>
        </w:trPr>
        <w:tc>
          <w:tcPr>
            <w:tcW w:w="18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10.7</w:t>
            </w: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w:t>
            </w:r>
          </w:p>
        </w:tc>
        <w:tc>
          <w:tcPr>
            <w:tcW w:w="380" w:type="dxa"/>
            <w:vAlign w:val="bottom"/>
          </w:tcPr>
          <w:p>
            <w:pPr>
              <w:ind w:left="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46"/>
        </w:trPr>
        <w:tc>
          <w:tcPr>
            <w:tcW w:w="18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10.8</w:t>
            </w: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10.8</w:t>
            </w:r>
          </w:p>
        </w:tc>
        <w:tc>
          <w:tcPr>
            <w:tcW w:w="380" w:type="dxa"/>
            <w:vAlign w:val="bottom"/>
          </w:tcPr>
          <w:p>
            <w:pPr>
              <w:ind w:left="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702"/>
        </w:trPr>
        <w:tc>
          <w:tcPr>
            <w:tcW w:w="18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Pr>
          <w:p>
            <w:pPr>
              <w:ind w:left="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97.9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-2249805</wp:posOffset>
            </wp:positionH>
            <wp:positionV relativeFrom="paragraph">
              <wp:posOffset>-2880995</wp:posOffset>
            </wp:positionV>
            <wp:extent cx="579755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97550" cy="146050"/>
                    </a:xfrm>
                    <a:prstGeom prst="rect">
                      <a:avLst/>
                    </a:prstGeom>
                    <a:noFill/>
                  </pic:spPr>
                </pic:pic>
              </a:graphicData>
            </a:graphic>
          </wp:anchor>
        </w:drawing>
        <w:drawing>
          <wp:anchor simplePos="0" relativeHeight="251657728" behindDoc="1" locked="0" layoutInCell="0" allowOverlap="1">
            <wp:simplePos x="0" y="0"/>
            <wp:positionH relativeFrom="column">
              <wp:posOffset>-2249805</wp:posOffset>
            </wp:positionH>
            <wp:positionV relativeFrom="paragraph">
              <wp:posOffset>-2589530</wp:posOffset>
            </wp:positionV>
            <wp:extent cx="579755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97550" cy="146050"/>
                    </a:xfrm>
                    <a:prstGeom prst="rect">
                      <a:avLst/>
                    </a:prstGeom>
                    <a:noFill/>
                  </pic:spPr>
                </pic:pic>
              </a:graphicData>
            </a:graphic>
          </wp:anchor>
        </w:drawing>
        <w:drawing>
          <wp:anchor simplePos="0" relativeHeight="251657728" behindDoc="1" locked="0" layoutInCell="0" allowOverlap="1">
            <wp:simplePos x="0" y="0"/>
            <wp:positionH relativeFrom="column">
              <wp:posOffset>-2249805</wp:posOffset>
            </wp:positionH>
            <wp:positionV relativeFrom="paragraph">
              <wp:posOffset>-2134870</wp:posOffset>
            </wp:positionV>
            <wp:extent cx="579755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97550" cy="146050"/>
                    </a:xfrm>
                    <a:prstGeom prst="rect">
                      <a:avLst/>
                    </a:prstGeom>
                    <a:noFill/>
                  </pic:spPr>
                </pic:pic>
              </a:graphicData>
            </a:graphic>
          </wp:anchor>
        </w:drawing>
        <w:drawing>
          <wp:anchor simplePos="0" relativeHeight="251657728" behindDoc="1" locked="0" layoutInCell="0" allowOverlap="1">
            <wp:simplePos x="0" y="0"/>
            <wp:positionH relativeFrom="column">
              <wp:posOffset>-2249805</wp:posOffset>
            </wp:positionH>
            <wp:positionV relativeFrom="paragraph">
              <wp:posOffset>-1680210</wp:posOffset>
            </wp:positionV>
            <wp:extent cx="579755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97550" cy="146050"/>
                    </a:xfrm>
                    <a:prstGeom prst="rect">
                      <a:avLst/>
                    </a:prstGeom>
                    <a:noFill/>
                  </pic:spPr>
                </pic:pic>
              </a:graphicData>
            </a:graphic>
          </wp:anchor>
        </w:drawing>
        <w:drawing>
          <wp:anchor simplePos="0" relativeHeight="251657728" behindDoc="1" locked="0" layoutInCell="0" allowOverlap="1">
            <wp:simplePos x="0" y="0"/>
            <wp:positionH relativeFrom="column">
              <wp:posOffset>-2249805</wp:posOffset>
            </wp:positionH>
            <wp:positionV relativeFrom="paragraph">
              <wp:posOffset>-1251585</wp:posOffset>
            </wp:positionV>
            <wp:extent cx="579755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97550" cy="146050"/>
                    </a:xfrm>
                    <a:prstGeom prst="rect">
                      <a:avLst/>
                    </a:prstGeom>
                    <a:noFill/>
                  </pic:spPr>
                </pic:pic>
              </a:graphicData>
            </a:graphic>
          </wp:anchor>
        </w:drawing>
        <w:drawing>
          <wp:anchor simplePos="0" relativeHeight="251657728" behindDoc="1" locked="0" layoutInCell="0" allowOverlap="1">
            <wp:simplePos x="0" y="0"/>
            <wp:positionH relativeFrom="column">
              <wp:posOffset>-2249805</wp:posOffset>
            </wp:positionH>
            <wp:positionV relativeFrom="paragraph">
              <wp:posOffset>-659765</wp:posOffset>
            </wp:positionV>
            <wp:extent cx="5797550" cy="2832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97550" cy="283210"/>
                    </a:xfrm>
                    <a:prstGeom prst="rect">
                      <a:avLst/>
                    </a:prstGeom>
                    <a:noFill/>
                  </pic:spPr>
                </pic:pic>
              </a:graphicData>
            </a:graphic>
          </wp:anchor>
        </w:drawing>
      </w:r>
    </w:p>
    <w:p>
      <w:pPr>
        <w:spacing w:after="0" w:line="336" w:lineRule="exact"/>
        <w:rPr>
          <w:sz w:val="20"/>
          <w:szCs w:val="20"/>
          <w:color w:val="auto"/>
        </w:rPr>
      </w:pPr>
    </w:p>
    <w:p>
      <w:pPr>
        <w:sectPr>
          <w:pgSz w:w="11900" w:h="16838" w:orient="portrait"/>
          <w:cols w:equalWidth="0" w:num="2">
            <w:col w:w="4440" w:space="260"/>
            <w:col w:w="6720"/>
          </w:cols>
          <w:pgMar w:left="240" w:top="121" w:right="239" w:bottom="1440" w:gutter="0" w:footer="0" w:header="0"/>
          <w:type w:val="continuous"/>
        </w:sectPr>
      </w:pPr>
    </w:p>
    <w:p>
      <w:pPr>
        <w:ind w:left="420" w:right="1360" w:hanging="412"/>
        <w:spacing w:after="0" w:line="277" w:lineRule="auto"/>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one or more fixed rate investments for which the Company entered into an interest rate swap agreement to swap to a floating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color w:val="auto"/>
        </w:rPr>
        <w:t>Conference Call and Webcast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Conference Call Information:</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 xml:space="preserve">The conference call will be broadcast live at 8:30 a.m. Eastern Time on November 8, 2017. </w:t>
      </w:r>
      <w:r>
        <w:rPr>
          <w:rFonts w:ascii="Arial" w:cs="Arial" w:eastAsia="Arial" w:hAnsi="Arial"/>
          <w:sz w:val="18"/>
          <w:szCs w:val="18"/>
          <w:b w:val="1"/>
          <w:bCs w:val="1"/>
          <w:i w:val="1"/>
          <w:iCs w:val="1"/>
          <w:color w:val="auto"/>
        </w:rPr>
        <w:t>Please visit TSLX’s webcast link located on the Events &amp;</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Presentation page of the Investor Resources section of TSLX’s website </w:t>
      </w:r>
      <w:r>
        <w:rPr>
          <w:rFonts w:ascii="Arial" w:cs="Arial" w:eastAsia="Arial" w:hAnsi="Arial"/>
          <w:sz w:val="18"/>
          <w:szCs w:val="18"/>
          <w:color w:val="auto"/>
        </w:rPr>
        <w:t>http://www.tpgspecialtylending.com</w:t>
      </w:r>
      <w:r>
        <w:rPr>
          <w:rFonts w:ascii="Arial" w:cs="Arial" w:eastAsia="Arial" w:hAnsi="Arial"/>
          <w:sz w:val="18"/>
          <w:szCs w:val="18"/>
          <w:b w:val="1"/>
          <w:bCs w:val="1"/>
          <w:i w:val="1"/>
          <w:iCs w:val="1"/>
          <w:color w:val="auto"/>
        </w:rPr>
        <w:t xml:space="preserve"> for a slide presentation that complements the Earnings Conference Call</w:t>
      </w:r>
      <w:r>
        <w:rPr>
          <w:rFonts w:ascii="Arial" w:cs="Arial" w:eastAsia="Arial" w:hAnsi="Arial"/>
          <w:sz w:val="18"/>
          <w:szCs w:val="18"/>
          <w:color w:val="auto"/>
        </w:rPr>
        <w:t>. Please visit the website to test your connection before the webcast.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Participants are also invited to access the conference call by dialing one of the following numbers: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Domestic: (877) 359-9508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+1 (253) 237-1122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83689623</w:t>
      </w:r>
    </w:p>
    <w:p>
      <w:pPr>
        <w:spacing w:after="0" w:line="21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All callers will need to enter the Conference ID followed by the # sign and reference “TPG Specialty Lending” once connected with the operator. All callers are asked to dial in 10-15 minutes prior to the call so that name and company information can be collected.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Replay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An archived replay will be available from approximately 12:00 p.m. Eastern Time on November 8 through November 15 via a webcast link located on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Investor Resources section of TSLX’s website, and via the dial-in numbers listed below: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Domestic: (855) 859-2056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+1 (404) 537-3406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83689623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For the three months ended September 30, 2017, gross originations totaled $501.2 million. This compares to $397.7 million for the three months ended June 30, 2017 and $318.1 million for the three months ended September 30, 2016.</w:t>
      </w:r>
    </w:p>
    <w:p>
      <w:pPr>
        <w:spacing w:after="0" w:line="170"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For the three months ended September 30, 2017, the Company made new investment commitments of $359.0 million in seven new portfolio companies and five existing portfolio companies. For this period, the Company had $330.9 million aggregate principal amount in exits and repayments.</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three months ended September 30, 2016, the Company made new investment commitments of $194.2 million in six new portfolio companies. For this period, the Company had $199.2 million aggregate principal amount in exits and repayments.</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of September 30, 2017 and June 30, 2017, the Company had investments in 44 and 46 portfolio companies, respectively, with an aggregate fair value of $1,550.3 million and $1,554.5 million, respectively.</w:t>
      </w:r>
    </w:p>
    <w:p>
      <w:pPr>
        <w:spacing w:after="0" w:line="170"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As of September 30, 2017, the portfolio based on fair value consisted of 93.2% first-lien debt investments, 4.0% second-lien debt investments, and 2.8% equity and other investments. As of December 31, 2016, the portfolio based on fair value consisted of 96.5% first-lien debt investments, 1.2% second-lien debt investments, 0.6% mezzanine and unsecured debt investments, and 1.7% equity and other investments.</w:t>
      </w:r>
    </w:p>
    <w:p>
      <w:pPr>
        <w:spacing w:after="0" w:line="16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of September 30, 2017, 100.0% of debt investments based on fair value in the portfolio bore interest at floating rates (when including investment specific hedges), with 92.4% of these subject to interest rate floors. The Company’s credit facilities also bear interest at floating rates. In connection with the Company’s Convertible Senior Notes, which bear interest at fixed rates, the Company entered into fixed-to-floating interest rate swaps in order to align the nature of the interest rates of its liabilities with its investment portfolio.</w:t>
      </w:r>
    </w:p>
    <w:p>
      <w:pPr>
        <w:spacing w:after="0" w:line="187"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As of September 30, 2017 and June 30, 2017, the weighted average total yield of debt and income-producing securities at fair value (which includes interest income and amortization of fees and discounts) was 10.7% and 10.7%, respectively, and the weighted average total yield of debt and income-producing securities at amortized cost (which includes interest income and amortization of fees and discounts) was 10.8% and 10.8%, respectively.</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5" w:right="27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As of September 30, 2017, 100% of the portfolio at fair value was meeting all payment and covenant requirements.</w:t>
      </w:r>
    </w:p>
    <w:p>
      <w:pPr>
        <w:spacing w:after="0" w:line="329" w:lineRule="exact"/>
        <w:rPr>
          <w:sz w:val="20"/>
          <w:szCs w:val="20"/>
          <w:color w:val="auto"/>
        </w:rPr>
      </w:pPr>
    </w:p>
    <w:p>
      <w:pPr>
        <w:ind w:right="1400"/>
        <w:spacing w:after="0" w:line="378" w:lineRule="auto"/>
        <w:rPr>
          <w:sz w:val="20"/>
          <w:szCs w:val="20"/>
          <w:color w:val="auto"/>
        </w:rPr>
      </w:pPr>
      <w:r>
        <w:rPr>
          <w:rFonts w:ascii="Arial" w:cs="Arial" w:eastAsia="Arial" w:hAnsi="Arial"/>
          <w:sz w:val="18"/>
          <w:szCs w:val="18"/>
          <w:b w:val="1"/>
          <w:bCs w:val="1"/>
          <w:color w:val="auto"/>
        </w:rPr>
        <w:t xml:space="preserve">Results of Operations for the Three Months Ended September 30, 2017 compared to the Three Months Ended September 30, 2016 </w:t>
      </w:r>
      <w:r>
        <w:rPr>
          <w:rFonts w:ascii="Arial" w:cs="Arial" w:eastAsia="Arial" w:hAnsi="Arial"/>
          <w:sz w:val="18"/>
          <w:szCs w:val="18"/>
          <w:b w:val="1"/>
          <w:bCs w:val="1"/>
          <w:i w:val="1"/>
          <w:iCs w:val="1"/>
          <w:color w:val="auto"/>
        </w:rPr>
        <w:t>Investment Income</w:t>
      </w:r>
    </w:p>
    <w:p>
      <w:pPr>
        <w:ind w:right="260"/>
        <w:spacing w:after="0" w:line="264" w:lineRule="auto"/>
        <w:rPr>
          <w:sz w:val="20"/>
          <w:szCs w:val="20"/>
          <w:color w:val="auto"/>
        </w:rPr>
      </w:pPr>
      <w:r>
        <w:rPr>
          <w:rFonts w:ascii="Arial" w:cs="Arial" w:eastAsia="Arial" w:hAnsi="Arial"/>
          <w:sz w:val="18"/>
          <w:szCs w:val="18"/>
          <w:color w:val="auto"/>
        </w:rPr>
        <w:t>For the three months ended September 30, 2017 and 2016, investment income totaled $52.3 million and $53.9 million, respectively. The decrease in investment income was primarily driven by a decrease in the average size of the investment portfolio and lower syndication and amendment fees, partially offset by higher prepayment fees and accelerated amortization of upfront fees from unscheduled paydowns.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Net expenses totaled $20.7 million and $22.6 million for the three months ended September 30, 2017 and 2016, respectively. This decrease was primarily due to lower interest expense and a decrease in professional fees.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As of September 30, 2017, the Company had $8.1 million in cash and cash equivalents, total principal value of debt outstanding of $578.9 million, and</w:t>
      </w:r>
    </w:p>
    <w:p>
      <w:pPr>
        <w:spacing w:after="0" w:line="35" w:lineRule="exact"/>
        <w:rPr>
          <w:sz w:val="20"/>
          <w:szCs w:val="20"/>
          <w:color w:val="auto"/>
        </w:rPr>
      </w:pPr>
    </w:p>
    <w:p>
      <w:pPr>
        <w:ind w:right="20"/>
        <w:spacing w:after="0" w:line="290" w:lineRule="auto"/>
        <w:rPr>
          <w:sz w:val="20"/>
          <w:szCs w:val="20"/>
          <w:color w:val="auto"/>
        </w:rPr>
      </w:pPr>
      <w:r>
        <w:rPr>
          <w:rFonts w:ascii="Arial" w:cs="Arial" w:eastAsia="Arial" w:hAnsi="Arial"/>
          <w:sz w:val="17"/>
          <w:szCs w:val="17"/>
          <w:color w:val="auto"/>
        </w:rPr>
        <w:t>$626.1 million of undrawn capacity on its revolving credit facility, subject to borrowing base and other limitations. The Company’s weighted average interest rate on debt outstanding was 2.7% and 2.7% for the three months ended September 30, 2017 and September 30, 2016,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rated BBB- with stable outlook by both Fitch Ratings and Standard and Poor’s.</w:t>
      </w: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Financial Statements and Tables</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860" w:type="dxa"/>
            <w:vAlign w:val="bottom"/>
            <w:tcBorders>
              <w:bottom w:val="single" w:sz="8" w:color="CFF0FC"/>
            </w:tcBorders>
          </w:tcPr>
          <w:p>
            <w:pPr>
              <w:spacing w:after="0"/>
              <w:rPr>
                <w:sz w:val="14"/>
                <w:szCs w:val="14"/>
                <w:color w:val="auto"/>
              </w:rPr>
            </w:pPr>
          </w:p>
        </w:tc>
        <w:tc>
          <w:tcPr>
            <w:tcW w:w="10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Non-controlled, non-affiliated investments (amortized cost of $1,386,657</w:t>
            </w: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and $1,567,673, respectively)</w:t>
            </w:r>
          </w:p>
        </w:tc>
        <w:tc>
          <w:tcPr>
            <w:tcW w:w="12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1,417,358</w:t>
            </w:r>
          </w:p>
        </w:tc>
        <w:tc>
          <w:tcPr>
            <w:tcW w:w="160" w:type="dxa"/>
            <w:vAlign w:val="bottom"/>
            <w:shd w:val="clear" w:color="auto" w:fill="CFF0FC"/>
          </w:tcPr>
          <w:p>
            <w:pPr>
              <w:spacing w:after="0"/>
              <w:rPr>
                <w:sz w:val="20"/>
                <w:szCs w:val="20"/>
                <w:color w:val="auto"/>
              </w:rPr>
            </w:pPr>
          </w:p>
        </w:tc>
        <w:tc>
          <w:tcPr>
            <w:tcW w:w="3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1,591,544</w:t>
            </w:r>
          </w:p>
        </w:tc>
        <w:tc>
          <w:tcPr>
            <w:tcW w:w="12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860" w:type="dxa"/>
            <w:vAlign w:val="bottom"/>
          </w:tcPr>
          <w:p>
            <w:pPr>
              <w:ind w:left="260"/>
              <w:spacing w:after="0"/>
              <w:rPr>
                <w:sz w:val="20"/>
                <w:szCs w:val="20"/>
                <w:color w:val="auto"/>
              </w:rPr>
            </w:pPr>
            <w:r>
              <w:rPr>
                <w:rFonts w:ascii="Arial" w:cs="Arial" w:eastAsia="Arial" w:hAnsi="Arial"/>
                <w:sz w:val="18"/>
                <w:szCs w:val="18"/>
                <w:color w:val="auto"/>
              </w:rPr>
              <w:t>Controlled, affiliated investments (amortized cost of $158,460 and $100,014,</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6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respectively)</w:t>
            </w:r>
          </w:p>
        </w:tc>
        <w:tc>
          <w:tcPr>
            <w:tcW w:w="100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132,922</w:t>
            </w:r>
          </w:p>
        </w:tc>
        <w:tc>
          <w:tcPr>
            <w:tcW w:w="16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65,859</w:t>
            </w:r>
          </w:p>
        </w:tc>
        <w:tc>
          <w:tcPr>
            <w:tcW w:w="12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Total investments at fair value (amortized cost of $1,545,117 and $1,667,687,</w:t>
            </w: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respectively)</w:t>
            </w:r>
          </w:p>
        </w:tc>
        <w:tc>
          <w:tcPr>
            <w:tcW w:w="10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1,550,280</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1,657,403</w:t>
            </w:r>
          </w:p>
        </w:tc>
        <w:tc>
          <w:tcPr>
            <w:tcW w:w="12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Cash and cash equivalents (restricted cash of $2,647 and $1,088, respectively)</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8,118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5,954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Interest receivable</w:t>
            </w: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7,918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9,678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Receivable for interest rate swaps</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674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 and other assets</w:t>
            </w:r>
          </w:p>
        </w:tc>
        <w:tc>
          <w:tcPr>
            <w:tcW w:w="10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14,076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86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Assets</w:t>
            </w:r>
          </w:p>
        </w:tc>
        <w:tc>
          <w:tcPr>
            <w:tcW w:w="100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1,581,066</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1,675,532</w:t>
            </w:r>
          </w:p>
        </w:tc>
        <w:tc>
          <w:tcPr>
            <w:tcW w:w="12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Debt (net of deferred financing costs of $12,587 and $11,019, respectively)</w:t>
            </w:r>
          </w:p>
        </w:tc>
        <w:tc>
          <w:tcPr>
            <w:tcW w:w="12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564,558</w:t>
            </w:r>
          </w:p>
        </w:tc>
        <w:tc>
          <w:tcPr>
            <w:tcW w:w="160" w:type="dxa"/>
            <w:vAlign w:val="bottom"/>
          </w:tcPr>
          <w:p>
            <w:pPr>
              <w:spacing w:after="0"/>
              <w:rPr>
                <w:sz w:val="19"/>
                <w:szCs w:val="19"/>
                <w:color w:val="auto"/>
              </w:rPr>
            </w:pP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680,709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Management fees payable to affiliate</w:t>
            </w: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5,995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6,269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Incentive fees payable to affiliate</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6,561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5,889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Dividends payable</w:t>
            </w: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23,428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23,289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Other payables to affiliate</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3,572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1,555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10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10,209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5,609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Liabilities</w:t>
            </w:r>
          </w:p>
        </w:tc>
        <w:tc>
          <w:tcPr>
            <w:tcW w:w="10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614,323</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723,320</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b w:val="1"/>
                <w:bCs w:val="1"/>
                <w:color w:val="auto"/>
              </w:rPr>
              <w:t>Net Assets</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Preferred stock, $0.01 par value; 100,000,000 shares authorized; no shares issued</w:t>
            </w: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outstanding</w:t>
            </w:r>
          </w:p>
        </w:tc>
        <w:tc>
          <w:tcPr>
            <w:tcW w:w="10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860" w:type="dxa"/>
            <w:vAlign w:val="bottom"/>
          </w:tcPr>
          <w:p>
            <w:pPr>
              <w:spacing w:after="0"/>
              <w:rPr>
                <w:sz w:val="20"/>
                <w:szCs w:val="20"/>
                <w:color w:val="auto"/>
              </w:rPr>
            </w:pPr>
            <w:r>
              <w:rPr>
                <w:rFonts w:ascii="Arial" w:cs="Arial" w:eastAsia="Arial" w:hAnsi="Arial"/>
                <w:sz w:val="18"/>
                <w:szCs w:val="18"/>
                <w:color w:val="auto"/>
              </w:rPr>
              <w:t>Common stock, $0.01 par value; 400,000,000 shares authorized, 60,188,435 and</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140"/>
              <w:spacing w:after="0"/>
              <w:rPr>
                <w:sz w:val="20"/>
                <w:szCs w:val="20"/>
                <w:color w:val="auto"/>
              </w:rPr>
            </w:pPr>
            <w:r>
              <w:rPr>
                <w:rFonts w:ascii="Arial" w:cs="Arial" w:eastAsia="Arial" w:hAnsi="Arial"/>
                <w:sz w:val="18"/>
                <w:szCs w:val="18"/>
                <w:color w:val="auto"/>
              </w:rPr>
              <w:t>59,805,285 shares issued, respectively; and 60,099,355 and 59,716,205 shares</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60" w:type="dxa"/>
            <w:vAlign w:val="bottom"/>
          </w:tcPr>
          <w:p>
            <w:pPr>
              <w:ind w:left="140"/>
              <w:spacing w:after="0"/>
              <w:rPr>
                <w:sz w:val="20"/>
                <w:szCs w:val="20"/>
                <w:color w:val="auto"/>
              </w:rPr>
            </w:pPr>
            <w:r>
              <w:rPr>
                <w:rFonts w:ascii="Arial" w:cs="Arial" w:eastAsia="Arial" w:hAnsi="Arial"/>
                <w:sz w:val="18"/>
                <w:szCs w:val="18"/>
                <w:color w:val="auto"/>
              </w:rPr>
              <w:t>outstanding, respectively</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602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598</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paid-in capital</w:t>
            </w: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905,725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898,868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Treasury stock at cost; 89,080 and 89,080 shares held, respectively</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(1,359)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(1,359)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Undistributed net investment income</w:t>
            </w: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58,866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50,142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Net unrealized gains</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7,116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1,422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Undistributed net realized gains (losses)</w:t>
            </w: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(4,207)</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Net Assets</w:t>
            </w:r>
          </w:p>
        </w:tc>
        <w:tc>
          <w:tcPr>
            <w:tcW w:w="100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966,743</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952,212</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Total Liabilities and Net Assets</w:t>
            </w:r>
          </w:p>
        </w:tc>
        <w:tc>
          <w:tcPr>
            <w:tcW w:w="10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1,581,066</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1,675,532</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vMerge w:val="restart"/>
          </w:tcPr>
          <w:p>
            <w:pPr>
              <w:ind w:left="500"/>
              <w:spacing w:after="0"/>
              <w:rPr>
                <w:sz w:val="20"/>
                <w:szCs w:val="20"/>
                <w:color w:val="auto"/>
              </w:rPr>
            </w:pPr>
            <w:r>
              <w:rPr>
                <w:rFonts w:ascii="Arial" w:cs="Arial" w:eastAsia="Arial" w:hAnsi="Arial"/>
                <w:sz w:val="18"/>
                <w:szCs w:val="18"/>
                <w:b w:val="1"/>
                <w:bCs w:val="1"/>
                <w:color w:val="auto"/>
              </w:rPr>
              <w:t>Net Asset Value Per Share</w:t>
            </w:r>
          </w:p>
        </w:tc>
        <w:tc>
          <w:tcPr>
            <w:tcW w:w="122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6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vMerge w:val="restart"/>
          </w:tcPr>
          <w:p>
            <w:pPr>
              <w:ind w:left="5660"/>
              <w:spacing w:after="0"/>
              <w:rPr>
                <w:sz w:val="20"/>
                <w:szCs w:val="20"/>
                <w:color w:val="auto"/>
              </w:rPr>
            </w:pPr>
            <w:r>
              <w:rPr>
                <w:rFonts w:ascii="Arial" w:cs="Arial" w:eastAsia="Arial" w:hAnsi="Arial"/>
                <w:sz w:val="18"/>
                <w:szCs w:val="18"/>
                <w:color w:val="auto"/>
              </w:rPr>
              <w:t>4</w:t>
            </w:r>
          </w:p>
        </w:tc>
        <w:tc>
          <w:tcPr>
            <w:tcW w:w="1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686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8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0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14"/>
                <w:szCs w:val="14"/>
                <w:color w:val="auto"/>
              </w:rPr>
            </w:pPr>
          </w:p>
        </w:tc>
      </w:tr>
      <w:tr>
        <w:trPr>
          <w:trHeight w:val="149"/>
        </w:trPr>
        <w:tc>
          <w:tcPr>
            <w:tcW w:w="5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2"/>
                <w:szCs w:val="12"/>
                <w:color w:val="auto"/>
              </w:rPr>
            </w:pPr>
          </w:p>
        </w:tc>
        <w:tc>
          <w:tcPr>
            <w:tcW w:w="130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12"/>
                <w:szCs w:val="12"/>
                <w:color w:val="auto"/>
              </w:rPr>
            </w:pPr>
          </w:p>
        </w:tc>
      </w:tr>
      <w:tr>
        <w:trPr>
          <w:trHeight w:val="171"/>
        </w:trPr>
        <w:tc>
          <w:tcPr>
            <w:tcW w:w="5520" w:type="dxa"/>
            <w:vAlign w:val="bottom"/>
            <w:tcBorders>
              <w:bottom w:val="single" w:sz="8" w:color="CFF0FC"/>
            </w:tcBorders>
          </w:tcPr>
          <w:p>
            <w:pPr>
              <w:spacing w:after="0"/>
              <w:rPr>
                <w:sz w:val="14"/>
                <w:szCs w:val="14"/>
                <w:color w:val="auto"/>
              </w:rPr>
            </w:pPr>
          </w:p>
        </w:tc>
        <w:tc>
          <w:tcPr>
            <w:tcW w:w="3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r>
      <w:tr>
        <w:trPr>
          <w:trHeight w:val="223"/>
        </w:trPr>
        <w:tc>
          <w:tcPr>
            <w:tcW w:w="5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Income</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Investment income from non-controlled, non-affiliated investments: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from investments</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45,354</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44,088</w:t>
            </w:r>
          </w:p>
        </w:tc>
        <w:tc>
          <w:tcPr>
            <w:tcW w:w="1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148,023</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124,931</w:t>
            </w:r>
          </w:p>
        </w:tc>
        <w:tc>
          <w:tcPr>
            <w:tcW w:w="2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520" w:type="dxa"/>
            <w:vAlign w:val="bottom"/>
          </w:tcPr>
          <w:p>
            <w:pPr>
              <w:ind w:left="260"/>
              <w:spacing w:after="0"/>
              <w:rPr>
                <w:sz w:val="20"/>
                <w:szCs w:val="20"/>
                <w:color w:val="auto"/>
              </w:rPr>
            </w:pPr>
            <w:r>
              <w:rPr>
                <w:rFonts w:ascii="Arial" w:cs="Arial" w:eastAsia="Arial" w:hAnsi="Arial"/>
                <w:sz w:val="18"/>
                <w:szCs w:val="18"/>
                <w:color w:val="auto"/>
              </w:rPr>
              <w:t>Dividend income</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1,421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w:t>
            </w:r>
          </w:p>
        </w:tc>
        <w:tc>
          <w:tcPr>
            <w:tcW w:w="3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6,767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7,982</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8,909</w:t>
            </w:r>
          </w:p>
        </w:tc>
        <w:tc>
          <w:tcPr>
            <w:tcW w:w="2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9"/>
        </w:trPr>
        <w:tc>
          <w:tcPr>
            <w:tcW w:w="5520" w:type="dxa"/>
            <w:vAlign w:val="bottom"/>
          </w:tcPr>
          <w:p>
            <w:pPr>
              <w:ind w:left="500"/>
              <w:spacing w:after="0"/>
              <w:rPr>
                <w:sz w:val="20"/>
                <w:szCs w:val="20"/>
                <w:color w:val="auto"/>
              </w:rPr>
            </w:pPr>
            <w:r>
              <w:rPr>
                <w:rFonts w:ascii="Arial" w:cs="Arial" w:eastAsia="Arial" w:hAnsi="Arial"/>
                <w:sz w:val="18"/>
                <w:szCs w:val="18"/>
                <w:color w:val="auto"/>
              </w:rPr>
              <w:t>Total investment income from non-controlled, non-affiliated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5520" w:type="dxa"/>
            <w:vAlign w:val="bottom"/>
          </w:tcPr>
          <w:p>
            <w:pPr>
              <w:ind w:left="500"/>
              <w:spacing w:after="0"/>
              <w:rPr>
                <w:sz w:val="20"/>
                <w:szCs w:val="20"/>
                <w:color w:val="auto"/>
              </w:rPr>
            </w:pPr>
            <w:r>
              <w:rPr>
                <w:rFonts w:ascii="Arial" w:cs="Arial" w:eastAsia="Arial" w:hAnsi="Arial"/>
                <w:sz w:val="18"/>
                <w:szCs w:val="18"/>
                <w:color w:val="auto"/>
              </w:rPr>
              <w:t>investments</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48,856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51,329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156,005</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135,261</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Investment income from controlled, affiliated investments:</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520" w:type="dxa"/>
            <w:vAlign w:val="bottom"/>
          </w:tcPr>
          <w:p>
            <w:pPr>
              <w:ind w:left="260"/>
              <w:spacing w:after="0"/>
              <w:rPr>
                <w:sz w:val="20"/>
                <w:szCs w:val="20"/>
                <w:color w:val="auto"/>
              </w:rPr>
            </w:pPr>
            <w:r>
              <w:rPr>
                <w:rFonts w:ascii="Arial" w:cs="Arial" w:eastAsia="Arial" w:hAnsi="Arial"/>
                <w:sz w:val="18"/>
                <w:szCs w:val="18"/>
                <w:color w:val="auto"/>
              </w:rPr>
              <w:t>Interest from investments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3,398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2,537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5,914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7,288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w:t>
            </w:r>
          </w:p>
        </w:tc>
        <w:tc>
          <w:tcPr>
            <w:tcW w:w="3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2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5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investment income from controlled, affiliated investments</w:t>
            </w:r>
          </w:p>
        </w:tc>
        <w:tc>
          <w:tcPr>
            <w:tcW w:w="3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3,449</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2,588</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6,067</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7,440</w:t>
            </w:r>
          </w:p>
        </w:tc>
        <w:tc>
          <w:tcPr>
            <w:tcW w:w="26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520" w:type="dxa"/>
            <w:vAlign w:val="bottom"/>
            <w:shd w:val="clear" w:color="auto" w:fill="CFF0FC"/>
          </w:tcPr>
          <w:p>
            <w:pPr>
              <w:ind w:left="740"/>
              <w:spacing w:after="0"/>
              <w:rPr>
                <w:sz w:val="20"/>
                <w:szCs w:val="20"/>
                <w:color w:val="auto"/>
              </w:rPr>
            </w:pPr>
            <w:r>
              <w:rPr>
                <w:rFonts w:ascii="Arial" w:cs="Arial" w:eastAsia="Arial" w:hAnsi="Arial"/>
                <w:sz w:val="18"/>
                <w:szCs w:val="18"/>
                <w:b w:val="1"/>
                <w:bCs w:val="1"/>
                <w:color w:val="auto"/>
              </w:rPr>
              <w:t>Total Investment Income</w:t>
            </w:r>
          </w:p>
        </w:tc>
        <w:tc>
          <w:tcPr>
            <w:tcW w:w="3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52,305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53,917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162,072</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142,701</w:t>
            </w:r>
          </w:p>
        </w:tc>
        <w:tc>
          <w:tcPr>
            <w:tcW w:w="2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52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Interest</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6,102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20,017</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17,029</w:t>
            </w:r>
          </w:p>
        </w:tc>
        <w:tc>
          <w:tcPr>
            <w:tcW w:w="2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Management fees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5,995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6,212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18,043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17,953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Incentive fees</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6,561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19,808</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16,761</w:t>
            </w:r>
          </w:p>
        </w:tc>
        <w:tc>
          <w:tcPr>
            <w:tcW w:w="2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Professional fees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1,211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3,029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4,268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6,923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Directors’ fees</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2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general and administrative</w:t>
            </w:r>
          </w:p>
        </w:tc>
        <w:tc>
          <w:tcPr>
            <w:tcW w:w="3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1,371</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3,984</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3,211</w:t>
            </w:r>
          </w:p>
        </w:tc>
        <w:tc>
          <w:tcPr>
            <w:tcW w:w="26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5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expenses</w:t>
            </w:r>
          </w:p>
        </w:tc>
        <w:tc>
          <w:tcPr>
            <w:tcW w:w="3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20,736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22,805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66,422</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62,167</w:t>
            </w:r>
          </w:p>
        </w:tc>
        <w:tc>
          <w:tcPr>
            <w:tcW w:w="2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Management and incentive fees waived</w:t>
            </w:r>
          </w:p>
        </w:tc>
        <w:tc>
          <w:tcPr>
            <w:tcW w:w="3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26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520" w:type="dxa"/>
            <w:vAlign w:val="bottom"/>
            <w:shd w:val="clear" w:color="auto" w:fill="CFF0FC"/>
          </w:tcPr>
          <w:p>
            <w:pPr>
              <w:ind w:left="740"/>
              <w:spacing w:after="0"/>
              <w:rPr>
                <w:sz w:val="20"/>
                <w:szCs w:val="20"/>
                <w:color w:val="auto"/>
              </w:rPr>
            </w:pPr>
            <w:r>
              <w:rPr>
                <w:rFonts w:ascii="Arial" w:cs="Arial" w:eastAsia="Arial" w:hAnsi="Arial"/>
                <w:sz w:val="18"/>
                <w:szCs w:val="18"/>
                <w:b w:val="1"/>
                <w:bCs w:val="1"/>
                <w:color w:val="auto"/>
              </w:rPr>
              <w:t>Net Expenses</w:t>
            </w:r>
          </w:p>
        </w:tc>
        <w:tc>
          <w:tcPr>
            <w:tcW w:w="3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20,736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22,656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66,422</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61,821</w:t>
            </w:r>
          </w:p>
        </w:tc>
        <w:tc>
          <w:tcPr>
            <w:tcW w:w="2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520" w:type="dxa"/>
            <w:vAlign w:val="bottom"/>
          </w:tcPr>
          <w:p>
            <w:pPr>
              <w:spacing w:after="0"/>
              <w:rPr>
                <w:sz w:val="20"/>
                <w:szCs w:val="20"/>
                <w:color w:val="auto"/>
              </w:rPr>
            </w:pPr>
            <w:r>
              <w:rPr>
                <w:rFonts w:ascii="Arial" w:cs="Arial" w:eastAsia="Arial" w:hAnsi="Arial"/>
                <w:sz w:val="18"/>
                <w:szCs w:val="18"/>
                <w:b w:val="1"/>
                <w:bCs w:val="1"/>
                <w:color w:val="auto"/>
              </w:rPr>
              <w:t>Net Investment Income Before Income Taxes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31,569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31,261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95,650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80,880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Income taxes, including excise taxes</w:t>
            </w:r>
          </w:p>
        </w:tc>
        <w:tc>
          <w:tcPr>
            <w:tcW w:w="3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2,270</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1,615</w:t>
            </w:r>
          </w:p>
        </w:tc>
        <w:tc>
          <w:tcPr>
            <w:tcW w:w="2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520" w:type="dxa"/>
            <w:vAlign w:val="bottom"/>
          </w:tcPr>
          <w:p>
            <w:pPr>
              <w:spacing w:after="0"/>
              <w:rPr>
                <w:sz w:val="20"/>
                <w:szCs w:val="20"/>
                <w:color w:val="auto"/>
              </w:rPr>
            </w:pPr>
            <w:r>
              <w:rPr>
                <w:rFonts w:ascii="Arial" w:cs="Arial" w:eastAsia="Arial" w:hAnsi="Arial"/>
                <w:sz w:val="18"/>
                <w:szCs w:val="18"/>
                <w:b w:val="1"/>
                <w:bCs w:val="1"/>
                <w:color w:val="auto"/>
              </w:rPr>
              <w:t>Net Investment Income</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30,929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30,571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93,380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79,265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Unrealized and Realized Gains (Losses)</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Net change in unrealized gains (losses):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Non-controlled, non-affiliated investments</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(564)</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13,660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6,831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28,657</w:t>
            </w:r>
          </w:p>
        </w:tc>
        <w:tc>
          <w:tcPr>
            <w:tcW w:w="2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520" w:type="dxa"/>
            <w:vAlign w:val="bottom"/>
          </w:tcPr>
          <w:p>
            <w:pPr>
              <w:ind w:left="260"/>
              <w:spacing w:after="0"/>
              <w:rPr>
                <w:sz w:val="20"/>
                <w:szCs w:val="20"/>
                <w:color w:val="auto"/>
              </w:rPr>
            </w:pPr>
            <w:r>
              <w:rPr>
                <w:rFonts w:ascii="Arial" w:cs="Arial" w:eastAsia="Arial" w:hAnsi="Arial"/>
                <w:sz w:val="18"/>
                <w:szCs w:val="18"/>
                <w:color w:val="auto"/>
              </w:rPr>
              <w:t>Controlled, affiliated investments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(4,680)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(6,898)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8,617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(7,048)</w:t>
            </w:r>
          </w:p>
        </w:tc>
        <w:tc>
          <w:tcPr>
            <w:tcW w:w="20" w:type="dxa"/>
            <w:vAlign w:val="bottom"/>
          </w:tcPr>
          <w:p>
            <w:pPr>
              <w:spacing w:after="0"/>
              <w:rPr>
                <w:sz w:val="19"/>
                <w:szCs w:val="19"/>
                <w:color w:val="auto"/>
              </w:rPr>
            </w:pPr>
          </w:p>
        </w:tc>
      </w:tr>
      <w:tr>
        <w:trPr>
          <w:trHeight w:val="230"/>
        </w:trPr>
        <w:tc>
          <w:tcPr>
            <w:tcW w:w="5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Translation of other assets and liabilities in foreign currencies</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(1,701)</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(1,367)</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(10,359)</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w:t>
            </w:r>
          </w:p>
        </w:tc>
        <w:tc>
          <w:tcPr>
            <w:tcW w:w="2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520" w:type="dxa"/>
            <w:vAlign w:val="bottom"/>
          </w:tcPr>
          <w:p>
            <w:pPr>
              <w:ind w:left="260"/>
              <w:spacing w:after="0"/>
              <w:rPr>
                <w:sz w:val="20"/>
                <w:szCs w:val="20"/>
                <w:color w:val="auto"/>
              </w:rPr>
            </w:pPr>
            <w:r>
              <w:rPr>
                <w:rFonts w:ascii="Arial" w:cs="Arial" w:eastAsia="Arial" w:hAnsi="Arial"/>
                <w:sz w:val="18"/>
                <w:szCs w:val="18"/>
                <w:color w:val="auto"/>
              </w:rPr>
              <w:t>Interest rate swaps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(1,682)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1,103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52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net change in unrealized gains (losses)</w:t>
            </w:r>
          </w:p>
        </w:tc>
        <w:tc>
          <w:tcPr>
            <w:tcW w:w="3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(8,627)</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4,933</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5,694</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23,148</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520" w:type="dxa"/>
            <w:vAlign w:val="bottom"/>
          </w:tcPr>
          <w:p>
            <w:pPr>
              <w:spacing w:after="0"/>
              <w:rPr>
                <w:sz w:val="20"/>
                <w:szCs w:val="20"/>
                <w:color w:val="auto"/>
              </w:rPr>
            </w:pPr>
            <w:r>
              <w:rPr>
                <w:rFonts w:ascii="Arial" w:cs="Arial" w:eastAsia="Arial" w:hAnsi="Arial"/>
                <w:sz w:val="18"/>
                <w:szCs w:val="18"/>
                <w:color w:val="auto"/>
              </w:rPr>
              <w:t>Realized gains (losses):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Non-controlled, non-affiliated investments</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7,008</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1,920</w:t>
            </w:r>
          </w:p>
        </w:tc>
        <w:tc>
          <w:tcPr>
            <w:tcW w:w="2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520" w:type="dxa"/>
            <w:vAlign w:val="bottom"/>
          </w:tcPr>
          <w:p>
            <w:pPr>
              <w:ind w:left="260"/>
              <w:spacing w:after="0"/>
              <w:rPr>
                <w:sz w:val="20"/>
                <w:szCs w:val="20"/>
                <w:color w:val="auto"/>
              </w:rPr>
            </w:pPr>
            <w:r>
              <w:rPr>
                <w:rFonts w:ascii="Arial" w:cs="Arial" w:eastAsia="Arial" w:hAnsi="Arial"/>
                <w:sz w:val="18"/>
                <w:szCs w:val="18"/>
                <w:color w:val="auto"/>
              </w:rPr>
              <w:t>Controlled, affiliated investments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(21,776)</w:t>
            </w:r>
          </w:p>
        </w:tc>
        <w:tc>
          <w:tcPr>
            <w:tcW w:w="120" w:type="dxa"/>
            <w:vAlign w:val="bottom"/>
          </w:tcPr>
          <w:p>
            <w:pPr>
              <w:spacing w:after="0"/>
              <w:rPr>
                <w:sz w:val="19"/>
                <w:szCs w:val="19"/>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5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transactions</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9"/>
                <w:szCs w:val="19"/>
                <w:color w:val="auto"/>
              </w:rPr>
            </w:pPr>
          </w:p>
        </w:tc>
      </w:tr>
      <w:tr>
        <w:trPr>
          <w:trHeight w:val="223"/>
        </w:trPr>
        <w:tc>
          <w:tcPr>
            <w:tcW w:w="552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realized gains (losses)</w:t>
            </w:r>
          </w:p>
        </w:tc>
        <w:tc>
          <w:tcPr>
            <w:tcW w:w="32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2,457</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1,371</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(14,211)</w:t>
            </w:r>
          </w:p>
        </w:tc>
        <w:tc>
          <w:tcPr>
            <w:tcW w:w="24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1,871</w:t>
            </w:r>
          </w:p>
        </w:tc>
        <w:tc>
          <w:tcPr>
            <w:tcW w:w="26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520" w:type="dxa"/>
            <w:vAlign w:val="bottom"/>
            <w:shd w:val="clear" w:color="auto" w:fill="CFF0FC"/>
          </w:tcPr>
          <w:p>
            <w:pPr>
              <w:ind w:left="1000"/>
              <w:spacing w:after="0"/>
              <w:rPr>
                <w:sz w:val="20"/>
                <w:szCs w:val="20"/>
                <w:color w:val="auto"/>
              </w:rPr>
            </w:pPr>
            <w:r>
              <w:rPr>
                <w:rFonts w:ascii="Arial" w:cs="Arial" w:eastAsia="Arial" w:hAnsi="Arial"/>
                <w:sz w:val="18"/>
                <w:szCs w:val="18"/>
                <w:b w:val="1"/>
                <w:bCs w:val="1"/>
                <w:color w:val="auto"/>
              </w:rPr>
              <w:t>Total Unrealized and Realized Gains (Losses)</w:t>
            </w:r>
          </w:p>
        </w:tc>
        <w:tc>
          <w:tcPr>
            <w:tcW w:w="3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(6,170)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6,304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(8,517)</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25,019</w:t>
            </w:r>
          </w:p>
        </w:tc>
        <w:tc>
          <w:tcPr>
            <w:tcW w:w="2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63"/>
        </w:trPr>
        <w:tc>
          <w:tcPr>
            <w:tcW w:w="5520" w:type="dxa"/>
            <w:vAlign w:val="bottom"/>
            <w:tcBorders>
              <w:bottom w:val="single" w:sz="8" w:color="CFF0FC"/>
            </w:tcBorders>
          </w:tcPr>
          <w:p>
            <w:pPr>
              <w:ind w:left="1000"/>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32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24,759</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36,875</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84,863</w:t>
            </w:r>
          </w:p>
        </w:tc>
        <w:tc>
          <w:tcPr>
            <w:tcW w:w="24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104,284</w:t>
            </w:r>
          </w:p>
        </w:tc>
        <w:tc>
          <w:tcPr>
            <w:tcW w:w="26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r>
      <w:tr>
        <w:trPr>
          <w:trHeight w:val="21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Earnings per common share—basic and diluted</w:t>
            </w:r>
          </w:p>
        </w:tc>
        <w:tc>
          <w:tcPr>
            <w:tcW w:w="3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0.41</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24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26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5520" w:type="dxa"/>
            <w:vAlign w:val="bottom"/>
          </w:tcPr>
          <w:p>
            <w:pPr>
              <w:spacing w:after="0"/>
              <w:rPr>
                <w:sz w:val="20"/>
                <w:szCs w:val="20"/>
                <w:color w:val="auto"/>
              </w:rPr>
            </w:pPr>
            <w:r>
              <w:rPr>
                <w:rFonts w:ascii="Arial" w:cs="Arial" w:eastAsia="Arial" w:hAnsi="Arial"/>
                <w:sz w:val="18"/>
                <w:szCs w:val="18"/>
                <w:color w:val="auto"/>
                <w:w w:val="92"/>
              </w:rPr>
              <w:t>Weighted average shares of common stock outstanding—basic and diluted</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60,057,567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59,523,695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59,923,323</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58,229,549</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574"/>
        </w:trPr>
        <w:tc>
          <w:tcPr>
            <w:tcW w:w="552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55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8" w:name="page9"/>
    <w:bookmarkEnd w:id="8"/>
    <w:p>
      <w:pPr>
        <w:ind w:right="80"/>
        <w:spacing w:after="0" w:line="277" w:lineRule="auto"/>
        <w:rPr>
          <w:sz w:val="20"/>
          <w:szCs w:val="20"/>
          <w:color w:val="auto"/>
        </w:rPr>
      </w:pPr>
      <w:r>
        <w:rPr>
          <w:rFonts w:ascii="Arial" w:cs="Arial" w:eastAsia="Arial" w:hAnsi="Arial"/>
          <w:sz w:val="18"/>
          <w:szCs w:val="18"/>
          <w:color w:val="auto"/>
        </w:rPr>
        <w:t>The Company’s investment activity for the three months ended September 30, 2017 and 2016 is presented below (information presented herein is at par value unless otherwise indicated).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2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3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520" w:type="dxa"/>
            <w:vAlign w:val="bottom"/>
            <w:gridSpan w:val="5"/>
          </w:tcPr>
          <w:p>
            <w:pPr>
              <w:jc w:val="right"/>
              <w:ind w:right="128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720" w:type="dxa"/>
            <w:vAlign w:val="bottom"/>
            <w:vMerge w:val="continue"/>
          </w:tcPr>
          <w:p>
            <w:pPr>
              <w:spacing w:after="0"/>
              <w:rPr>
                <w:sz w:val="13"/>
                <w:szCs w:val="13"/>
                <w:color w:val="auto"/>
              </w:rPr>
            </w:pPr>
          </w:p>
        </w:tc>
        <w:tc>
          <w:tcPr>
            <w:tcW w:w="30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780" w:type="dxa"/>
            <w:vAlign w:val="bottom"/>
            <w:tcBorders>
              <w:top w:val="single" w:sz="8" w:color="auto"/>
            </w:tcBorders>
            <w:gridSpan w:val="2"/>
          </w:tcPr>
          <w:p>
            <w:pPr>
              <w:jc w:val="right"/>
              <w:ind w:right="540"/>
              <w:spacing w:after="0" w:line="155" w:lineRule="exact"/>
              <w:rPr>
                <w:sz w:val="20"/>
                <w:szCs w:val="20"/>
                <w:color w:val="auto"/>
              </w:rPr>
            </w:pPr>
            <w:r>
              <w:rPr>
                <w:rFonts w:ascii="Arial" w:cs="Arial" w:eastAsia="Arial" w:hAnsi="Arial"/>
                <w:sz w:val="14"/>
                <w:szCs w:val="14"/>
                <w:b w:val="1"/>
                <w:bCs w:val="1"/>
                <w:color w:val="auto"/>
                <w:w w:val="93"/>
              </w:rPr>
              <w:t>September 30, 2017</w:t>
            </w:r>
          </w:p>
        </w:tc>
        <w:tc>
          <w:tcPr>
            <w:tcW w:w="14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right"/>
              <w:ind w:right="91"/>
              <w:spacing w:after="0" w:line="155" w:lineRule="exact"/>
              <w:rPr>
                <w:sz w:val="20"/>
                <w:szCs w:val="20"/>
                <w:color w:val="auto"/>
              </w:rPr>
            </w:pPr>
            <w:r>
              <w:rPr>
                <w:rFonts w:ascii="Arial" w:cs="Arial" w:eastAsia="Arial" w:hAnsi="Arial"/>
                <w:sz w:val="14"/>
                <w:szCs w:val="14"/>
                <w:b w:val="1"/>
                <w:bCs w:val="1"/>
                <w:color w:val="auto"/>
                <w:w w:val="93"/>
              </w:rPr>
              <w:t>September 30, 2016</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New investment commitments:</w:t>
            </w:r>
          </w:p>
        </w:tc>
        <w:tc>
          <w:tcPr>
            <w:tcW w:w="30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260"/>
              <w:spacing w:after="0"/>
              <w:rPr>
                <w:sz w:val="20"/>
                <w:szCs w:val="20"/>
                <w:color w:val="auto"/>
              </w:rPr>
            </w:pPr>
            <w:r>
              <w:rPr>
                <w:rFonts w:ascii="Arial" w:cs="Arial" w:eastAsia="Arial" w:hAnsi="Arial"/>
                <w:sz w:val="18"/>
                <w:szCs w:val="18"/>
                <w:color w:val="auto"/>
              </w:rPr>
              <w:t>Gross originations</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501.2</w:t>
            </w:r>
          </w:p>
        </w:tc>
        <w:tc>
          <w:tcPr>
            <w:tcW w:w="3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318.1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Syndications/sell downs</w:t>
            </w:r>
          </w:p>
        </w:tc>
        <w:tc>
          <w:tcPr>
            <w:tcW w:w="30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142.2</w:t>
            </w:r>
          </w:p>
        </w:tc>
        <w:tc>
          <w:tcPr>
            <w:tcW w:w="3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123.9</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tcPr>
          <w:p>
            <w:pPr>
              <w:ind w:left="500"/>
              <w:spacing w:after="0"/>
              <w:rPr>
                <w:sz w:val="20"/>
                <w:szCs w:val="20"/>
                <w:color w:val="auto"/>
              </w:rPr>
            </w:pPr>
            <w:r>
              <w:rPr>
                <w:rFonts w:ascii="Arial" w:cs="Arial" w:eastAsia="Arial" w:hAnsi="Arial"/>
                <w:sz w:val="18"/>
                <w:szCs w:val="18"/>
                <w:color w:val="auto"/>
              </w:rPr>
              <w:t>Total new investment commitments</w:t>
            </w:r>
          </w:p>
        </w:tc>
        <w:tc>
          <w:tcPr>
            <w:tcW w:w="30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359.0</w:t>
            </w:r>
          </w:p>
        </w:tc>
        <w:tc>
          <w:tcPr>
            <w:tcW w:w="3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194.2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Principal amount of investments funded:</w:t>
            </w:r>
          </w:p>
        </w:tc>
        <w:tc>
          <w:tcPr>
            <w:tcW w:w="3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260"/>
              <w:spacing w:after="0"/>
              <w:rPr>
                <w:sz w:val="20"/>
                <w:szCs w:val="20"/>
                <w:color w:val="auto"/>
              </w:rPr>
            </w:pPr>
            <w:r>
              <w:rPr>
                <w:rFonts w:ascii="Arial" w:cs="Arial" w:eastAsia="Arial" w:hAnsi="Arial"/>
                <w:sz w:val="18"/>
                <w:szCs w:val="18"/>
                <w:color w:val="auto"/>
              </w:rPr>
              <w:t>First-lien</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325.4</w:t>
            </w:r>
          </w:p>
        </w:tc>
        <w:tc>
          <w:tcPr>
            <w:tcW w:w="3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190.4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Second-lien</w:t>
            </w:r>
          </w:p>
        </w:tc>
        <w:tc>
          <w:tcPr>
            <w:tcW w:w="3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260"/>
              <w:spacing w:after="0"/>
              <w:rPr>
                <w:sz w:val="20"/>
                <w:szCs w:val="20"/>
                <w:color w:val="auto"/>
              </w:rPr>
            </w:pPr>
            <w:r>
              <w:rPr>
                <w:rFonts w:ascii="Arial" w:cs="Arial" w:eastAsia="Arial" w:hAnsi="Arial"/>
                <w:sz w:val="18"/>
                <w:szCs w:val="18"/>
                <w:color w:val="auto"/>
              </w:rPr>
              <w:t>Mezzanine and unsecured</w:t>
            </w:r>
          </w:p>
        </w:tc>
        <w:tc>
          <w:tcPr>
            <w:tcW w:w="3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Equity and other</w:t>
            </w:r>
          </w:p>
        </w:tc>
        <w:tc>
          <w:tcPr>
            <w:tcW w:w="3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tcPr>
          <w:p>
            <w:pPr>
              <w:ind w:left="500"/>
              <w:spacing w:after="0"/>
              <w:rPr>
                <w:sz w:val="20"/>
                <w:szCs w:val="20"/>
                <w:color w:val="auto"/>
              </w:rPr>
            </w:pPr>
            <w:r>
              <w:rPr>
                <w:rFonts w:ascii="Arial" w:cs="Arial" w:eastAsia="Arial" w:hAnsi="Arial"/>
                <w:sz w:val="18"/>
                <w:szCs w:val="18"/>
                <w:color w:val="auto"/>
              </w:rPr>
              <w:t>Total</w:t>
            </w:r>
          </w:p>
        </w:tc>
        <w:tc>
          <w:tcPr>
            <w:tcW w:w="30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328.9</w:t>
            </w:r>
          </w:p>
        </w:tc>
        <w:tc>
          <w:tcPr>
            <w:tcW w:w="3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Principal amount of investments sold or repaid:</w:t>
            </w:r>
          </w:p>
        </w:tc>
        <w:tc>
          <w:tcPr>
            <w:tcW w:w="3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260"/>
              <w:spacing w:after="0"/>
              <w:rPr>
                <w:sz w:val="20"/>
                <w:szCs w:val="20"/>
                <w:color w:val="auto"/>
              </w:rPr>
            </w:pPr>
            <w:r>
              <w:rPr>
                <w:rFonts w:ascii="Arial" w:cs="Arial" w:eastAsia="Arial" w:hAnsi="Arial"/>
                <w:sz w:val="18"/>
                <w:szCs w:val="18"/>
                <w:color w:val="auto"/>
              </w:rPr>
              <w:t>First-lien</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330.1</w:t>
            </w:r>
          </w:p>
        </w:tc>
        <w:tc>
          <w:tcPr>
            <w:tcW w:w="3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174.9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Second-lien</w:t>
            </w:r>
          </w:p>
        </w:tc>
        <w:tc>
          <w:tcPr>
            <w:tcW w:w="3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260"/>
              <w:spacing w:after="0"/>
              <w:rPr>
                <w:sz w:val="20"/>
                <w:szCs w:val="20"/>
                <w:color w:val="auto"/>
              </w:rPr>
            </w:pPr>
            <w:r>
              <w:rPr>
                <w:rFonts w:ascii="Arial" w:cs="Arial" w:eastAsia="Arial" w:hAnsi="Arial"/>
                <w:sz w:val="18"/>
                <w:szCs w:val="18"/>
                <w:color w:val="auto"/>
              </w:rPr>
              <w:t>Mezzanine and unsecured</w:t>
            </w:r>
          </w:p>
        </w:tc>
        <w:tc>
          <w:tcPr>
            <w:tcW w:w="3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Equity and other</w:t>
            </w:r>
          </w:p>
        </w:tc>
        <w:tc>
          <w:tcPr>
            <w:tcW w:w="30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3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w:t>
            </w:r>
          </w:p>
        </w:tc>
        <w:tc>
          <w:tcPr>
            <w:tcW w:w="30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330.9</w:t>
            </w:r>
          </w:p>
        </w:tc>
        <w:tc>
          <w:tcPr>
            <w:tcW w:w="3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199.2</w:t>
            </w:r>
          </w:p>
        </w:tc>
        <w:tc>
          <w:tcPr>
            <w:tcW w:w="1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720" w:type="dxa"/>
            <w:vAlign w:val="bottom"/>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Number of new investment commitments in</w:t>
            </w:r>
          </w:p>
        </w:tc>
        <w:tc>
          <w:tcPr>
            <w:tcW w:w="30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2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new portfolio companies</w:t>
            </w:r>
          </w:p>
        </w:tc>
        <w:tc>
          <w:tcPr>
            <w:tcW w:w="30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3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720" w:type="dxa"/>
            <w:vAlign w:val="bottom"/>
          </w:tcPr>
          <w:p>
            <w:pPr>
              <w:spacing w:after="0"/>
              <w:rPr>
                <w:sz w:val="20"/>
                <w:szCs w:val="20"/>
                <w:color w:val="auto"/>
              </w:rPr>
            </w:pPr>
            <w:r>
              <w:rPr>
                <w:rFonts w:ascii="Arial" w:cs="Arial" w:eastAsia="Arial" w:hAnsi="Arial"/>
                <w:sz w:val="18"/>
                <w:szCs w:val="18"/>
                <w:b w:val="1"/>
                <w:bCs w:val="1"/>
                <w:color w:val="auto"/>
              </w:rPr>
              <w:t>Average new investment commitment amount in</w:t>
            </w:r>
          </w:p>
        </w:tc>
        <w:tc>
          <w:tcPr>
            <w:tcW w:w="3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20" w:type="dxa"/>
            <w:vAlign w:val="bottom"/>
          </w:tcPr>
          <w:p>
            <w:pPr>
              <w:ind w:left="140"/>
              <w:spacing w:after="0"/>
              <w:rPr>
                <w:sz w:val="20"/>
                <w:szCs w:val="20"/>
                <w:color w:val="auto"/>
              </w:rPr>
            </w:pPr>
            <w:r>
              <w:rPr>
                <w:rFonts w:ascii="Arial" w:cs="Arial" w:eastAsia="Arial" w:hAnsi="Arial"/>
                <w:sz w:val="18"/>
                <w:szCs w:val="18"/>
                <w:b w:val="1"/>
                <w:bCs w:val="1"/>
                <w:color w:val="auto"/>
              </w:rPr>
              <w:t>new portfolio companies</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40.9</w:t>
            </w:r>
          </w:p>
        </w:tc>
        <w:tc>
          <w:tcPr>
            <w:tcW w:w="3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32.4</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 average term for new investment</w:t>
            </w:r>
          </w:p>
        </w:tc>
        <w:tc>
          <w:tcPr>
            <w:tcW w:w="3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commitments in new portfolio companies</w:t>
            </w:r>
          </w:p>
        </w:tc>
        <w:tc>
          <w:tcPr>
            <w:tcW w:w="3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2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(in years)</w:t>
            </w:r>
          </w:p>
        </w:tc>
        <w:tc>
          <w:tcPr>
            <w:tcW w:w="30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3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720" w:type="dxa"/>
            <w:vAlign w:val="bottom"/>
          </w:tcPr>
          <w:p>
            <w:pPr>
              <w:spacing w:after="0"/>
              <w:rPr>
                <w:sz w:val="20"/>
                <w:szCs w:val="20"/>
                <w:color w:val="auto"/>
              </w:rPr>
            </w:pPr>
            <w:r>
              <w:rPr>
                <w:rFonts w:ascii="Arial" w:cs="Arial" w:eastAsia="Arial" w:hAnsi="Arial"/>
                <w:sz w:val="18"/>
                <w:szCs w:val="18"/>
                <w:b w:val="1"/>
                <w:bCs w:val="1"/>
                <w:color w:val="auto"/>
              </w:rPr>
              <w:t>Percentage of new debt investment commitments</w:t>
            </w:r>
          </w:p>
        </w:tc>
        <w:tc>
          <w:tcPr>
            <w:tcW w:w="3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20" w:type="dxa"/>
            <w:vAlign w:val="bottom"/>
          </w:tcPr>
          <w:p>
            <w:pPr>
              <w:ind w:left="140"/>
              <w:spacing w:after="0"/>
              <w:rPr>
                <w:sz w:val="20"/>
                <w:szCs w:val="20"/>
                <w:color w:val="auto"/>
              </w:rPr>
            </w:pPr>
            <w:r>
              <w:rPr>
                <w:rFonts w:ascii="Arial" w:cs="Arial" w:eastAsia="Arial" w:hAnsi="Arial"/>
                <w:sz w:val="18"/>
                <w:szCs w:val="18"/>
                <w:b w:val="1"/>
                <w:bCs w:val="1"/>
                <w:color w:val="auto"/>
              </w:rPr>
              <w:t>at floating rates</w:t>
            </w:r>
          </w:p>
        </w:tc>
        <w:tc>
          <w:tcPr>
            <w:tcW w:w="3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20"/>
                <w:szCs w:val="20"/>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Percentage of new debt investment commitments</w:t>
            </w:r>
          </w:p>
        </w:tc>
        <w:tc>
          <w:tcPr>
            <w:tcW w:w="3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2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at fixed rates</w:t>
            </w:r>
          </w:p>
        </w:tc>
        <w:tc>
          <w:tcPr>
            <w:tcW w:w="30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78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720" w:type="dxa"/>
            <w:vAlign w:val="bottom"/>
          </w:tcPr>
          <w:p>
            <w:pPr>
              <w:spacing w:after="0"/>
              <w:rPr>
                <w:sz w:val="20"/>
                <w:szCs w:val="20"/>
                <w:color w:val="auto"/>
              </w:rPr>
            </w:pPr>
            <w:r>
              <w:rPr>
                <w:rFonts w:ascii="Arial" w:cs="Arial" w:eastAsia="Arial" w:hAnsi="Arial"/>
                <w:sz w:val="18"/>
                <w:szCs w:val="18"/>
                <w:b w:val="1"/>
                <w:bCs w:val="1"/>
                <w:color w:val="auto"/>
              </w:rPr>
              <w:t>Weighted average interest rate of new</w:t>
            </w:r>
          </w:p>
        </w:tc>
        <w:tc>
          <w:tcPr>
            <w:tcW w:w="3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20" w:type="dxa"/>
            <w:vAlign w:val="bottom"/>
          </w:tcPr>
          <w:p>
            <w:pPr>
              <w:ind w:left="140"/>
              <w:spacing w:after="0"/>
              <w:rPr>
                <w:sz w:val="20"/>
                <w:szCs w:val="20"/>
                <w:color w:val="auto"/>
              </w:rPr>
            </w:pPr>
            <w:r>
              <w:rPr>
                <w:rFonts w:ascii="Arial" w:cs="Arial" w:eastAsia="Arial" w:hAnsi="Arial"/>
                <w:sz w:val="18"/>
                <w:szCs w:val="18"/>
                <w:b w:val="1"/>
                <w:bCs w:val="1"/>
                <w:color w:val="auto"/>
              </w:rPr>
              <w:t>investment commitments</w:t>
            </w:r>
          </w:p>
        </w:tc>
        <w:tc>
          <w:tcPr>
            <w:tcW w:w="3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9.2%</w:t>
            </w:r>
          </w:p>
        </w:tc>
        <w:tc>
          <w:tcPr>
            <w:tcW w:w="140" w:type="dxa"/>
            <w:vAlign w:val="bottom"/>
          </w:tcPr>
          <w:p>
            <w:pPr>
              <w:spacing w:after="0"/>
              <w:rPr>
                <w:sz w:val="20"/>
                <w:szCs w:val="20"/>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 average spread over LIBOR of new</w:t>
            </w:r>
          </w:p>
        </w:tc>
        <w:tc>
          <w:tcPr>
            <w:tcW w:w="3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2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floating rate investment commitments</w:t>
            </w:r>
          </w:p>
        </w:tc>
        <w:tc>
          <w:tcPr>
            <w:tcW w:w="30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7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7.9%</w:t>
            </w:r>
          </w:p>
        </w:tc>
        <w:tc>
          <w:tcPr>
            <w:tcW w:w="14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720" w:type="dxa"/>
            <w:vAlign w:val="bottom"/>
          </w:tcPr>
          <w:p>
            <w:pPr>
              <w:spacing w:after="0"/>
              <w:rPr>
                <w:sz w:val="20"/>
                <w:szCs w:val="20"/>
                <w:color w:val="auto"/>
              </w:rPr>
            </w:pPr>
            <w:r>
              <w:rPr>
                <w:rFonts w:ascii="Arial" w:cs="Arial" w:eastAsia="Arial" w:hAnsi="Arial"/>
                <w:sz w:val="18"/>
                <w:szCs w:val="18"/>
                <w:b w:val="1"/>
                <w:bCs w:val="1"/>
                <w:color w:val="auto"/>
              </w:rPr>
              <w:t>Weighted average interest rate on investments</w:t>
            </w:r>
          </w:p>
        </w:tc>
        <w:tc>
          <w:tcPr>
            <w:tcW w:w="3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20" w:type="dxa"/>
            <w:vAlign w:val="bottom"/>
          </w:tcPr>
          <w:p>
            <w:pPr>
              <w:ind w:left="140"/>
              <w:spacing w:after="0"/>
              <w:rPr>
                <w:sz w:val="20"/>
                <w:szCs w:val="20"/>
                <w:color w:val="auto"/>
              </w:rPr>
            </w:pPr>
            <w:r>
              <w:rPr>
                <w:rFonts w:ascii="Arial" w:cs="Arial" w:eastAsia="Arial" w:hAnsi="Arial"/>
                <w:sz w:val="18"/>
                <w:szCs w:val="18"/>
                <w:b w:val="1"/>
                <w:bCs w:val="1"/>
                <w:color w:val="auto"/>
              </w:rPr>
              <w:t>sold or paid down</w:t>
            </w:r>
          </w:p>
        </w:tc>
        <w:tc>
          <w:tcPr>
            <w:tcW w:w="3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9.2%</w:t>
            </w:r>
          </w:p>
        </w:tc>
        <w:tc>
          <w:tcPr>
            <w:tcW w:w="140" w:type="dxa"/>
            <w:vAlign w:val="bottom"/>
          </w:tcPr>
          <w:p>
            <w:pPr>
              <w:spacing w:after="0"/>
              <w:rPr>
                <w:sz w:val="20"/>
                <w:szCs w:val="20"/>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24"/>
        </w:trPr>
        <w:tc>
          <w:tcPr>
            <w:tcW w:w="4720" w:type="dxa"/>
            <w:vAlign w:val="bottom"/>
          </w:tcPr>
          <w:p>
            <w:pPr>
              <w:spacing w:after="0"/>
              <w:rPr>
                <w:sz w:val="24"/>
                <w:szCs w:val="24"/>
                <w:color w:val="auto"/>
              </w:rPr>
            </w:pPr>
          </w:p>
        </w:tc>
        <w:tc>
          <w:tcPr>
            <w:tcW w:w="3040" w:type="dxa"/>
            <w:vAlign w:val="bottom"/>
          </w:tcPr>
          <w:p>
            <w:pPr>
              <w:jc w:val="right"/>
              <w:ind w:right="191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20" w:type="dxa"/>
            <w:vAlign w:val="bottom"/>
            <w:tcBorders>
              <w:bottom w:val="single" w:sz="8" w:color="9A9A9A"/>
            </w:tcBorders>
          </w:tcPr>
          <w:p>
            <w:pPr>
              <w:spacing w:after="0"/>
              <w:rPr>
                <w:sz w:val="10"/>
                <w:szCs w:val="10"/>
                <w:color w:val="auto"/>
              </w:rPr>
            </w:pPr>
          </w:p>
        </w:tc>
        <w:tc>
          <w:tcPr>
            <w:tcW w:w="30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About TPG Specialty Lending, Inc.</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TSLX is a specialty finance company focused on lending to middle-market companies. The Company seeks to generate current income primarily in U.S.-domiciled middle-market companies through direct originations of senior secured loans and, to a lesser extent, originations of mezzanine and unsecured loans and investments in corporate bonds and equity securities. The Company has elected to be regulated as a business development company, or a BDC, under the Investment Company Act of 1940 and the rules and regulations promulgated thereunder. TSLX is externally managed by TSL Advisers, LLC, a Securities and Exchange Commission (“SEC”) registered investment adviser. TSLX leverages the deep investment, sector, and operating resources of TPG Sixth Street Partners, the dedicated special situations and credit platform of TPG, with over $19 billion of assets under management as of June 30, 2017 and the broader TPG platform, a global private investment firm with over $73 billion of assets under management as of June 30, 2017. For more information, visit the Company’s website at www.tpgspecialtylending.com.</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300"/>
        <w:spacing w:after="0" w:line="276" w:lineRule="auto"/>
        <w:rPr>
          <w:sz w:val="20"/>
          <w:szCs w:val="20"/>
          <w:color w:val="auto"/>
        </w:rPr>
      </w:pPr>
      <w:r>
        <w:rPr>
          <w:rFonts w:ascii="Arial" w:cs="Arial" w:eastAsia="Arial" w:hAnsi="Arial"/>
          <w:sz w:val="17"/>
          <w:szCs w:val="17"/>
          <w:color w:val="auto"/>
        </w:rPr>
        <w:t>Statements included herein may constitute “forward-looking statements,” which relate to future events or the Company’s future performance or financial condition. These statements are not guarantees of future performance, conditions or results and involve a number of risks and uncertainties. Actual results may differ materially from those in the forward-looking statements as a result of a number of factors, including those described from time to time in the Company’s filings with the Securities and Exchange Commission. The Company assumes no obligation to update any such forward-looking statements. TSLX undertakes no duty to update any forward-looking statements made herein.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Source: TPG Specialty Lending,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Lucy Lu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212-601-4753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IRTSL@tpg.com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Luke Barrett, 212-601-4752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lbarrett@tpg.com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Press: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Owen Blicksilver PR,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Jennifer Hurson, 845-507-0571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jennifer@blicksilverpr.com</w:t>
      </w: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sectPr>
      <w:pgSz w:w="11900" w:h="16838" w:orient="portrait"/>
      <w:cols w:equalWidth="0" w:num="1">
        <w:col w:w="11380"/>
      </w:cols>
      <w:pgMar w:left="240" w:top="337"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2019-12-29T03:45:27Z</dcterms:created>
  <dcterms:modified xsi:type="dcterms:W3CDTF">2019-12-29T03:45:27Z</dcterms:modified>
</cp:coreProperties>
</file>