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214630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SCHEDULE 14A INFORMATION</w:t>
      </w:r>
    </w:p>
    <w:p>
      <w:pPr>
        <w:spacing w:after="0" w:line="224"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PROXY STATEMENT PURSUANT TO SECTION 14(a) OF THE</w:t>
      </w:r>
    </w:p>
    <w:p>
      <w:pPr>
        <w:jc w:val="center"/>
        <w:ind w:right="-159"/>
        <w:spacing w:after="0"/>
        <w:rPr>
          <w:sz w:val="20"/>
          <w:szCs w:val="20"/>
          <w:color w:val="auto"/>
        </w:rPr>
      </w:pPr>
      <w:r>
        <w:rPr>
          <w:rFonts w:ascii="Arial" w:cs="Arial" w:eastAsia="Arial" w:hAnsi="Arial"/>
          <w:sz w:val="14"/>
          <w:szCs w:val="14"/>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217805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spacing w:after="0" w:line="196" w:lineRule="exact"/>
        <w:tabs>
          <w:tab w:leader="none" w:pos="30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32"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60" w:hanging="455"/>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38"/>
          <w:szCs w:val="38"/>
          <w:b w:val="1"/>
          <w:bCs w:val="1"/>
          <w:color w:val="auto"/>
        </w:rPr>
        <w:t>TICC CAPITAL CORP.</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TPG Specialty Lending, Inc.</w:t>
      </w:r>
    </w:p>
    <w:p>
      <w:pPr>
        <w:spacing w:after="0" w:line="26"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2"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341"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not required.</w:t>
      </w:r>
    </w:p>
    <w:p>
      <w:pPr>
        <w:spacing w:after="0" w:line="224" w:lineRule="exact"/>
        <w:rPr>
          <w:sz w:val="24"/>
          <w:szCs w:val="24"/>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23"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line="289"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8" w:lineRule="exact"/>
        <w:rPr>
          <w:rFonts w:ascii="MS PGothic" w:cs="MS PGothic" w:eastAsia="MS PGothic" w:hAnsi="MS PGothic"/>
          <w:sz w:val="17"/>
          <w:szCs w:val="17"/>
          <w:color w:val="auto"/>
        </w:rPr>
      </w:pPr>
    </w:p>
    <w:p>
      <w:pPr>
        <w:ind w:left="480" w:right="600" w:hanging="475"/>
        <w:spacing w:after="0" w:line="289"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2"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-4290060</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-3857625</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-3291840</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-2859405</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-2426970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-996950</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-564515</wp:posOffset>
            </wp:positionV>
            <wp:extent cx="666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-132080</wp:posOffset>
            </wp:positionV>
            <wp:extent cx="6668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299720</wp:posOffset>
            </wp:positionV>
            <wp:extent cx="6668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8770" cy="8255"/>
                    </a:xfrm>
                    <a:prstGeom prst="rect">
                      <a:avLst/>
                    </a:prstGeom>
                    <a:noFill/>
                  </pic:spPr>
                </pic:pic>
              </a:graphicData>
            </a:graphic>
          </wp:anchor>
        </w:drawing>
      </w:r>
    </w:p>
    <w:p>
      <w:pPr>
        <w:sectPr>
          <w:pgSz w:w="11900" w:h="16838" w:orient="portrait"/>
          <w:cols w:equalWidth="0" w:num="1">
            <w:col w:w="11280"/>
          </w:cols>
          <w:pgMar w:left="240" w:top="504" w:right="379" w:bottom="277"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247015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288290</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t>TPG Specialty Lending, Inc., together with the other participants named herein (collectively, “TSLX”), has filed a definitive proxy statement and an accompanying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GOLD proxy card with the Securities and Exchange Commission (the “SEC”) to be used to solicit votes from the stockholders of TICC Capital Corp. (“TICC”) to:</w:t>
      </w:r>
    </w:p>
    <w:p>
      <w:pPr>
        <w:spacing w:after="0" w:line="26" w:lineRule="exact"/>
        <w:rPr>
          <w:sz w:val="20"/>
          <w:szCs w:val="20"/>
          <w:color w:val="auto"/>
        </w:rPr>
      </w:pPr>
    </w:p>
    <w:p>
      <w:pPr>
        <w:ind w:right="240" w:firstLine="5"/>
        <w:spacing w:after="0" w:line="265" w:lineRule="auto"/>
        <w:tabs>
          <w:tab w:leader="none" w:pos="237" w:val="left"/>
        </w:tabs>
        <w:numPr>
          <w:ilvl w:val="0"/>
          <w:numId w:val="6"/>
        </w:numPr>
        <w:rPr>
          <w:rFonts w:ascii="Arial" w:cs="Arial" w:eastAsia="Arial" w:hAnsi="Arial"/>
          <w:sz w:val="17"/>
          <w:szCs w:val="17"/>
          <w:color w:val="auto"/>
        </w:rPr>
      </w:pPr>
      <w:r>
        <w:rPr>
          <w:rFonts w:ascii="Arial" w:cs="Arial" w:eastAsia="Arial" w:hAnsi="Arial"/>
          <w:sz w:val="17"/>
          <w:szCs w:val="17"/>
          <w:color w:val="auto"/>
        </w:rPr>
        <w:t>elect TSLX’s director nominee at TICC’s 2016 annual meeting of stockholders and (b) approve a proposal to terminate the Investment Advisory Agreement, dated as of July 1, 2011, by and between TICC and TICC Management, LLC, as contemplated by Section 15(a) of the Investment Company Act of 1940, as amended.</w:t>
      </w:r>
    </w:p>
    <w:p>
      <w:pPr>
        <w:spacing w:after="0" w:line="17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As part of the above-referenced solicitation, TSLX updated certain pages of its website, </w:t>
      </w:r>
      <w:r>
        <w:rPr>
          <w:rFonts w:ascii="Arial" w:cs="Arial" w:eastAsia="Arial" w:hAnsi="Arial"/>
          <w:sz w:val="17"/>
          <w:szCs w:val="17"/>
          <w:u w:val="single" w:color="auto"/>
          <w:color w:val="auto"/>
        </w:rPr>
        <w:t>http://www.changeticcnow.com/</w:t>
      </w:r>
      <w:r>
        <w:rPr>
          <w:rFonts w:ascii="Arial" w:cs="Arial" w:eastAsia="Arial" w:hAnsi="Arial"/>
          <w:sz w:val="17"/>
          <w:szCs w:val="17"/>
          <w:color w:val="auto"/>
        </w:rPr>
        <w:t>, a website established by TSLX that contains information regarding the solicitation. This Schedule 14A filing consists of the following screenshots, which reflect the content of pages not previously filed with the SEC.</w:t>
      </w:r>
    </w:p>
    <w:p>
      <w:pPr>
        <w:sectPr>
          <w:pgSz w:w="11900" w:h="16838" w:orient="portrait"/>
          <w:cols w:equalWidth="0" w:num="1">
            <w:col w:w="11420"/>
          </w:cols>
          <w:pgMar w:left="240" w:top="664" w:right="239" w:bottom="1440" w:gutter="0" w:footer="0" w:header="0"/>
        </w:sectPr>
      </w:pPr>
    </w:p>
    <w:bookmarkStart w:id="2" w:name="page3"/>
    <w:bookmarkEnd w:id="2"/>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906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4906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664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664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3284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3284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2319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2319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47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145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814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2835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2835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639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639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About TPG Specialty Lending</w:t>
      </w:r>
    </w:p>
    <w:p>
      <w:pPr>
        <w:spacing w:after="0" w:line="12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approximately $16 billion of assets under management as of March 31, 2016, and the broader TPG platform, a global private investment firm with approximately $74 billion of assets under management as of March 31, 2016. For more information, visit the Company’s website at www.tpgspecialtylending.com.</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8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6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87"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In addition to these factors, other factors that may affect TSLX’s plans, results or stock price are set forth in TSLX’s Annual Report on Form 10-K and in its reports on Forms 10-Q and 8-K.</w:t>
      </w:r>
    </w:p>
    <w:p>
      <w:pPr>
        <w:spacing w:after="0" w:line="158"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400"/>
          </w:cols>
          <w:pgMar w:left="240" w:top="265" w:right="25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Third Party-Sourced Statements and Information</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Proxy Solicitation Information</w:t>
      </w:r>
    </w:p>
    <w:p>
      <w:pPr>
        <w:spacing w:after="0" w:line="12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GOLD proxy card to stockholders of TICC. This communication is not a substitute for the TSLX Proxy Statement.</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TSLX STRONGLY ADVISES ALL STOCKHOLDERS OF TICC TO READ THE TSLX PROXY STATEMENT AND THE OTHER PROXY MATERIALS AS THEY BECOME AVAILABLE BECAUSE THEY CONTAIN IMPORTANT INFORMATION. SUCH TSLX PROXY MATERIALS ARE AND WILL BECOME AVAILABLE AT NO CHARGE ON THE SEC’S WEB SITE AT HTTP://WWW.SEC.GOV AND ON TSLX’S WEBSITE AT HTTP://WWW.TPGSPECIALTYLENDING.COM. IN ADDITION, TSLX WILL PROVIDE COPIES OF THE TSLX PROXY STATEMENT WITHOUT CHARGE UPON REQUEST. REQUESTS FOR COPIES SHOULD BE DIRECTED TO TSLX’S PROXY SOLICITOR AT TPG@MACKENZIEPARTNERS.COM.</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pacing w:after="0" w:line="18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420"/>
      </w:cols>
      <w:pgMar w:left="240" w:top="2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2019-12-20T22:57:20Z</dcterms:created>
  <dcterms:modified xsi:type="dcterms:W3CDTF">2019-12-20T22:57:20Z</dcterms:modified>
</cp:coreProperties>
</file>