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Pluss Steven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SIXTH STREET SPECIALTY LENDING,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2100 MCKINNEY AVENUE, SUITE 1500</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DALLAS</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7"/>
          <w:szCs w:val="17"/>
          <w:color w:val="0000FF"/>
        </w:rPr>
        <w:t>75201</w:t>
      </w:r>
    </w:p>
    <w:p>
      <w:pPr>
        <w:spacing w:after="0" w:line="33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Sixth Street Specialty Lending,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TSLX</w:t>
            </w:r>
          </w:p>
        </w:tc>
        <w:tc>
          <w:tcPr>
            <w:tcW w:w="21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160" w:type="dxa"/>
            <w:vAlign w:val="bottom"/>
            <w:vMerge w:val="continue"/>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20" w:type="dxa"/>
            <w:vAlign w:val="bottom"/>
            <w:tcBorders>
              <w:bottom w:val="single" w:sz="8" w:color="0000EE"/>
            </w:tcBorders>
          </w:tcPr>
          <w:p>
            <w:pPr>
              <w:spacing w:after="0"/>
              <w:rPr>
                <w:sz w:val="3"/>
                <w:szCs w:val="3"/>
                <w:color w:val="auto"/>
              </w:rPr>
            </w:pPr>
          </w:p>
        </w:tc>
        <w:tc>
          <w:tcPr>
            <w:tcW w:w="700" w:type="dxa"/>
            <w:vAlign w:val="bottom"/>
          </w:tcPr>
          <w:p>
            <w:pPr>
              <w:spacing w:after="0"/>
              <w:rPr>
                <w:sz w:val="3"/>
                <w:szCs w:val="3"/>
                <w:color w:val="auto"/>
              </w:rPr>
            </w:pPr>
          </w:p>
        </w:tc>
        <w:tc>
          <w:tcPr>
            <w:tcW w:w="21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140" w:type="dxa"/>
            <w:vAlign w:val="bottom"/>
            <w:vMerge w:val="restart"/>
          </w:tcPr>
          <w:p>
            <w:pPr>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1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0" w:type="dxa"/>
            <w:vAlign w:val="bottom"/>
            <w:gridSpan w:val="2"/>
            <w:vMerge w:val="continue"/>
          </w:tcPr>
          <w:p>
            <w:pPr>
              <w:spacing w:after="0"/>
              <w:rPr>
                <w:sz w:val="12"/>
                <w:szCs w:val="12"/>
                <w:color w:val="auto"/>
              </w:rPr>
            </w:pPr>
          </w:p>
        </w:tc>
        <w:tc>
          <w:tcPr>
            <w:tcW w:w="2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1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140" w:type="dxa"/>
            <w:vAlign w:val="bottom"/>
            <w:vMerge w:val="restart"/>
          </w:tcPr>
          <w:p>
            <w:pPr>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160" w:type="dxa"/>
            <w:vAlign w:val="bottom"/>
            <w:vMerge w:val="continue"/>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160" w:type="dxa"/>
            <w:vAlign w:val="bottom"/>
          </w:tcPr>
          <w:p>
            <w:pPr>
              <w:ind w:left="600"/>
              <w:spacing w:after="0"/>
              <w:rPr>
                <w:sz w:val="20"/>
                <w:szCs w:val="20"/>
                <w:color w:val="auto"/>
              </w:rPr>
            </w:pPr>
            <w:r>
              <w:rPr>
                <w:rFonts w:ascii="Arial" w:cs="Arial" w:eastAsia="Arial" w:hAnsi="Arial"/>
                <w:sz w:val="13"/>
                <w:szCs w:val="13"/>
                <w:color w:val="auto"/>
              </w:rPr>
              <w:t>below)</w:t>
            </w:r>
          </w:p>
        </w:tc>
        <w:tc>
          <w:tcPr>
            <w:tcW w:w="1140" w:type="dxa"/>
            <w:vAlign w:val="bottom"/>
          </w:tcPr>
          <w:p>
            <w:pPr>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160" w:type="dxa"/>
            <w:vAlign w:val="bottom"/>
            <w:vMerge w:val="restart"/>
          </w:tcPr>
          <w:p>
            <w:pPr>
              <w:ind w:left="1160"/>
              <w:spacing w:after="0"/>
              <w:rPr>
                <w:sz w:val="20"/>
                <w:szCs w:val="20"/>
                <w:color w:val="auto"/>
              </w:rPr>
            </w:pPr>
            <w:r>
              <w:rPr>
                <w:rFonts w:ascii="Times New Roman" w:cs="Times New Roman" w:eastAsia="Times New Roman" w:hAnsi="Times New Roman"/>
                <w:sz w:val="17"/>
                <w:szCs w:val="17"/>
                <w:color w:val="0000FF"/>
                <w:w w:val="98"/>
              </w:rPr>
              <w:t>Vice President</w:t>
            </w: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160" w:type="dxa"/>
            <w:vAlign w:val="bottom"/>
            <w:vMerge w:val="continue"/>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0" w:type="dxa"/>
            <w:vAlign w:val="bottom"/>
            <w:gridSpan w:val="2"/>
            <w:vMerge w:val="continue"/>
          </w:tcPr>
          <w:p>
            <w:pPr>
              <w:spacing w:after="0"/>
              <w:rPr>
                <w:sz w:val="2"/>
                <w:szCs w:val="2"/>
                <w:color w:val="auto"/>
              </w:rPr>
            </w:pPr>
          </w:p>
        </w:tc>
        <w:tc>
          <w:tcPr>
            <w:tcW w:w="3620" w:type="dxa"/>
            <w:vAlign w:val="bottom"/>
            <w:gridSpan w:val="2"/>
            <w:vMerge w:val="continue"/>
          </w:tcPr>
          <w:p>
            <w:pPr>
              <w:spacing w:after="0"/>
              <w:rPr>
                <w:sz w:val="2"/>
                <w:szCs w:val="2"/>
                <w:color w:val="auto"/>
              </w:rPr>
            </w:pPr>
          </w:p>
        </w:tc>
        <w:tc>
          <w:tcPr>
            <w:tcW w:w="2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31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02/27/2026</w:t>
            </w:r>
          </w:p>
        </w:tc>
        <w:tc>
          <w:tcPr>
            <w:tcW w:w="7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92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33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460" w:space="3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02/27/2026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15,000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17.72</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51,500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$17.49 to $17.95, inclusive. The reporting person undertakes to provide upon request, full information regarding the number of shares purchased at each separate price within the range set forth above.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2. Anton Brett is signing on behalf of Steven Pluss pursuant to a Power of Attorney dated March 2, 2026, which is attached hereto as an exhibit. Exhibit List: Exhibit 24 Power of Attorney</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Anton Brett, attorney-in-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03/03/2026</w:t>
            </w:r>
          </w:p>
        </w:tc>
        <w:tc>
          <w:tcPr>
            <w:tcW w:w="0" w:type="dxa"/>
            <w:vAlign w:val="bottom"/>
          </w:tcPr>
          <w:p>
            <w:pPr>
              <w:spacing w:after="0"/>
              <w:rPr>
                <w:sz w:val="1"/>
                <w:szCs w:val="1"/>
                <w:color w:val="auto"/>
              </w:rPr>
            </w:pPr>
          </w:p>
        </w:tc>
      </w:tr>
      <w:tr>
        <w:trPr>
          <w:trHeight w:val="87"/>
        </w:trPr>
        <w:tc>
          <w:tcPr>
            <w:tcW w:w="52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(2)</w:t>
            </w:r>
          </w:p>
        </w:tc>
        <w:tc>
          <w:tcPr>
            <w:tcW w:w="142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20" w:type="dxa"/>
            <w:vAlign w:val="bottom"/>
            <w:tcBorders>
              <w:top w:val="single" w:sz="8" w:color="auto"/>
              <w:bottom w:val="single" w:sz="8" w:color="auto"/>
            </w:tcBorders>
            <w:vMerge w:val="continue"/>
          </w:tcPr>
          <w:p>
            <w:pPr>
              <w:spacing w:after="0"/>
              <w:rPr>
                <w:sz w:val="7"/>
                <w:szCs w:val="7"/>
                <w:color w:val="auto"/>
              </w:rPr>
            </w:pPr>
          </w:p>
        </w:tc>
        <w:tc>
          <w:tcPr>
            <w:tcW w:w="142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LIMITED POWER OF ATTORNEY FOR</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16 REPORTING OBLIGATIONS</w:t>
      </w:r>
    </w:p>
    <w:p>
      <w:pPr>
        <w:spacing w:after="0" w:line="200"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Know all by these presents, that the undersigned hereby makes, constitutes and appoints each of David Stiepleman, Jennifer Gordon, Ian Simmonds, Anton Brett, and Joshua Peck or any of them acting singly, and with full power of substitution and re-substitution, the undersigned’s true and lawful attorney-in-fact (each of such persons and their substitutes being referred to herein as the “Attorney-in-Fact”), with full power to act for the undersigned and in the undersigned’s name, place and stead, in any and all capacities, to:</w:t>
      </w:r>
    </w:p>
    <w:p>
      <w:pPr>
        <w:spacing w:after="0" w:line="183" w:lineRule="exact"/>
        <w:rPr>
          <w:sz w:val="20"/>
          <w:szCs w:val="20"/>
          <w:color w:val="auto"/>
        </w:rPr>
      </w:pPr>
    </w:p>
    <w:p>
      <w:pPr>
        <w:jc w:val="both"/>
        <w:ind w:firstLine="7"/>
        <w:spacing w:after="0" w:line="256" w:lineRule="auto"/>
        <w:tabs>
          <w:tab w:leader="none" w:pos="17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execute, and submit to the Securities and Exchange Commission (“SEC”) a Form ID, including amendments thereto, and any other documents necessary or appropriate to obtain codes and passwords enabling the undersigned to make electronic filings with the SEC of reports required or considered by the Attorney-in-Fact to be advisable under Section 13 or Section 16 of the Securities Exchange Act of 1934, as amended (the “Exchange Act”), or any rule or regulation promulgated by the SEC;</w:t>
      </w:r>
    </w:p>
    <w:p>
      <w:pPr>
        <w:spacing w:after="0" w:line="182" w:lineRule="exact"/>
        <w:rPr>
          <w:rFonts w:ascii="Times New Roman" w:cs="Times New Roman" w:eastAsia="Times New Roman" w:hAnsi="Times New Roman"/>
          <w:sz w:val="18"/>
          <w:szCs w:val="18"/>
          <w:color w:val="auto"/>
        </w:rPr>
      </w:pPr>
    </w:p>
    <w:p>
      <w:pPr>
        <w:jc w:val="both"/>
        <w:ind w:firstLine="7"/>
        <w:spacing w:after="0" w:line="254" w:lineRule="auto"/>
        <w:tabs>
          <w:tab w:leader="none" w:pos="18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execute and submit to the SEC, Sixth Street Specialty Lending, Inc., a Delaware corporation (the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13 or Section 16 of the Exchange Act or any rule or regulation thereunder, or under Rule 144 under the Securities Act of 1933, as amended (“Rule 144”), with respect to the any security of the Company, including Forms 3, 4 and 5, Schedules 13D and 13G, and Form 144;</w:t>
      </w:r>
    </w:p>
    <w:p>
      <w:pPr>
        <w:spacing w:after="0" w:line="183" w:lineRule="exact"/>
        <w:rPr>
          <w:rFonts w:ascii="Times New Roman" w:cs="Times New Roman" w:eastAsia="Times New Roman" w:hAnsi="Times New Roman"/>
          <w:sz w:val="18"/>
          <w:szCs w:val="18"/>
          <w:color w:val="auto"/>
        </w:rPr>
      </w:pPr>
    </w:p>
    <w:p>
      <w:pPr>
        <w:jc w:val="both"/>
        <w:ind w:right="20" w:firstLine="7"/>
        <w:spacing w:after="0" w:line="261" w:lineRule="auto"/>
        <w:tabs>
          <w:tab w:leader="none" w:pos="17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3, 4, or 5, Form 144 or other form or report, and timely file such form or report with the SEC, the NASDAQ Stock Market and any stock exchange or similar authority; and</w:t>
      </w:r>
    </w:p>
    <w:p>
      <w:pPr>
        <w:spacing w:after="0" w:line="177" w:lineRule="exact"/>
        <w:rPr>
          <w:rFonts w:ascii="Times New Roman" w:cs="Times New Roman" w:eastAsia="Times New Roman" w:hAnsi="Times New Roman"/>
          <w:sz w:val="18"/>
          <w:szCs w:val="18"/>
          <w:color w:val="auto"/>
        </w:rPr>
      </w:pPr>
    </w:p>
    <w:p>
      <w:pPr>
        <w:jc w:val="both"/>
        <w:ind w:right="20" w:firstLine="7"/>
        <w:spacing w:after="0" w:line="261" w:lineRule="auto"/>
        <w:tabs>
          <w:tab w:leader="none" w:pos="19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acknowledges that:</w:t>
      </w:r>
    </w:p>
    <w:p>
      <w:pPr>
        <w:spacing w:after="0" w:line="219" w:lineRule="exact"/>
        <w:rPr>
          <w:sz w:val="20"/>
          <w:szCs w:val="20"/>
          <w:color w:val="auto"/>
        </w:rPr>
      </w:pPr>
    </w:p>
    <w:p>
      <w:pPr>
        <w:ind w:right="20" w:firstLine="7"/>
        <w:spacing w:after="0" w:line="276" w:lineRule="auto"/>
        <w:tabs>
          <w:tab w:leader="none" w:pos="18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Power of Attorney authorizes, but does not require, the Attorney-in-Fact to act in his or her discretion on information provided to such Attorney-in-Fact without independent verification of such information;</w:t>
      </w:r>
    </w:p>
    <w:p>
      <w:pPr>
        <w:spacing w:after="0" w:line="163" w:lineRule="exact"/>
        <w:rPr>
          <w:rFonts w:ascii="Times New Roman" w:cs="Times New Roman" w:eastAsia="Times New Roman" w:hAnsi="Times New Roman"/>
          <w:sz w:val="18"/>
          <w:szCs w:val="18"/>
          <w:color w:val="auto"/>
        </w:rPr>
      </w:pPr>
    </w:p>
    <w:p>
      <w:pPr>
        <w:ind w:right="20" w:firstLine="7"/>
        <w:spacing w:after="0" w:line="276" w:lineRule="auto"/>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63" w:lineRule="exact"/>
        <w:rPr>
          <w:rFonts w:ascii="Times New Roman" w:cs="Times New Roman" w:eastAsia="Times New Roman" w:hAnsi="Times New Roman"/>
          <w:sz w:val="18"/>
          <w:szCs w:val="18"/>
          <w:color w:val="auto"/>
        </w:rPr>
      </w:pPr>
    </w:p>
    <w:p>
      <w:pPr>
        <w:jc w:val="both"/>
        <w:ind w:right="20" w:firstLine="7"/>
        <w:spacing w:after="0" w:line="261" w:lineRule="auto"/>
        <w:tabs>
          <w:tab w:leader="none" w:pos="17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77" w:lineRule="exact"/>
        <w:rPr>
          <w:rFonts w:ascii="Times New Roman" w:cs="Times New Roman" w:eastAsia="Times New Roman" w:hAnsi="Times New Roman"/>
          <w:sz w:val="18"/>
          <w:szCs w:val="18"/>
          <w:color w:val="auto"/>
        </w:rPr>
      </w:pPr>
    </w:p>
    <w:p>
      <w:pPr>
        <w:ind w:right="20" w:firstLine="7"/>
        <w:spacing w:after="0" w:line="276" w:lineRule="auto"/>
        <w:tabs>
          <w:tab w:leader="none" w:pos="19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if personally present, hereby ratifying and confirming all that the Attorney-in-Fact, or his or her substitute or substitutes, shall lawfully do or cause to be done by authority of this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859790</wp:posOffset>
            </wp:positionV>
            <wp:extent cx="698944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p>
      <w:pPr>
        <w:sectPr>
          <w:pgSz w:w="11900" w:h="16838" w:orient="portrait"/>
          <w:cols w:equalWidth="0" w:num="1">
            <w:col w:w="10980"/>
          </w:cols>
          <w:pgMar w:left="460" w:top="1398" w:right="459" w:bottom="1440" w:gutter="0" w:footer="0" w:header="0"/>
        </w:sectPr>
      </w:pPr>
    </w:p>
    <w:bookmarkStart w:id="2" w:name="page3"/>
    <w:bookmarkEnd w:id="2"/>
    <w:p>
      <w:pPr>
        <w:spacing w:after="0" w:line="200" w:lineRule="exact"/>
        <w:rPr>
          <w:sz w:val="20"/>
          <w:szCs w:val="20"/>
          <w:color w:val="auto"/>
        </w:rPr>
      </w:pP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or in the event any Attorney-in-Fact ceases to be an employee of the Company, this Power of Attorney shall cease to have effect in relation to such Attorney-in-Fact upon such cessation but shall continue in full force and effect in relation to any remaining Attorney-in-Fact. This Power of Attorney revokes all previous powers of attorney with respect to the subject matter of this Power of Attorney.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executed this Power of Attorney as of March 2, 2026.</w:t>
      </w:r>
    </w:p>
    <w:p>
      <w:pPr>
        <w:spacing w:after="0" w:line="200" w:lineRule="exact"/>
        <w:rPr>
          <w:sz w:val="20"/>
          <w:szCs w:val="20"/>
          <w:color w:val="auto"/>
        </w:rPr>
      </w:pPr>
    </w:p>
    <w:p>
      <w:pPr>
        <w:spacing w:after="0" w:line="23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Steven Pluss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4294505</wp:posOffset>
            </wp:positionH>
            <wp:positionV relativeFrom="paragraph">
              <wp:posOffset>15875</wp:posOffset>
            </wp:positionV>
            <wp:extent cx="26739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673985" cy="8255"/>
                    </a:xfrm>
                    <a:prstGeom prst="rect">
                      <a:avLst/>
                    </a:prstGeom>
                    <a:noFill/>
                  </pic:spPr>
                </pic:pic>
              </a:graphicData>
            </a:graphic>
          </wp:anchor>
        </w:drawing>
      </w:r>
    </w:p>
    <w:p>
      <w:pPr>
        <w:spacing w:after="0" w:line="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Steven Pluss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1302385</wp:posOffset>
            </wp:positionV>
            <wp:extent cx="698944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sectPr>
      <w:pgSz w:w="11900" w:h="16838" w:orient="portrait"/>
      <w:cols w:equalWidth="0" w:num="1">
        <w:col w:w="10980"/>
      </w:cols>
      <w:pgMar w:left="46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98755" TargetMode="External"/><Relationship Id="rId14"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2026-03-03T15:10:17Z</dcterms:created>
  <dcterms:modified xsi:type="dcterms:W3CDTF">2026-03-03T15:10:17Z</dcterms:modified>
</cp:coreProperties>
</file>