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60630.htm"/>
      <w:bookmarkStart w:id="1" w:name="kstslx2026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001-36364</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07" w:type="dxa"/>
        <w:jc w:val="left"/>
        <w:tblInd w:w="0" w:type="dxa"/>
        <w:tblLayout w:type="fixed"/>
        <w:tblCellMar>
          <w:top w:w="28" w:type="dxa"/>
          <w:left w:w="28" w:type="dxa"/>
          <w:bottom w:w="28" w:type="dxa"/>
          <w:right w:w="28" w:type="dxa"/>
        </w:tblCellMar>
      </w:tblPr>
      <w:tblGrid>
        <w:gridCol w:w="3121"/>
        <w:gridCol w:w="1486"/>
      </w:tblGrid>
      <w:tr>
        <w:trPr/>
        <w:tc>
          <w:tcPr>
            <w:tcW w:w="312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29" w:type="dxa"/>
        <w:jc w:val="left"/>
        <w:tblInd w:w="0" w:type="dxa"/>
        <w:tblLayout w:type="fixed"/>
        <w:tblCellMar>
          <w:top w:w="28" w:type="dxa"/>
          <w:left w:w="28" w:type="dxa"/>
          <w:bottom w:w="28" w:type="dxa"/>
          <w:right w:w="28" w:type="dxa"/>
        </w:tblCellMar>
      </w:tblPr>
      <w:tblGrid>
        <w:gridCol w:w="1666"/>
        <w:gridCol w:w="37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number of shares of the registrant’s common stock, $.01 par value per share, outstanding at August 4, 2026 was 95,343,139.</w:t>
      </w:r>
    </w:p>
    <w:p>
      <w:pPr>
        <w:pStyle w:val="TextBody"/>
        <w:bidi w:val="0"/>
        <w:jc w:val="left"/>
        <w:rPr/>
      </w:pPr>
      <w:r>
        <w:rPr/>
        <w: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tbl>
      <w:tblPr>
        <w:tblW w:w="10205" w:type="dxa"/>
        <w:jc w:val="left"/>
        <w:tblInd w:w="0" w:type="dxa"/>
        <w:tblLayout w:type="fixed"/>
        <w:tblCellMar>
          <w:top w:w="28" w:type="dxa"/>
          <w:left w:w="28" w:type="dxa"/>
          <w:bottom w:w="28" w:type="dxa"/>
          <w:right w:w="28" w:type="dxa"/>
        </w:tblCellMar>
      </w:tblPr>
      <w:tblGrid>
        <w:gridCol w:w="788"/>
        <w:gridCol w:w="146"/>
        <w:gridCol w:w="8508"/>
        <w:gridCol w:w="146"/>
        <w:gridCol w:w="617"/>
      </w:tblGrid>
      <w:tr>
        <w:trP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as of June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hanges_in_ne">
              <w:r>
                <w:rPr>
                  <w:rStyle w:val="InternetLink"/>
                  <w:rFonts w:ascii="Times New Roman" w:hAnsi="Times New Roman"/>
                  <w:color w:val="0000FF"/>
                  <w:sz w:val="20"/>
                  <w:u w:val="single"/>
                </w:rPr>
                <w:t>Consolidated Statements of Changes in Net Assets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_fo">
              <w:r>
                <w:rPr>
                  <w:rStyle w:val="InternetLink"/>
                  <w:rFonts w:ascii="Times New Roman" w:hAnsi="Times New Roman"/>
                  <w:color w:val="0000FF"/>
                  <w:sz w:val="20"/>
                  <w:u w:val="single"/>
                </w:rPr>
                <w:t>Consolidated Statements of Cash Flows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3_quantitative_disclosur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s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3_default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tcMar>
              <w:top w:w="0" w:type="dxa"/>
              <w:left w:w="0" w:type="dxa"/>
              <w:bottom w:w="0" w:type="dxa"/>
              <w:right w:w="0" w:type="dxa"/>
            </w:tcMar>
            <w:vAlign w:val="center"/>
          </w:tcPr>
          <w:p>
            <w:pPr>
              <w:pStyle w:val="TableContents"/>
              <w:bidi w:val="0"/>
              <w:spacing w:before="0" w:after="283"/>
              <w:jc w:val="left"/>
              <w:rPr/>
            </w:pPr>
            <w:hyperlink w:anchor="signature_page">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factors previously identified elsewhere in the reports and other documents Sixth Street Specialty Lending, Inc. (the "Company", "we", "us", or "our") has filed with the Securities and Exchange Commission (the “SEC”), the following factors, among others, could cause actual results to differ materially from forward-looking statements or historical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economic downturn could impair our portfolio companies’ abilities to continue to operate, which could lead to the loss of some or all of our investments in those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an economic downturn could also impact availability and pricing of our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could negatively impact our business, including our ability to access the debt markets on favorable terms, or could negatively impact our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political, economic or industry conditions, the interest rate environment or conditions affecting the financial and capital markets, including the effects of trade policies, government regulation and geopolitical conflicts may adversely affect our operations and the operations of our portfolio companies;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uncertainties and other factors we identify in the section entitled “Risk Factors” in this report, in our Annual Report on Form 10-K for the year ended December 31, 2025, filed with the SEC on February 12, 2026, and elsewhere in our filings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“TSLX” and “TAO” marks are marks of Sixth Street.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3" w:name="consolidated_balance_sheets"/>
      <w:bookmarkEnd w:id="3"/>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20"/>
        <w:gridCol w:w="146"/>
        <w:gridCol w:w="212"/>
        <w:gridCol w:w="897"/>
        <w:gridCol w:w="166"/>
        <w:gridCol w:w="146"/>
        <w:gridCol w:w="272"/>
        <w:gridCol w:w="1153"/>
        <w:gridCol w:w="593"/>
      </w:tblGrid>
      <w:tr>
        <w:trPr/>
        <w:tc>
          <w:tcPr>
            <w:tcW w:w="6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non-affiliated investments (amortized cost of $3,181,712</w:t>
            </w:r>
            <w:r>
              <w:rPr>
                <w:rFonts w:ascii="Times New Roman" w:hAnsi="Times New Roman"/>
                <w:color w:val="000000"/>
                <w:sz w:val="20"/>
              </w:rPr>
              <w:t> </w:t>
            </w:r>
            <w:r>
              <w:rPr>
                <w:rFonts w:ascii="Times New Roman" w:hAnsi="Times New Roman"/>
                <w:color w:val="000000"/>
                <w:sz w:val="16"/>
              </w:rPr>
              <w:t>and $3,244,762,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3,189,952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3,288,945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affiliated investments (amortized cost of $51,391</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Controlled, affiliated investments (amortized cost of $83,290</w:t>
            </w:r>
            <w:r>
              <w:rPr>
                <w:rFonts w:ascii="Times New Roman" w:hAnsi="Times New Roman"/>
                <w:color w:val="000000"/>
                <w:sz w:val="20"/>
              </w:rPr>
              <w:t> </w:t>
            </w:r>
            <w:r>
              <w:rPr>
                <w:rFonts w:ascii="Times New Roman" w:hAnsi="Times New Roman"/>
                <w:color w:val="000000"/>
                <w:sz w:val="16"/>
              </w:rPr>
              <w:t>and $78,520,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58,372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(amortized cost of $3,316,393</w:t>
            </w:r>
            <w:r>
              <w:rPr>
                <w:rFonts w:ascii="Times New Roman" w:hAnsi="Times New Roman"/>
                <w:color w:val="000000"/>
                <w:sz w:val="20"/>
              </w:rPr>
              <w:t> </w:t>
            </w:r>
            <w:r>
              <w:rPr>
                <w:rFonts w:ascii="Times New Roman" w:hAnsi="Times New Roman"/>
                <w:color w:val="000000"/>
                <w:sz w:val="16"/>
              </w:rPr>
              <w:t>and $3,323,282,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3,347,317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(restricted cash of $40,055</w:t>
            </w:r>
            <w:r>
              <w:rPr>
                <w:rFonts w:ascii="Times New Roman" w:hAnsi="Times New Roman"/>
                <w:color w:val="000000"/>
                <w:sz w:val="20"/>
              </w:rPr>
              <w:t> </w:t>
            </w:r>
            <w:r>
              <w:rPr>
                <w:rFonts w:ascii="Times New Roman" w:hAnsi="Times New Roman"/>
                <w:color w:val="000000"/>
                <w:sz w:val="16"/>
              </w:rPr>
              <w:t>and $16,727,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3,543,191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3,421,655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Debt (net of deferred financing costs of $29,024</w:t>
            </w:r>
            <w:r>
              <w:rPr>
                <w:rFonts w:ascii="Times New Roman" w:hAnsi="Times New Roman"/>
                <w:color w:val="000000"/>
                <w:sz w:val="20"/>
              </w:rPr>
              <w:t> </w:t>
            </w:r>
            <w:r>
              <w:rPr>
                <w:rFonts w:ascii="Times New Roman" w:hAnsi="Times New Roman"/>
                <w:color w:val="000000"/>
                <w:sz w:val="16"/>
              </w:rPr>
              <w:t>and $24,411,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1,743,234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1,813,934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shares</w:t>
              <w:br/>
              <w:t>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400,000,000</w:t>
            </w:r>
            <w:r>
              <w:rPr>
                <w:rFonts w:ascii="Times New Roman" w:hAnsi="Times New Roman"/>
                <w:color w:val="000000"/>
                <w:sz w:val="20"/>
              </w:rPr>
              <w:t> </w:t>
            </w:r>
            <w:r>
              <w:rPr>
                <w:rFonts w:ascii="Times New Roman" w:hAnsi="Times New Roman"/>
                <w:color w:val="000000"/>
                <w:sz w:val="16"/>
              </w:rPr>
              <w:t>shares authorized, 96,038,327</w:t>
              <w:br/>
              <w:t>   and 95,369,400</w:t>
            </w:r>
            <w:r>
              <w:rPr>
                <w:rFonts w:ascii="Times New Roman" w:hAnsi="Times New Roman"/>
                <w:color w:val="000000"/>
                <w:sz w:val="20"/>
              </w:rPr>
              <w:t> </w:t>
            </w:r>
            <w:r>
              <w:rPr>
                <w:rFonts w:ascii="Times New Roman" w:hAnsi="Times New Roman"/>
                <w:color w:val="000000"/>
                <w:sz w:val="16"/>
              </w:rPr>
              <w:t>shares issued, respectively; and 95,343,139</w:t>
            </w:r>
            <w:r>
              <w:rPr>
                <w:rFonts w:ascii="Times New Roman" w:hAnsi="Times New Roman"/>
                <w:color w:val="000000"/>
                <w:sz w:val="20"/>
              </w:rPr>
              <w:t> </w:t>
            </w:r>
            <w:r>
              <w:rPr>
                <w:rFonts w:ascii="Times New Roman" w:hAnsi="Times New Roman"/>
                <w:color w:val="000000"/>
                <w:sz w:val="16"/>
              </w:rPr>
              <w:t>and 94,705,150</w:t>
              <w:br/>
              <w:t>   shares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1,535,583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Treasury stock at cost; 695,188</w:t>
            </w:r>
            <w:r>
              <w:rPr>
                <w:rFonts w:ascii="Times New Roman" w:hAnsi="Times New Roman"/>
                <w:color w:val="000000"/>
                <w:sz w:val="20"/>
              </w:rPr>
              <w:t> </w:t>
            </w:r>
            <w:r>
              <w:rPr>
                <w:rFonts w:ascii="Times New Roman" w:hAnsi="Times New Roman"/>
                <w:color w:val="000000"/>
                <w:sz w:val="16"/>
              </w:rPr>
              <w:t>and 664,250</w:t>
            </w:r>
            <w:r>
              <w:rPr>
                <w:rFonts w:ascii="Times New Roman" w:hAnsi="Times New Roman"/>
                <w:color w:val="000000"/>
                <w:sz w:val="20"/>
              </w:rPr>
              <w:t> </w:t>
            </w:r>
            <w:r>
              <w:rPr>
                <w:rFonts w:ascii="Times New Roman" w:hAnsi="Times New Roman"/>
                <w:color w:val="000000"/>
                <w:sz w:val="16"/>
              </w:rPr>
              <w:t>shares held,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1,548,554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1,607,721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3,543,191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3,421,655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4" w:name="consolidated_statements_of_operations"/>
      <w:bookmarkEnd w:id="4"/>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638"/>
        <w:gridCol w:w="146"/>
        <w:gridCol w:w="196"/>
        <w:gridCol w:w="921"/>
        <w:gridCol w:w="166"/>
        <w:gridCol w:w="146"/>
        <w:gridCol w:w="196"/>
        <w:gridCol w:w="921"/>
        <w:gridCol w:w="166"/>
        <w:gridCol w:w="146"/>
        <w:gridCol w:w="196"/>
        <w:gridCol w:w="921"/>
        <w:gridCol w:w="166"/>
        <w:gridCol w:w="146"/>
        <w:gridCol w:w="196"/>
        <w:gridCol w:w="921"/>
        <w:gridCol w:w="1017"/>
      </w:tblGrid>
      <w:tr>
        <w:trPr/>
        <w:tc>
          <w:tcPr>
            <w:tcW w:w="3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202,877</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11,143</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11,068</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226,383</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4,981</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231,364</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66,617</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26,001</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22,606</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4,521</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120,610</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waived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119,904</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111,460</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108,818</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64,352</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(4,366</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(36,807</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23,179</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(35,688</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(36,040</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(12,861</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95,957</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of common stock outstanding—basic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95,021,455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94,866,293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93,821,251</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5" w:name="consolidated_schedule_of_investments"/>
      <w:bookmarkEnd w:id="5"/>
      <w:r>
        <w:rPr>
          <w:rFonts w:ascii="Times New Roman" w:hAnsi="Times New Roman"/>
          <w:b/>
          <w:color w:val="000000"/>
          <w:sz w:val="20"/>
        </w:rPr>
        <w:t>Consolidated Schedule of Investments as of June 30, 2026</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86"/>
        <w:gridCol w:w="146"/>
        <w:gridCol w:w="1410"/>
        <w:gridCol w:w="146"/>
        <w:gridCol w:w="856"/>
        <w:gridCol w:w="146"/>
        <w:gridCol w:w="178"/>
        <w:gridCol w:w="792"/>
        <w:gridCol w:w="146"/>
        <w:gridCol w:w="146"/>
        <w:gridCol w:w="198"/>
        <w:gridCol w:w="613"/>
        <w:gridCol w:w="226"/>
        <w:gridCol w:w="146"/>
        <w:gridCol w:w="146"/>
        <w:gridCol w:w="181"/>
        <w:gridCol w:w="601"/>
        <w:gridCol w:w="146"/>
        <w:gridCol w:w="146"/>
        <w:gridCol w:w="146"/>
        <w:gridCol w:w="191"/>
        <w:gridCol w:w="637"/>
        <w:gridCol w:w="146"/>
        <w:gridCol w:w="146"/>
        <w:gridCol w:w="225"/>
        <w:gridCol w:w="583"/>
        <w:gridCol w:w="2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 xml:space="preserve">Company </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Rate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Amortized</w:t>
              <w:br/>
              <w:t xml:space="preserve">Cost </w:t>
            </w:r>
            <w:r>
              <w:rPr>
                <w:rFonts w:ascii="Times New Roman" w:hAnsi="Times New Roman"/>
                <w:b/>
                <w:color w:val="000000"/>
                <w:sz w:val="1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Fair Value</w:t>
            </w:r>
            <w:r>
              <w:rPr>
                <w:rFonts w:ascii="Times New Roman" w:hAnsi="Times New Roman"/>
                <w:color w:val="000000"/>
                <w:sz w:val="15"/>
              </w:rPr>
              <w:t> </w:t>
            </w:r>
            <w:r>
              <w:rPr>
                <w:rFonts w:ascii="Times New Roman" w:hAnsi="Times New Roman"/>
                <w:b/>
                <w:color w:val="000000"/>
                <w:sz w:val="1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w:t>
              <w:br/>
              <w:t>of Net Assets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Bidco, Inc.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($38,241</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17,292</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19,275</w:t>
              <w:br/>
              <w:t> (EUR 16,859)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($4,669</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Azurite Intermediate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($42,643</w:t>
            </w:r>
            <w:r>
              <w:rPr>
                <w:rFonts w:ascii="Times New Roman" w:hAnsi="Times New Roman"/>
                <w:color w:val="000000"/>
                <w:sz w:val="20"/>
              </w:rPr>
              <w:t> </w:t>
            </w:r>
            <w:r>
              <w:rPr>
                <w:rFonts w:ascii="Times New Roman" w:hAnsi="Times New Roman"/>
                <w:color w:val="000000"/>
                <w:sz w:val="15"/>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Ignition Purchaser,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holdco loan ($57,581</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Crewline Buyer, Inc.</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($58,384</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Elements Finco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($2,296</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8.89%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($1,848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10,660</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 (incl. 2.50%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14,042</w:t>
              <w:br/>
              <w:t> (GBP 10,580)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ExtraHop Networks,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($75,913</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($1,115</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Lynx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($1,567</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27,379</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30,843</w:t>
              <w:br/>
              <w:t> (EUR 26,977)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Corporate Purchaser, Inc. </w:t>
            </w:r>
            <w:r>
              <w:rPr>
                <w:rFonts w:ascii="Times New Roman" w:hAnsi="Times New Roman"/>
                <w:color w:val="000000"/>
                <w:sz w:val="1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($321</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Price Fx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1,046</w:t>
              <w:br/>
              <w:t> (EUR 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1,046</w:t>
              <w:br/>
              <w:t> (EUR 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USA DeBusk,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($9,445</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($1,069</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Wrangler TopCo,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($5,939</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Erling Lux Bidco SARL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11,549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13,017</w:t>
              <w:br/>
              <w:t> (EUR 11,386)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19,959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26,226</w:t>
              <w:br/>
              <w:t> (GBP 19,760)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(NOK 7,427</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N</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743</w:t>
              <w:br/>
              <w:t> (NOK 7,353)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635</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834</w:t>
              <w:br/>
              <w:t> (GBP 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Aurelia Netherlands B.V.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32,904</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37,431</w:t>
              <w:br/>
              <w:t> (EUR 32,739)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($56,216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($4,778</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Kangaroo Bidco AS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($30,625</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Severin Acquisition,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($16,153</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($945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5"/>
        <w:gridCol w:w="146"/>
        <w:gridCol w:w="1771"/>
        <w:gridCol w:w="146"/>
        <w:gridCol w:w="531"/>
        <w:gridCol w:w="146"/>
        <w:gridCol w:w="146"/>
        <w:gridCol w:w="984"/>
        <w:gridCol w:w="226"/>
        <w:gridCol w:w="146"/>
        <w:gridCol w:w="226"/>
        <w:gridCol w:w="700"/>
        <w:gridCol w:w="226"/>
        <w:gridCol w:w="146"/>
        <w:gridCol w:w="146"/>
        <w:gridCol w:w="146"/>
        <w:gridCol w:w="601"/>
        <w:gridCol w:w="146"/>
        <w:gridCol w:w="146"/>
        <w:gridCol w:w="146"/>
        <w:gridCol w:w="161"/>
        <w:gridCol w:w="668"/>
        <w:gridCol w:w="146"/>
        <w:gridCol w:w="146"/>
        <w:gridCol w:w="146"/>
        <w:gridCol w:w="376"/>
        <w:gridCol w:w="276"/>
      </w:tblGrid>
      <w:tr>
        <w:trPr/>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Sapphire Software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($26,830</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Alaska Bidco Oy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w:t>
              <w:br/>
              <w:t> (EUR 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Arlberg Bidco LLC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GreenShoot BidCo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5,107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5,650</w:t>
              <w:br/>
              <w:t> (EUR 4,942)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Intermediate Co.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($1,162</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US Blocker Co.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($22,029</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Passport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Promissory Note A ($1,086</w:t>
            </w:r>
            <w:r>
              <w:rPr>
                <w:rFonts w:ascii="Times New Roman" w:hAnsi="Times New Roman"/>
                <w:color w:val="000000"/>
                <w:sz w:val="20"/>
              </w:rPr>
              <w:t> </w:t>
            </w:r>
            <w:r>
              <w:rPr>
                <w:rFonts w:ascii="Times New Roman" w:hAnsi="Times New Roman"/>
                <w:color w:val="000000"/>
                <w:sz w:val="15"/>
              </w:rPr>
              <w:t>par, due 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Payroc Buyer,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Promissory Note ($5,419</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Volante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($3,029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Aledade,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($16,353</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Ace Purchaser,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($50,000</w:t>
            </w:r>
            <w:r>
              <w:rPr>
                <w:rFonts w:ascii="Times New Roman" w:hAnsi="Times New Roman"/>
                <w:color w:val="000000"/>
                <w:sz w:val="20"/>
              </w:rPr>
              <w:t> </w:t>
            </w:r>
            <w:r>
              <w:rPr>
                <w:rFonts w:ascii="Times New Roman" w:hAnsi="Times New Roman"/>
                <w:color w:val="000000"/>
                <w:sz w:val="15"/>
              </w:rPr>
              <w:t>par, due 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Eventus Buyer,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($28,594</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($1,867</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HMP Omnimedia,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($19,624</w:t>
            </w:r>
            <w:r>
              <w:rPr>
                <w:rFonts w:ascii="Times New Roman" w:hAnsi="Times New Roman"/>
                <w:color w:val="000000"/>
                <w:sz w:val="20"/>
              </w:rPr>
              <w:t> </w:t>
            </w:r>
            <w:r>
              <w:rPr>
                <w:rFonts w:ascii="Times New Roman" w:hAnsi="Times New Roman"/>
                <w:color w:val="000000"/>
                <w:sz w:val="15"/>
              </w:rPr>
              <w:t>par, due 7/2032)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Ingenovis Health Finance,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($32,500</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LIHA Holdco B.V.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5,873</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6,715</w:t>
              <w:br/>
              <w:t> (EUR 5,873)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318</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w:t>
              <w:br/>
              <w:t> (EUR 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($17,857</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($82</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Symplr Software Inc. </w:t>
            </w:r>
            <w:r>
              <w:rPr>
                <w:rFonts w:ascii="Times New Roman" w:hAnsi="Times New Roman"/>
                <w:color w:val="000000"/>
                <w:sz w:val="1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($631</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Velocity Clinical Research,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($64,651</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($528</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ASG II,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($65,000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AVSC Holding Corp.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($44,603</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($580</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Equinox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($52,094 par, due 3/2029)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($2,968</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($30,261</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($32,713</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Mindbody,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($28,889</w:t>
            </w:r>
            <w:r>
              <w:rPr>
                <w:rFonts w:ascii="Times New Roman" w:hAnsi="Times New Roman"/>
                <w:color w:val="000000"/>
                <w:sz w:val="20"/>
              </w:rPr>
              <w:t> </w:t>
            </w:r>
            <w:r>
              <w:rPr>
                <w:rFonts w:ascii="Times New Roman" w:hAnsi="Times New Roman"/>
                <w:color w:val="000000"/>
                <w:sz w:val="15"/>
              </w:rPr>
              <w:t>par, due 3/2033)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Sport Alliance GmbH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37,912</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42,871</w:t>
              <w:br/>
              <w:t> (EUR 37,497)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208</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w:t>
              <w:br/>
              <w:t> (EUR 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($44,802</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bswift,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($54,350</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6"/>
        <w:gridCol w:w="146"/>
        <w:gridCol w:w="1612"/>
        <w:gridCol w:w="146"/>
        <w:gridCol w:w="515"/>
        <w:gridCol w:w="146"/>
        <w:gridCol w:w="146"/>
        <w:gridCol w:w="983"/>
        <w:gridCol w:w="226"/>
        <w:gridCol w:w="146"/>
        <w:gridCol w:w="221"/>
        <w:gridCol w:w="684"/>
        <w:gridCol w:w="226"/>
        <w:gridCol w:w="146"/>
        <w:gridCol w:w="146"/>
        <w:gridCol w:w="146"/>
        <w:gridCol w:w="601"/>
        <w:gridCol w:w="146"/>
        <w:gridCol w:w="146"/>
        <w:gridCol w:w="146"/>
        <w:gridCol w:w="163"/>
        <w:gridCol w:w="673"/>
        <w:gridCol w:w="146"/>
        <w:gridCol w:w="146"/>
        <w:gridCol w:w="146"/>
        <w:gridCol w:w="376"/>
        <w:gridCol w:w="275"/>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Elysian Finco Ltd.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($21,668</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1,298</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+ 4.25%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1,643</w:t>
              <w:br/>
              <w:t> (GBP 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HireVue,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($56,769</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($6,958</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PayScale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($74,542</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($36,464</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($42,815</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 (incl. 3.00%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($1,774</w:t>
            </w:r>
            <w:r>
              <w:rPr>
                <w:rFonts w:ascii="Times New Roman" w:hAnsi="Times New Roman"/>
                <w:color w:val="000000"/>
                <w:sz w:val="20"/>
              </w:rPr>
              <w:t> </w:t>
            </w:r>
            <w:r>
              <w:rPr>
                <w:rFonts w:ascii="Times New Roman" w:hAnsi="Times New Roman"/>
                <w:color w:val="000000"/>
                <w:sz w:val="15"/>
              </w:rPr>
              <w:t>par, due 10/2027)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 Wombat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($46,952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Coupa Holdings,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($46,183</w:t>
            </w:r>
            <w:r>
              <w:rPr>
                <w:rFonts w:ascii="Times New Roman" w:hAnsi="Times New Roman"/>
                <w:color w:val="000000"/>
                <w:sz w:val="20"/>
              </w:rPr>
              <w:t> </w:t>
            </w:r>
            <w:r>
              <w:rPr>
                <w:rFonts w:ascii="Times New Roman" w:hAnsi="Times New Roman"/>
                <w:color w:val="000000"/>
                <w:sz w:val="15"/>
              </w:rPr>
              <w:t>par, due 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($1,969</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EDB Parent,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($80,704</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Flight Intermediate HoldCo,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($40,000</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Hippo XPA Bidco AB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(SEK 286,087</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8.74% (incl. 3.63%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29,560</w:t>
              <w:br/>
              <w:t> (SEK 286,087)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2,618</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9.04% (incl. 3.63%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2,993</w:t>
              <w:br/>
              <w:t> (EUR 2,618)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(SEK 3,906</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br/>
              <w:t> (SEK 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Kaseware Intermediate Holding Company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($47,059</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($294</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Khoros,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($11,682</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Kryptona BidCo US,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($20,927</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 (incl. 3.13%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4,843</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 (incl. 3.13%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5,496</w:t>
              <w:br/>
              <w:t> (EUR 4,807)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LeanTaaS Holdings,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($63,995</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RainFocus,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($66,784</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($55,440</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593,815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594,226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ASP Unifrax Holdings, Inc. </w:t>
            </w:r>
            <w:r>
              <w:rPr>
                <w:rFonts w:ascii="Times New Roman" w:hAnsi="Times New Roman"/>
                <w:color w:val="000000"/>
                <w:sz w:val="10"/>
              </w:rPr>
              <w:t>(12)(13)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($3,676 par, due 9/2029)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11.41% (incl. 4.75%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($2,031</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 (incl. 1.25%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Leg Purchaser,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($54,344</w:t>
            </w:r>
            <w:r>
              <w:rPr>
                <w:rFonts w:ascii="Times New Roman" w:hAnsi="Times New Roman"/>
                <w:color w:val="000000"/>
                <w:sz w:val="20"/>
              </w:rPr>
              <w:t> </w:t>
            </w:r>
            <w:r>
              <w:rPr>
                <w:rFonts w:ascii="Times New Roman" w:hAnsi="Times New Roman"/>
                <w:color w:val="000000"/>
                <w:sz w:val="15"/>
              </w:rPr>
              <w:t>par, due 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($3,177</w:t>
            </w:r>
            <w:r>
              <w:rPr>
                <w:rFonts w:ascii="Times New Roman" w:hAnsi="Times New Roman"/>
                <w:color w:val="000000"/>
                <w:sz w:val="20"/>
              </w:rPr>
              <w:t> </w:t>
            </w:r>
            <w:r>
              <w:rPr>
                <w:rFonts w:ascii="Times New Roman" w:hAnsi="Times New Roman"/>
                <w:color w:val="000000"/>
                <w:sz w:val="15"/>
              </w:rPr>
              <w:t>par, due 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+ 4.25%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Varinem German BidCo GMBH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12,696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14,588</w:t>
              <w:br/>
              <w:t> (EUR 12,760)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5,216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5,890</w:t>
              <w:br/>
              <w:t> (EUR 5,151)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Office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USR Parent,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($8,291</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Laramie Energy,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($27,317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($59,369</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87,862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0"/>
        <w:gridCol w:w="146"/>
        <w:gridCol w:w="1523"/>
        <w:gridCol w:w="146"/>
        <w:gridCol w:w="500"/>
        <w:gridCol w:w="146"/>
        <w:gridCol w:w="199"/>
        <w:gridCol w:w="850"/>
        <w:gridCol w:w="226"/>
        <w:gridCol w:w="146"/>
        <w:gridCol w:w="215"/>
        <w:gridCol w:w="666"/>
        <w:gridCol w:w="226"/>
        <w:gridCol w:w="146"/>
        <w:gridCol w:w="146"/>
        <w:gridCol w:w="146"/>
        <w:gridCol w:w="601"/>
        <w:gridCol w:w="146"/>
        <w:gridCol w:w="146"/>
        <w:gridCol w:w="146"/>
        <w:gridCol w:w="158"/>
        <w:gridCol w:w="651"/>
        <w:gridCol w:w="146"/>
        <w:gridCol w:w="146"/>
        <w:gridCol w:w="146"/>
        <w:gridCol w:w="376"/>
        <w:gridCol w:w="276"/>
      </w:tblGrid>
      <w:tr>
        <w:trPr/>
        <w:tc>
          <w:tcPr>
            <w:tcW w:w="1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Boréal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13,880</w:t>
            </w:r>
            <w:r>
              <w:rPr>
                <w:rFonts w:ascii="Times New Roman" w:hAnsi="Times New Roman"/>
                <w:color w:val="000000"/>
                <w:sz w:val="20"/>
              </w:rPr>
              <w:t> </w:t>
            </w:r>
            <w:r>
              <w:rPr>
                <w:rFonts w:ascii="Times New Roman" w:hAnsi="Times New Roman"/>
                <w:color w:val="000000"/>
                <w:sz w:val="15"/>
              </w:rPr>
              <w:t>par, due 3/2032)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 (incl. 4.00%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15,750</w:t>
              <w:br/>
              <w:t> (EUR 13,775)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Kahua,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($30,000</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Omnigo Software,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($13,059</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Scorpio Bidco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2,511</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2,845</w:t>
              <w:br/>
              <w:t> (EUR 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Sediver S.p.A.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6,368</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w:t>
              <w:br/>
              <w:t> (EUR 6,343)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($14,085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80,798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Arrowhead Pharmaceuticals, Inc.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($26,906</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40,905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45,373</w:t>
              <w:br/>
              <w:t> (EUR 39,686)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9,953</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12,979</w:t>
              <w:br/>
              <w:t> (GBP 9,779)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Cirrus (BidCo) Limited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705</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 (incl. 2.50%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w:t>
              <w:br/>
              <w:t> (GBP 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58</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w:t>
              <w:br/>
              <w:t> (GBP 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Acosta </w:t>
            </w:r>
            <w:r>
              <w:rPr>
                <w:rFonts w:ascii="Times New Roman" w:hAnsi="Times New Roman"/>
                <w:color w:val="000000"/>
                <w:sz w:val="1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($13,820</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($26,556</w:t>
            </w:r>
            <w:r>
              <w:rPr>
                <w:rFonts w:ascii="Times New Roman" w:hAnsi="Times New Roman"/>
                <w:color w:val="000000"/>
                <w:sz w:val="20"/>
              </w:rPr>
              <w:t> </w:t>
            </w:r>
            <w:r>
              <w:rPr>
                <w:rFonts w:ascii="Times New Roman" w:hAnsi="Times New Roman"/>
                <w:color w:val="000000"/>
                <w:sz w:val="15"/>
              </w:rPr>
              <w:t>par, due 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10.97% (incl. 10.47%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($1,319</w:t>
            </w:r>
            <w:r>
              <w:rPr>
                <w:rFonts w:ascii="Times New Roman" w:hAnsi="Times New Roman"/>
                <w:color w:val="000000"/>
                <w:sz w:val="20"/>
              </w:rPr>
              <w:t> </w:t>
            </w:r>
            <w:r>
              <w:rPr>
                <w:rFonts w:ascii="Times New Roman" w:hAnsi="Times New Roman"/>
                <w:color w:val="000000"/>
                <w:sz w:val="15"/>
              </w:rPr>
              <w:t>par, due 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+ 15.10%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18.72% (incl. 18.22%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Subordinated note ($4,740</w:t>
            </w:r>
            <w:r>
              <w:rPr>
                <w:rFonts w:ascii="Times New Roman" w:hAnsi="Times New Roman"/>
                <w:color w:val="000000"/>
                <w:sz w:val="20"/>
              </w:rPr>
              <w:t> </w:t>
            </w:r>
            <w:r>
              <w:rPr>
                <w:rFonts w:ascii="Times New Roman" w:hAnsi="Times New Roman"/>
                <w:color w:val="000000"/>
                <w:sz w:val="15"/>
              </w:rPr>
              <w:t>par, due 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Bed Bath and Beyond Inc. </w:t>
            </w:r>
            <w:r>
              <w:rPr>
                <w:rFonts w:ascii="Times New Roman" w:hAnsi="Times New Roman"/>
                <w:color w:val="000000"/>
                <w:sz w:val="10"/>
              </w:rPr>
              <w:t>(3)(12)(16)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($3,896</w:t>
            </w:r>
            <w:r>
              <w:rPr>
                <w:rFonts w:ascii="Times New Roman" w:hAnsi="Times New Roman"/>
                <w:color w:val="000000"/>
                <w:sz w:val="20"/>
              </w:rPr>
              <w:t> </w:t>
            </w:r>
            <w:r>
              <w:rPr>
                <w:rFonts w:ascii="Times New Roman" w:hAnsi="Times New Roman"/>
                <w:color w:val="000000"/>
                <w:sz w:val="15"/>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Roll Up DIP term loan ($23,769</w:t>
            </w:r>
            <w:r>
              <w:rPr>
                <w:rFonts w:ascii="Times New Roman" w:hAnsi="Times New Roman"/>
                <w:color w:val="000000"/>
                <w:sz w:val="20"/>
              </w:rPr>
              <w:t> </w:t>
            </w:r>
            <w:r>
              <w:rPr>
                <w:rFonts w:ascii="Times New Roman" w:hAnsi="Times New Roman"/>
                <w:color w:val="000000"/>
                <w:sz w:val="15"/>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11.54%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Super-Priority DIP term loan ($3,204</w:t>
            </w:r>
            <w:r>
              <w:rPr>
                <w:rFonts w:ascii="Times New Roman" w:hAnsi="Times New Roman"/>
                <w:color w:val="000000"/>
                <w:sz w:val="20"/>
              </w:rPr>
              <w:t> </w:t>
            </w:r>
            <w:r>
              <w:rPr>
                <w:rFonts w:ascii="Times New Roman" w:hAnsi="Times New Roman"/>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Belk,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($42,863</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Blazing Star Parent,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($68,688</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Cordance Operations,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($66,121</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Neuintel,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($53,370</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PDI TA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($20,308</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 (incl. 2.50%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($1,640</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Photo Holdings,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($50,000</w:t>
            </w:r>
            <w:r>
              <w:rPr>
                <w:rFonts w:ascii="Times New Roman" w:hAnsi="Times New Roman"/>
                <w:color w:val="000000"/>
                <w:sz w:val="20"/>
              </w:rPr>
              <w:t> </w:t>
            </w:r>
            <w:r>
              <w:rPr>
                <w:rFonts w:ascii="Times New Roman" w:hAnsi="Times New Roman"/>
                <w:color w:val="000000"/>
                <w:sz w:val="15"/>
              </w:rPr>
              <w:t>par, due 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Rapid Data GmbH Unternehmensberatung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7,546</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8,438</w:t>
              <w:br/>
              <w:t> (EUR 7,381)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328</w:t>
            </w:r>
            <w:r>
              <w:rPr>
                <w:rFonts w:ascii="Times New Roman" w:hAnsi="Times New Roman"/>
                <w:color w:val="000000"/>
                <w:sz w:val="20"/>
              </w:rPr>
              <w:t> </w:t>
            </w:r>
            <w:r>
              <w:rPr>
                <w:rFonts w:ascii="Times New Roman" w:hAnsi="Times New Roman"/>
                <w:color w:val="000000"/>
                <w:sz w:val="15"/>
              </w:rPr>
              <w:t>par, due 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w:t>
              <w:br/>
              <w:t> (EUR 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Tango Management Consulting,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($52,499</w:t>
            </w:r>
            <w:r>
              <w:rPr>
                <w:rFonts w:ascii="Times New Roman" w:hAnsi="Times New Roman"/>
                <w:color w:val="000000"/>
                <w:sz w:val="20"/>
              </w:rPr>
              <w:t> </w:t>
            </w:r>
            <w:r>
              <w:rPr>
                <w:rFonts w:ascii="Times New Roman" w:hAnsi="Times New Roman"/>
                <w:color w:val="000000"/>
                <w:sz w:val="15"/>
              </w:rPr>
              <w:t>par, due 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 Nevis Midco Limited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Marcura Equities LTD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($42,412</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 (incl. 4.25%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1,130</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1,496</w:t>
              <w:br/>
              <w:t> (GBP 1,127)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($1,667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4"/>
        <w:gridCol w:w="146"/>
        <w:gridCol w:w="1575"/>
        <w:gridCol w:w="146"/>
        <w:gridCol w:w="494"/>
        <w:gridCol w:w="146"/>
        <w:gridCol w:w="237"/>
        <w:gridCol w:w="735"/>
        <w:gridCol w:w="226"/>
        <w:gridCol w:w="146"/>
        <w:gridCol w:w="160"/>
        <w:gridCol w:w="495"/>
        <w:gridCol w:w="226"/>
        <w:gridCol w:w="146"/>
        <w:gridCol w:w="146"/>
        <w:gridCol w:w="146"/>
        <w:gridCol w:w="721"/>
        <w:gridCol w:w="146"/>
        <w:gridCol w:w="146"/>
        <w:gridCol w:w="146"/>
        <w:gridCol w:w="151"/>
        <w:gridCol w:w="747"/>
        <w:gridCol w:w="146"/>
        <w:gridCol w:w="146"/>
        <w:gridCol w:w="146"/>
        <w:gridCol w:w="451"/>
        <w:gridCol w:w="275"/>
      </w:tblGrid>
      <w:tr>
        <w:trPr/>
        <w:tc>
          <w:tcPr>
            <w:tcW w:w="1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Project44,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($54,412</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Rail Acquisitions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($22,371 par, due 1/2030)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($22,930</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Ranger Intermediate II,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($69,188</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Shiftmove GMBH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36,338</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41,030</w:t>
              <w:br/>
              <w:t> (EUR 35,888)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3,021,527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3,005,738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194.1</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Structured Credit and 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Artisan Topco LP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Preferred Units (2,117,264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Dye &amp; Durham, Ltd. </w:t>
            </w:r>
            <w:r>
              <w:rPr>
                <w:rFonts w:ascii="Times New Roman" w:hAnsi="Times New Roman"/>
                <w:color w:val="000000"/>
                <w:sz w:val="10"/>
              </w:rPr>
              <w:t>(4)(10)(14)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(126,968</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w:t>
              <w:br/>
              <w:t> (CAD 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Insight Hideaway Aggregator, L.P.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Interest (329,861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TA Aggregator,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(0.43%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Newark FP Co-Invest, L.P.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(2,527,719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Sprinklr, Inc. </w:t>
            </w:r>
            <w:r>
              <w:rPr>
                <w:rFonts w:ascii="Times New Roman" w:hAnsi="Times New Roman"/>
                <w:color w:val="000000"/>
                <w:sz w:val="10"/>
              </w:rPr>
              <w:t>(10)(14)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(283,499</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Warrior TopCo LP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(423,729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(1,250,000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IntelePeer Holdings, Inc.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(1,816,295</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(1,598,874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Warrants (106,592</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(5,522,526</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AF Eagle Parent,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Units (121,329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Newport Parent Holdings, L.P.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A-2 Units (131,569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Passport Labs,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(17,534</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TS Imagine, Inc. </w:t>
            </w:r>
            <w:r>
              <w:rPr>
                <w:rFonts w:ascii="Times New Roman" w:hAnsi="Times New Roman"/>
                <w:color w:val="000000"/>
                <w:sz w:val="1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 Units (600,000 units)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AA Units (19,093</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Caris Life Sciences, Inc. </w:t>
            </w:r>
            <w:r>
              <w:rPr>
                <w:rFonts w:ascii="Times New Roman" w:hAnsi="Times New Roman"/>
                <w:color w:val="000000"/>
                <w:sz w:val="1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(589,933</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Topco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(989,691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Ordinary Shares (13,176</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(50,140,171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C-1 Units (8,800,000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(4)(10)(15)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(3,780,000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bswift, LLC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(2,393,509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DaySmart Holdings, LLC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(166,811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E Preferred Shares (113,250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4,136</w:t>
              <w:br/>
              <w:t> (AUD 5,970)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Common Units (8,837,008</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2 Common Units (3,493,701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Bigtincan Holdings L.P. </w:t>
            </w:r>
            <w:r>
              <w:rPr>
                <w:rFonts w:ascii="Times New Roman" w:hAnsi="Times New Roman"/>
                <w:color w:val="000000"/>
                <w:sz w:val="1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(2,902,890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Khoros, LLC </w:t>
            </w:r>
            <w:r>
              <w:rPr>
                <w:rFonts w:ascii="Times New Roman" w:hAnsi="Times New Roman"/>
                <w:color w:val="000000"/>
                <w:sz w:val="1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F Preferred Shares (199,054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Piano Software, Inc.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C-1 Preferred Shares (418,527</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6"/>
        <w:gridCol w:w="146"/>
        <w:gridCol w:w="1792"/>
        <w:gridCol w:w="146"/>
        <w:gridCol w:w="503"/>
        <w:gridCol w:w="146"/>
        <w:gridCol w:w="238"/>
        <w:gridCol w:w="737"/>
        <w:gridCol w:w="226"/>
        <w:gridCol w:w="146"/>
        <w:gridCol w:w="161"/>
        <w:gridCol w:w="499"/>
        <w:gridCol w:w="226"/>
        <w:gridCol w:w="146"/>
        <w:gridCol w:w="146"/>
        <w:gridCol w:w="146"/>
        <w:gridCol w:w="601"/>
        <w:gridCol w:w="146"/>
        <w:gridCol w:w="146"/>
        <w:gridCol w:w="146"/>
        <w:gridCol w:w="154"/>
        <w:gridCol w:w="637"/>
        <w:gridCol w:w="146"/>
        <w:gridCol w:w="146"/>
        <w:gridCol w:w="146"/>
        <w:gridCol w:w="301"/>
        <w:gridCol w:w="276"/>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C-2 Preferred Shares (27,588</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(1,584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(1,124,813</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Marketing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Validity, Inc.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 Preferred Shares (3,840,000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Murchison Oil and Gas, LLC </w:t>
            </w:r>
            <w:r>
              <w:rPr>
                <w:rFonts w:ascii="Times New Roman" w:hAnsi="Times New Roman"/>
                <w:color w:val="000000"/>
                <w:sz w:val="1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Preferred Units (13,355</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(1.89%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TherapeuticsMD, Inc. </w:t>
            </w:r>
            <w:r>
              <w:rPr>
                <w:rFonts w:ascii="Times New Roman" w:hAnsi="Times New Roman"/>
                <w:color w:val="000000"/>
                <w:sz w:val="1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(14,256</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Preference Shares (4,976,563</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6,902</w:t>
              <w:br/>
              <w:t> (GBP 5,201)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(687</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Copper Bidco, LLC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Trust Certificates (996,958</w:t>
            </w:r>
            <w:r>
              <w:rPr>
                <w:rFonts w:ascii="Times New Roman" w:hAnsi="Times New Roman"/>
                <w:color w:val="000000"/>
                <w:sz w:val="20"/>
              </w:rPr>
              <w:t> </w:t>
            </w:r>
            <w:r>
              <w:rPr>
                <w:rFonts w:ascii="Times New Roman" w:hAnsi="Times New Roman"/>
                <w:color w:val="000000"/>
                <w:sz w:val="15"/>
              </w:rPr>
              <w:t>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Neuintel, LLC </w:t>
            </w:r>
            <w:r>
              <w:rPr>
                <w:rFonts w:ascii="Times New Roman" w:hAnsi="Times New Roman"/>
                <w:color w:val="000000"/>
                <w:sz w:val="1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(1,176,494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RailTrac Holdings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(3,059</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Ranger Parent I,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A-1 Preferred Shares (5,639</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Warrants (3,841 warrants)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2022-63A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($2,500</w:t>
            </w:r>
            <w:r>
              <w:rPr>
                <w:rFonts w:ascii="Times New Roman" w:hAnsi="Times New Roman"/>
                <w:color w:val="000000"/>
                <w:sz w:val="20"/>
              </w:rPr>
              <w:t> </w:t>
            </w:r>
            <w:r>
              <w:rPr>
                <w:rFonts w:ascii="Times New Roman" w:hAnsi="Times New Roman"/>
                <w:color w:val="000000"/>
                <w:sz w:val="15"/>
              </w:rPr>
              <w:t>par, due 10/2038)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2022-64A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10/2039)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2024-72A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7/2036)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Benefit Street Partners CLO Ltd, Series 2025-39A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($1,725</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Canyon CLO Ltd, Series 2025-1A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($1,125</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Carlyle US CLO Ltd, Series 2017-2A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($2,500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Carlyle US CLO Ltd, Series 2021-1A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($3,225</w:t>
            </w:r>
            <w:r>
              <w:rPr>
                <w:rFonts w:ascii="Times New Roman" w:hAnsi="Times New Roman"/>
                <w:color w:val="000000"/>
                <w:sz w:val="20"/>
              </w:rPr>
              <w:t> </w:t>
            </w:r>
            <w:r>
              <w:rPr>
                <w:rFonts w:ascii="Times New Roman" w:hAnsi="Times New Roman"/>
                <w:color w:val="000000"/>
                <w:sz w:val="15"/>
              </w:rPr>
              <w:t>par, due 1/2040)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CarVal CLO Ltd, Series 2023-1A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2020-4A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1/2040)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2021-7A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($2,800</w:t>
            </w:r>
            <w:r>
              <w:rPr>
                <w:rFonts w:ascii="Times New Roman" w:hAnsi="Times New Roman"/>
                <w:color w:val="000000"/>
                <w:sz w:val="20"/>
              </w:rPr>
              <w:t> </w:t>
            </w:r>
            <w:r>
              <w:rPr>
                <w:rFonts w:ascii="Times New Roman" w:hAnsi="Times New Roman"/>
                <w:color w:val="000000"/>
                <w:sz w:val="15"/>
              </w:rPr>
              <w:t>par, due 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2022-4A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Diameter Capital CLO Ltd, Series 2025-9A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Goldentree Loan Management US CLO Ltd, Series 2022-16A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($5,000</w:t>
            </w:r>
            <w:r>
              <w:rPr>
                <w:rFonts w:ascii="Times New Roman" w:hAnsi="Times New Roman"/>
                <w:color w:val="000000"/>
                <w:sz w:val="20"/>
              </w:rPr>
              <w:t> </w:t>
            </w:r>
            <w:r>
              <w:rPr>
                <w:rFonts w:ascii="Times New Roman" w:hAnsi="Times New Roman"/>
                <w:color w:val="000000"/>
                <w:sz w:val="15"/>
              </w:rPr>
              <w:t>par, due 1/2038)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Goldentree Loan Management US CLO Ltd, Series 2023-17A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1/2039)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Lake George Park CLO Ltd, Series 2025-1A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Madison Park Funding Ltd, Series 2025-65A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($4,400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Madison Park Funding Ltd, Series 2025-72A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CLO Ltd, Series 2017-16SA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CLO Ltd, Series 2015-20A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($1,150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2017-24A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2019-33A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6"/>
        <w:gridCol w:w="146"/>
        <w:gridCol w:w="1447"/>
        <w:gridCol w:w="146"/>
        <w:gridCol w:w="529"/>
        <w:gridCol w:w="146"/>
        <w:gridCol w:w="983"/>
        <w:gridCol w:w="146"/>
        <w:gridCol w:w="146"/>
        <w:gridCol w:w="146"/>
        <w:gridCol w:w="451"/>
        <w:gridCol w:w="226"/>
        <w:gridCol w:w="146"/>
        <w:gridCol w:w="181"/>
        <w:gridCol w:w="146"/>
        <w:gridCol w:w="721"/>
        <w:gridCol w:w="146"/>
        <w:gridCol w:w="146"/>
        <w:gridCol w:w="181"/>
        <w:gridCol w:w="146"/>
        <w:gridCol w:w="721"/>
        <w:gridCol w:w="146"/>
        <w:gridCol w:w="146"/>
        <w:gridCol w:w="146"/>
        <w:gridCol w:w="451"/>
        <w:gridCol w:w="304"/>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2021-44A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Oaktree CLO Ltd, Series 2022-2A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10/2037)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Octagon 67 Ltd, Series 2023-1A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Oha Credit Funding Ltd, Series 2025-22A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($1,250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Palmer Square CLO Ltd, Series 2021-4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Palmer Square CLO Ltd, Series 2025-1A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($2,250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Pikes Peak CLO Ltd, Series 2023-14A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Regatta Funding Ltd, Series 2020-1A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Riverbank Park CLO Ltd, Series 2024-1A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1/2038)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RR Ltd, Series 2021-19A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4/2040)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Texas Debt Capital CLO Ltd, Series 2023-1A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Whitebox CLO Ltd, Series 2023-4A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($1,500</w:t>
            </w:r>
            <w:r>
              <w:rPr>
                <w:rFonts w:ascii="Times New Roman" w:hAnsi="Times New Roman"/>
                <w:color w:val="000000"/>
                <w:sz w:val="20"/>
              </w:rPr>
              <w:t> </w:t>
            </w:r>
            <w:r>
              <w:rPr>
                <w:rFonts w:ascii="Times New Roman" w:hAnsi="Times New Roman"/>
                <w:color w:val="000000"/>
                <w:sz w:val="15"/>
              </w:rPr>
              <w:t>par, due 4/2036)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Structured Credit Partners JV, LLC </w:t>
            </w:r>
            <w:r>
              <w:rPr>
                <w:rFonts w:ascii="Times New Roman" w:hAnsi="Times New Roman"/>
                <w:color w:val="000000"/>
                <w:sz w:val="10"/>
              </w:rPr>
              <w:t>(4)(6)(11)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(25.00%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Structured Credit and 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3,316,393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3,302,132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213.2</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3"/>
        <w:gridCol w:w="146"/>
        <w:gridCol w:w="811"/>
        <w:gridCol w:w="146"/>
        <w:gridCol w:w="978"/>
        <w:gridCol w:w="146"/>
        <w:gridCol w:w="964"/>
        <w:gridCol w:w="146"/>
        <w:gridCol w:w="196"/>
        <w:gridCol w:w="826"/>
        <w:gridCol w:w="146"/>
        <w:gridCol w:w="146"/>
        <w:gridCol w:w="196"/>
        <w:gridCol w:w="601"/>
        <w:gridCol w:w="166"/>
        <w:gridCol w:w="146"/>
        <w:gridCol w:w="352"/>
        <w:gridCol w:w="623"/>
        <w:gridCol w:w="146"/>
        <w:gridCol w:w="146"/>
        <w:gridCol w:w="241"/>
        <w:gridCol w:w="819"/>
        <w:gridCol w:w="395"/>
      </w:tblGrid>
      <w:tr>
        <w:trPr/>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Contains a variable rate structure. Bears interest at a rate determined by SOFR.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Unless otherwise indicated, the Company</w:t>
      </w:r>
      <w:r>
        <w:rPr>
          <w:color w:val="000000"/>
        </w:rPr>
        <w:t>’</w:t>
      </w:r>
      <w:r>
        <w:rPr>
          <w:rFonts w:ascii="Times New Roman" w:hAnsi="Times New Roman"/>
          <w:color w:val="000000"/>
          <w:sz w:val="20"/>
        </w:rPr>
        <w:t>s portfolio companies are domiciled in the United States. 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Sterling Overnight Index Average (“SONIA” or “S”), Secured Overnight Financing Rate (“SOFR”) which may also contain a credit spread adjustment depending on the tenor election,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20.5%</w:t>
      </w:r>
      <w:r>
        <w:rPr>
          <w:color w:val="000000"/>
        </w:rPr>
        <w:t xml:space="preserve"> </w:t>
      </w:r>
      <w:r>
        <w:rPr>
          <w:rFonts w:ascii="Times New Roman" w:hAnsi="Times New Roman"/>
          <w:color w:val="000000"/>
          <w:sz w:val="20"/>
        </w:rPr>
        <w:t>of total assets as of June 30, 2026.</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an “Affiliated Person” (as defined in the 1940 Act) of this portfolio company, as the Company owns more than 5% of the portfolio company’s outstanding voting securities. Transactions during the six months ended June 30, 2026 in which the Company was an Affiliated Person of the portfolio company are as follows:</w:t>
      </w:r>
    </w:p>
    <w:p>
      <w:pPr>
        <w:pStyle w:val="TextBody"/>
        <w:bidi w:val="0"/>
        <w:spacing w:before="40" w:after="283"/>
        <w:jc w:val="center"/>
        <w:rPr/>
      </w:pPr>
      <w:r>
        <w:rPr/>
        <w:t> </w:t>
      </w:r>
    </w:p>
    <w:p>
      <w:pPr>
        <w:pStyle w:val="TextBody"/>
        <w:bidi w:val="0"/>
        <w:spacing w:before="40" w:after="283"/>
        <w:jc w:val="center"/>
        <w:rPr>
          <w:rFonts w:ascii="Times New Roman" w:hAnsi="Times New Roman"/>
          <w:b/>
          <w:color w:val="000000"/>
          <w:sz w:val="20"/>
          <w:u w:val="single"/>
        </w:rPr>
      </w:pPr>
      <w:r>
        <w:rPr>
          <w:rFonts w:ascii="Times New Roman" w:hAnsi="Times New Roman"/>
          <w:b/>
          <w:color w:val="000000"/>
          <w:sz w:val="20"/>
          <w:u w:val="single"/>
        </w:rPr>
        <w:t>Non-Controlled, Affiliated Investments during the six months ended June 30, 2026</w:t>
      </w:r>
    </w:p>
    <w:p>
      <w:pPr>
        <w:pStyle w:val="TextBody"/>
        <w:bidi w:val="0"/>
        <w:spacing w:before="40" w:after="283"/>
        <w:jc w:val="center"/>
        <w:rPr/>
      </w:pPr>
      <w:r>
        <w:rPr/>
        <w:t> </w:t>
      </w:r>
    </w:p>
    <w:tbl>
      <w:tblPr>
        <w:tblW w:w="11904" w:type="dxa"/>
        <w:jc w:val="left"/>
        <w:tblInd w:w="0" w:type="dxa"/>
        <w:tblLayout w:type="fixed"/>
        <w:tblCellMar>
          <w:top w:w="28" w:type="dxa"/>
          <w:left w:w="28" w:type="dxa"/>
          <w:bottom w:w="28" w:type="dxa"/>
          <w:right w:w="28" w:type="dxa"/>
        </w:tblCellMar>
      </w:tblPr>
      <w:tblGrid>
        <w:gridCol w:w="961"/>
        <w:gridCol w:w="146"/>
        <w:gridCol w:w="312"/>
        <w:gridCol w:w="514"/>
        <w:gridCol w:w="146"/>
        <w:gridCol w:w="146"/>
        <w:gridCol w:w="211"/>
        <w:gridCol w:w="676"/>
        <w:gridCol w:w="146"/>
        <w:gridCol w:w="146"/>
        <w:gridCol w:w="341"/>
        <w:gridCol w:w="560"/>
        <w:gridCol w:w="146"/>
        <w:gridCol w:w="146"/>
        <w:gridCol w:w="239"/>
        <w:gridCol w:w="647"/>
        <w:gridCol w:w="146"/>
        <w:gridCol w:w="146"/>
        <w:gridCol w:w="273"/>
        <w:gridCol w:w="448"/>
        <w:gridCol w:w="146"/>
        <w:gridCol w:w="146"/>
        <w:gridCol w:w="301"/>
        <w:gridCol w:w="495"/>
        <w:gridCol w:w="146"/>
        <w:gridCol w:w="146"/>
        <w:gridCol w:w="211"/>
        <w:gridCol w:w="676"/>
        <w:gridCol w:w="146"/>
        <w:gridCol w:w="146"/>
        <w:gridCol w:w="250"/>
        <w:gridCol w:w="411"/>
        <w:gridCol w:w="146"/>
        <w:gridCol w:w="146"/>
        <w:gridCol w:w="211"/>
        <w:gridCol w:w="571"/>
        <w:gridCol w:w="146"/>
        <w:gridCol w:w="146"/>
        <w:gridCol w:w="239"/>
        <w:gridCol w:w="392"/>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Dividend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Partners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2026 in which the issuer was an Affiliated Person of and was deemed to Control a portfolio company are as follows:</w:t>
      </w:r>
    </w:p>
    <w:p>
      <w:pPr>
        <w:pStyle w:val="TextBody"/>
        <w:bidi w:val="0"/>
        <w:jc w:val="left"/>
        <w:rPr/>
      </w:pPr>
      <w:r>
        <w:rPr/>
        <w:t> </w:t>
      </w:r>
    </w:p>
    <w:p>
      <w:pPr>
        <w:pStyle w:val="TextBody"/>
        <w:bidi w:val="0"/>
        <w:spacing w:before="40" w:after="283"/>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six months ended June 30, 2026</w:t>
      </w:r>
    </w:p>
    <w:p>
      <w:pPr>
        <w:pStyle w:val="TextBody"/>
        <w:bidi w:val="0"/>
        <w:spacing w:before="40" w:after="283"/>
        <w:jc w:val="center"/>
        <w:rPr/>
      </w:pPr>
      <w:r>
        <w:rPr/>
        <w:t> </w:t>
      </w:r>
    </w:p>
    <w:tbl>
      <w:tblPr>
        <w:tblW w:w="11849" w:type="dxa"/>
        <w:jc w:val="left"/>
        <w:tblInd w:w="0" w:type="dxa"/>
        <w:tblLayout w:type="fixed"/>
        <w:tblCellMar>
          <w:top w:w="28" w:type="dxa"/>
          <w:left w:w="28" w:type="dxa"/>
          <w:bottom w:w="28" w:type="dxa"/>
          <w:right w:w="28" w:type="dxa"/>
        </w:tblCellMar>
      </w:tblPr>
      <w:tblGrid>
        <w:gridCol w:w="826"/>
        <w:gridCol w:w="146"/>
        <w:gridCol w:w="211"/>
        <w:gridCol w:w="676"/>
        <w:gridCol w:w="146"/>
        <w:gridCol w:w="146"/>
        <w:gridCol w:w="214"/>
        <w:gridCol w:w="582"/>
        <w:gridCol w:w="146"/>
        <w:gridCol w:w="146"/>
        <w:gridCol w:w="341"/>
        <w:gridCol w:w="560"/>
        <w:gridCol w:w="146"/>
        <w:gridCol w:w="146"/>
        <w:gridCol w:w="222"/>
        <w:gridCol w:w="664"/>
        <w:gridCol w:w="166"/>
        <w:gridCol w:w="146"/>
        <w:gridCol w:w="273"/>
        <w:gridCol w:w="448"/>
        <w:gridCol w:w="146"/>
        <w:gridCol w:w="146"/>
        <w:gridCol w:w="301"/>
        <w:gridCol w:w="495"/>
        <w:gridCol w:w="146"/>
        <w:gridCol w:w="146"/>
        <w:gridCol w:w="211"/>
        <w:gridCol w:w="676"/>
        <w:gridCol w:w="146"/>
        <w:gridCol w:w="146"/>
        <w:gridCol w:w="211"/>
        <w:gridCol w:w="571"/>
        <w:gridCol w:w="146"/>
        <w:gridCol w:w="146"/>
        <w:gridCol w:w="284"/>
        <w:gridCol w:w="467"/>
        <w:gridCol w:w="146"/>
        <w:gridCol w:w="146"/>
        <w:gridCol w:w="252"/>
        <w:gridCol w:w="379"/>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Dividend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pPr>
      <w:r>
        <w:rPr>
          <w:rFonts w:ascii="Times New Roman" w:hAnsi="Times New Roman"/>
          <w:color w:val="000000"/>
          <w:sz w:val="20"/>
        </w:rPr>
        <w:t>As of June 30, 2026, the estimated cost basis of investments for U.S. federal tax purposes was $3,325,137</w:t>
      </w:r>
      <w:r>
        <w:rPr>
          <w:color w:val="000000"/>
        </w:rPr>
        <w:t xml:space="preserve"> </w:t>
      </w:r>
      <w:r>
        <w:rPr>
          <w:rFonts w:ascii="Times New Roman" w:hAnsi="Times New Roman"/>
          <w:color w:val="000000"/>
          <w:sz w:val="20"/>
        </w:rPr>
        <w:t>resulting in estimated gross unrealized gains and losses of $187,182</w:t>
      </w:r>
      <w:r>
        <w:rPr>
          <w:color w:val="000000"/>
        </w:rPr>
        <w:t xml:space="preserve"> </w:t>
      </w:r>
      <w:r>
        <w:rPr>
          <w:rFonts w:ascii="Times New Roman" w:hAnsi="Times New Roman"/>
          <w:color w:val="000000"/>
          <w:sz w:val="20"/>
        </w:rPr>
        <w:t>and $226,981,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as amended (the “Securities Act”), and may be deemed to be “restricted securities” under the Securities Act. As of June 30, 2026, the aggregate fair value of these securities is $59,886, or 3.9%</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 related to investments at fair value.</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Ownership of equity investments may occur through a holding company or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$17.0</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as of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2"/>
        <w:gridCol w:w="146"/>
        <w:gridCol w:w="1216"/>
        <w:gridCol w:w="146"/>
        <w:gridCol w:w="856"/>
        <w:gridCol w:w="146"/>
        <w:gridCol w:w="146"/>
        <w:gridCol w:w="961"/>
        <w:gridCol w:w="226"/>
        <w:gridCol w:w="146"/>
        <w:gridCol w:w="247"/>
        <w:gridCol w:w="685"/>
        <w:gridCol w:w="226"/>
        <w:gridCol w:w="146"/>
        <w:gridCol w:w="146"/>
        <w:gridCol w:w="181"/>
        <w:gridCol w:w="601"/>
        <w:gridCol w:w="146"/>
        <w:gridCol w:w="146"/>
        <w:gridCol w:w="146"/>
        <w:gridCol w:w="187"/>
        <w:gridCol w:w="622"/>
        <w:gridCol w:w="146"/>
        <w:gridCol w:w="146"/>
        <w:gridCol w:w="222"/>
        <w:gridCol w:w="575"/>
        <w:gridCol w:w="276"/>
      </w:tblGrid>
      <w:tr>
        <w:trPr/>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 xml:space="preserve">Company </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Reference</w:t>
              <w:br/>
              <w:t>Rate and</w:t>
              <w:br/>
              <w:t>Spread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Rate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Amortized</w:t>
              <w:br/>
              <w:t xml:space="preserve">Cost </w:t>
            </w:r>
            <w:r>
              <w:rPr>
                <w:rFonts w:ascii="Times New Roman" w:hAnsi="Times New Roman"/>
                <w:b/>
                <w:color w:val="000000"/>
                <w:sz w:val="1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Fair Value</w:t>
            </w:r>
            <w:r>
              <w:rPr>
                <w:rFonts w:ascii="Times New Roman" w:hAnsi="Times New Roman"/>
                <w:color w:val="000000"/>
                <w:sz w:val="15"/>
              </w:rPr>
              <w:t> </w:t>
            </w:r>
            <w:r>
              <w:rPr>
                <w:rFonts w:ascii="Times New Roman" w:hAnsi="Times New Roman"/>
                <w:b/>
                <w:color w:val="000000"/>
                <w:sz w:val="1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w:t>
              <w:br/>
              <w:t>of Net Assets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Bidco, Inc.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($38,438</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17,380</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20,310</w:t>
              <w:br/>
              <w:t> (EUR 17,293)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($4,287</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Azurite Intermediate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($42,750</w:t>
            </w:r>
            <w:r>
              <w:rPr>
                <w:rFonts w:ascii="Times New Roman" w:hAnsi="Times New Roman"/>
                <w:color w:val="000000"/>
                <w:sz w:val="20"/>
              </w:rPr>
              <w:t> </w:t>
            </w:r>
            <w:r>
              <w:rPr>
                <w:rFonts w:ascii="Times New Roman" w:hAnsi="Times New Roman"/>
                <w:color w:val="000000"/>
                <w:sz w:val="15"/>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Ignition Purchaser,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holdco loan ($54,435</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11.37%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Crewline Buyer, Inc.</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($58,384</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Dye &amp; Durham Corp.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($945</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Elements Finco Limited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($2,270</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8.97% (incl. 2.25</w:t>
            </w:r>
            <w:r>
              <w:rPr>
                <w:rFonts w:ascii="Times New Roman" w:hAnsi="Times New Roman"/>
                <w:color w:val="000000"/>
                <w:sz w:val="20"/>
              </w:rPr>
              <w:t> </w:t>
            </w:r>
            <w:r>
              <w:rPr>
                <w:rFonts w:ascii="Times New Roman" w:hAnsi="Times New Roman"/>
                <w:color w:val="000000"/>
                <w:sz w:val="15"/>
              </w:rPr>
              <w:t>%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($1,848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10,529</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 (incl. 2.50%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14,338</w:t>
              <w:br/>
              <w:t> (GBP 10,660)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ExtraHop Networks,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($76,301</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($669</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Galileo Parent,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($63,444</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($6,635</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Lynx BidCo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($1,523</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23,956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27,875</w:t>
              <w:br/>
              <w:t> (EUR 23,735)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Corporate Purchaser, Inc.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($323</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Price Fx Inc.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1,087</w:t>
              <w:br/>
              <w:t> (EUR 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1,079</w:t>
              <w:br/>
              <w:t> (EUR 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USA DeBusk,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($8,322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($901</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Wrangler TopCo,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($5,970</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Erling Lux Bidco SARL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11,549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13,809</w:t>
              <w:br/>
              <w:t> (EUR 11,758)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19,592</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26,681</w:t>
              <w:br/>
              <w:t> (GBP 19,836)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(NOK 7,427</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N</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745</w:t>
              <w:br/>
              <w:t> (NOK 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593</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807</w:t>
              <w:br/>
              <w:t> (GBP 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Aurelia Netherlands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32,904</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38,837</w:t>
              <w:br/>
              <w:t> (EUR 33,068)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X Holdings Inc. </w:t>
            </w:r>
            <w:r>
              <w:rPr>
                <w:rFonts w:ascii="Times New Roman" w:hAnsi="Times New Roman"/>
                <w:color w:val="000000"/>
                <w:sz w:val="1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($9,338 par, due 10/2029)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($988</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4"/>
        <w:gridCol w:w="146"/>
        <w:gridCol w:w="1796"/>
        <w:gridCol w:w="146"/>
        <w:gridCol w:w="535"/>
        <w:gridCol w:w="146"/>
        <w:gridCol w:w="146"/>
        <w:gridCol w:w="985"/>
        <w:gridCol w:w="226"/>
        <w:gridCol w:w="146"/>
        <w:gridCol w:w="234"/>
        <w:gridCol w:w="726"/>
        <w:gridCol w:w="226"/>
        <w:gridCol w:w="146"/>
        <w:gridCol w:w="146"/>
        <w:gridCol w:w="146"/>
        <w:gridCol w:w="601"/>
        <w:gridCol w:w="146"/>
        <w:gridCol w:w="146"/>
        <w:gridCol w:w="146"/>
        <w:gridCol w:w="157"/>
        <w:gridCol w:w="650"/>
        <w:gridCol w:w="146"/>
        <w:gridCol w:w="146"/>
        <w:gridCol w:w="146"/>
        <w:gridCol w:w="376"/>
        <w:gridCol w:w="275"/>
      </w:tblGrid>
      <w:tr>
        <w:trPr/>
        <w:tc>
          <w:tcPr>
            <w:tcW w:w="1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Astra Acquisition Corp.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($40,084</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+ 9.88%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($56,216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($2,916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Kangaroo Bidco AS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($30,625</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Severin Acquisition,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($15,905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8.47% (incl. 2.25%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Sapphire Software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($26,963</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Alaska Bidco Oy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w:t>
              <w:br/>
              <w:t> (EUR 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Arlberg Bidco LLC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GreenShoot BidCo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5,107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5,917</w:t>
              <w:br/>
              <w:t> (EUR 5,038)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Intermediate Co.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($1,170</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US Blocker Co.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($20,790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Passport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Promissory Note A ($1,086</w:t>
            </w:r>
            <w:r>
              <w:rPr>
                <w:rFonts w:ascii="Times New Roman" w:hAnsi="Times New Roman"/>
                <w:color w:val="000000"/>
                <w:sz w:val="20"/>
              </w:rPr>
              <w:t> </w:t>
            </w:r>
            <w:r>
              <w:rPr>
                <w:rFonts w:ascii="Times New Roman" w:hAnsi="Times New Roman"/>
                <w:color w:val="000000"/>
                <w:sz w:val="15"/>
              </w:rPr>
              <w:t>par, due 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Payroc Buyer,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Promissory Note ($6,000</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TS Imagine,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($54,960</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($899</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Volante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($3,619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Aledade,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($10,864</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Ace Purchaser,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($69,942</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($7,665</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+ 10.70%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15.02%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Eventus Buyer,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($25,706</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($1,867</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HMP Omnimedia,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($19,723</w:t>
            </w:r>
            <w:r>
              <w:rPr>
                <w:rFonts w:ascii="Times New Roman" w:hAnsi="Times New Roman"/>
                <w:color w:val="000000"/>
                <w:sz w:val="20"/>
              </w:rPr>
              <w:t> </w:t>
            </w:r>
            <w:r>
              <w:rPr>
                <w:rFonts w:ascii="Times New Roman" w:hAnsi="Times New Roman"/>
                <w:color w:val="000000"/>
                <w:sz w:val="15"/>
              </w:rPr>
              <w:t>par, due 7/2032)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($409</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+ 4.25%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Ingenovis Health Finance,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($32,500</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LIHA Holdco B.V.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5,903</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6,989</w:t>
              <w:br/>
              <w:t> (EUR 5,951)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318</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w:t>
              <w:br/>
              <w:t> (EUR 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($17,949</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($82</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Symplr Software Inc.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($635</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Velocity Clinical Research,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($62,899</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($528</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ASG II,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($65,000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AVSC Holding Corp.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($44,828</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Equinox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($51,697 par, due 3/2029)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11.92%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6"/>
        <w:gridCol w:w="146"/>
        <w:gridCol w:w="1612"/>
        <w:gridCol w:w="146"/>
        <w:gridCol w:w="515"/>
        <w:gridCol w:w="146"/>
        <w:gridCol w:w="146"/>
        <w:gridCol w:w="983"/>
        <w:gridCol w:w="226"/>
        <w:gridCol w:w="146"/>
        <w:gridCol w:w="221"/>
        <w:gridCol w:w="684"/>
        <w:gridCol w:w="226"/>
        <w:gridCol w:w="146"/>
        <w:gridCol w:w="146"/>
        <w:gridCol w:w="146"/>
        <w:gridCol w:w="601"/>
        <w:gridCol w:w="146"/>
        <w:gridCol w:w="146"/>
        <w:gridCol w:w="146"/>
        <w:gridCol w:w="163"/>
        <w:gridCol w:w="673"/>
        <w:gridCol w:w="146"/>
        <w:gridCol w:w="146"/>
        <w:gridCol w:w="146"/>
        <w:gridCol w:w="376"/>
        <w:gridCol w:w="275"/>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($2,746</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($30,261</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($27,943</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Sport Alliance GmbH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37,133</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43,502</w:t>
              <w:br/>
              <w:t> (EUR 37,041)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208</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w:t>
              <w:br/>
              <w:t> (EUR 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($45,113</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bswift,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($54,630</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Elysian Finco Ltd.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($21,745</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1,055</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+ 4.00%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w:t>
              <w:br/>
              <w:t> (GBP 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HireVue,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($53,031</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($6,887</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Madcap Software,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($31,850</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PayScale Holdings,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($74,916</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 Buyer,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($36,651</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($42,190</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 (incl. 3.00%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($902</w:t>
            </w:r>
            <w:r>
              <w:rPr>
                <w:rFonts w:ascii="Times New Roman" w:hAnsi="Times New Roman"/>
                <w:color w:val="000000"/>
                <w:sz w:val="20"/>
              </w:rPr>
              <w:t> </w:t>
            </w:r>
            <w:r>
              <w:rPr>
                <w:rFonts w:ascii="Times New Roman" w:hAnsi="Times New Roman"/>
                <w:color w:val="000000"/>
                <w:sz w:val="15"/>
              </w:rPr>
              <w:t>par, due 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 Wombat Holdings,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($47,188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Coupa Holdings,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($42,543</w:t>
            </w:r>
            <w:r>
              <w:rPr>
                <w:rFonts w:ascii="Times New Roman" w:hAnsi="Times New Roman"/>
                <w:color w:val="000000"/>
                <w:sz w:val="20"/>
              </w:rPr>
              <w:t> </w:t>
            </w:r>
            <w:r>
              <w:rPr>
                <w:rFonts w:ascii="Times New Roman" w:hAnsi="Times New Roman"/>
                <w:color w:val="000000"/>
                <w:sz w:val="15"/>
              </w:rPr>
              <w:t>par, due 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EDB Parent,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($76,729</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Flight Intermediate HoldCo,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($40,000</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Hippo XPA Bidco AB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(SEK 214,115</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 (incl. 3.63%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23,226</w:t>
              <w:br/>
              <w:t> (SEK 214,115)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2,571</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 (incl. 3.63%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w:t>
              <w:br/>
              <w:t> (EUR 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(SEK 3,906</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br/>
              <w:t> (SEK 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Kaseware Intermediate Holding Company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($43,251</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Khoros,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($11,682</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Kryptona BidCo US,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($20,595</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 (incl. 3.25%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4,766</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 (incl. 3.25%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5,640</w:t>
              <w:br/>
              <w:t> (EUR 4,802)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LeanTaaS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($62,984</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RainFocus,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($64,232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($55,579</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Arcwood Environmental,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($12,160</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($3,764</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ASP Unifrax Holdings, Inc. </w:t>
            </w: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($3,619 par, due 9/2029)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11.75% (incl. 4.75%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1"/>
        <w:gridCol w:w="146"/>
        <w:gridCol w:w="1736"/>
        <w:gridCol w:w="146"/>
        <w:gridCol w:w="545"/>
        <w:gridCol w:w="146"/>
        <w:gridCol w:w="200"/>
        <w:gridCol w:w="863"/>
        <w:gridCol w:w="226"/>
        <w:gridCol w:w="146"/>
        <w:gridCol w:w="248"/>
        <w:gridCol w:w="769"/>
        <w:gridCol w:w="226"/>
        <w:gridCol w:w="146"/>
        <w:gridCol w:w="146"/>
        <w:gridCol w:w="146"/>
        <w:gridCol w:w="526"/>
        <w:gridCol w:w="146"/>
        <w:gridCol w:w="146"/>
        <w:gridCol w:w="146"/>
        <w:gridCol w:w="171"/>
        <w:gridCol w:w="619"/>
        <w:gridCol w:w="146"/>
        <w:gridCol w:w="146"/>
        <w:gridCol w:w="146"/>
        <w:gridCol w:w="301"/>
        <w:gridCol w:w="276"/>
      </w:tblGrid>
      <w:tr>
        <w:trPr/>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Second-lien note ($2,024 par, due 9/2029) </w:t>
            </w:r>
            <w:r>
              <w:rPr>
                <w:rFonts w:ascii="Times New Roman" w:hAnsi="Times New Roman"/>
                <w:color w:val="000000"/>
                <w:sz w:val="1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 (incl. 1.25%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Varinem German BidCo GMBH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12,696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15,097</w:t>
              <w:br/>
              <w:t> (EUR 12,855)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4,392</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5,158</w:t>
              <w:br/>
              <w:t> (EUR 4,392)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USR Parent,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($9,809</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Laramie Energy,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($27,317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($54,834</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Boréal Bidco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13,605</w:t>
            </w:r>
            <w:r>
              <w:rPr>
                <w:rFonts w:ascii="Times New Roman" w:hAnsi="Times New Roman"/>
                <w:color w:val="000000"/>
                <w:sz w:val="20"/>
              </w:rPr>
              <w:t> </w:t>
            </w:r>
            <w:r>
              <w:rPr>
                <w:rFonts w:ascii="Times New Roman" w:hAnsi="Times New Roman"/>
                <w:color w:val="000000"/>
                <w:sz w:val="15"/>
              </w:rPr>
              <w:t>par, due 3/2032)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 (incl. 5.75%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15,858</w:t>
              <w:br/>
              <w:t> (EUR 13,503)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Kahua,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($25,000</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Omnigo Software,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($13,125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Scorpio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2,511</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2,967</w:t>
              <w:br/>
              <w:t> (EUR 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Sediver S.p.A.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6,368</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7,479</w:t>
              <w:br/>
              <w:t> (EUR 6,368)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($14,085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Apellis Pharmaceuticals,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($19,737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Arrowhead Pharmaceuticals, Inc.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($26,873</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17,985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20,911</w:t>
              <w:br/>
              <w:t> (EUR 17,805)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9,953</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13,287</w:t>
              <w:br/>
              <w:t> (GBP 9,878)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Cirrus (BidCo) Limited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698</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939</w:t>
              <w:br/>
              <w:t> (GBP 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Acosta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($13,890</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($26,664</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 (incl. 10.72%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($1,327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+ 15.10%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18.97% (incl. 18.47%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Subordinated note ($4,740</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Bed Bath and Beyond Inc. </w:t>
            </w:r>
            <w:r>
              <w:rPr>
                <w:rFonts w:ascii="Times New Roman" w:hAnsi="Times New Roman"/>
                <w:color w:val="000000"/>
                <w:sz w:val="1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($5,910</w:t>
            </w:r>
            <w:r>
              <w:rPr>
                <w:rFonts w:ascii="Times New Roman" w:hAnsi="Times New Roman"/>
                <w:color w:val="000000"/>
                <w:sz w:val="20"/>
              </w:rPr>
              <w:t> </w:t>
            </w:r>
            <w:r>
              <w:rPr>
                <w:rFonts w:ascii="Times New Roman" w:hAnsi="Times New Roman"/>
                <w:color w:val="000000"/>
                <w:sz w:val="15"/>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Roll Up DIP term loan ($25,255</w:t>
            </w:r>
            <w:r>
              <w:rPr>
                <w:rFonts w:ascii="Times New Roman" w:hAnsi="Times New Roman"/>
                <w:color w:val="000000"/>
                <w:sz w:val="20"/>
              </w:rPr>
              <w:t> </w:t>
            </w:r>
            <w:r>
              <w:rPr>
                <w:rFonts w:ascii="Times New Roman" w:hAnsi="Times New Roman"/>
                <w:color w:val="000000"/>
                <w:sz w:val="15"/>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11.62%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Super-Priority DIP term loan ($3,575</w:t>
            </w:r>
            <w:r>
              <w:rPr>
                <w:rFonts w:ascii="Times New Roman" w:hAnsi="Times New Roman"/>
                <w:color w:val="000000"/>
                <w:sz w:val="20"/>
              </w:rPr>
              <w:t> </w:t>
            </w:r>
            <w:r>
              <w:rPr>
                <w:rFonts w:ascii="Times New Roman" w:hAnsi="Times New Roman"/>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Belk,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($46,875</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Blazing Star Parent,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($69,563</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Cordance Operations,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($64,906</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Neuintel,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($53,926</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PDI TA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($20,284</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($1,203</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0"/>
        <w:gridCol w:w="146"/>
        <w:gridCol w:w="1550"/>
        <w:gridCol w:w="146"/>
        <w:gridCol w:w="474"/>
        <w:gridCol w:w="146"/>
        <w:gridCol w:w="177"/>
        <w:gridCol w:w="788"/>
        <w:gridCol w:w="226"/>
        <w:gridCol w:w="146"/>
        <w:gridCol w:w="192"/>
        <w:gridCol w:w="596"/>
        <w:gridCol w:w="226"/>
        <w:gridCol w:w="146"/>
        <w:gridCol w:w="146"/>
        <w:gridCol w:w="146"/>
        <w:gridCol w:w="721"/>
        <w:gridCol w:w="146"/>
        <w:gridCol w:w="146"/>
        <w:gridCol w:w="146"/>
        <w:gridCol w:w="149"/>
        <w:gridCol w:w="741"/>
        <w:gridCol w:w="146"/>
        <w:gridCol w:w="146"/>
        <w:gridCol w:w="146"/>
        <w:gridCol w:w="451"/>
        <w:gridCol w:w="276"/>
      </w:tblGrid>
      <w:tr>
        <w:trPr/>
        <w:tc>
          <w:tcPr>
            <w:tcW w:w="1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Rapid Data GmbH Unternehmensberatung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7,546</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8,862</w:t>
              <w:br/>
              <w:t> (EUR 7,546)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328</w:t>
            </w:r>
            <w:r>
              <w:rPr>
                <w:rFonts w:ascii="Times New Roman" w:hAnsi="Times New Roman"/>
                <w:color w:val="000000"/>
                <w:sz w:val="20"/>
              </w:rPr>
              <w:t> </w:t>
            </w:r>
            <w:r>
              <w:rPr>
                <w:rFonts w:ascii="Times New Roman" w:hAnsi="Times New Roman"/>
                <w:color w:val="000000"/>
                <w:sz w:val="15"/>
              </w:rPr>
              <w:t>par, due 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w:t>
              <w:br/>
              <w:t> (EUR 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Tango Management Consulting,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($49,169</w:t>
            </w:r>
            <w:r>
              <w:rPr>
                <w:rFonts w:ascii="Times New Roman" w:hAnsi="Times New Roman"/>
                <w:color w:val="000000"/>
                <w:sz w:val="20"/>
              </w:rPr>
              <w:t> </w:t>
            </w:r>
            <w:r>
              <w:rPr>
                <w:rFonts w:ascii="Times New Roman" w:hAnsi="Times New Roman"/>
                <w:color w:val="000000"/>
                <w:sz w:val="15"/>
              </w:rPr>
              <w:t>par, due 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 Nevis Midco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Marcura Equities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($41,520</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11.92% (incl. 4.25%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1,107</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+ 8.25%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 (incl. 4.25%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br/>
              <w:t> (GBP 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($1,667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Project44,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($54,549</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Rail Acquisitions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($25,217 par, due 1/2030)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($21,423</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Ranger Intermediate II,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($69,361</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Shiftmove GMBH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36,338</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42,809</w:t>
              <w:br/>
              <w:t> (EUR 36,450)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3,064,943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3,076,863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Artisan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Preferred Units (2,117,264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Dye &amp; Durham, Ltd.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(126,968</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w:t>
              <w:br/>
              <w:t> (CAD 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Insight Hideaway Aggregator,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Interest (329,861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TA Aggregator,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(0.43%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Newark FP Co-Invest,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(2,527,719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Sprinklr, Inc. </w:t>
            </w:r>
            <w:r>
              <w:rPr>
                <w:rFonts w:ascii="Times New Roman" w:hAnsi="Times New Roman"/>
                <w:color w:val="000000"/>
                <w:sz w:val="1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(283,499</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Warrior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(423,729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(1,250,000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IntelePeer Holdings,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(1,816,295</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(1,598,874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Warrants (106,592</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Astra 2L Holdings II LLC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(10.17%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(5,522,526</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AF Eagle Parent,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Units (121,329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Newport Parent Holdings,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A-2 Units (131,569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Oxford Square Capital Corp. </w:t>
            </w:r>
            <w:r>
              <w:rPr>
                <w:rFonts w:ascii="Times New Roman" w:hAnsi="Times New Roman"/>
                <w:color w:val="000000"/>
                <w:sz w:val="1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(1,620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Passport Labs,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(17,534</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TS Imagine, Inc.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 Units (600,000 units)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AA Units (19,093</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Caris Life Sciences, Inc. </w:t>
            </w:r>
            <w:r>
              <w:rPr>
                <w:rFonts w:ascii="Times New Roman" w:hAnsi="Times New Roman"/>
                <w:color w:val="000000"/>
                <w:sz w:val="1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(962,195</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(989,691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Ordinary Shares (13,176</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(50,140,171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C-1 Units (8,800,000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0"/>
        <w:gridCol w:w="146"/>
        <w:gridCol w:w="1828"/>
        <w:gridCol w:w="146"/>
        <w:gridCol w:w="511"/>
        <w:gridCol w:w="146"/>
        <w:gridCol w:w="238"/>
        <w:gridCol w:w="739"/>
        <w:gridCol w:w="226"/>
        <w:gridCol w:w="146"/>
        <w:gridCol w:w="163"/>
        <w:gridCol w:w="503"/>
        <w:gridCol w:w="226"/>
        <w:gridCol w:w="146"/>
        <w:gridCol w:w="146"/>
        <w:gridCol w:w="146"/>
        <w:gridCol w:w="601"/>
        <w:gridCol w:w="146"/>
        <w:gridCol w:w="146"/>
        <w:gridCol w:w="146"/>
        <w:gridCol w:w="156"/>
        <w:gridCol w:w="644"/>
        <w:gridCol w:w="146"/>
        <w:gridCol w:w="146"/>
        <w:gridCol w:w="146"/>
        <w:gridCol w:w="376"/>
        <w:gridCol w:w="276"/>
      </w:tblGrid>
      <w:tr>
        <w:trPr/>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4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0"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(4)(11)(13)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(3,780,000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bswift,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(2,393,509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DaySmart Holdings, LLC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(166,811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E Preferred Shares (113,250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4,081</w:t>
              <w:br/>
              <w:t> (AUD 6,120)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Common Units (8,837,008</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2 Common Units (3,493,701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Bigtincan Holdings L.P.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(2,902,890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Khoros, LLC </w:t>
            </w:r>
            <w:r>
              <w:rPr>
                <w:rFonts w:ascii="Times New Roman" w:hAnsi="Times New Roman"/>
                <w:color w:val="000000"/>
                <w:sz w:val="10"/>
              </w:rPr>
              <w:t>(12)(13)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F Preferred Shares (199,054</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Piano Software,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C-1 Preferred Shares (418,527</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C-2 Preferred Shares (27,588</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(1,584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(1,124,813</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Marketing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Validity,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 Preferred Shares (3,840,000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Murchison Oil and Gas, LLC </w:t>
            </w:r>
            <w:r>
              <w:rPr>
                <w:rFonts w:ascii="Times New Roman" w:hAnsi="Times New Roman"/>
                <w:color w:val="000000"/>
                <w:sz w:val="1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Preferred Units (13,355</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(1.89%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TherapeuticsMD, Inc. </w:t>
            </w:r>
            <w:r>
              <w:rPr>
                <w:rFonts w:ascii="Times New Roman" w:hAnsi="Times New Roman"/>
                <w:color w:val="000000"/>
                <w:sz w:val="1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(14,256</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Preference Shares (4,976,563</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7,581</w:t>
              <w:br/>
              <w:t> (GBP 5,636)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(687</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Copper Bidco, LLC </w:t>
            </w: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Trust Certificates (996,958</w:t>
            </w:r>
            <w:r>
              <w:rPr>
                <w:rFonts w:ascii="Times New Roman" w:hAnsi="Times New Roman"/>
                <w:color w:val="000000"/>
                <w:sz w:val="20"/>
              </w:rPr>
              <w:t> </w:t>
            </w:r>
            <w:r>
              <w:rPr>
                <w:rFonts w:ascii="Times New Roman" w:hAnsi="Times New Roman"/>
                <w:color w:val="000000"/>
                <w:sz w:val="15"/>
              </w:rPr>
              <w:t>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Neuintel, LLC </w:t>
            </w:r>
            <w:r>
              <w:rPr>
                <w:rFonts w:ascii="Times New Roman" w:hAnsi="Times New Roman"/>
                <w:color w:val="000000"/>
                <w:sz w:val="1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(1,176,494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RailTrac Holdings Inc.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(3,059</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Ranger Parent I, Inc. </w:t>
            </w:r>
            <w:r>
              <w:rPr>
                <w:rFonts w:ascii="Times New Roman" w:hAnsi="Times New Roman"/>
                <w:color w:val="000000"/>
                <w:sz w:val="1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A-1 Preferred Shares (5,639</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Warrants (3,841 warrants)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Apidos CLO, Series 2015-23A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4/2033)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2022-63A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($2,500</w:t>
            </w:r>
            <w:r>
              <w:rPr>
                <w:rFonts w:ascii="Times New Roman" w:hAnsi="Times New Roman"/>
                <w:color w:val="000000"/>
                <w:sz w:val="20"/>
              </w:rPr>
              <w:t> </w:t>
            </w:r>
            <w:r>
              <w:rPr>
                <w:rFonts w:ascii="Times New Roman" w:hAnsi="Times New Roman"/>
                <w:color w:val="000000"/>
                <w:sz w:val="15"/>
              </w:rPr>
              <w:t>par, due 10/2038)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2022-64A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10/2039)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2024-72A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7/2036)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Benefit Street Partners CLO Ltd, Series 2025-39A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($1,725</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Birch Grove CLO Ltd, Series 2025-14A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($1,250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Canyon CLO Ltd, Series 2025-1A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($1,125</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Carlyle US CLO Ltd, Series 2017-2A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($2,500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Carlyle US CLO Ltd, Series 2021-1A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($3,225</w:t>
            </w:r>
            <w:r>
              <w:rPr>
                <w:rFonts w:ascii="Times New Roman" w:hAnsi="Times New Roman"/>
                <w:color w:val="000000"/>
                <w:sz w:val="20"/>
              </w:rPr>
              <w:t> </w:t>
            </w:r>
            <w:r>
              <w:rPr>
                <w:rFonts w:ascii="Times New Roman" w:hAnsi="Times New Roman"/>
                <w:color w:val="000000"/>
                <w:sz w:val="15"/>
              </w:rPr>
              <w:t>par, due 1/2040)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CarVal CLO Ltd, Series 2021-2A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10/2034)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CarVal CLO Ltd, Series 2023-1A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5"/>
        <w:gridCol w:w="146"/>
        <w:gridCol w:w="1460"/>
        <w:gridCol w:w="146"/>
        <w:gridCol w:w="507"/>
        <w:gridCol w:w="146"/>
        <w:gridCol w:w="984"/>
        <w:gridCol w:w="146"/>
        <w:gridCol w:w="146"/>
        <w:gridCol w:w="146"/>
        <w:gridCol w:w="451"/>
        <w:gridCol w:w="226"/>
        <w:gridCol w:w="146"/>
        <w:gridCol w:w="181"/>
        <w:gridCol w:w="146"/>
        <w:gridCol w:w="721"/>
        <w:gridCol w:w="146"/>
        <w:gridCol w:w="146"/>
        <w:gridCol w:w="181"/>
        <w:gridCol w:w="146"/>
        <w:gridCol w:w="721"/>
        <w:gridCol w:w="146"/>
        <w:gridCol w:w="146"/>
        <w:gridCol w:w="146"/>
        <w:gridCol w:w="451"/>
        <w:gridCol w:w="303"/>
      </w:tblGrid>
      <w:tr>
        <w:trPr/>
        <w:tc>
          <w:tcPr>
            <w:tcW w:w="1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2020-4A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1/2040)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2021-7A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($2,800</w:t>
            </w:r>
            <w:r>
              <w:rPr>
                <w:rFonts w:ascii="Times New Roman" w:hAnsi="Times New Roman"/>
                <w:color w:val="000000"/>
                <w:sz w:val="20"/>
              </w:rPr>
              <w:t> </w:t>
            </w:r>
            <w:r>
              <w:rPr>
                <w:rFonts w:ascii="Times New Roman" w:hAnsi="Times New Roman"/>
                <w:color w:val="000000"/>
                <w:sz w:val="15"/>
              </w:rPr>
              <w:t>par, due 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2022-4A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Diameter Capital CLO Ltd, Series 2025-9A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Goldentree Loan Management US CLO Ltd, Series 2022-16A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($5,000</w:t>
            </w:r>
            <w:r>
              <w:rPr>
                <w:rFonts w:ascii="Times New Roman" w:hAnsi="Times New Roman"/>
                <w:color w:val="000000"/>
                <w:sz w:val="20"/>
              </w:rPr>
              <w:t> </w:t>
            </w:r>
            <w:r>
              <w:rPr>
                <w:rFonts w:ascii="Times New Roman" w:hAnsi="Times New Roman"/>
                <w:color w:val="000000"/>
                <w:sz w:val="15"/>
              </w:rPr>
              <w:t>par, due 1/2038)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Goldentree Loan Management US CLO Ltd, Series 2023-17A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1/2039)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Lake George Park CLO Ltd, Series 2025-1A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Madison Park Funding Ltd, Series 2025-65A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($4,400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Madison Park Funding Ltd, Series 2025-72A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CLO Ltd, Series 2017-16SA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CLO Ltd, Series 2015-20A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($1,150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2017-24A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2019-33A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2021-44A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Oaktree CLO Ltd, Series 2022-2A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10/2037)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Octagon 67 Ltd, Series 2023-1A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Oha Credit Funding Ltd, Series 2025-22A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($1,250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Palmer Square CLO Ltd, Series 2021-4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Palmer Square CLO Ltd, Series 2025-1A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($2,250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Pikes Peak CLO Ltd, Series 2023-14A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Regatta Funding Ltd, Series 2020-1A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Riverbank Park CLO Ltd, Series 2024-1A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1/2038)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RR Ltd, Series 2021-19A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4/2040)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Texas Debt Capital CLO Ltd, Series 2023-1A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Whitebox CLO Ltd, Series 2023-4A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($1,500</w:t>
            </w:r>
            <w:r>
              <w:rPr>
                <w:rFonts w:ascii="Times New Roman" w:hAnsi="Times New Roman"/>
                <w:color w:val="000000"/>
                <w:sz w:val="20"/>
              </w:rPr>
              <w:t> </w:t>
            </w:r>
            <w:r>
              <w:rPr>
                <w:rFonts w:ascii="Times New Roman" w:hAnsi="Times New Roman"/>
                <w:color w:val="000000"/>
                <w:sz w:val="15"/>
              </w:rPr>
              <w:t>par, due 4/2036)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3,323,282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3,347,317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208.2</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3"/>
        <w:gridCol w:w="146"/>
        <w:gridCol w:w="811"/>
        <w:gridCol w:w="146"/>
        <w:gridCol w:w="978"/>
        <w:gridCol w:w="146"/>
        <w:gridCol w:w="964"/>
        <w:gridCol w:w="146"/>
        <w:gridCol w:w="196"/>
        <w:gridCol w:w="826"/>
        <w:gridCol w:w="146"/>
        <w:gridCol w:w="146"/>
        <w:gridCol w:w="196"/>
        <w:gridCol w:w="601"/>
        <w:gridCol w:w="166"/>
        <w:gridCol w:w="146"/>
        <w:gridCol w:w="352"/>
        <w:gridCol w:w="623"/>
        <w:gridCol w:w="146"/>
        <w:gridCol w:w="146"/>
        <w:gridCol w:w="259"/>
        <w:gridCol w:w="801"/>
        <w:gridCol w:w="395"/>
      </w:tblGrid>
      <w:tr>
        <w:trPr/>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Contains a variable rate structure. Bears interest at a rate determined by SOFR.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Sterling Overnight Index Average (“SONIA” or “S”), Secured Overnight Financing Rate (“SOFR”) which may also contain a credit spread adjustment depending on the tenor election,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19.9%</w:t>
      </w:r>
      <w:r>
        <w:rPr>
          <w:color w:val="000000"/>
        </w:rPr>
        <w:t xml:space="preserve"> </w:t>
      </w:r>
      <w:r>
        <w:rPr>
          <w:rFonts w:ascii="Times New Roman" w:hAnsi="Times New Roman"/>
          <w:color w:val="000000"/>
          <w:sz w:val="20"/>
        </w:rPr>
        <w:t>of total assets as of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2025 in which the issuer was an Affiliated Person of and was deemed to Control a portfolio company are as follows:</w:t>
      </w:r>
    </w:p>
    <w:p>
      <w:pPr>
        <w:pStyle w:val="TextBody"/>
        <w:bidi w:val="0"/>
        <w:jc w:val="left"/>
        <w:rPr/>
      </w:pPr>
      <w:r>
        <w:rPr/>
        <w:t> </w:t>
      </w:r>
    </w:p>
    <w:p>
      <w:pPr>
        <w:pStyle w:val="TextBody"/>
        <w:bidi w:val="0"/>
        <w:spacing w:before="40" w:after="283"/>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year ended December 31, 2025</w:t>
      </w:r>
    </w:p>
    <w:p>
      <w:pPr>
        <w:pStyle w:val="TextBody"/>
        <w:bidi w:val="0"/>
        <w:spacing w:before="40" w:after="283"/>
        <w:jc w:val="center"/>
        <w:rPr/>
      </w:pPr>
      <w:r>
        <w:rPr/>
        <w:t> </w:t>
      </w:r>
    </w:p>
    <w:tbl>
      <w:tblPr>
        <w:tblW w:w="11248" w:type="dxa"/>
        <w:jc w:val="left"/>
        <w:tblInd w:w="0" w:type="dxa"/>
        <w:tblLayout w:type="fixed"/>
        <w:tblCellMar>
          <w:top w:w="28" w:type="dxa"/>
          <w:left w:w="28" w:type="dxa"/>
          <w:bottom w:w="28" w:type="dxa"/>
          <w:right w:w="28" w:type="dxa"/>
        </w:tblCellMar>
      </w:tblPr>
      <w:tblGrid>
        <w:gridCol w:w="826"/>
        <w:gridCol w:w="146"/>
        <w:gridCol w:w="211"/>
        <w:gridCol w:w="676"/>
        <w:gridCol w:w="146"/>
        <w:gridCol w:w="146"/>
        <w:gridCol w:w="211"/>
        <w:gridCol w:w="676"/>
        <w:gridCol w:w="146"/>
        <w:gridCol w:w="146"/>
        <w:gridCol w:w="225"/>
        <w:gridCol w:w="676"/>
        <w:gridCol w:w="166"/>
        <w:gridCol w:w="146"/>
        <w:gridCol w:w="239"/>
        <w:gridCol w:w="647"/>
        <w:gridCol w:w="146"/>
        <w:gridCol w:w="146"/>
        <w:gridCol w:w="211"/>
        <w:gridCol w:w="736"/>
        <w:gridCol w:w="166"/>
        <w:gridCol w:w="146"/>
        <w:gridCol w:w="301"/>
        <w:gridCol w:w="495"/>
        <w:gridCol w:w="146"/>
        <w:gridCol w:w="146"/>
        <w:gridCol w:w="211"/>
        <w:gridCol w:w="676"/>
        <w:gridCol w:w="146"/>
        <w:gridCol w:w="146"/>
        <w:gridCol w:w="252"/>
        <w:gridCol w:w="379"/>
        <w:gridCol w:w="146"/>
        <w:gridCol w:w="146"/>
        <w:gridCol w:w="211"/>
        <w:gridCol w:w="676"/>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December 31, 2025, the estimated cost basis of investments for U.S. federal tax purposes was $3,332,367</w:t>
      </w:r>
      <w:r>
        <w:rPr>
          <w:color w:val="000000"/>
        </w:rPr>
        <w:t xml:space="preserve"> </w:t>
      </w:r>
      <w:r>
        <w:rPr>
          <w:rFonts w:ascii="Times New Roman" w:hAnsi="Times New Roman"/>
          <w:color w:val="000000"/>
          <w:sz w:val="20"/>
        </w:rPr>
        <w:t>resulting in estimated gross unrealized gains and losses of $219,540</w:t>
      </w:r>
      <w:r>
        <w:rPr>
          <w:color w:val="000000"/>
        </w:rPr>
        <w:t xml:space="preserve"> </w:t>
      </w:r>
      <w:r>
        <w:rPr>
          <w:rFonts w:ascii="Times New Roman" w:hAnsi="Times New Roman"/>
          <w:color w:val="000000"/>
          <w:sz w:val="20"/>
        </w:rPr>
        <w:t>and $231,975,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as amended (the “Securities Act”), and may be deemed to be “restricted securities” under the Securities Act. As of December 31, 2025, the aggregate fair value of these securities is $18,527, or 1.2%</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Ownership of equity investments may occur through a holding company or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$15.9</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6" w:name="consolidated_statements_of_changes_in_ne"/>
      <w:bookmarkEnd w:id="6"/>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87"/>
        <w:gridCol w:w="146"/>
        <w:gridCol w:w="146"/>
        <w:gridCol w:w="916"/>
        <w:gridCol w:w="166"/>
        <w:gridCol w:w="146"/>
        <w:gridCol w:w="236"/>
        <w:gridCol w:w="455"/>
        <w:gridCol w:w="146"/>
        <w:gridCol w:w="146"/>
        <w:gridCol w:w="146"/>
        <w:gridCol w:w="691"/>
        <w:gridCol w:w="146"/>
        <w:gridCol w:w="146"/>
        <w:gridCol w:w="196"/>
        <w:gridCol w:w="661"/>
        <w:gridCol w:w="166"/>
        <w:gridCol w:w="146"/>
        <w:gridCol w:w="197"/>
        <w:gridCol w:w="831"/>
        <w:gridCol w:w="146"/>
        <w:gridCol w:w="146"/>
        <w:gridCol w:w="240"/>
        <w:gridCol w:w="811"/>
        <w:gridCol w:w="166"/>
        <w:gridCol w:w="146"/>
        <w:gridCol w:w="196"/>
        <w:gridCol w:w="826"/>
        <w:gridCol w:w="412"/>
      </w:tblGrid>
      <w:tr>
        <w:trPr/>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br/>
              <w:t>Assets</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94,705,150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1,607,721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95,019,600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1,541,068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1,542,673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40,884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Increase (decrease) in Net Assets Resulting from Capital Share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(39,908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95,343,139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695,188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1,546,847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1,548,554</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3"/>
        <w:gridCol w:w="146"/>
        <w:gridCol w:w="146"/>
        <w:gridCol w:w="916"/>
        <w:gridCol w:w="146"/>
        <w:gridCol w:w="146"/>
        <w:gridCol w:w="236"/>
        <w:gridCol w:w="455"/>
        <w:gridCol w:w="146"/>
        <w:gridCol w:w="146"/>
        <w:gridCol w:w="146"/>
        <w:gridCol w:w="691"/>
        <w:gridCol w:w="146"/>
        <w:gridCol w:w="146"/>
        <w:gridCol w:w="196"/>
        <w:gridCol w:w="661"/>
        <w:gridCol w:w="166"/>
        <w:gridCol w:w="146"/>
        <w:gridCol w:w="198"/>
        <w:gridCol w:w="834"/>
        <w:gridCol w:w="146"/>
        <w:gridCol w:w="146"/>
        <w:gridCol w:w="240"/>
        <w:gridCol w:w="811"/>
        <w:gridCol w:w="166"/>
        <w:gridCol w:w="146"/>
        <w:gridCol w:w="196"/>
        <w:gridCol w:w="826"/>
        <w:gridCol w:w="412"/>
      </w:tblGrid>
      <w:tr>
        <w:trPr/>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br/>
              <w:t>Assets</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93,661,436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1,607,529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93,964,358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1,525,774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1,601,283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(36,876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94,240,348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1,531,993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1,617,646</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7" w:name="consolidated_statements_of_cash_flows_fo"/>
      <w:bookmarkEnd w:id="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9"/>
        <w:gridCol w:w="146"/>
        <w:gridCol w:w="257"/>
        <w:gridCol w:w="985"/>
        <w:gridCol w:w="166"/>
        <w:gridCol w:w="146"/>
        <w:gridCol w:w="257"/>
        <w:gridCol w:w="985"/>
        <w:gridCol w:w="614"/>
      </w:tblGrid>
      <w:tr>
        <w:trPr/>
        <w:tc>
          <w:tcPr>
            <w:tcW w:w="6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95,957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increase (decrease) in net assets resulting from operations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amortization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discount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and originations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(459,501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65,262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667,906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 paid-in-kind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(46,161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343,118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739,692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(977,811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(85,841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(331,277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39,169</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61,461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Excise and other taxes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declared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Reinvestment of dividends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8" w:name="notes_to_consolidated_financial_statemen"/>
      <w:bookmarkEnd w:id="8"/>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 unless otherwise indicated;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example, with the word “million” or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 2011, the Company formed a wholly-owned subsidiary, TC Lending, LLC, a Delaware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22, 2012, the Company formed a wholly-owned subsidiary, Sixth Street SL SPV, LLC, a Delaware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19, 2014, the Company formed a wholly-owned subsidiary, Sixth Street SL Holding, LLC, a Delaware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9, 2020, the Company formed a wholly-owned subsidiary, Sixth Street Specialty Lending Sub, LLC, a Cayman Islands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21, 2014, the Company completed its initial public offering (“IPO”) and the Company’s shares began trading on the New York Stock Exchange (“NYSE”) under the symbol “TSLX.”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$200.0 million. Refer to Note 6, Fair Value of Financial Instruments, to these consolidated financial statements for further details.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2025, which was filed with the Securities and Exchange Commission (“SEC”), on February 12, 2026.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i/>
          <w:color w:val="000000"/>
          <w:sz w:val="20"/>
        </w:rPr>
        <w:t>Financial Services – Investment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Fiscal Year 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fiscal year ends on December 31.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Investments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undertakes a multi-step valuation process, which includes, among other procedures,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valuation process begins with each investment being initially valued by the investment professionals responsible for the portfolio investment in conjunction with the portfolio management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Adviser’s management reviews the preliminary valuations with the investment professionals. Agreed upon valuation recommendations are presented to the Audit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reviews the valuations presented and recommends values for each investment to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conducts this valuation process on a quarterly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June 30, 2026,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applies Financial Accounting Standards Board Accounting Standards Codification Topic 820, </w:t>
      </w:r>
      <w:r>
        <w:rPr>
          <w:rFonts w:ascii="Times New Roman" w:hAnsi="Times New Roman"/>
          <w:i/>
          <w:color w:val="000000"/>
          <w:sz w:val="20"/>
        </w:rPr>
        <w:t xml:space="preserve">Fair Value Measurement </w:t>
      </w:r>
      <w:r>
        <w:rPr>
          <w:rFonts w:ascii="Times New Roman" w:hAnsi="Times New Roman"/>
          <w:color w:val="000000"/>
          <w:sz w:val="20"/>
        </w:rPr>
        <w:t xml:space="preserve">(“ASC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1—Valuations based on quoted prices in active markets for identical assets or liabilities that the Company has the ability to access.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2—Valuations based on quoted prices in markets that are not active or for which all significant inputs are observable, either directly or indirectly.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based on inputs that are unobservable and significant to the overall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and Derivative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Derivatives, including the Company’s interest rate swaps, for which broker quotes are available are typically valued at those broker quotes.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Offsetting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Foreign Currency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amounts are translated into U.S. dollars on the following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market value of investments, outstanding debt on revolving credit facilities, other assets and liabilities: at the spot exchange rate on the last business day of the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purchases and sales of investments, borrowings and repayments of such borrowings, income and expenses: at the rates of exchange prevailing on the respective dates of such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Equity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expenses related to equity offerings as a reduction of capital upon completion of an offering of registered securities. The costs associated with renewals of the Company’s shelf registration statement are expensed as incurred.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and Dividend Income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Reimbursement of Transaction-Related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Taxes, Including Excise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recorded a net expense of $1.3 million and $2.5 million, respectively, for U.S. federal excise tax and other taxes. For the three and six months ended June 30, 2025, the Company recorded a net expense of $1.3 million and $2.6 million, respectively, for U.S. federal excise tax and other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recorded an increase in our deferred tax liability of $0.7 million pertaining to net unrealized gains. As of June 30, 2026, the balance of our deferred tax liability was $4.7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Dividends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additional shares of the Company’s common stock, rather than receiving the cash dividend. The Company may use newly issued shares to satisfy the dividend reinvestment plan or, if the Company is otherwise permitted under applicable law to purchase such shares, the Company may purchase shares in the open market in connection with satisfying the dividend reinvestment plan.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chief operating decision maker (the “CODM”) is comprised of the senior executive committee that includes the Chief Executive Officer, Chief Financial Officer, and the Deputy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Standards and Regulatory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FASB issued ASU No. 2025-09, “Derivatives and Hedging (Topic 815): Hedge Accounting Improvements”, which intends to more closely align hedge accounting with the economics of an entity’s risk management activities. This update is effective for annual periods beginning after December 15, 2026, including interim periods within those fiscal years, though early adoption is permitted. The Company does not expect this update to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the FASB issued ASU No. 2025-11, “Interim Reporting (Topic 270): Narrow-Scope Improvements (“ASU 2025-11”)”, which intends to improve the guidance in Topic 270, Interim Reporting, in order to improve navigability of required interim disclosures and clarify when that guidance is applicable. This update is effective for interim periods in fiscal years beginning after December 15, 2027. The Company does not expect this update to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the FASB issued ASU No. 2025-12, “Codification Improvements”, which is part of a standing project to address suggestions received from stakeholders that intends to clarify accounting guidance, correct errors and make technical corrections to the Accounting Standards Codification. This update is effective for interim periods in fiscal years beginning after December 15, 2026, though early adoption is permitted. The Company does not expect this update to have a material effect on the Company’s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Agreements and Related Party Transactions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Administration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the Company incurred expenses of $1.2 million and $2.1 million, respectively, for administrative services payable to the Adviser under the terms of the Administration Agreement, which is included in other general and administrative expenses in the Consolidated Statements of Operations. For the three and six months ended June 30, 2025, the Company incurred expenses of $0.8 million and $1.7 million, respectively, for administrative services payable to the Adviser under the terms of the Administration Agreement.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Investment Advisory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Management Fees (gross of waivers) were $13.0 million and $25.6 million, respectively. For the three and six months ended June 30, 2025, Management Fees (gross of waivers) were $12.9 million and $26.0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Management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six months ended June 30, 2026, the Adviser waived Management Fees of $0.5 million and $0.8 million, respectively, pursuant to the Leverage Waiver. For the three and six months ended June 30, 2025, the Adviser waived Management Fees of $0.3 million and $0.7 million, respectively, pursuant to the Leverage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Incentive Fee consists of two parts,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Incentive Fees were $8.7 million and $17.1 million, respectively, of which $8.7 million and $17.1 million, respectively, were realized and payable to the Adviser. For the three and six months ended June 30, 2025, Incentive Fees were $12.5 million and $20.4 million, respectively, of which $11.1 million and $22.6 million, respectively, were realized and payable to the Adviser. For both the three and six months ended June 30, 2026, there were no Incentive Fees accrued related to Capital Gains Fees. For the three and six months ended June 30, 2025, $1.4 million and $(2.2) million, respectively, of Incentive Fees were accrued related to Capital Gains Fees. As of June 30, 2026, the Capital Gains Fees accrued are not contractually payable to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Incentive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Investments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color w:val="000000"/>
        </w:rPr>
        <w:t>“</w:t>
      </w:r>
      <w:r>
        <w:rPr>
          <w:rFonts w:ascii="Times New Roman" w:hAnsi="Times New Roman"/>
          <w:color w:val="000000"/>
          <w:sz w:val="20"/>
        </w:rPr>
        <w:t>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at fair value consisted of the following at June 30, 2026 and December 31, 2025:</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or premiums, as applicable, on debt investments using the effective interest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industry composition of investments at fair value at June 30, 2026 and December 31, 2025 is as follows:</w:t>
      </w:r>
    </w:p>
    <w:p>
      <w:pPr>
        <w:pStyle w:val="TextBody"/>
        <w:bidi w:val="0"/>
        <w:jc w:val="left"/>
        <w:rPr/>
      </w:pPr>
      <w:r>
        <w:rPr/>
        <w:t> </w:t>
      </w:r>
    </w:p>
    <w:tbl>
      <w:tblPr>
        <w:tblW w:w="6815" w:type="dxa"/>
        <w:jc w:val="left"/>
        <w:tblInd w:w="0" w:type="dxa"/>
        <w:tblLayout w:type="fixed"/>
        <w:tblCellMar>
          <w:top w:w="28" w:type="dxa"/>
          <w:left w:w="28" w:type="dxa"/>
          <w:bottom w:w="28" w:type="dxa"/>
          <w:right w:w="28" w:type="dxa"/>
        </w:tblCellMar>
      </w:tblPr>
      <w:tblGrid>
        <w:gridCol w:w="2911"/>
        <w:gridCol w:w="146"/>
        <w:gridCol w:w="229"/>
        <w:gridCol w:w="896"/>
        <w:gridCol w:w="371"/>
        <w:gridCol w:w="2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structured credit and joint venture investments.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geographic composition of investments at fair value at June 30, 2026 and December 31, 2025 is as follows:</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486"/>
        <w:gridCol w:w="146"/>
        <w:gridCol w:w="229"/>
        <w:gridCol w:w="896"/>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Finland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Derivatives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related to the Company's derivatives are included within operating activities on the Consolidated Statements of Cash Flows. The following tables present the amounts paid and received on the Company’s interest rate swap transactions for the three and six months ended June 30, 2026 and 2025:</w:t>
      </w:r>
    </w:p>
    <w:p>
      <w:pPr>
        <w:pStyle w:val="TextBody"/>
        <w:bidi w:val="0"/>
        <w:jc w:val="left"/>
        <w:rPr/>
      </w:pPr>
      <w:r>
        <w:rPr/>
        <w:t> </w:t>
      </w:r>
    </w:p>
    <w:tbl>
      <w:tblPr>
        <w:tblW w:w="10541" w:type="dxa"/>
        <w:jc w:val="left"/>
        <w:tblInd w:w="0" w:type="dxa"/>
        <w:tblLayout w:type="fixed"/>
        <w:tblCellMar>
          <w:top w:w="28" w:type="dxa"/>
          <w:left w:w="28" w:type="dxa"/>
          <w:bottom w:w="28" w:type="dxa"/>
          <w:right w:w="28" w:type="dxa"/>
        </w:tblCellMar>
      </w:tblPr>
      <w:tblGrid>
        <w:gridCol w:w="786"/>
        <w:gridCol w:w="146"/>
        <w:gridCol w:w="766"/>
        <w:gridCol w:w="146"/>
        <w:gridCol w:w="211"/>
        <w:gridCol w:w="931"/>
        <w:gridCol w:w="146"/>
        <w:gridCol w:w="146"/>
        <w:gridCol w:w="211"/>
        <w:gridCol w:w="736"/>
        <w:gridCol w:w="166"/>
        <w:gridCol w:w="146"/>
        <w:gridCol w:w="211"/>
        <w:gridCol w:w="676"/>
        <w:gridCol w:w="146"/>
        <w:gridCol w:w="146"/>
        <w:gridCol w:w="211"/>
        <w:gridCol w:w="631"/>
        <w:gridCol w:w="166"/>
        <w:gridCol w:w="146"/>
        <w:gridCol w:w="211"/>
        <w:gridCol w:w="736"/>
        <w:gridCol w:w="166"/>
        <w:gridCol w:w="146"/>
        <w:gridCol w:w="211"/>
        <w:gridCol w:w="676"/>
        <w:gridCol w:w="146"/>
        <w:gridCol w:w="146"/>
        <w:gridCol w:w="211"/>
        <w:gridCol w:w="631"/>
        <w:gridCol w:w="39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561" w:type="dxa"/>
        <w:jc w:val="left"/>
        <w:tblInd w:w="0" w:type="dxa"/>
        <w:tblLayout w:type="fixed"/>
        <w:tblCellMar>
          <w:top w:w="28" w:type="dxa"/>
          <w:left w:w="28" w:type="dxa"/>
          <w:bottom w:w="28" w:type="dxa"/>
          <w:right w:w="28" w:type="dxa"/>
        </w:tblCellMar>
      </w:tblPr>
      <w:tblGrid>
        <w:gridCol w:w="786"/>
        <w:gridCol w:w="146"/>
        <w:gridCol w:w="766"/>
        <w:gridCol w:w="146"/>
        <w:gridCol w:w="211"/>
        <w:gridCol w:w="931"/>
        <w:gridCol w:w="146"/>
        <w:gridCol w:w="146"/>
        <w:gridCol w:w="211"/>
        <w:gridCol w:w="736"/>
        <w:gridCol w:w="166"/>
        <w:gridCol w:w="146"/>
        <w:gridCol w:w="211"/>
        <w:gridCol w:w="676"/>
        <w:gridCol w:w="146"/>
        <w:gridCol w:w="146"/>
        <w:gridCol w:w="211"/>
        <w:gridCol w:w="631"/>
        <w:gridCol w:w="166"/>
        <w:gridCol w:w="146"/>
        <w:gridCol w:w="211"/>
        <w:gridCol w:w="736"/>
        <w:gridCol w:w="166"/>
        <w:gridCol w:w="146"/>
        <w:gridCol w:w="211"/>
        <w:gridCol w:w="676"/>
        <w:gridCol w:w="146"/>
        <w:gridCol w:w="146"/>
        <w:gridCol w:w="211"/>
        <w:gridCol w:w="631"/>
        <w:gridCol w:w="41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the Company recognized $8.5 million and $14.1 million, respectively, of unrealized losses on interest rate swaps designated as hedging instruments in the Consolidated Statements of Operations. For the three and six months ended June 30, 2026, this amount was offset by an increase of $2.6 million and $4.7 million, respectively, for a change in carrying value of the 2026 Notes, a decrease of $2.5 million and $4.9 million, respectively, for a change in carrying value of the 2028 Notes, a decrease of $3.2 million and $5.9 million, respectively, for a change in carrying value of the 2029 Notes, a decrease of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$3.7 million and $6.3 million, respectively, for a change in carrying value of the 2030 Notes and a decrease of $1.7 million and $1.7 million, respectively, for a change in carrying value of the 2031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the Company recognized $11.6 million and $29.2 million, respectively, of unrealized gains on interest rate swaps designated as hedging instruments in the Consolidated Statements of Operations. For the three and six months ended June 30, 2025, this amount was offset by an increase of $2.8 million and $6.2 million, respectively, for a change in carrying value of the 2026 Notes, an increase of $2.2 million and $5.8 million, respectively, for a change in carrying value of the 2028 Notes, an increase of $3.3 million and $8.3 million, respectively, for a change in carrying value of the 2029 Notes and an increase of $3.3 million and $8.9 million, respectively, for a change in carrying value of the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swap transactions had a fair value of $(3.8) million, which is netted against cash collateral of $40.1 million. Cash is pledged as collateral under the Company’s derivative agreements and is included in restricted cash as a component of cash and cash equivalents on the Company’s Consolidated Balance Sheet. As of December 31, 2025, the swap transactions had a fair value of $10.3 million, which is netted against cash collateral of $16.7 million. Cash is pledged as collateral under the Company’s derivative agreements and is included in restricted cash as a component of cash and cash equivalents on the Company’s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enter into other derivative instruments and incur other exposures with the same or other counterparties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Fair Value of Financial Instruments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fair value measurements of investments as of June 30, 2026 and December 31, 2025:</w:t>
      </w:r>
    </w:p>
    <w:p>
      <w:pPr>
        <w:pStyle w:val="TextBody"/>
        <w:bidi w:val="0"/>
        <w:jc w:val="left"/>
        <w:rPr/>
      </w:pPr>
      <w:r>
        <w:rPr/>
        <w:t> </w:t>
      </w:r>
    </w:p>
    <w:tbl>
      <w:tblPr>
        <w:tblW w:w="8397" w:type="dxa"/>
        <w:jc w:val="left"/>
        <w:tblInd w:w="0" w:type="dxa"/>
        <w:tblLayout w:type="fixed"/>
        <w:tblCellMar>
          <w:top w:w="28" w:type="dxa"/>
          <w:left w:w="28" w:type="dxa"/>
          <w:bottom w:w="28" w:type="dxa"/>
          <w:right w:w="28" w:type="dxa"/>
        </w:tblCellMar>
      </w:tblPr>
      <w:tblGrid>
        <w:gridCol w:w="2781"/>
        <w:gridCol w:w="146"/>
        <w:gridCol w:w="211"/>
        <w:gridCol w:w="676"/>
        <w:gridCol w:w="146"/>
        <w:gridCol w:w="146"/>
        <w:gridCol w:w="211"/>
        <w:gridCol w:w="781"/>
        <w:gridCol w:w="166"/>
        <w:gridCol w:w="146"/>
        <w:gridCol w:w="211"/>
        <w:gridCol w:w="931"/>
        <w:gridCol w:w="146"/>
        <w:gridCol w:w="146"/>
        <w:gridCol w:w="211"/>
        <w:gridCol w:w="93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2,917,433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3,302,132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3,298,327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357" w:type="dxa"/>
        <w:jc w:val="left"/>
        <w:tblInd w:w="0" w:type="dxa"/>
        <w:tblLayout w:type="fixed"/>
        <w:tblCellMar>
          <w:top w:w="28" w:type="dxa"/>
          <w:left w:w="28" w:type="dxa"/>
          <w:bottom w:w="28" w:type="dxa"/>
          <w:right w:w="28" w:type="dxa"/>
        </w:tblCellMar>
      </w:tblPr>
      <w:tblGrid>
        <w:gridCol w:w="2781"/>
        <w:gridCol w:w="146"/>
        <w:gridCol w:w="211"/>
        <w:gridCol w:w="676"/>
        <w:gridCol w:w="146"/>
        <w:gridCol w:w="146"/>
        <w:gridCol w:w="211"/>
        <w:gridCol w:w="781"/>
        <w:gridCol w:w="146"/>
        <w:gridCol w:w="146"/>
        <w:gridCol w:w="211"/>
        <w:gridCol w:w="931"/>
        <w:gridCol w:w="146"/>
        <w:gridCol w:w="146"/>
        <w:gridCol w:w="211"/>
        <w:gridCol w:w="931"/>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2,984,501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3,181,834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3,357,618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Transfers between levels, if any, are recognized at the beginning of the quarter in which the transfers occur.</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tables present the changes in the fair value of investments for which Level 3 inputs were used to determine the fair value as of and 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1723"/>
        <w:gridCol w:w="146"/>
        <w:gridCol w:w="211"/>
        <w:gridCol w:w="931"/>
        <w:gridCol w:w="166"/>
        <w:gridCol w:w="146"/>
        <w:gridCol w:w="225"/>
        <w:gridCol w:w="721"/>
        <w:gridCol w:w="166"/>
        <w:gridCol w:w="146"/>
        <w:gridCol w:w="225"/>
        <w:gridCol w:w="721"/>
        <w:gridCol w:w="166"/>
        <w:gridCol w:w="146"/>
        <w:gridCol w:w="230"/>
        <w:gridCol w:w="852"/>
        <w:gridCol w:w="146"/>
        <w:gridCol w:w="146"/>
        <w:gridCol w:w="277"/>
        <w:gridCol w:w="888"/>
        <w:gridCol w:w="146"/>
        <w:gridCol w:w="146"/>
        <w:gridCol w:w="211"/>
        <w:gridCol w:w="931"/>
        <w:gridCol w:w="393"/>
      </w:tblGrid>
      <w:tr>
        <w:trPr/>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structured</w:t>
              <w:br/>
              <w:t>credit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3,177,854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(192,103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3,175,716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pPr>
      <w:r>
        <w:rPr/>
        <w:t> </w:t>
      </w:r>
    </w:p>
    <w:tbl>
      <w:tblPr>
        <w:tblW w:w="10205" w:type="dxa"/>
        <w:jc w:val="left"/>
        <w:tblInd w:w="0" w:type="dxa"/>
        <w:tblLayout w:type="fixed"/>
        <w:tblCellMar>
          <w:top w:w="28" w:type="dxa"/>
          <w:left w:w="28" w:type="dxa"/>
          <w:bottom w:w="28" w:type="dxa"/>
          <w:right w:w="28" w:type="dxa"/>
        </w:tblCellMar>
      </w:tblPr>
      <w:tblGrid>
        <w:gridCol w:w="1698"/>
        <w:gridCol w:w="146"/>
        <w:gridCol w:w="211"/>
        <w:gridCol w:w="931"/>
        <w:gridCol w:w="166"/>
        <w:gridCol w:w="146"/>
        <w:gridCol w:w="211"/>
        <w:gridCol w:w="736"/>
        <w:gridCol w:w="166"/>
        <w:gridCol w:w="146"/>
        <w:gridCol w:w="225"/>
        <w:gridCol w:w="721"/>
        <w:gridCol w:w="166"/>
        <w:gridCol w:w="146"/>
        <w:gridCol w:w="229"/>
        <w:gridCol w:w="848"/>
        <w:gridCol w:w="166"/>
        <w:gridCol w:w="146"/>
        <w:gridCol w:w="274"/>
        <w:gridCol w:w="880"/>
        <w:gridCol w:w="146"/>
        <w:gridCol w:w="146"/>
        <w:gridCol w:w="211"/>
        <w:gridCol w:w="931"/>
        <w:gridCol w:w="413"/>
      </w:tblGrid>
      <w:tr>
        <w:trPr/>
        <w:tc>
          <w:tcPr>
            <w:tcW w:w="1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8"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Six Months Ended</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structured</w:t>
              <w:br/>
              <w:t>credit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3,181,834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347,800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(308,249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3,175,716</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Dye &amp; Durham, Ltd. was transferred out of Level 3 into Level 1 for fair value measurement purposes during the six months ended June 30, 2026, as a result of changes in the observability of inputs into the security valuation for this portfolio company.</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tables present the changes in the fair value of investments for which Level 3 inputs were used to determine the fair value as of and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46"/>
        <w:gridCol w:w="146"/>
        <w:gridCol w:w="211"/>
        <w:gridCol w:w="781"/>
        <w:gridCol w:w="166"/>
        <w:gridCol w:w="146"/>
        <w:gridCol w:w="211"/>
        <w:gridCol w:w="931"/>
        <w:gridCol w:w="41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3,371,230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Caris Life Sciences, Inc. was transferred out of Level 3 into Level 1 for fair value measurement purposes during the three months ended June 30, 2025, as a result of changes in the observability of inputs into the security valuation for this portfolio company.</w:t>
      </w:r>
    </w:p>
    <w:tbl>
      <w:tblPr>
        <w:tblW w:w="10205" w:type="dxa"/>
        <w:jc w:val="left"/>
        <w:tblInd w:w="0" w:type="dxa"/>
        <w:tblLayout w:type="fixed"/>
        <w:tblCellMar>
          <w:top w:w="28" w:type="dxa"/>
          <w:left w:w="28" w:type="dxa"/>
          <w:bottom w:w="28" w:type="dxa"/>
          <w:right w:w="28" w:type="dxa"/>
        </w:tblCellMar>
      </w:tblPr>
      <w:tblGrid>
        <w:gridCol w:w="323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411"/>
      </w:tblGrid>
      <w:tr>
        <w:trPr/>
        <w:tc>
          <w:tcPr>
            <w:tcW w:w="3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Caris Life Sciences, Inc. was transferred out of Level 3 into Level 1 for fair value measurement purposes during the six months ended June 30, 2025, as a result of changes in the observability of inputs into the security valuation for this portfolio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presents information with respect to the net change in unrealized gains or losses on investments for which Level 3 inputs were used in determining fair value that are still held by the Company at June 30, 2026 and 2025:</w:t>
      </w:r>
    </w:p>
    <w:tbl>
      <w:tblPr>
        <w:tblW w:w="7660" w:type="dxa"/>
        <w:jc w:val="left"/>
        <w:tblInd w:w="0" w:type="dxa"/>
        <w:tblLayout w:type="fixed"/>
        <w:tblCellMar>
          <w:top w:w="28" w:type="dxa"/>
          <w:left w:w="28" w:type="dxa"/>
          <w:bottom w:w="28" w:type="dxa"/>
          <w:right w:w="28" w:type="dxa"/>
        </w:tblCellMar>
      </w:tblPr>
      <w:tblGrid>
        <w:gridCol w:w="2521"/>
        <w:gridCol w:w="146"/>
        <w:gridCol w:w="537"/>
        <w:gridCol w:w="1608"/>
        <w:gridCol w:w="166"/>
        <w:gridCol w:w="146"/>
        <w:gridCol w:w="510"/>
        <w:gridCol w:w="1635"/>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tbl>
      <w:tblPr>
        <w:tblW w:w="7300" w:type="dxa"/>
        <w:jc w:val="left"/>
        <w:tblInd w:w="0" w:type="dxa"/>
        <w:tblLayout w:type="fixed"/>
        <w:tblCellMar>
          <w:top w:w="28" w:type="dxa"/>
          <w:left w:w="28" w:type="dxa"/>
          <w:bottom w:w="28" w:type="dxa"/>
          <w:right w:w="28" w:type="dxa"/>
        </w:tblCellMar>
      </w:tblPr>
      <w:tblGrid>
        <w:gridCol w:w="2521"/>
        <w:gridCol w:w="146"/>
        <w:gridCol w:w="438"/>
        <w:gridCol w:w="1527"/>
        <w:gridCol w:w="166"/>
        <w:gridCol w:w="146"/>
        <w:gridCol w:w="467"/>
        <w:gridCol w:w="1498"/>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tables present the fair value of Level 3 Investments and the significant unobservable inputs used in the valuations as of June 30, 2026 and December 31, 2025. The tables are not intended to be all-inclusive, but instead capture the significant unobservable inputs relevant to the Company’s determination of fair values.</w:t>
      </w:r>
    </w:p>
    <w:tbl>
      <w:tblPr>
        <w:tblW w:w="10205" w:type="dxa"/>
        <w:jc w:val="left"/>
        <w:tblInd w:w="0" w:type="dxa"/>
        <w:tblLayout w:type="fixed"/>
        <w:tblCellMar>
          <w:top w:w="28" w:type="dxa"/>
          <w:left w:w="28" w:type="dxa"/>
          <w:bottom w:w="28" w:type="dxa"/>
          <w:right w:w="28" w:type="dxa"/>
        </w:tblCellMar>
      </w:tblPr>
      <w:tblGrid>
        <w:gridCol w:w="2030"/>
        <w:gridCol w:w="146"/>
        <w:gridCol w:w="196"/>
        <w:gridCol w:w="826"/>
        <w:gridCol w:w="146"/>
        <w:gridCol w:w="146"/>
        <w:gridCol w:w="1428"/>
        <w:gridCol w:w="146"/>
        <w:gridCol w:w="1513"/>
        <w:gridCol w:w="146"/>
        <w:gridCol w:w="1795"/>
        <w:gridCol w:w="146"/>
        <w:gridCol w:w="1541"/>
      </w:tblGrid>
      <w:tr>
        <w:trPr/>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 — 27.5% (12.5%)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16.2% — 16.5% (16.2%)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 — 11.9% (11.7%)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1.5x — 22.0x (11.4x)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 — 12.5% (12.5%)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sz w:val="24"/>
        </w:rPr>
      </w:pPr>
      <w:r>
        <w:rPr>
          <w:rFonts w:ascii="Times New Roman" w:hAnsi="Times New Roman"/>
          <w:color w:val="000000"/>
          <w:sz w:val="20"/>
        </w:rPr>
        <w:t>Includes $99.2</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sz w:val="24"/>
        </w:rPr>
      </w:pPr>
      <w:r>
        <w:rPr>
          <w:rFonts w:ascii="Times New Roman" w:hAnsi="Times New Roman"/>
          <w:color w:val="000000"/>
          <w:sz w:val="20"/>
        </w:rPr>
        <w:t>Includes $0.1</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sz w:val="24"/>
        </w:rPr>
      </w:pPr>
      <w:r>
        <w:rPr>
          <w:rFonts w:ascii="Times New Roman" w:hAnsi="Times New Roman"/>
          <w:color w:val="000000"/>
          <w:sz w:val="20"/>
        </w:rPr>
        <w:t>Includes $17.2</w:t>
      </w:r>
      <w:r>
        <w:rPr>
          <w:rFonts w:ascii="Times New Roman" w:hAnsi="Times New Roman"/>
          <w:color w:val="000000"/>
          <w:sz w:val="24"/>
        </w:rPr>
        <w:t xml:space="preserve"> </w:t>
      </w:r>
      <w:r>
        <w:rPr>
          <w:rFonts w:ascii="Times New Roman" w:hAnsi="Times New Roman"/>
          <w:color w:val="000000"/>
          <w:sz w:val="20"/>
        </w:rPr>
        <w:t>million of equity investments which were valued using an asset valuation waterfall and $18.3</w:t>
      </w:r>
      <w:r>
        <w:rPr>
          <w:rFonts w:ascii="Times New Roman" w:hAnsi="Times New Roman"/>
          <w:color w:val="000000"/>
          <w:sz w:val="24"/>
        </w:rPr>
        <w:t xml:space="preserve"> </w:t>
      </w:r>
      <w:r>
        <w:rPr>
          <w:rFonts w:ascii="Times New Roman" w:hAnsi="Times New Roman"/>
          <w:color w:val="000000"/>
          <w:sz w:val="20"/>
        </w:rPr>
        <w:t>million of equity investments which were valued using a discounted cash flow analysis.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sz w:val="24"/>
        </w:rPr>
      </w:pPr>
      <w:r>
        <w:rPr>
          <w:rFonts w:ascii="Times New Roman" w:hAnsi="Times New Roman"/>
          <w:color w:val="000000"/>
          <w:sz w:val="20"/>
        </w:rPr>
        <w:t>Includes $53.8</w:t>
      </w:r>
      <w:r>
        <w:rPr>
          <w:rFonts w:ascii="Times New Roman" w:hAnsi="Times New Roman"/>
          <w:color w:val="000000"/>
          <w:sz w:val="24"/>
        </w:rPr>
        <w:t xml:space="preserve"> </w:t>
      </w:r>
      <w:r>
        <w:rPr>
          <w:rFonts w:ascii="Times New Roman" w:hAnsi="Times New Roman"/>
          <w:color w:val="000000"/>
          <w:sz w:val="20"/>
        </w:rPr>
        <w:t>million of joint venture investments which were valued using a discounted cash flow analysis.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2,956,297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 — 17.5% (11.0%)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 — 15.3% (14.2%)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 — 20.0% (11.1%)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1.8x — 25.0x (10.4x)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4"/>
        </w:rPr>
      </w:pPr>
      <w:r>
        <w:rPr>
          <w:rFonts w:ascii="Times New Roman" w:hAnsi="Times New Roman"/>
          <w:color w:val="000000"/>
          <w:sz w:val="20"/>
        </w:rPr>
        <w:t>Includes $105.9</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Includes $0.1</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sz w:val="24"/>
        </w:rPr>
      </w:pPr>
      <w:r>
        <w:rPr>
          <w:rFonts w:ascii="Times New Roman" w:hAnsi="Times New Roman"/>
          <w:color w:val="000000"/>
          <w:sz w:val="20"/>
        </w:rPr>
        <w:t>Includes $13.1</w:t>
      </w:r>
      <w:r>
        <w:rPr>
          <w:rFonts w:ascii="Times New Roman" w:hAnsi="Times New Roman"/>
          <w:color w:val="000000"/>
          <w:sz w:val="24"/>
        </w:rPr>
        <w:t xml:space="preserve"> </w:t>
      </w:r>
      <w:r>
        <w:rPr>
          <w:rFonts w:ascii="Times New Roman" w:hAnsi="Times New Roman"/>
          <w:color w:val="000000"/>
          <w:sz w:val="20"/>
        </w:rPr>
        <w:t>million of equity investments which were valued using an asset valuation waterfall and $20.1</w:t>
      </w:r>
      <w:r>
        <w:rPr>
          <w:rFonts w:ascii="Times New Roman" w:hAnsi="Times New Roman"/>
          <w:color w:val="000000"/>
          <w:sz w:val="24"/>
        </w:rPr>
        <w:t xml:space="preserve"> </w:t>
      </w:r>
      <w:r>
        <w:rPr>
          <w:rFonts w:ascii="Times New Roman" w:hAnsi="Times New Roman"/>
          <w:color w:val="000000"/>
          <w:sz w:val="20"/>
        </w:rPr>
        <w:t>million of equity investments using a discounted cash flow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Structured Credit Partners JV, LLC (“SCP”)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affiliates own 50.0% of the equity interests in SCP and Carlyle affiliates own 50.0%, with investment decisions requiring approval by representatives of both the Sixth Street affiliates and the Carlyle affiliates. Equity contributions will be called from each member on a pro-rata basis, based on their equity commitments. Funding of such commitments requires the approval of SCP’s board of managers, including the board members appointed by the Company. SCP’s board of managers consists of an equal 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Because the Company does not own more than 25% of the voting interests of SCP, the Company does not believe that it has control over SCP for accounting purposes under U.S. GAAP or for purposes of the 1940 Act and therefore, does not consolidate SCP.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SCP had total capital commitments of $600.0 million comprised of $200.0 million of capital commitments from Sixth Street Specialty Lending, Inc., $100.0 million of capital commitments from Sixth Street Lending Partners, $150.0 million of capital commitments from Carlyle Secured Lending, Inc., and $150.0 million of capital commitments from Carlyle Credit Solutions, Inc., with all members of SCP having equal voting control.</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As of June 30, 2026, SCP had the following contributed capital and unfunded commitments from its members:</w:t>
      </w:r>
    </w:p>
    <w:tbl>
      <w:tblPr>
        <w:tblW w:w="6813" w:type="dxa"/>
        <w:jc w:val="left"/>
        <w:tblInd w:w="0" w:type="dxa"/>
        <w:tblLayout w:type="fixed"/>
        <w:tblCellMar>
          <w:top w:w="28" w:type="dxa"/>
          <w:left w:w="28" w:type="dxa"/>
          <w:bottom w:w="28" w:type="dxa"/>
          <w:right w:w="28" w:type="dxa"/>
        </w:tblCellMar>
      </w:tblPr>
      <w:tblGrid>
        <w:gridCol w:w="4921"/>
        <w:gridCol w:w="146"/>
        <w:gridCol w:w="255"/>
        <w:gridCol w:w="900"/>
        <w:gridCol w:w="5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Sixth Street Specialty Lending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51,391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Sixth Street Lending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Carlyle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Sixth Street Specialty Lending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Sixth Street Lending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Carlyle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unfunded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445,814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40"/>
        <w:jc w:val="left"/>
        <w:rPr>
          <w:rFonts w:ascii="Times New Roman" w:hAnsi="Times New Roman"/>
          <w:color w:val="000000"/>
          <w:sz w:val="20"/>
        </w:rPr>
      </w:pPr>
      <w:r>
        <w:rPr>
          <w:rFonts w:ascii="Times New Roman" w:hAnsi="Times New Roman"/>
          <w:color w:val="000000"/>
          <w:sz w:val="20"/>
        </w:rPr>
        <w:t>As of June 30, 2026, SCP had five wholly owned subsidiaries: (i) Carlyle US CLO 2026-3, Ltd., a Cayman Islands corporation; (ii) Carlyle US CLO 2026-B, Ltd., a Cayman Islands corporation; (iii) Sixth Street CLO 32, Ltd., a Cayman Islands corporation; (iv) Sixth Street SCP Warehouse 3, Ltd., a Cayman Islands corporation and (v) Sixth Street SCP Warehouse 4, Ltd., a Cayman Islands corporation. Each subsidiary primarily invests in broadly syndicated loans. As the subsidiaries are wholly owned subsidiaries, they are consolidated in SCP’s unaudited consolidated financial statements commencing from the date of their respective formation.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Below is selected consolidated balance sheet information for SCP as of June 30, 2026:</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73" w:type="dxa"/>
        <w:jc w:val="left"/>
        <w:tblInd w:w="0" w:type="dxa"/>
        <w:tblLayout w:type="fixed"/>
        <w:tblCellMar>
          <w:top w:w="28" w:type="dxa"/>
          <w:left w:w="28" w:type="dxa"/>
          <w:bottom w:w="28" w:type="dxa"/>
          <w:right w:w="28" w:type="dxa"/>
        </w:tblCellMar>
      </w:tblPr>
      <w:tblGrid>
        <w:gridCol w:w="4081"/>
        <w:gridCol w:w="146"/>
        <w:gridCol w:w="221"/>
        <w:gridCol w:w="934"/>
        <w:gridCol w:w="5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Selected Consolidated Balance Sheet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at fair value (amortized cost of $1,664,368)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1,659,630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Cash and cash equivalents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1,829,488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1,357,281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317,605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Members equity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149,290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b/>
                <w:color w:val="000000"/>
                <w:sz w:val="18"/>
              </w:rPr>
              <w:t>Total Liabilities</w:t>
            </w:r>
            <w:r>
              <w:rPr>
                <w:rFonts w:ascii="Times New Roman" w:hAnsi="Times New Roman"/>
                <w:color w:val="000000"/>
                <w:sz w:val="18"/>
              </w:rPr>
              <w:t xml:space="preserve"> </w:t>
            </w:r>
            <w:r>
              <w:rPr>
                <w:rFonts w:ascii="Times New Roman" w:hAnsi="Times New Roman"/>
                <w:b/>
                <w:color w:val="000000"/>
                <w:sz w:val="18"/>
              </w:rPr>
              <w:t>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1,829,488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of June 30, 2026, $9,743 of SCP’s cash and cash equivalents was restricted.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As of June 30, 2026, the fair value of the Company’s ownership interest in the members’ equity was $53,832.</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Below is selected consolidated statement of operations information for SCP 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6088"/>
        <w:gridCol w:w="146"/>
        <w:gridCol w:w="417"/>
        <w:gridCol w:w="1191"/>
        <w:gridCol w:w="166"/>
        <w:gridCol w:w="146"/>
        <w:gridCol w:w="376"/>
        <w:gridCol w:w="1061"/>
        <w:gridCol w:w="614"/>
      </w:tblGrid>
      <w:tr>
        <w:trPr/>
        <w:tc>
          <w:tcPr>
            <w:tcW w:w="6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Selected Consolidated Statement of Operations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23,573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Increase (Decrease) in Net Assets Resulting from Operations Attributable to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SCP declared $5.1 million and $5.7 million, respectively, in distributions, of which $1.7 million and $1.9 million, respectively, was recognized as dividend income in the Company’s Unaudited Statements of Operations. As of June 30, 2026, the daily weighted average yield on our investment in Structured Credit Partners JV, LLC was 18.7%.</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Below is a summary of SCP’s portfolio as of June 30, 2026:</w:t>
      </w:r>
    </w:p>
    <w:tbl>
      <w:tblPr>
        <w:tblW w:w="6058" w:type="dxa"/>
        <w:jc w:val="left"/>
        <w:tblInd w:w="0" w:type="dxa"/>
        <w:tblLayout w:type="fixed"/>
        <w:tblCellMar>
          <w:top w:w="28" w:type="dxa"/>
          <w:left w:w="28" w:type="dxa"/>
          <w:bottom w:w="28" w:type="dxa"/>
          <w:right w:w="28" w:type="dxa"/>
        </w:tblCellMar>
      </w:tblPr>
      <w:tblGrid>
        <w:gridCol w:w="4456"/>
        <w:gridCol w:w="146"/>
        <w:gridCol w:w="221"/>
        <w:gridCol w:w="934"/>
        <w:gridCol w:w="30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investments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1,681,254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yield on total investments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yield on 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spread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portfolio companies in SCP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loans at floating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At par amount.</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The industry composition of SCP’s portfolio at fair value as of June 30, 2026 is as follows:</w:t>
      </w:r>
    </w:p>
    <w:tbl>
      <w:tblPr>
        <w:tblW w:w="8059" w:type="dxa"/>
        <w:jc w:val="left"/>
        <w:tblInd w:w="0" w:type="dxa"/>
        <w:tblLayout w:type="fixed"/>
        <w:tblCellMar>
          <w:top w:w="28" w:type="dxa"/>
          <w:left w:w="28" w:type="dxa"/>
          <w:bottom w:w="28" w:type="dxa"/>
          <w:right w:w="28" w:type="dxa"/>
        </w:tblCellMar>
      </w:tblPr>
      <w:tblGrid>
        <w:gridCol w:w="3151"/>
        <w:gridCol w:w="146"/>
        <w:gridCol w:w="253"/>
        <w:gridCol w:w="1067"/>
        <w:gridCol w:w="146"/>
        <w:gridCol w:w="146"/>
        <w:gridCol w:w="196"/>
        <w:gridCol w:w="826"/>
        <w:gridCol w:w="146"/>
        <w:gridCol w:w="146"/>
        <w:gridCol w:w="296"/>
        <w:gridCol w:w="1039"/>
        <w:gridCol w:w="50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Fair Value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Aerospace &amp; Defense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Auto Aftermarket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Beverage &amp; Food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Chemicals, Plastics &amp; Rubber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&amp; Building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goods: Durable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goods: Non-durable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Containers, Packaging &amp; Glass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Diversified 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Energy: Electricity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Energy: Oil &amp;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Environmental Industries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Forest Products &amp;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Healthcare &amp; 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High Tech Industries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Leisure Products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Media: Advertising, Printing &amp; Publishing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Media: Broadcasting &amp; 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Media: Diversified &amp; 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Metals &amp; Mining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Telecommunications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Transportation: Cargo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Transportation: 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Utilities: Electric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Utilities: Oil &amp;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40"/>
        <w:jc w:val="left"/>
        <w:rPr>
          <w:rFonts w:ascii="Times New Roman" w:hAnsi="Times New Roman"/>
          <w:color w:val="000000"/>
          <w:sz w:val="20"/>
        </w:rPr>
      </w:pPr>
      <w:r>
        <w:rPr>
          <w:rFonts w:ascii="Times New Roman" w:hAnsi="Times New Roman"/>
          <w:color w:val="000000"/>
          <w:sz w:val="20"/>
        </w:rPr>
        <w:t>The geographic composition of SCP’s portfolio at fair value as of June 30, 2026 is as follows:</w:t>
      </w:r>
    </w:p>
    <w:tbl>
      <w:tblPr>
        <w:tblW w:w="6229" w:type="dxa"/>
        <w:jc w:val="left"/>
        <w:tblInd w:w="0" w:type="dxa"/>
        <w:tblLayout w:type="fixed"/>
        <w:tblCellMar>
          <w:top w:w="28" w:type="dxa"/>
          <w:left w:w="28" w:type="dxa"/>
          <w:bottom w:w="28" w:type="dxa"/>
          <w:right w:w="28" w:type="dxa"/>
        </w:tblCellMar>
      </w:tblPr>
      <w:tblGrid>
        <w:gridCol w:w="1321"/>
        <w:gridCol w:w="146"/>
        <w:gridCol w:w="253"/>
        <w:gridCol w:w="1067"/>
        <w:gridCol w:w="146"/>
        <w:gridCol w:w="146"/>
        <w:gridCol w:w="196"/>
        <w:gridCol w:w="826"/>
        <w:gridCol w:w="146"/>
        <w:gridCol w:w="146"/>
        <w:gridCol w:w="296"/>
        <w:gridCol w:w="1039"/>
        <w:gridCol w:w="50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Fair Value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Luxembourg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Switzerland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1,659,630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Instruments Not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Revolving Credit Facility, which is categorized as Level 3 within the fair value hierarchy, as of June 30, 2026 and December 31, 2025, approximates its carrying value as the outstanding balance is callable at carrying value.</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presents the fair value of the Company’s 2026 Notes, 2028 Notes, 2029 Notes, 2030 Notes and 2031 Notes as of June 30, 2026 and December 31, 2025.</w:t>
      </w:r>
    </w:p>
    <w:tbl>
      <w:tblPr>
        <w:tblW w:w="7032" w:type="dxa"/>
        <w:jc w:val="left"/>
        <w:tblInd w:w="0" w:type="dxa"/>
        <w:tblLayout w:type="fixed"/>
        <w:tblCellMar>
          <w:top w:w="28" w:type="dxa"/>
          <w:left w:w="28" w:type="dxa"/>
          <w:bottom w:w="28" w:type="dxa"/>
          <w:right w:w="28" w:type="dxa"/>
        </w:tblCellMar>
      </w:tblPr>
      <w:tblGrid>
        <w:gridCol w:w="1051"/>
        <w:gridCol w:w="146"/>
        <w:gridCol w:w="211"/>
        <w:gridCol w:w="931"/>
        <w:gridCol w:w="146"/>
        <w:gridCol w:w="146"/>
        <w:gridCol w:w="211"/>
        <w:gridCol w:w="931"/>
        <w:gridCol w:w="146"/>
        <w:gridCol w:w="146"/>
        <w:gridCol w:w="211"/>
        <w:gridCol w:w="931"/>
        <w:gridCol w:w="146"/>
        <w:gridCol w:w="146"/>
        <w:gridCol w:w="211"/>
        <w:gridCol w:w="931"/>
        <w:gridCol w:w="3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is based on broker quotes received by the Company and is categorized as Level 2 within the fair value hierarchy.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the Company’s assets and liabilities, other than investments at fair value and the 2026 Notes, 2028 Notes, 2029 Notes, 2030 Notes and 2031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Debt</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aggregate commitments under the Revolving Credit Facility were $1.525 billion. The Revolving Credit Facility includes an uncommitted accordion feature that allows the Company, under certain circumstances, to increase the size of the Revolving Credit Facility to up to $2.5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Seventeenth Amendment dated May 1, 2026, with respect to $1.525 billion of commitments, the revolving period, during which period we, subject to certain conditions, may make borrowings under the Revolving Credit Facility, was extended to May 1, 2030 and the stated maturity date was extended to May 1,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June 30, 2026, the Company had outstanding debt denominated in Australian dollars (AUD) of 3.0 million, British pounds (GBP) of 49.3 million, Canadian dollars (CAD) of 5.0 million, Swedish Krona (SEK) of 290.0 million and Euro (EUR) of 275.5 million on its Revolving Credit Facility, included in the Outstanding Principal amount in the table below. As of December 31, 2025, the Company had outstanding debt denominated in Australian dollars (AUD) of 3.0 million, British pounds (GBP) of 48.5 million, Canadian dollars (CAD) of 5.0 million, Swedish Krona (SEK) of 218.0 million and Euro (EUR) of 245.9 million on its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$75 million. As of June 30, 2026 and December 31, 2025, the Company had $22.8 million and $21.7 million outstanding letters of credit issued through the Revolving Credit Facility. The amount available for borrowing under the Revolving Credit Facility is reduced by any letters of credit issued through the Revolving Credit Facility.</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0.325%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asset coverage ratio of no less than 2</w:t>
      </w:r>
      <w:r>
        <w:rPr>
          <w:color w:val="000000"/>
        </w:rPr>
        <w:t xml:space="preserve"> </w:t>
      </w:r>
      <w:r>
        <w:rPr>
          <w:rFonts w:ascii="Times New Roman" w:hAnsi="Times New Roman"/>
          <w:color w:val="000000"/>
          <w:sz w:val="20"/>
        </w:rPr>
        <w:t>to 1 on the last day of any fiscal quarter;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stockholders’ equity of at least $650</w:t>
      </w:r>
      <w:r>
        <w:rPr>
          <w:color w:val="000000"/>
        </w:rPr>
        <w:t xml:space="preserve"> </w:t>
      </w:r>
      <w:r>
        <w:rPr>
          <w:rFonts w:ascii="Times New Roman" w:hAnsi="Times New Roman"/>
          <w:color w:val="000000"/>
          <w:sz w:val="20"/>
        </w:rPr>
        <w:t>million plus 25% of the net proceeds of the sale of equity interests after April 24, 2024;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minimum asset coverage ratio of no less than 1.5</w:t>
      </w:r>
      <w:r>
        <w:rPr>
          <w:color w:val="000000"/>
        </w:rPr>
        <w:t xml:space="preserve"> </w:t>
      </w:r>
      <w:r>
        <w:rPr>
          <w:rFonts w:ascii="Times New Roman" w:hAnsi="Times New Roman"/>
          <w:color w:val="000000"/>
          <w:sz w:val="20"/>
        </w:rPr>
        <w:t>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was in compliance with the terms of the Revolving Credit Facility.</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2026 Notes</w:t>
      </w:r>
    </w:p>
    <w:p>
      <w:pPr>
        <w:pStyle w:val="TextBody"/>
        <w:bidi w:val="0"/>
        <w:jc w:val="left"/>
        <w:rPr>
          <w:rFonts w:ascii="Times New Roman" w:hAnsi="Times New Roman"/>
          <w:color w:val="000000"/>
          <w:sz w:val="20"/>
        </w:rPr>
      </w:pPr>
      <w:r>
        <w:rPr>
          <w:rFonts w:ascii="Times New Roman" w:hAnsi="Times New Roman"/>
          <w:color w:val="000000"/>
          <w:sz w:val="20"/>
        </w:rPr>
        <w:t>In February 2021, the Company issued $300.0 million aggregate principal amount of unsecured notes that matured on August 1, 2026 (the “2026 Notes”). The principal amount of the 2026 Notes was payable at maturity. The 2026 Notes bore interest at a rate of 2.50% per year, payable semi-annually commencing on August 1, 2021, and were able to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was $300.0 million, which matured on August 1, 2026, matching the maturity date of the 2026 Notes. As a result of the swap, the Company’s effective interest rate on the 2026 Notes was SOFR plus 2.17%. The interest expense related to the 2026 Notes was offset by proceeds received from the interest rate swaps designated as a hedge. The swap adjusted interest expense is included as a component of interest expense on the Company’s Consolidated Statements of Operations. As of June 30, 2026 and December 31, 2025, the effective hedge interest rate swaps had a fair value of $(1.1) million and $(5.8) million, respectively, which was offset within interest expense by an equal, but opposite, fair value change for the hedged risk on the 2026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2028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underwriting discounts, offering costs and original issue discount, were $293.9 million. The Company used the net proceeds of the 2028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June 30, 2026 and December 31, 2025, the effective hedge interest rate swaps had a fair value of $(0.4) million and $4.5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June 30, 2026 and December 31, 2025, the effective hedge interest rate swaps had a fair value of $(2.6) million and $3.3 million, respectively, which is offset within interest expense by an equal, but opposite, fair value change for the hedged risk on the 2029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The Company used the net proceeds of the 2030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2030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2030, matching the maturity date of the 2030 Notes. As a result of the swap, the Company's effective interest rate on the 2030 Notes is SOFR plus 1.53%. The interest expense related to the 2030 Notes is offset by proceeds received from the interest rate swaps designated as a hedge. The swap adjusted interest expense is included as a component of interest expense on the Company’s Consolidated Statements of Operations. As of June 30, 2026 and December 31, 2025, the effective hedge interest rate swaps had a fair value of $2.0 million and $8.3 million, respectively, which is offset within interest expense by an equal, but opposite, fair value change for the hedged risk on the 2030 Notes.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2031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the Company issued $300.0 million aggregate principal amount of unsecured notes that mature on August 15, 2031 (the “2031 Notes”). The principal amount of the 2031 Notes is payable at maturity. The 2031 Notes bear interest at a rate of 5.65% per year, payable semi-annually commencing on February 15, 2027, and may be redeemed in whole or in part at our option at any time at par plus a “make whole” premium. Total proceeds from the issuance of the 2031 Notes, net of underwriting discounts, offering costs and original issue discount, were $294.3 million. The Company used the net proceeds of the 2031 Notes to repay a portion of the outstanding indebtedness under the Revolving Credit Facility and for general corporate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issuance of the 2031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2031, matching the maturity date of the 2031 Notes. As a result of the swap, the Company’s effective interest rate on the 2031 Notes is SOFR plus 1.85%. The interest expense related to the 2031 Notes is offset by proceeds received from the interest rate swaps designated as a hedge. The swap adjusted interest expense is included as a component of interest expense on the Company’s Consolidated Statements of Operations. As of June 30, 2026, the effective hedge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rate swaps had a fair value of $(1.7) million, which is offset within interest expense by an equal, but opposite, fair value change for the hedged risk on the 2031 Notes.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the three and six months ended June 30, 2026 and 2025, the components of interest expense related to the 2026 Notes, 2028 Notes, 2029 Notes, 2030 Notes and 2031 Notes were as follows:</w:t>
      </w:r>
    </w:p>
    <w:tbl>
      <w:tblPr>
        <w:tblW w:w="9304" w:type="dxa"/>
        <w:jc w:val="left"/>
        <w:tblInd w:w="0" w:type="dxa"/>
        <w:tblLayout w:type="fixed"/>
        <w:tblCellMar>
          <w:top w:w="28" w:type="dxa"/>
          <w:left w:w="28" w:type="dxa"/>
          <w:bottom w:w="28" w:type="dxa"/>
          <w:right w:w="28" w:type="dxa"/>
        </w:tblCellMar>
      </w:tblPr>
      <w:tblGrid>
        <w:gridCol w:w="3391"/>
        <w:gridCol w:w="146"/>
        <w:gridCol w:w="267"/>
        <w:gridCol w:w="858"/>
        <w:gridCol w:w="146"/>
        <w:gridCol w:w="146"/>
        <w:gridCol w:w="267"/>
        <w:gridCol w:w="858"/>
        <w:gridCol w:w="146"/>
        <w:gridCol w:w="146"/>
        <w:gridCol w:w="267"/>
        <w:gridCol w:w="858"/>
        <w:gridCol w:w="146"/>
        <w:gridCol w:w="146"/>
        <w:gridCol w:w="267"/>
        <w:gridCol w:w="858"/>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in the table above does not include the effect of the interest rate swaps related to the 2026 Notes, 2028 Notes, 2029 Notes, 2030 Notes and 2031 Notes. During the three and six months ended June 30, 2026, the Company received $18.6 million and $35.1 million, respectively, and paid $20.8 million and $39.1 million respectively, related to the settlements of its interest rate swaps related to the 2026 Notes, 2028 Notes, 2029 Notes, 2030 Notes and 2031 Notes. During the three and six months ended June 30, 2025, the Company received $16.7 million and $30.5 million, respectively, and paid $21.2 million and $38.7 million, respectively, related to the settlements of its interest rate swaps related to the 2026 Notes, 2028 Notes, 2029 Notes and 2030 Notes. These net amounts are included in interest expense in the Company’s Consolidated Statements of Operations. Please see Note 5 for further information about the Company’s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components of the carrying value of the 2026 Notes, 2028 Notes, 2029 Notes, 2030 Notes and 2031 Notes and the stated interest rates were as follows:</w:t>
      </w:r>
    </w:p>
    <w:tbl>
      <w:tblPr>
        <w:tblW w:w="10205" w:type="dxa"/>
        <w:jc w:val="left"/>
        <w:tblInd w:w="0" w:type="dxa"/>
        <w:tblLayout w:type="fixed"/>
        <w:tblCellMar>
          <w:top w:w="28" w:type="dxa"/>
          <w:left w:w="28" w:type="dxa"/>
          <w:bottom w:w="28" w:type="dxa"/>
          <w:right w:w="28" w:type="dxa"/>
        </w:tblCellMar>
      </w:tblPr>
      <w:tblGrid>
        <w:gridCol w:w="3115"/>
        <w:gridCol w:w="146"/>
        <w:gridCol w:w="211"/>
        <w:gridCol w:w="781"/>
        <w:gridCol w:w="271"/>
        <w:gridCol w:w="146"/>
        <w:gridCol w:w="211"/>
        <w:gridCol w:w="781"/>
        <w:gridCol w:w="271"/>
        <w:gridCol w:w="146"/>
        <w:gridCol w:w="211"/>
        <w:gridCol w:w="781"/>
        <w:gridCol w:w="271"/>
        <w:gridCol w:w="146"/>
        <w:gridCol w:w="211"/>
        <w:gridCol w:w="781"/>
        <w:gridCol w:w="271"/>
        <w:gridCol w:w="146"/>
        <w:gridCol w:w="211"/>
        <w:gridCol w:w="781"/>
        <w:gridCol w:w="316"/>
      </w:tblGrid>
      <w:tr>
        <w:trPr/>
        <w:tc>
          <w:tcPr>
            <w:tcW w:w="3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2031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291,525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components of the carrying value of the 2026 Notes, 2028 Notes, 2029 Notes and 2030 Notes and the stated interest rates were as follows:</w:t>
      </w:r>
    </w:p>
    <w:tbl>
      <w:tblPr>
        <w:tblW w:w="9027"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301,724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stated interest rate in the table above does not include the effect of the interest rate swaps. As of June 30, 2026, the Company's swap-adjusted interest rate on the 2026 Notes, 2028 Notes, 2029 Notes, 2030 Notes and 2031 Notes was SOFR plus 2.17%, 2.99%, 2.44%, 1.53% and 1.85%, respectively. As of December 31, 2025, the Company's swap-adjusted interest rate on the 2026 Notes, 2028 Notes, 2029 Notes and 2030 Notes was SOFR plus 2.17%, 2.99%, 2.44% and 1.53%,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was in compliance with the terms of the indentures governing the 2026 Notes, 2028 Notes, 2029 Notes, 2030 Notes and 2031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1940 Act, with certain limitations, the Company is allowed to borrow amounts such that its asset coverage, as defined in the 1940 Act, is at least 150% after such borrowing. As of June 30, 2026 and December 31, 2025, the Company’s asset coverage was 179.1% and 191.5%, respectively.</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obligations consisted of the following as of June 30, 2026 and December 31, 2025:</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reserve for near term Notes maturity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The carrying values of the Revolving Credit Facility, 2026 Notes, 2028 Notes, 2029 Notes, 2030 Notes and 2031 Notes are presented net of the combination of deferred financing costs and original issue discounts totaling $17.3</w:t>
      </w:r>
      <w:r>
        <w:rPr>
          <w:rFonts w:ascii="Times New Roman" w:hAnsi="Times New Roman"/>
          <w:color w:val="000000"/>
          <w:sz w:val="24"/>
        </w:rPr>
        <w:t xml:space="preserve"> </w:t>
      </w:r>
      <w:r>
        <w:rPr>
          <w:rFonts w:ascii="Times New Roman" w:hAnsi="Times New Roman"/>
          <w:color w:val="000000"/>
          <w:sz w:val="20"/>
        </w:rPr>
        <w:t>million, $0.1</w:t>
      </w:r>
      <w:r>
        <w:rPr>
          <w:rFonts w:ascii="Times New Roman" w:hAnsi="Times New Roman"/>
          <w:color w:val="000000"/>
          <w:sz w:val="24"/>
        </w:rPr>
        <w:t xml:space="preserve"> </w:t>
      </w:r>
      <w:r>
        <w:rPr>
          <w:rFonts w:ascii="Times New Roman" w:hAnsi="Times New Roman"/>
          <w:color w:val="000000"/>
          <w:sz w:val="20"/>
        </w:rPr>
        <w:t>million, $2.7</w:t>
      </w:r>
      <w:r>
        <w:rPr>
          <w:rFonts w:ascii="Times New Roman" w:hAnsi="Times New Roman"/>
          <w:color w:val="000000"/>
          <w:sz w:val="24"/>
        </w:rPr>
        <w:t xml:space="preserve"> </w:t>
      </w:r>
      <w:r>
        <w:rPr>
          <w:rFonts w:ascii="Times New Roman" w:hAnsi="Times New Roman"/>
          <w:color w:val="000000"/>
          <w:sz w:val="20"/>
        </w:rPr>
        <w:t>million, $4.5</w:t>
      </w:r>
      <w:r>
        <w:rPr>
          <w:rFonts w:ascii="Times New Roman" w:hAnsi="Times New Roman"/>
          <w:color w:val="000000"/>
          <w:sz w:val="24"/>
        </w:rPr>
        <w:t xml:space="preserve"> </w:t>
      </w:r>
      <w:r>
        <w:rPr>
          <w:rFonts w:ascii="Times New Roman" w:hAnsi="Times New Roman"/>
          <w:color w:val="000000"/>
          <w:sz w:val="20"/>
        </w:rPr>
        <w:t>million, $5.9</w:t>
      </w:r>
      <w:r>
        <w:rPr>
          <w:rFonts w:ascii="Times New Roman" w:hAnsi="Times New Roman"/>
          <w:color w:val="000000"/>
          <w:sz w:val="24"/>
        </w:rPr>
        <w:t xml:space="preserve"> </w:t>
      </w:r>
      <w:r>
        <w:rPr>
          <w:rFonts w:ascii="Times New Roman" w:hAnsi="Times New Roman"/>
          <w:color w:val="000000"/>
          <w:sz w:val="20"/>
        </w:rPr>
        <w:t>million and $6.8</w:t>
      </w:r>
      <w:r>
        <w:rPr>
          <w:rFonts w:ascii="Times New Roman" w:hAnsi="Times New Roman"/>
          <w:color w:val="000000"/>
          <w:sz w:val="24"/>
        </w:rPr>
        <w:t xml:space="preserve"> </w:t>
      </w:r>
      <w:r>
        <w:rPr>
          <w:rFonts w:ascii="Times New Roman" w:hAnsi="Times New Roman"/>
          <w:color w:val="000000"/>
          <w:sz w:val="20"/>
        </w:rPr>
        <w:t>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sz w:val="24"/>
        </w:rPr>
      </w:pPr>
      <w:r>
        <w:rPr>
          <w:rFonts w:ascii="Times New Roman" w:hAnsi="Times New Roman"/>
          <w:color w:val="000000"/>
          <w:sz w:val="20"/>
        </w:rPr>
        <w:t>The carrying values of the 2026 Notes, 2028 Notes, 2029 Notes, 2030 Notes and 2031 Notes are presented inclusive of an incremental $(1.1)</w:t>
      </w:r>
      <w:r>
        <w:rPr>
          <w:rFonts w:ascii="Times New Roman" w:hAnsi="Times New Roman"/>
          <w:color w:val="000000"/>
          <w:sz w:val="24"/>
        </w:rPr>
        <w:t xml:space="preserve"> </w:t>
      </w:r>
      <w:r>
        <w:rPr>
          <w:rFonts w:ascii="Times New Roman" w:hAnsi="Times New Roman"/>
          <w:color w:val="000000"/>
          <w:sz w:val="20"/>
        </w:rPr>
        <w:t>million, $(0.4)</w:t>
      </w:r>
      <w:r>
        <w:rPr>
          <w:rFonts w:ascii="Times New Roman" w:hAnsi="Times New Roman"/>
          <w:color w:val="000000"/>
          <w:sz w:val="24"/>
        </w:rPr>
        <w:t xml:space="preserve"> </w:t>
      </w:r>
      <w:r>
        <w:rPr>
          <w:rFonts w:ascii="Times New Roman" w:hAnsi="Times New Roman"/>
          <w:color w:val="000000"/>
          <w:sz w:val="20"/>
        </w:rPr>
        <w:t>million, $(2.6)</w:t>
      </w:r>
      <w:r>
        <w:rPr>
          <w:rFonts w:ascii="Times New Roman" w:hAnsi="Times New Roman"/>
          <w:color w:val="000000"/>
          <w:sz w:val="24"/>
        </w:rPr>
        <w:t xml:space="preserve"> </w:t>
      </w:r>
      <w:r>
        <w:rPr>
          <w:rFonts w:ascii="Times New Roman" w:hAnsi="Times New Roman"/>
          <w:color w:val="000000"/>
          <w:sz w:val="20"/>
        </w:rPr>
        <w:t>million, $2.0</w:t>
      </w:r>
      <w:r>
        <w:rPr>
          <w:rFonts w:ascii="Times New Roman" w:hAnsi="Times New Roman"/>
          <w:color w:val="000000"/>
          <w:sz w:val="24"/>
        </w:rPr>
        <w:t xml:space="preserve"> </w:t>
      </w:r>
      <w:r>
        <w:rPr>
          <w:rFonts w:ascii="Times New Roman" w:hAnsi="Times New Roman"/>
          <w:color w:val="000000"/>
          <w:sz w:val="20"/>
        </w:rPr>
        <w:t>million and $(1.7)</w:t>
      </w:r>
      <w:r>
        <w:rPr>
          <w:rFonts w:ascii="Times New Roman" w:hAnsi="Times New Roman"/>
          <w:color w:val="000000"/>
          <w:sz w:val="24"/>
        </w:rPr>
        <w:t xml:space="preserve"> </w:t>
      </w:r>
      <w:r>
        <w:rPr>
          <w:rFonts w:ascii="Times New Roman" w:hAnsi="Times New Roman"/>
          <w:color w:val="000000"/>
          <w:sz w:val="20"/>
        </w:rPr>
        <w:t>million, respectively, which represents an adjustment in the carrying values of the 2026 Notes, 2028 Notes, 2029 Notes, 2030 Notes and 2031 Notes, each resulting from a hedge accounting relationship.</w:t>
      </w:r>
    </w:p>
    <w:p>
      <w:pPr>
        <w:pStyle w:val="TextBody"/>
        <w:bidi w:val="0"/>
        <w:jc w:val="left"/>
        <w:rPr/>
      </w:pPr>
      <w:r>
        <w:rPr/>
        <w:t>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$15.1</w:t>
      </w:r>
      <w:r>
        <w:rPr>
          <w:rFonts w:ascii="Times New Roman" w:hAnsi="Times New Roman"/>
          <w:color w:val="000000"/>
          <w:sz w:val="24"/>
        </w:rPr>
        <w:t xml:space="preserve"> </w:t>
      </w:r>
      <w:r>
        <w:rPr>
          <w:rFonts w:ascii="Times New Roman" w:hAnsi="Times New Roman"/>
          <w:color w:val="000000"/>
          <w:sz w:val="20"/>
        </w:rPr>
        <w:t>million, $0.7</w:t>
      </w:r>
      <w:r>
        <w:rPr>
          <w:rFonts w:ascii="Times New Roman" w:hAnsi="Times New Roman"/>
          <w:color w:val="000000"/>
          <w:sz w:val="24"/>
        </w:rPr>
        <w:t xml:space="preserve"> </w:t>
      </w:r>
      <w:r>
        <w:rPr>
          <w:rFonts w:ascii="Times New Roman" w:hAnsi="Times New Roman"/>
          <w:color w:val="000000"/>
          <w:sz w:val="20"/>
        </w:rPr>
        <w:t>million, $3.3</w:t>
      </w:r>
      <w:r>
        <w:rPr>
          <w:rFonts w:ascii="Times New Roman" w:hAnsi="Times New Roman"/>
          <w:color w:val="000000"/>
          <w:sz w:val="24"/>
        </w:rPr>
        <w:t xml:space="preserve"> </w:t>
      </w:r>
      <w:r>
        <w:rPr>
          <w:rFonts w:ascii="Times New Roman" w:hAnsi="Times New Roman"/>
          <w:color w:val="000000"/>
          <w:sz w:val="20"/>
        </w:rPr>
        <w:t>million, $5.3</w:t>
      </w:r>
      <w:r>
        <w:rPr>
          <w:rFonts w:ascii="Times New Roman" w:hAnsi="Times New Roman"/>
          <w:color w:val="000000"/>
          <w:sz w:val="24"/>
        </w:rPr>
        <w:t xml:space="preserve"> </w:t>
      </w:r>
      <w:r>
        <w:rPr>
          <w:rFonts w:ascii="Times New Roman" w:hAnsi="Times New Roman"/>
          <w:color w:val="000000"/>
          <w:sz w:val="20"/>
        </w:rPr>
        <w:t>million and $6.6</w:t>
      </w:r>
      <w:r>
        <w:rPr>
          <w:rFonts w:ascii="Times New Roman" w:hAnsi="Times New Roman"/>
          <w:color w:val="000000"/>
          <w:sz w:val="24"/>
        </w:rPr>
        <w:t xml:space="preserve"> </w:t>
      </w:r>
      <w:r>
        <w:rPr>
          <w:rFonts w:ascii="Times New Roman" w:hAnsi="Times New Roman"/>
          <w:color w:val="000000"/>
          <w:sz w:val="20"/>
        </w:rPr>
        <w:t>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sz w:val="24"/>
        </w:rPr>
      </w:pPr>
      <w:r>
        <w:rPr>
          <w:rFonts w:ascii="Times New Roman" w:hAnsi="Times New Roman"/>
          <w:color w:val="000000"/>
          <w:sz w:val="20"/>
        </w:rPr>
        <w:t>The carrying values of the 2026 Notes, 2028 Notes, 2029 Notes and 2030 Notes are presented inclusive of an incremental $(5.8) million, $4.5</w:t>
      </w:r>
      <w:r>
        <w:rPr>
          <w:rFonts w:ascii="Times New Roman" w:hAnsi="Times New Roman"/>
          <w:color w:val="000000"/>
          <w:sz w:val="24"/>
        </w:rPr>
        <w:t xml:space="preserve"> </w:t>
      </w:r>
      <w:r>
        <w:rPr>
          <w:rFonts w:ascii="Times New Roman" w:hAnsi="Times New Roman"/>
          <w:color w:val="000000"/>
          <w:sz w:val="20"/>
        </w:rPr>
        <w:t>million, $3.3</w:t>
      </w:r>
      <w:r>
        <w:rPr>
          <w:rFonts w:ascii="Times New Roman" w:hAnsi="Times New Roman"/>
          <w:color w:val="000000"/>
          <w:sz w:val="24"/>
        </w:rPr>
        <w:t xml:space="preserve"> </w:t>
      </w:r>
      <w:r>
        <w:rPr>
          <w:rFonts w:ascii="Times New Roman" w:hAnsi="Times New Roman"/>
          <w:color w:val="000000"/>
          <w:sz w:val="20"/>
        </w:rPr>
        <w:t>million and $8.3</w:t>
      </w:r>
      <w:r>
        <w:rPr>
          <w:rFonts w:ascii="Times New Roman" w:hAnsi="Times New Roman"/>
          <w:color w:val="000000"/>
          <w:sz w:val="24"/>
        </w:rPr>
        <w:t xml:space="preserve"> </w:t>
      </w:r>
      <w:r>
        <w:rPr>
          <w:rFonts w:ascii="Times New Roman" w:hAnsi="Times New Roman"/>
          <w:color w:val="000000"/>
          <w:sz w:val="20"/>
        </w:rPr>
        <w:t>million, respectively, which represents an adjustment in the carrying values of the 2026 Notes, 2028 Notes, 2029 Notes and 2030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components of interest expense were as follows:</w:t>
      </w:r>
    </w:p>
    <w:tbl>
      <w:tblPr>
        <w:tblW w:w="9679" w:type="dxa"/>
        <w:jc w:val="left"/>
        <w:tblInd w:w="0" w:type="dxa"/>
        <w:tblLayout w:type="fixed"/>
        <w:tblCellMar>
          <w:top w:w="28" w:type="dxa"/>
          <w:left w:w="28" w:type="dxa"/>
          <w:bottom w:w="28" w:type="dxa"/>
          <w:right w:w="28" w:type="dxa"/>
        </w:tblCellMar>
      </w:tblPr>
      <w:tblGrid>
        <w:gridCol w:w="3391"/>
        <w:gridCol w:w="146"/>
        <w:gridCol w:w="254"/>
        <w:gridCol w:w="871"/>
        <w:gridCol w:w="271"/>
        <w:gridCol w:w="146"/>
        <w:gridCol w:w="254"/>
        <w:gridCol w:w="871"/>
        <w:gridCol w:w="271"/>
        <w:gridCol w:w="146"/>
        <w:gridCol w:w="254"/>
        <w:gridCol w:w="871"/>
        <w:gridCol w:w="271"/>
        <w:gridCol w:w="146"/>
        <w:gridCol w:w="254"/>
        <w:gridCol w:w="87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Portfolio Company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had the following commitments to fund investments in current portfolio companies: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75" w:type="dxa"/>
        <w:jc w:val="left"/>
        <w:tblInd w:w="0" w:type="dxa"/>
        <w:tblLayout w:type="fixed"/>
        <w:tblCellMar>
          <w:top w:w="28" w:type="dxa"/>
          <w:left w:w="28" w:type="dxa"/>
          <w:bottom w:w="28" w:type="dxa"/>
          <w:right w:w="28" w:type="dxa"/>
        </w:tblCellMar>
      </w:tblPr>
      <w:tblGrid>
        <w:gridCol w:w="5821"/>
        <w:gridCol w:w="246"/>
        <w:gridCol w:w="239"/>
        <w:gridCol w:w="886"/>
        <w:gridCol w:w="246"/>
        <w:gridCol w:w="246"/>
        <w:gridCol w:w="357"/>
        <w:gridCol w:w="1143"/>
        <w:gridCol w:w="191"/>
      </w:tblGrid>
      <w:tr>
        <w:trPr/>
        <w:tc>
          <w:tcPr>
            <w:tcW w:w="58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Aledade,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Arcwood Environmental,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Elysian Finco Ltd.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ExtraHop Networks,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HMP Omnimedia,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Ingenovis Health Finance, LLC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Kahua,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Kaseware Intermediate Holding Company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 Purchaser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LIHA Holdco B.V.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Marcura Equities LTD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MindBody,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Omnigo Software,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RainFocus,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Sediver S.p.A.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Partners JV, LLC -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TRP Assets,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TS Imagine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94" w:type="dxa"/>
        <w:jc w:val="left"/>
        <w:tblInd w:w="0" w:type="dxa"/>
        <w:tblLayout w:type="fixed"/>
        <w:tblCellMar>
          <w:top w:w="28" w:type="dxa"/>
          <w:left w:w="28" w:type="dxa"/>
          <w:bottom w:w="28" w:type="dxa"/>
          <w:right w:w="28" w:type="dxa"/>
        </w:tblCellMar>
      </w:tblPr>
      <w:tblGrid>
        <w:gridCol w:w="4981"/>
        <w:gridCol w:w="146"/>
        <w:gridCol w:w="211"/>
        <w:gridCol w:w="781"/>
        <w:gridCol w:w="246"/>
        <w:gridCol w:w="246"/>
        <w:gridCol w:w="211"/>
        <w:gridCol w:w="781"/>
        <w:gridCol w:w="2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Velocity Clinical Research, Inc.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431,971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 of the fair value of the current investments in these portfolio companies includes an analysis of the fair value of any unfunded commitments.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a party to certain legal proceedings incidental to the normal course of its business. As of June 30, 2026 and December 31, 2025, management is not aware of any material pending or threatened litigation that would require accounting recognition or financial statement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Net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Company’s dividend reinvestment plan, the following tables summarize the shares issued to stockholders who have not opted out of the Company’s dividend reinvestment plan during the six months ended June 30, 2026 and 2025. All shares issued to stockholders in the tables below are newly issued shares.</w:t>
      </w:r>
    </w:p>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971"/>
        <w:gridCol w:w="346"/>
        <w:gridCol w:w="1231"/>
        <w:gridCol w:w="146"/>
        <w:gridCol w:w="1591"/>
        <w:gridCol w:w="146"/>
        <w:gridCol w:w="139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5,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668,927</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971"/>
        <w:gridCol w:w="346"/>
        <w:gridCol w:w="1231"/>
        <w:gridCol w:w="146"/>
        <w:gridCol w:w="1591"/>
        <w:gridCol w:w="146"/>
        <w:gridCol w:w="139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578,912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11 for further information on base, supplemental and special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4, 2015, the Company's Board authorized the Company to acquire up to $50 million in aggregate of the Company’s common stock from time to time over an initial six month period, and has continued to authorize the refreshment of the $50 million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authorized under and extension of the stock repurchase program prior to its expiration since that time, most recently as of May 5, 2026 (expiring November 30,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repurchased 30,938 shares at a weighted average price per share of $16.17 inclusive of commission, for a total cost of $0.5 million. During the three and six months ended June 30, 2025, no shares were repurchased.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 the Market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party to equity distribution agreements with several banks (the “Equity Distribution Agreements”). The Equity Distribution Agreements provide that the Company may from time to time issue and sell, by means of “at the market” offerings, up to $100 million of the Company's common stock. Subject to the terms and conditions of the Equity Distribution Agreements, sales of common stock, if any, may be made in transactions that are deemed to be “at the market” offerings as defined in Rule 415(a)(4) under the Securities Act of 1933, as amended. Under the currently effective Equity Distribution Agreements, common stock with an aggregate offering amount of $100 million remained available for issuance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earnings per common share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(losses)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95,021,455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93,971,164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94,866,293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93,821,251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dividends declared during the six months ended June 30, 2026 and 2025:</w:t>
      </w:r>
    </w:p>
    <w:tbl>
      <w:tblPr>
        <w:tblW w:w="9174" w:type="dxa"/>
        <w:jc w:val="left"/>
        <w:tblInd w:w="0" w:type="dxa"/>
        <w:tblLayout w:type="fixed"/>
        <w:tblCellMar>
          <w:top w:w="28" w:type="dxa"/>
          <w:left w:w="28" w:type="dxa"/>
          <w:bottom w:w="28" w:type="dxa"/>
          <w:right w:w="28" w:type="dxa"/>
        </w:tblCellMar>
      </w:tblPr>
      <w:tblGrid>
        <w:gridCol w:w="2481"/>
        <w:gridCol w:w="146"/>
        <w:gridCol w:w="1231"/>
        <w:gridCol w:w="146"/>
        <w:gridCol w:w="1591"/>
        <w:gridCol w:w="146"/>
        <w:gridCol w:w="139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74" w:type="dxa"/>
        <w:jc w:val="left"/>
        <w:tblInd w:w="0" w:type="dxa"/>
        <w:tblLayout w:type="fixed"/>
        <w:tblCellMar>
          <w:top w:w="28" w:type="dxa"/>
          <w:left w:w="28" w:type="dxa"/>
          <w:bottom w:w="28" w:type="dxa"/>
          <w:right w:w="28" w:type="dxa"/>
        </w:tblCellMar>
      </w:tblPr>
      <w:tblGrid>
        <w:gridCol w:w="2481"/>
        <w:gridCol w:w="146"/>
        <w:gridCol w:w="1231"/>
        <w:gridCol w:w="146"/>
        <w:gridCol w:w="1591"/>
        <w:gridCol w:w="146"/>
        <w:gridCol w:w="139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dividends declared during the six months ended June 30, 2026 and 2025 were derived from net investment income, determined on a tax basis.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Financial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 share data and ratios have been derived from information provided in the consolidated financial statements. The following are the financial highlights for one share of common stock outstanding during the six months ended June 30, 2026 and 2025:</w:t>
      </w:r>
    </w:p>
    <w:tbl>
      <w:tblPr>
        <w:tblW w:w="9475" w:type="dxa"/>
        <w:jc w:val="left"/>
        <w:tblInd w:w="0" w:type="dxa"/>
        <w:tblLayout w:type="fixed"/>
        <w:tblCellMar>
          <w:top w:w="28" w:type="dxa"/>
          <w:left w:w="28" w:type="dxa"/>
          <w:bottom w:w="28" w:type="dxa"/>
          <w:right w:w="28" w:type="dxa"/>
        </w:tblCellMar>
      </w:tblPr>
      <w:tblGrid>
        <w:gridCol w:w="5716"/>
        <w:gridCol w:w="146"/>
        <w:gridCol w:w="238"/>
        <w:gridCol w:w="1172"/>
        <w:gridCol w:w="331"/>
        <w:gridCol w:w="146"/>
        <w:gridCol w:w="238"/>
        <w:gridCol w:w="1172"/>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and unrealized gains (losses)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Issuance of common stock, net of offering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Dividends declared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increase/(decrease) in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market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with reinvestment of dividends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return based on net asset value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95,343,139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94,240,348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Ratios / Supplemental Data</w:t>
            </w:r>
            <w:r>
              <w:rPr>
                <w:rFonts w:ascii="Times New Roman" w:hAnsi="Times New Roman"/>
                <w:color w:val="000000"/>
                <w:sz w:val="20"/>
              </w:rPr>
              <w:t> </w:t>
            </w:r>
            <w:r>
              <w:rPr>
                <w:rFonts w:ascii="Times New Roman" w:hAnsi="Times New Roman"/>
                <w:b/>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Ratio of net expenses to average net assets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1,548,554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1,617,646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weighted average shares outstanding during the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actual shares outstanding at the date of the relevant transactions.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with dividends reinvested is calculated as the change in market value per share during the period plus declared dividends per share, assuming reinvestment of dividends,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is calculated as the change in market value per share during the period plus declared dividends per share,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net asset value is calculated as the change in net asset value per share during the period plus declared dividends per share, divided by the beginning net asset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ratios reflect an annualized amount.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sz w:val="22"/>
        </w:rPr>
      </w:pPr>
      <w:r>
        <w:rPr>
          <w:rFonts w:ascii="Times New Roman" w:hAnsi="Times New Roman"/>
          <w:color w:val="000000"/>
          <w:sz w:val="20"/>
        </w:rPr>
        <w:t>The ratio of net expenses to average net assets in the table above reflects the Adviser’s waivers of its right to receive a portion of the Management Fee pursuant to the Leverage Waiver for the six months ended June 30, 2026 and 2025. Excluding the effects of the waivers, the ratio of net expenses to average net assets would have been 14.21%</w:t>
      </w:r>
      <w:r>
        <w:rPr>
          <w:rFonts w:ascii="Times New Roman" w:hAnsi="Times New Roman"/>
          <w:color w:val="000000"/>
          <w:sz w:val="22"/>
        </w:rPr>
        <w:t xml:space="preserve"> </w:t>
      </w:r>
      <w:r>
        <w:rPr>
          <w:rFonts w:ascii="Times New Roman" w:hAnsi="Times New Roman"/>
          <w:color w:val="000000"/>
          <w:sz w:val="20"/>
        </w:rPr>
        <w:t>and 15.32%, respectively, for the six months ended June 30, 2026 and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June 30, 2026.</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in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be regulated as a BDC under the 1940 Act and as a RIC under the Code. We made our BDC election on April 15, 2011. As a result, we are required to comply with various statutory and regulatory requirements,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to invest at least 70% of our assets in “qualifying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source of income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 diversification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to distribute (or be treated as distributing) in each taxable year at least 90% of our investment company taxable income and tax-exempt interest for that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shares are listed on the NYSE under the symbol “TSLX.”</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Investment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specialty finance company focused on lending to middle-market companies. Since we began our investment activities in July 2011, through June 30, 2026, we have originated approximately $56.0 billion aggregate principal amount of investments and retained approximately $12.0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“middle-market companies,” we mean companies that have annual EBITDA, which we believe is a useful proxy for cash flow, of $10 million to $250 million, although we may invest in larger or smaller companies on occasion. As of June 30, 2026, our core portfolio companies, which exclude certain investments that fall outside of our typical borrower profile and represent 87.0% of our total investments based on fair value, had weighted average annual revenue of $464.8 million and weighted average annual EBITDA of $137.1 million. As of June 30, 2026, our core portfolio companies had a median annual revenue of $179.9 million and a median annual EBITDA of $56.5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companies in which we invest use our capital to support organic growth, acquisitions, market or product expansion and recapitalizations (including restructurings). As of June 30, 2026, the largest single investment based on fair value represented 2.4% of our total investment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average investment size in each of our portfolio companies was approximately $24.1 million based on fair value. Portfolio companies includes investments in structured credit investments, which include each series of collateralized loan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 as a portfolio company investment. When excluding investments in structured credit investments, the average investment in our remaining portfolio companies was approximately $30.9 million based on fair value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our Adviser, we consider potential investments utilizing a four-tiered investment framework and against our existing portfolio as a whole:</w:t>
      </w:r>
    </w:p>
    <w:p>
      <w:pPr>
        <w:pStyle w:val="TextBody"/>
        <w:bidi w:val="0"/>
        <w:spacing w:before="240" w:after="283"/>
        <w:jc w:val="left"/>
        <w:rPr>
          <w:rFonts w:ascii="Times New Roman" w:hAnsi="Times New Roman"/>
          <w:sz w:val="20"/>
        </w:rPr>
      </w:pPr>
      <w:r>
        <w:rPr>
          <w:rFonts w:ascii="Times New Roman" w:hAnsi="Times New Roman"/>
          <w:i/>
          <w:color w:val="000000"/>
          <w:sz w:val="20"/>
        </w:rPr>
        <w:t>Business and sector selection.</w:t>
      </w:r>
      <w:r>
        <w:rPr>
          <w:rFonts w:ascii="Times New Roman" w:hAnsi="Times New Roman"/>
          <w:color w:val="000000"/>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largest industry represented 19.0% of our total investment portfolio based on fair value.</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Structuring.</w:t>
      </w:r>
      <w:r>
        <w:rPr>
          <w:rFonts w:ascii="Times New Roman" w:hAnsi="Times New Roman"/>
          <w:color w:val="000000"/>
          <w:sz w:val="20"/>
        </w:rPr>
        <w:t xml:space="preserve"> We focus on investing at the top of the capital structure and protecting that position. As of June 30, 2026, approximately 89.1% of our portfolio was invested in secured debt, including 88.3%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June 30, 2026, the weighted average term on new investment commitments in new portfolio companies was 5.0 years.</w:t>
      </w:r>
    </w:p>
    <w:p>
      <w:pPr>
        <w:pStyle w:val="TextBody"/>
        <w:bidi w:val="0"/>
        <w:spacing w:before="240" w:after="283"/>
        <w:jc w:val="left"/>
        <w:rPr>
          <w:rFonts w:ascii="Times New Roman" w:hAnsi="Times New Roman"/>
          <w:sz w:val="20"/>
        </w:rPr>
      </w:pPr>
      <w:r>
        <w:rPr>
          <w:rFonts w:ascii="Times New Roman" w:hAnsi="Times New Roman"/>
          <w:i/>
          <w:color w:val="000000"/>
          <w:sz w:val="20"/>
        </w:rPr>
        <w:t>Deal Dynamics.</w:t>
      </w:r>
      <w:r>
        <w:rPr>
          <w:rFonts w:ascii="Times New Roman" w:hAnsi="Times New Roman"/>
          <w:color w:val="000000"/>
          <w:sz w:val="20"/>
        </w:rPr>
        <w:t xml:space="preserve"> We focus on, among other deal dynamics, direct origination of investments, where we identify and lead the investment transaction. A substantial majority of our portfolio investments are sourced through our direct or proprietary relationships.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 Mitigation. </w:t>
      </w:r>
      <w:r>
        <w:rPr>
          <w:rFonts w:ascii="Times New Roman" w:hAnsi="Times New Roman"/>
          <w:color w:val="000000"/>
          <w:sz w:val="20"/>
        </w:rPr>
        <w:t>We seek to mitigate non-credit-related risk on our returns in several ways, including call protection provisions to protect future interest income. As of June 30, 2026, we had call protection on 70.3% of our debt investments based on fair value, with weighted average call prices of 108.4% for the first year, 104.6% for the second year and 101.8% for the third year, in each case from the date of the initial investment. As of June 30, 2026, 96.1% of our debt investments based on fair value bore interest at floating rates, with 100.0% of these subject to interest rate floors, which we believe helps act as a portfolio-wide hedge against inflation.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our Adviser and Sixth Street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Co-Chief Investment Officer,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Street is a global investment business with over $135 billion of assets under management as of June 30, 2026. Sixth Street’s direct lending platforms include Sixth Street Specialty Lending and Sixth Street Lending Partners, which are aimed at U.S. middle-market loan originations and upper middle-market loan originations, respectively, and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750 investment and operating professionals. As of June 30, 2026, seventy-five (75) of these personnel are dedicated to direct lending, including sixty (60) investment professionals.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The Adviser will determine whether it would be permissible, advisable or otherwise appropriate for us to pursue a particular investment opportunity allocated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General Economic Conditions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To date, 2026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Iran and elsewhere in the Middle East and Ukraine.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contributing to economic uncertainty, the current U.S. presidential administration has signaled its intention to implement, and has implemented, significant changes to U.S. trade policy, tax policy and the enforcement of various regulations and a reduction of the size of the federal government (and government spending). These policy shifts could introduce additional market instability and reduce investor confidence. For example, the U.S. government announced tariffs on goods imported from various countries to the United States and countries subject to such tariffs have imposed, or may in the future, impose reciprocal or retaliatory tariffs and other trade measures. In February 2026, the U.S. Supreme Court ruled that many of the tariffs recently imposed by the U.S. government exceeded its authority, thereby invalidating many, but not all, of such tariffs. Subsequent to the U.S. Supreme Court’s ruling, the U.S. presidential administration raised potential alternative means through which the administration could impose tariffs. We are actively monitoring macroeconomic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primarily on the direct origination of loans to middle-market companies domiciled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part of our risk strategy on investments, we may reduce certain levels of investments through partial sales or syndication to additional investors.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June 30, 2026, 96.1%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and six months ended June 30, 2026, 6.9% and 7.2%, respectively, of our total investment income was comprised of PIK interest. For the three and six months ended June 30, 2025, 5.0% and 4.8%, respectively, of our total investment income was comprised of PIK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2026 Notes, 2028 Notes, 2029 Notes, 2030 Notes and 2031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common equity investments is recorded on the record date for private portfolio companies or on the ex-dividend date for publicly traded portfolio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calculating individual asset values and our net asset value (including the cost and expenses of any independent valuation firms);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any public offerings of our common stock and other securities, including registration and listing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Management Fee and any Incentive Fee;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costs and expenses relating to distributions paid on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administration fees payable under our Administration Agreement;</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service and other costs of borrowings or other financing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Adviser’s allocable share of costs incurred in providing significant managerial assistance to those portfolio companies that request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payable to third parties relating to, or associated with, making or holding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hedging;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other compensation payable to brokers or dealers;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Independent Director fees and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fidelity bond;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directors and officers/errors and omissions liability insurance, and any other insurance premiums;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indemnification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costs and expenses of administration, including audit, accounting, consulting and legal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expenses reasonably incurred by us in connection with making investments and administering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during periods of asset growth, our general and administrative expenses will be relatively stable or will decline as a percentage of total assets, and will increase as a percentage of total assets during periods of asset declines.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Leverage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have created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have continued to expand.</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Portfolio and Investment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portfolio based on fair value consisted of 88.3% first-lien debt investments, 0.7% second-lien debt investments, 2.0% mezzanine debt investments, 4.7% equity investments, 2.7% structured credit investments and 1.6% joint venture investments. As of December 31, 2025, our portfolio based on fair value consisted of 89.2% first-lien debt investments, 0.9% second-lien debt investments, 1.8% mezzanine debt investments, 5.2% equity investments and 2.9% structured credit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our weighted average total yield of debt and income producing securities at fair value (which includes interest income and amortization of fees and discounts) was 11.1% and 11.1%, respectively, and our weighted average total yield of debt and income-producing securities at amortized cost (which includes interest income and amortization of fees and discounts) was 11.2% and 11.3%,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investments in 137 portfolio companies (including 33 structured credit investments, which include each series of collateralized loan obligation as a separate portfolio company investment) with an aggregate fair value of $3,302.1 million. As of December 31, 2025, we had investments in 143 portfolio companies (including 36 structured credit investments, which include each series of collateralized loan obligation as a separate portfolio company investment) with an aggregate fair value of $3,347.3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the principal amount of new investments funded was $136.7 million in two new portfolio companies and one existing portfolio company. For this period, we had $192.1 million aggregate principal amount in exits and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2025, the principal amount of new investments funded was $208.6 million in thirteen new portfolio companies and four existing portfolio companies. For this period, we had $388.7 million aggregate principal amount in exits and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 activity for the three months ended June 30, 2026 and 2025 is presented below (information presented herein is at par value unless otherwise indicated).</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980" w:type="dxa"/>
        <w:jc w:val="left"/>
        <w:tblInd w:w="0" w:type="dxa"/>
        <w:tblLayout w:type="fixed"/>
        <w:tblCellMar>
          <w:top w:w="28" w:type="dxa"/>
          <w:left w:w="28" w:type="dxa"/>
          <w:bottom w:w="28" w:type="dxa"/>
          <w:right w:w="28" w:type="dxa"/>
        </w:tblCellMar>
      </w:tblPr>
      <w:tblGrid>
        <w:gridCol w:w="4576"/>
        <w:gridCol w:w="146"/>
        <w:gridCol w:w="303"/>
        <w:gridCol w:w="822"/>
        <w:gridCol w:w="271"/>
        <w:gridCol w:w="146"/>
        <w:gridCol w:w="303"/>
        <w:gridCol w:w="822"/>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affiliates of Sixth Street.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our investments consisted of the following:</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82"/>
        <w:gridCol w:w="963"/>
        <w:gridCol w:w="246"/>
        <w:gridCol w:w="246"/>
        <w:gridCol w:w="211"/>
        <w:gridCol w:w="721"/>
        <w:gridCol w:w="246"/>
        <w:gridCol w:w="246"/>
        <w:gridCol w:w="282"/>
        <w:gridCol w:w="963"/>
        <w:gridCol w:w="246"/>
        <w:gridCol w:w="246"/>
        <w:gridCol w:w="211"/>
        <w:gridCol w:w="7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show the fair value and amortized cost of our performing and non-accrual investments as of June 30, 2026 and December 31, 2025:</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1321"/>
        <w:gridCol w:w="146"/>
        <w:gridCol w:w="211"/>
        <w:gridCol w:w="721"/>
        <w:gridCol w:w="246"/>
        <w:gridCol w:w="246"/>
        <w:gridCol w:w="186"/>
        <w:gridCol w:w="730"/>
        <w:gridCol w:w="371"/>
        <w:gridCol w:w="246"/>
        <w:gridCol w:w="211"/>
        <w:gridCol w:w="721"/>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tbl>
      <w:tblPr>
        <w:tblW w:w="7781" w:type="dxa"/>
        <w:jc w:val="left"/>
        <w:tblInd w:w="0" w:type="dxa"/>
        <w:tblLayout w:type="fixed"/>
        <w:tblCellMar>
          <w:top w:w="28" w:type="dxa"/>
          <w:left w:w="28" w:type="dxa"/>
          <w:bottom w:w="28" w:type="dxa"/>
          <w:right w:w="28" w:type="dxa"/>
        </w:tblCellMar>
      </w:tblPr>
      <w:tblGrid>
        <w:gridCol w:w="1321"/>
        <w:gridCol w:w="146"/>
        <w:gridCol w:w="282"/>
        <w:gridCol w:w="963"/>
        <w:gridCol w:w="246"/>
        <w:gridCol w:w="246"/>
        <w:gridCol w:w="186"/>
        <w:gridCol w:w="730"/>
        <w:gridCol w:w="371"/>
        <w:gridCol w:w="246"/>
        <w:gridCol w:w="282"/>
        <w:gridCol w:w="963"/>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color w:val="000000"/>
        </w:rPr>
        <w:t>“–</w:t>
      </w:r>
      <w:r>
        <w:rPr>
          <w:rFonts w:ascii="Times New Roman" w:hAnsi="Times New Roman"/>
          <w:i/>
          <w:color w:val="000000"/>
          <w:sz w:val="20"/>
        </w:rPr>
        <w:t>Critical Accounting Estimates – Interest and Dividend Income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yields and interest rates of our performing debt investments at fair value as of June 30, 2026 and December 31, 2025 were as follows:</w:t>
      </w:r>
    </w:p>
    <w:tbl>
      <w:tblPr>
        <w:tblW w:w="8550" w:type="dxa"/>
        <w:jc w:val="left"/>
        <w:tblInd w:w="0" w:type="dxa"/>
        <w:tblLayout w:type="fixed"/>
        <w:tblCellMar>
          <w:top w:w="28" w:type="dxa"/>
          <w:left w:w="28" w:type="dxa"/>
          <w:bottom w:w="28" w:type="dxa"/>
          <w:right w:w="28" w:type="dxa"/>
        </w:tblCellMar>
      </w:tblPr>
      <w:tblGrid>
        <w:gridCol w:w="4846"/>
        <w:gridCol w:w="146"/>
        <w:gridCol w:w="268"/>
        <w:gridCol w:w="857"/>
        <w:gridCol w:w="371"/>
        <w:gridCol w:w="246"/>
        <w:gridCol w:w="357"/>
        <w:gridCol w:w="1143"/>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total yield of debt and income</w:t>
              <w:br/>
              <w:t xml:space="preserve">   producing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of debt and income</w:t>
              <w:br/>
              <w:t>   producing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over reference rate of all floating</w:t>
              <w:br/>
              <w:t>   rate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Weighted average total portfolio yield at fair value was 10.5% at June 30, 2026 and 10.5% at December 31, 2025.</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assessment of success of the portfolio company in adhering to its business plan and compliance with covenants;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and regular contact with portfolio company management and, if appropriate, the financial or strategic sponsor, to discuss financial position, requirements and accomplishments;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comparisons to other companies in the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attendance at, and participation in, board meetings;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of monthly and quarterly financial statements and financial projections for portfolio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performance rating scale at fair value as of June 30, 2026 and December 31, 2025.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spacing w:before="240" w:after="283"/>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261"/>
        <w:gridCol w:w="89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Structured Credit Partners JV, LLC (“SCP”)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 investment in SCP is made with certain of our affiliates in accordance with the terms of the exemptive relief that we received from the SEC. We do not consolidate our non-controlling interest in SCP.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SCP had total capital commitments of $600.0 million comprised of $200.0 million of capital commitments from Sixth Street Specialty Lending, Inc., $100.0 million of capital commitments from Sixth Street Lending Partners, $150.0 million of capital commitments from Carlyle Secured Lending, Inc., and $150.0 million of capital commitments from Carlyle Credit Solutions, Inc., with all members of SCP having equal voting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SCP had the following contributed capital and unfunded commitments from its members: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13" w:type="dxa"/>
        <w:jc w:val="left"/>
        <w:tblInd w:w="0" w:type="dxa"/>
        <w:tblLayout w:type="fixed"/>
        <w:tblCellMar>
          <w:top w:w="28" w:type="dxa"/>
          <w:left w:w="28" w:type="dxa"/>
          <w:bottom w:w="28" w:type="dxa"/>
          <w:right w:w="28" w:type="dxa"/>
        </w:tblCellMar>
      </w:tblPr>
      <w:tblGrid>
        <w:gridCol w:w="4921"/>
        <w:gridCol w:w="146"/>
        <w:gridCol w:w="320"/>
        <w:gridCol w:w="835"/>
        <w:gridCol w:w="5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Sixth Street Specialty Lending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Sixth Street Lending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Carlyle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Sixth Street Specialty Lending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Sixth Street Lending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Carlyle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unfunded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SCP declared $5.1 million and $5.7 million, respectively, in distributions, of which $1.7 million and $1.9 million, respectively, was recognized as dividend income in the Company’s Unaudited Statements of Operations. As of June 30, 2026, the daily weighted average yield on our investment in Structured Credit Partners JV, LLC was 18.7%.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summary of SCP’s portfolio as of June 30, 2026:</w:t>
      </w:r>
    </w:p>
    <w:p>
      <w:pPr>
        <w:pStyle w:val="TextBody"/>
        <w:bidi w:val="0"/>
        <w:jc w:val="left"/>
        <w:rPr/>
      </w:pPr>
      <w:r>
        <w:rPr/>
        <w:t> </w:t>
      </w:r>
    </w:p>
    <w:tbl>
      <w:tblPr>
        <w:tblW w:w="6058" w:type="dxa"/>
        <w:jc w:val="left"/>
        <w:tblInd w:w="0" w:type="dxa"/>
        <w:tblLayout w:type="fixed"/>
        <w:tblCellMar>
          <w:top w:w="28" w:type="dxa"/>
          <w:left w:w="28" w:type="dxa"/>
          <w:bottom w:w="28" w:type="dxa"/>
          <w:right w:w="28" w:type="dxa"/>
        </w:tblCellMar>
      </w:tblPr>
      <w:tblGrid>
        <w:gridCol w:w="4456"/>
        <w:gridCol w:w="146"/>
        <w:gridCol w:w="269"/>
        <w:gridCol w:w="886"/>
        <w:gridCol w:w="30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investments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yield on total investments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yield on 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spread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portfolio companies in SCP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loans at floating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par amount.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results for the three and six months ended June 30, 2026 and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60"/>
        <w:gridCol w:w="346"/>
        <w:gridCol w:w="287"/>
        <w:gridCol w:w="635"/>
        <w:gridCol w:w="346"/>
        <w:gridCol w:w="346"/>
        <w:gridCol w:w="261"/>
        <w:gridCol w:w="708"/>
        <w:gridCol w:w="346"/>
        <w:gridCol w:w="346"/>
        <w:gridCol w:w="261"/>
        <w:gridCol w:w="708"/>
        <w:gridCol w:w="346"/>
        <w:gridCol w:w="346"/>
        <w:gridCol w:w="261"/>
        <w:gridCol w:w="708"/>
        <w:gridCol w:w="394"/>
      </w:tblGrid>
      <w:tr>
        <w:trPr/>
        <w:tc>
          <w:tcPr>
            <w:tcW w:w="35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taxes, including excise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change in unrealized gains (losses)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 Income</w:t>
      </w:r>
    </w:p>
    <w:tbl>
      <w:tblPr>
        <w:tblW w:w="9744" w:type="dxa"/>
        <w:jc w:val="left"/>
        <w:tblInd w:w="0" w:type="dxa"/>
        <w:tblLayout w:type="fixed"/>
        <w:tblCellMar>
          <w:top w:w="28" w:type="dxa"/>
          <w:left w:w="28" w:type="dxa"/>
          <w:bottom w:w="28" w:type="dxa"/>
          <w:right w:w="28" w:type="dxa"/>
        </w:tblCellMar>
      </w:tblPr>
      <w:tblGrid>
        <w:gridCol w:w="2431"/>
        <w:gridCol w:w="346"/>
        <w:gridCol w:w="350"/>
        <w:gridCol w:w="775"/>
        <w:gridCol w:w="346"/>
        <w:gridCol w:w="346"/>
        <w:gridCol w:w="303"/>
        <w:gridCol w:w="822"/>
        <w:gridCol w:w="346"/>
        <w:gridCol w:w="346"/>
        <w:gridCol w:w="303"/>
        <w:gridCol w:w="822"/>
        <w:gridCol w:w="346"/>
        <w:gridCol w:w="346"/>
        <w:gridCol w:w="303"/>
        <w:gridCol w:w="822"/>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from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decreased from $101.2 million for the three months ended June 30, 2025 to $85.2 million for the three months ended June 30, 2026. The decrease in interest from investments was primarily the result of a decrease in reference rates for the three months ended June 30, 2026 compared to the same period in 2025. Paid-in-kind interest income increased from $5.8 million for the three months ended June 30, 2025 to $6.7 million for the three months ended June 30, 2026 due to increased PIK investments. Dividend income increased from $0.4 million for the three months ended June 30, 2025 to $2.0 million for the three months ended June 30, 2026 due to increased dividend yielding investments in 2026. Other income decreased from $7.6 million for the three months ended June 30, 2025 to $4.0 million for the three months ended June 30, 2026, primarily due to decreased miscellaneous fees earned during the three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decreased from $207.9 million for the six months ended June 30, 2025 to $169.0 million for the six months ended June 30, 2026. The decrease in interest from investments was primarily the result of a decrease in reference rates for the six months ended June 30, 2026 compared to the same period in 2025. Paid-in-kind interest income increased from $11.1 million for the six months ended June 30, 2025 to $13.7 million for the six months ended June 30, 2026 due to increased PIK investments. Dividend income increased from $1.3 million for the six months ended June 30, 2025 to $2.4 million for the six months ended June 30, 2026 due to increased dividend yielding investments in 2026. Other income decreased from $11.1 million for the six months ended June 30, 2025 to $6.2 million for the six months ended June 30, 2026, primarily due to decreased miscellaneous fees earned during the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for the three and six months ended June 30, 2026 and 2025 were as follows:</w:t>
      </w:r>
    </w:p>
    <w:p>
      <w:pPr>
        <w:pStyle w:val="TextBody"/>
        <w:bidi w:val="0"/>
        <w:jc w:val="left"/>
        <w:rPr/>
      </w:pPr>
      <w:r>
        <w:rPr/>
        <w:t> </w:t>
      </w:r>
    </w:p>
    <w:tbl>
      <w:tblPr>
        <w:tblW w:w="9724" w:type="dxa"/>
        <w:jc w:val="left"/>
        <w:tblInd w:w="0" w:type="dxa"/>
        <w:tblLayout w:type="fixed"/>
        <w:tblCellMar>
          <w:top w:w="28" w:type="dxa"/>
          <w:left w:w="28" w:type="dxa"/>
          <w:bottom w:w="28" w:type="dxa"/>
          <w:right w:w="28" w:type="dxa"/>
        </w:tblCellMar>
      </w:tblPr>
      <w:tblGrid>
        <w:gridCol w:w="3391"/>
        <w:gridCol w:w="346"/>
        <w:gridCol w:w="350"/>
        <w:gridCol w:w="775"/>
        <w:gridCol w:w="146"/>
        <w:gridCol w:w="146"/>
        <w:gridCol w:w="350"/>
        <w:gridCol w:w="775"/>
        <w:gridCol w:w="346"/>
        <w:gridCol w:w="346"/>
        <w:gridCol w:w="303"/>
        <w:gridCol w:w="822"/>
        <w:gridCol w:w="146"/>
        <w:gridCol w:w="146"/>
        <w:gridCol w:w="303"/>
        <w:gridCol w:w="822"/>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(net of waivers)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capital gains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including other debt financing expenses, decreased from $33.6 million for the three months ended June 30, 2025 to $30.1 million for the three months ended June 30, 2026. This decrease was primarily due to a decrease in the average interest rate on our debt outstanding, which decreased from 6.3% for the three months ended June 30, 2025 to 5.6% for the three months ended June 30, 2026 due to a change in the mix of our debt financing sources and a change in SOFR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including other debt financing expenses, decreased from $66.6 million for the six months ended June 30, 2025 to $58.3 million for the six months ended June 30, 2026. This decrease was primarily due to a decrease in the average interest rate on our debt outstanding, which decreased from 6.4% for the six months ended June 30, 2025 to 5.5% for the six months ended June 30, 2026 due to a change in the mix of our debt financing sources and a change in SOFR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Fees (gross of waivers) increased from $12.9 million for the three months ended June 30, 2025 to $13.0 million for the three months ended June 30, 2026 due to an increase in average assets for the three months ended June 30, 2026 compared to the same period in 2025. Management Fees (net of waivers) decreased from $12.6 million for the three months ended June 30, 2025 to $12.5 million for the three months ended June 30, 2026. Management Fees waived were $0.5 million for the three months ended June 30, 2026 and $0.3 million for the three months ended June 30, 2025, pursuant to the Leverage Waiver. Any waived management fees are not subject to recoupment by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Fees (gross of waivers) decreased from $26.0 million for the six months ended June 30, 2025 to $25.6 million for the six months ended June 30, 2026 due to a decrease in average assets for the six months ended June 30, 2026 compared to the same period in 2025. Management Fees (net of waivers) decreased from $25.3 million for the six months ended June 30, 2025 to $24.8 million for the six months ended June 30, 2026. Management Fees waived were $0.8 million for the six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$0.7 million for the six months ended June 30, 2025, pursuant to the Leverage Waiver. Any waived management fees are not subject to recoupment by the Adviser.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Incentive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 Fees related to pre-incentive net investment income decreased from $11.1 million for the three months ended June 30, 2025 to $8.7 million for the three months ended June 30, 2026. For the three months ended June 30, 2026, there were no Incentive Fees accrued related to Capital Gains Fees. For the three months ended June 30, 2025, $1.4 million of Incentive Fees were accrued related to Capital Gains Fees. As of June 30, 2026, these accrued Incentive Fees are not contractually payable to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 Fees related to pre-incentive net investment income decreased from $22.6 million for the six months ended June 30, 2025 to $17.1 million for the six months ended June 30, 2026. For the six months ended June 30, 2026, there were no Incentive Fees accrued related to Capital Gains Fees. For the six months ended June 30, 2025, $(2.2) million of Incentive Fees were accrued related to Capital Gains Fees. As of June 30, 2026, these accrued Incentive Fees are not contractually payable to the Adviser.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Professional Fees and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decreased from $2.6 million for the three months ended June 30, 2025 to $2.4 million for the three months ended June 30, 2026 due to lower audit related, independent third-party valuation firm and sub-agent administration costs. Other general and administrative fees were $1.3 million for the three months ended June 30, 2025 and $1.8 million for the 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decreased from $4.5 million for the six months ended June 30, 2025 to $4.2 million for the six months ended June 30, 2026 due to lower audit related, independent third-party valuation firm and sub-agent administration costs. Other general and administrative fees were $2.6 million for the six months ended June 30, 2025 and $3.1 million for the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 Including Excise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RIC status, we, among other things, have made and intend to continue to make the requisite distributions to our stockholders, which generally relieve us from corporate-level U.S. federal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we recorded a net expense of $1.3 million and $2.5 million, respectively, for U.S. federal excise tax and other taxes. For the three and six months ended June 30, 2025 we recorded a net expense of $1.3 million and $2.6 million, respectively, for U.S. federal excise tax and other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recorded an increase in our deferred tax liability of $0.7 million pertaining to net unrealized gains. As of June 30, 2026, the balance of our deferred tax liability was $4.7 million.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realized and unrealized gains (losses)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630"/>
        <w:gridCol w:w="146"/>
        <w:gridCol w:w="304"/>
        <w:gridCol w:w="759"/>
        <w:gridCol w:w="166"/>
        <w:gridCol w:w="146"/>
        <w:gridCol w:w="304"/>
        <w:gridCol w:w="759"/>
        <w:gridCol w:w="166"/>
        <w:gridCol w:w="146"/>
        <w:gridCol w:w="270"/>
        <w:gridCol w:w="810"/>
        <w:gridCol w:w="166"/>
        <w:gridCol w:w="146"/>
        <w:gridCol w:w="288"/>
        <w:gridCol w:w="782"/>
        <w:gridCol w:w="217"/>
      </w:tblGrid>
      <w:tr>
        <w:trPr/>
        <w:tc>
          <w:tcPr>
            <w:tcW w:w="4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transactions </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investments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borrowings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foreign currency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Unrealized gains (losses) on foreign currency transactions </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on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 and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we had net realized gains on investments of $0.8 million and net realized losses on investments of $38.5 million, respectively. For the three and six months ended June 30, 2026, we had net realized losses of less than $0.1 million and $0.1 million, respectively, on foreign currency transactions, primarily as a result of translating foreign currency related to our non-USD denominated investments. For both the three and six months ended June 30, 2026, we had net realized gains on foreign currency investments of less than $0.1 million. For both the three and six months ended June 30, 2026, we had net realized gains on foreign currency borrowings of less than $0.1 million. The net realized gains on foreign currency borrowings were a result of payments on our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we had $24.4 million in unrealized gains on 68 portfolio company investments, which was offset by $27.7 million in unrealized losses on 73 portfolio company investments. Unrealized gains for the three months ended June 30, 2026 resulted from positive portfolio company specific developments and the reversal of prior period unrealized losses due to realizations. Unrealized losses for the three months ended June 30, 2026 resulted from negative credit-related adjustments, widening credit spreads, and the reversal of prior period unrealized gains due to realizations. For the six months ended June 30, 2026, we had $65.9 million in unrealized gains on 27 portfolio company investments, which was offset by $104.2 million in unrealized losses on 120 portfolio company investments. Unrealized gains for the six months ended June 30, 2026 resulted from positive portfolio company specific developments and the reversal of prior period unrealized losses due to realizations. Unrealized losses for the six months ended June 30, 2026 resulted from negative credit-related adjustments, widening credit spreads, and the reversal of prior period unrealized gains due to realizations.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we had unrealized gains of $2.9 million and $11.3 million, respectively, on foreign currency borrowings, primarily as a result of fluctuations in the AUD, CAD, SEK, GBP and EUR exchange rates. For the three and six months ended June 30, 2026, we had unrealized gains of less than $0.1 million and $0.1 million, respectively, on foreign currency transactions. For both the three and six months ended June 30, 2026, we had unrealized losses of $0.7 million, related to a deferred tax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we had net realized losses on investments of $36.8 million and $35.7 million, respectively. For the three and six months ended June 30, 2025, we had net realized gains of $0.1 million and net realized losses of $0.1 million, respectively, on foreign currency transactions, primarily as a result of translating foreign currency related to our non-USD denominated investments. For the three and six months ended June 30, 2025, we had net realized gains on foreign currency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of $0.8 million and $0.8 million, respectively. For the three and six months ended June 30, 2025, we had net realized losses on foreign currency borrowings of $1.0 million and $1.0 million, respectively. The net realized losses on foreign currency borrowings were a result of payments on our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2025, we had $94.6 million in unrealized gains on 77 portfolio company investments, which was offset by $23.8 million in unrealized losses on 40 portfolio company investments. Unrealized gains for the three months ended June 30, 2025 resulted from positive portfolio company specific developments, tightening credit spreads, and the reversal of prior period unrealized losses due to realizations. Unrealized losses for the three months ended June 30, 2025 resulted from negative credit-related adjustments and the reversal of prior period unrealized gains due to realizations. For the six months ended June 30, 2025, we had $104.9 million in unrealized gains on 67 portfolio company investments, which was offset by $44.9 million in unrealized losses on 57 portfolio company investments. Unrealized gains for the six months ended June 30, 2025 resulted from positive portfolio company specific developments, tightening credit spreads, and the reversal of prior period unrealized losses due to realizations. Unrealized losses for the six months ended June 30, 2025 resulted from negative credit-related adjustments and the reversal of prior period unrealized gains due to realizations.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we had unrealized losses on foreign currency borrowings of $25.8 million and $36.8 million, respectively, on foreign currency borrowings, primarily as a result of fluctuations in the AUD, CAD, SEK, GBP and EUR exchange rates. For the three and six months ended June 30, 2025, we had unrealized gains of less than $0.1 million and unrealized losses of less than $0.1 million, respectively, on foreign currency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Realized Gross Internal Rate of Return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we began investing in 2011 through June 30, 2026, weighted by capital invested, our exited investments have generated an average realized gross internal rate of return to us of 16.7% (based on total capital invested of $9.5 billion and total proceeds from these exited investments of $12.2 billion). Ninety-four percent of these exited investments resulted in a realized gross internal rate of return to us of 10% or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and Foreign Currency 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interest rate swaps to hedge our fixed rate debt and certain fixed rate investments. We have designated certain interest rate swaps to be in a hedge accounting relationship. See Note 2 for additional disclosure regarding our accounting for derivative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instruments designated in a hedge accounting relationship. See Note 5 for additional disclosure regarding these derivative instruments and the interest payments paid and received. See Note 7 for additional disclosure regarding the carrying value of our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approach to hedging the foreign currency exposure in our non-U.S. dollar denominated investments is primarily to borrow the par amount in local currency under our Revolving Credit Facility to fund these investments. For the six months ended June 30, 2026 and 2025, we had $11.3 million of unrealized gains and $36.8 million of unrealized losses, respectively, on the translation of our non-U.S. dollar denominated debt into U.S. dollars; such amounts approximate the corresponding unrealized gains and losses on the translation of our non-U.S. dollar denominated investments into U.S. dollars for the six months ended June 30, 2026 and 2025. See Note 2 for additional disclosure regarding our accounting for foreign currency. See Note 7 for additional disclosure regarding the amounts of outstanding debt denominated in each foreign currency at June 30, 2026. See our Consolidated Schedule of 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Condition, 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and capital resources are derived primarily from proceeds from equity issuances, advances from our credit facilities, and cash flows from operations. The primary uses of our cash and cash equivalents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in portfolio companies and other investments and to comply with certain portfolio diversification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operations (including paying our Adviser);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service, repayment, and other financing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dividends to the holders of our shares.</w:t>
      </w:r>
    </w:p>
    <w:p>
      <w:pPr>
        <w:pStyle w:val="TextBody"/>
        <w:bidi w:val="0"/>
        <w:spacing w:before="240" w:after="283"/>
        <w:jc w:val="left"/>
        <w:rPr>
          <w:rFonts w:ascii="Times New Roman" w:hAnsi="Times New Roman"/>
          <w:sz w:val="20"/>
        </w:rPr>
      </w:pPr>
      <w:r>
        <w:rPr>
          <w:rFonts w:ascii="Times New Roman" w:hAnsi="Times New Roman"/>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hAnsi="Times New Roman"/>
          <w:i/>
          <w:color w:val="000000"/>
          <w:sz w:val="20"/>
        </w:rPr>
        <w:t>Key Components of Our Results of Operations — Leverage</w:t>
      </w:r>
      <w:r>
        <w:rPr>
          <w:rFonts w:ascii="Times New Roman" w:hAnsi="Times New Roman"/>
          <w:color w:val="000000"/>
          <w:sz w:val="20"/>
        </w:rPr>
        <w:t>” above. As of June 30, 2026 and December 31, 2025, our asset coverage ratio was 179.1% and 191.5%,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as of June 30, 2026, taken together with cash available under our credit facilities, is expected to be sufficient for our investing activities and to conduct our operations in the near term. As of June 30, 2026, we had approximately $1.1 billion of availability on our Revolving Credit Facility, subject to asset coverage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$193.6 million in cash and cash equivalents, including $40.1 million of restricted cash. During the six months ended June 30, 2026, cash provided by operating activities was $45.0 million, primarily attributable to repayments and proceeds from investments of $335.5 million, an increase in net assets resulting from operations of $14.5 million and cash provided by other operating activities of $42.8 million which was partially offset by funding portfolio investments of $347.8 million. Cash provided by financing activities was $128.9 million during the period due to borrowings of $651.9 million which was partially offset by paydowns on our Revolving Credit Facility of $441.3 million, dividends paid of $73.2 million, deferred financing costs of $8.0 million and repurchases of common stock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we had $39.2 million in cash and cash equivalents, including $35.3 million of restricted cash. During the six months ended June 30, 2025, cash provided by operating activities was $343.1 million, primarily attributable to repayments and proceeds from investments of $733.2 million and an increase in net assets resulting from operations of $96.0 million, which was partially offset by cash used in other operating activities of $26.6 million and funding portfolio investments of $459.5 million. Cash used in financing activities was $331.3 million during the period due to paydowns on our Revolving Credit Facility of $977.8 million, dividends paid of $85.9 million and deferred financing costs of $7.3 million, which was partially offset by borrowings of $739.7 million.</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party to equity distribution agreements with several banks (the “Equity Distribution Agreements”). The Equity Distribution Agreements provide that we may from time to time issue and sell, by means of “at the market” offerings, up to $100 million of the Company's common stock. Under the currently effective Equity Distribution Agreements, common stock with an aggregate offering amount of $100 million remained available for issuance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and 2025, we issued 668,927 and 578,912 shares of our common stock, respectively, to investors who have not opted out of our dividend reinvestment plan for proceeds of $11.3 million and $12.7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5, 2026 (expiring November 30,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we repurchased 30,938 shares at a weighted average price per share of $16.17 inclusive of commissions, for a total cost of $0.5 million. During the three and six months ended June 30, 2025, no shares were repurchased.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aggregate commitments under the Revolving Credit Facility were $1.525 billion. The Revolving Credit Facility includes an uncommitted accordion feature that allows us, under certain circumstances, to increase the size of the Revolving Credit Facility to up to $2.5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Seventeenth Amendment dated May 1, 2026, with respect to $1.525 billion of commitments, the revolving period, during which period we, subject to certain conditions, may make borrowings under the Revolving Credit Facility, was extended to May 1, 2030 and the stated maturity date was extended to May 1,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June 30, 2026, we had outstanding debt denominated in Australian dollars (AUD) of 3.0 million, British pounds (GBP) of 49.3 million, Canadian dollars (CAD) of 5.0 million, Swedish Krona (SEK) of 290.0 million and Euro (EUR) of 275.5 million on our Revolving Credit Facility, included in the Outstanding Principal amount in the table below. As of December 31, 2025, we had outstanding debt denominated in Australian dollars (AUD) of 3.0 million, British pounds (GBP) of 48.5 million, Canadian dollars (CAD) of 5.0 million, Swedish Krona (SEK) of 218.0 million and Euro (EUR) of 245.9 million on our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$75 million. As of June 30, 2026 and December 31, 2025, we had $22.8 million and $21.7 million, respectively,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 rate or base rate at the time of drawdown, and loans may be converted from one rate to another at any time, subject to certain conditions. We also pay a fee of 0.325%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asset coverage ratio of no less than 2 to 1 on the last day of any fiscal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of at least $650 million plus 25% of the net proceeds of the sale of equity interests after April 24, 2024;</w:t>
        <w:br/>
        <w:t>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minimum asset coverage ratio of no less than 1.5 to 1 with respect to (i) the consolidated assets of our and our subsidiary's guarantors (including certain limitations on the contribution of equity in financing subsidiaries) to (ii) the secured debt of our and our subsidiary's guarantors plus unsecured senior securities of our and our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we were in compliance with the terms of the Revolving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2026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we issued $300.0 million aggregate principal amount of unsecured notes that matured on August 1, 2026 (the “2026 Notes”). The principal amount of the 2026 Notes was payable at maturity. The 2026 Notes bore interest at a rate of 2.50% per year, payable semi-annually commencing on August 1, 2021, and were able to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we entered into an interest rate swap to align the interest rates of our liabilities with our investment portfolio, which consists of predominately floating rate loans. The notional amount of the interest rate swap was $300.0 million, which matured on August 1, 2026, matching the maturity date of the 2026 Notes. As a result of the swap, our effective interest rate on the 2026 Notes was SOFR plus 2.17%. The interest expense related to the 2026 Notes was offset by proceeds received from the interest rate swaps designated as a hedge. The swap adjusted interest expense is included as a component of interest expense on our Consolidated Statements of Operations. As of June 30, 2026 and December 31, 2025, the effective hedge interest rate swaps had a fair value of $(1.1) million and $(5.8) million, respectively, which was offset within interest expense by an equal, but opposite, fair value change for the hedged risk on the 2026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2028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our Consolidated Statements of Operations. As of June 30, 2026 and December 31, 2025, the effective hedge interest rate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swaps had a fair value of $(0.4) million and $4.5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$341.6 million. We used the net proceeds of the 2029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2029 Notes, we entered into an interest rate swap to align the interest rates of our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 The interest expense related to the 2029 Notes is offset by proceeds received from the interest rate swaps designated as a hedge. The swap adjusted interest expense is included as a component of interest expense on our Consolidated Statements of Operations. As of June 30, 2026 and December 31, 2025, the effective hedge interest rate swaps had a fair value of $(2.6) million and $3.3 million, respectively, which is offset within interest expense by an equal, but opposite, fair value change for the hedged risk on the 2029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We used the net proceeds of the 2030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2030 Notes, we entered into an interest rate swap to align the interest rates of our liabilities with our investment portfolio, which consists of predominately floating rate loans. The notional amount of the interest rate swap is $300.0 million, which matures on August 15, 2030, matching the maturity date of the 2030 Notes. As a result of the swap, our effective interest rate on the 2030 Notes is SOFR plus 1.53%. The interest expense related to the 2030 Notes is offset by proceeds received from the interest rate swaps designated as a hedge. The swap adjusted interest expense is included as a component of interest expense on our Consolidated Statements of Operations. As of June 30, 2026 and December 31, 2025, the effective hedge interest rate swaps had a fair value of $2.0 million and $8.3 million, respectively, which is offset within interest expense by an equal, but opposite, fair value change for the hedged risk on the 2030 Notes.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2031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we issued $300.0 million aggregate principal amount of unsecured notes that mature on August 15, 2031 (the “2031 Notes”). The principal amount of the 2031 Notes is payable at maturity. The 2031 Notes bear interest at a rate of 5.65% per year, payable semi-annually commencing on February 15, 2027, and may be redeemed in whole or in part at our option at any time at par plus a “make whole” premium. Total proceeds from the issuance of the 2031 Notes, net of underwriting discounts, offering costs and original issue discount, were $294.3 million. We used the net proceeds of the 2031 Notes to repay a portion of the outstanding indebtedness under the Revolving Credit Facility and for general corporate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2031 Notes, we entered into an interest rate swap to align the interest rates of our liabilities with our investment portfolio, which consists of predominately floating rate loans. The notional amount of the interest rate swap is $300.0 million, which matures on August 15, 2031, matching the maturity date of the 2031 Notes. As a result of the swap, our effective interest rate on the 2031 Notes is SOFR plus 1.85%. The interest expense related to the 2031 Notes is offset by proceeds received from the interest rate swaps designated as a hedge. The swap adjusted interest expense is included as a component of interest expense on our Consolidated Statements of Operations. As of June 30, 2026, the effective hedge interest rate swaps had a fair value of $(1.7) million, which is offset within interest expense by an equal, but opposite, fair value change for the hedged risk on the 2031 Notes.</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obligations consisted of the following as of June 30, 2026 and December 31, 2025:</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reserve for near term Notes maturity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2026 Notes, 2028 Notes, 2029 Notes, 2030 Notes and 2031 Notes are presented net of the combination of deferred financing costs and original issue discounts totaling $17.3 million, $0.1 million, $2.7 million, $4.5 million, $5.9 million and $6.8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2029 Notes, 2030 Notes and 2031 Notes are presented inclusive of an incremental $(1.1) million, $(0.4) million, $(2.6) million, $2.0 million and $(1.7) million, respectively, which represents an adjustment in the carrying values of the 2026 Notes, 2028 Notes, 2029 Notes, 2030 Notes and 2031 Notes, each resulting from a hedge accounting relationship.</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$15.1 million, $0.7 million, $3.3 million, $5.3 million and $6.6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2029 Notes and 2030 Notes are presented inclusive of an incremental $(5.8) million, $4.5 million, $3.3 million and $8.3 million, respectively, which represents an adjustment in the carrying values of the 2026 Notes, 2028 Notes, 2029 Notes and 2030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we were in compliance with the terms of our debt arrangements. We intend to continue to utilize our credit facilities to fund investments and for other general corporate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Portfolio Company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June 30, 2026 and December 31, 2025, we had the following commitments to fund investments in current portfolio companies: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75" w:type="dxa"/>
        <w:jc w:val="left"/>
        <w:tblInd w:w="0" w:type="dxa"/>
        <w:tblLayout w:type="fixed"/>
        <w:tblCellMar>
          <w:top w:w="28" w:type="dxa"/>
          <w:left w:w="28" w:type="dxa"/>
          <w:bottom w:w="28" w:type="dxa"/>
          <w:right w:w="28" w:type="dxa"/>
        </w:tblCellMar>
      </w:tblPr>
      <w:tblGrid>
        <w:gridCol w:w="5921"/>
        <w:gridCol w:w="246"/>
        <w:gridCol w:w="303"/>
        <w:gridCol w:w="822"/>
        <w:gridCol w:w="246"/>
        <w:gridCol w:w="246"/>
        <w:gridCol w:w="467"/>
        <w:gridCol w:w="1033"/>
        <w:gridCol w:w="191"/>
      </w:tblGrid>
      <w:tr>
        <w:trPr/>
        <w:tc>
          <w:tcPr>
            <w:tcW w:w="5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Alaska Bidco Oy - Delayed Draw &amp; Revolver </w:t>
            </w:r>
            <w:r>
              <w:rPr>
                <w:rFonts w:ascii="Times New Roman" w:hAnsi="Times New Roman"/>
                <w:color w:val="000000"/>
                <w:sz w:val="13"/>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Aledade,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Arcwood Environmental,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AVSC Holding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BCTO Ace Purchaser,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Elysian Finco Ltd.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ExtraHop Networks,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Hirevue,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HMP Omnimedia,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Ingenovis Health Finance, LLC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Kahua,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Kaseware Intermediate Holding Company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Kryptona BidCo US,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Leg Purchaser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LIHA Holdco B.V.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Marcura Equities LTD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MindBody,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Omnigo Software,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PDI TA Holdings,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RainFocus,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Raptor US Buyer II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Sapphire Software Buyer,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Scorpio Bidco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Sediver S.p.A.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Shiftmove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SMA Technologies Holdings,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Sport Alliance GmbH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Structured Credit Partners JV, LLC -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74" w:type="dxa"/>
        <w:jc w:val="left"/>
        <w:tblInd w:w="0" w:type="dxa"/>
        <w:tblLayout w:type="fixed"/>
        <w:tblCellMar>
          <w:top w:w="28" w:type="dxa"/>
          <w:left w:w="28" w:type="dxa"/>
          <w:bottom w:w="28" w:type="dxa"/>
          <w:right w:w="28" w:type="dxa"/>
        </w:tblCellMar>
      </w:tblPr>
      <w:tblGrid>
        <w:gridCol w:w="5081"/>
        <w:gridCol w:w="246"/>
        <w:gridCol w:w="211"/>
        <w:gridCol w:w="571"/>
        <w:gridCol w:w="246"/>
        <w:gridCol w:w="246"/>
        <w:gridCol w:w="211"/>
        <w:gridCol w:w="571"/>
        <w:gridCol w:w="291"/>
      </w:tblGrid>
      <w:tr>
        <w:trPr/>
        <w:tc>
          <w:tcPr>
            <w:tcW w:w="50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TRP Assets,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TS Imagine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USA Debusk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Varinem German Bidco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Velocity Clinical Research,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estimate of the fair value of the current investments in these portfolio companies includes an analysis of the fair value of any unfunded commitments.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we did not have any unfunded commitments to fund investments to new borrowers that were not current portfolio companies as of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a party to certain legal proceedings incidental to the normal course of our business. As of June 30, 2026,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contractual payment obligations as of June 30, 2026 is as follows:</w:t>
      </w:r>
    </w:p>
    <w:tbl>
      <w:tblPr>
        <w:tblW w:w="8934"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11"/>
        <w:gridCol w:w="571"/>
        <w:gridCol w:w="146"/>
        <w:gridCol w:w="146"/>
        <w:gridCol w:w="211"/>
        <w:gridCol w:w="571"/>
        <w:gridCol w:w="146"/>
        <w:gridCol w:w="146"/>
        <w:gridCol w:w="211"/>
        <w:gridCol w:w="571"/>
        <w:gridCol w:w="146"/>
        <w:gridCol w:w="146"/>
        <w:gridCol w:w="287"/>
        <w:gridCol w:w="778"/>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to the contractual payment obligations in the tables above, we also have commitments to fund investments and to pledge assets as collateral under the terms of our derivatives agreements.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tax-exempt interest income (which is the excess of our gross tax exempt interest income over certain disallowed deductions) for such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RIC, we (but not our stockholders) generally will not be subject to U.S. federal income tax on investment company taxable income and net capital gains that we distribute to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98% of our net ordinary income excluding certain ordinary gains or losses for that calendar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98.2% of our capital gain net income, adjusted for certain ordinary gains and losses, recognized for the twelve-month period ending on October 31 of that calendar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any income or gains recognized, but not distributed, in preceding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pay quarterly dividends to our stockholders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Investment Advisory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Administration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ongoing agreement with an affiliate of TPG Global, LLC governing, inter alia, the parties’ respective ownership of and rights to use the “Sixth Street” and “TPG” trademarks and certain variations thereof.</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including those relating to the valuation of our investment portfolio, are described in our Annual Report on Form 10-K for the fiscal year ended December 31, 2025, filed with the SEC on February 12, 2026, and elsewhere in our filings with the SEC. The critical accounting policies and estimates should be read in connection with our risk factors discussed in Part I, “Item 1A. Risk Factors” in our Annual Report on Form 10-K for the fiscal year ended December 31, 2025.</w:t>
      </w:r>
    </w:p>
    <w:p>
      <w:pPr>
        <w:pStyle w:val="TextBody"/>
        <w:bidi w:val="0"/>
        <w:spacing w:before="360" w:after="283"/>
        <w:jc w:val="left"/>
        <w:rPr/>
      </w:pPr>
      <w:r>
        <w:rPr/>
        <w:t> </w:t>
      </w:r>
    </w:p>
    <w:p>
      <w:pPr>
        <w:pStyle w:val="TextBody"/>
        <w:bidi w:val="0"/>
        <w:spacing w:before="180" w:after="283"/>
        <w:jc w:val="left"/>
        <w:rPr>
          <w:rFonts w:ascii="Times New Roman" w:hAnsi="Times New Roman"/>
          <w:b/>
          <w:color w:val="000000"/>
          <w:sz w:val="20"/>
        </w:rPr>
      </w:pPr>
      <w:bookmarkStart w:id="10" w:name="item_3_quantitative_disclosur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financial market risks, including valuation risk, interest rate risk and currency risk.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Valuation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96.1% of our debt investments based on fair value in our portfolio bore interest at floating rates, with 100.0% of these subject to interest rate floors. Our credit facilities also bear interest at floating rates, and in connection with our 2026 Notes, 2028 Notes, 2029 Notes, 2030 Notes and 2031 Notes, which bear interest at fixed rates, we entered into fixed-to-floating interest rate swaps in order to align the interest rates of our liabilities with our investment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Consolidated Balance Sheet as of June 30, 2026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997" w:type="dxa"/>
        <w:jc w:val="left"/>
        <w:tblInd w:w="0" w:type="dxa"/>
        <w:tblLayout w:type="fixed"/>
        <w:tblCellMar>
          <w:top w:w="28" w:type="dxa"/>
          <w:left w:w="28" w:type="dxa"/>
          <w:bottom w:w="28" w:type="dxa"/>
          <w:right w:w="28" w:type="dxa"/>
        </w:tblCellMar>
      </w:tblPr>
      <w:tblGrid>
        <w:gridCol w:w="1966"/>
        <w:gridCol w:w="146"/>
        <w:gridCol w:w="352"/>
        <w:gridCol w:w="878"/>
        <w:gridCol w:w="166"/>
        <w:gridCol w:w="146"/>
        <w:gridCol w:w="369"/>
        <w:gridCol w:w="921"/>
        <w:gridCol w:w="166"/>
        <w:gridCol w:w="146"/>
        <w:gridCol w:w="438"/>
        <w:gridCol w:w="1092"/>
        <w:gridCol w:w="2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300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25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50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75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w:t>
      </w:r>
      <w:bookmarkStart w:id="12" w:name="item_9a_controls_and_procedures"/>
      <w:bookmarkEnd w:id="12"/>
      <w:r>
        <w:rPr>
          <w:rFonts w:ascii="Times New Roman" w:hAnsi="Times New Roman"/>
          <w:b/>
          <w:color w:val="000000"/>
          <w:sz w:val="20"/>
        </w:rPr>
        <w:t>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There have been no changes in our internal control over financial reporting that occurred during our most recently completed fiscal quarter that have materially affected, or are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jc w:val="left"/>
        <w:rPr/>
      </w:pPr>
      <w:r>
        <w:rPr/>
        <w:t> </w:t>
      </w:r>
    </w:p>
    <w:p>
      <w:pPr>
        <w:pStyle w:val="TextBody"/>
        <w:bidi w:val="0"/>
        <w:jc w:val="left"/>
        <w:rPr>
          <w:rFonts w:ascii="Times New Roman" w:hAnsi="Times New Roman"/>
          <w:sz w:val="20"/>
        </w:rPr>
      </w:pPr>
      <w:bookmarkStart w:id="14" w:name="item_1_legal_proceedings"/>
      <w:bookmarkEnd w:id="14"/>
      <w:r>
        <w:rPr>
          <w:rFonts w:ascii="Times New Roman" w:hAnsi="Times New Roman"/>
          <w:b/>
          <w:color w:val="000000"/>
          <w:sz w:val="20"/>
        </w:rPr>
        <w:t>I</w:t>
      </w:r>
      <w:bookmarkStart w:id="15" w:name="item_10_directors"/>
      <w:bookmarkEnd w:id="15"/>
      <w:r>
        <w:rPr>
          <w:rFonts w:ascii="Times New Roman" w:hAnsi="Times New Roman"/>
          <w:b/>
          <w:color w:val="000000"/>
          <w:sz w:val="20"/>
        </w:rPr>
        <w:t>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pStyle w:val="TextBody"/>
        <w:bidi w:val="0"/>
        <w:spacing w:before="160" w:after="283"/>
        <w:jc w:val="left"/>
        <w:rPr>
          <w:rFonts w:ascii="Times New Roman" w:hAnsi="Times New Roman"/>
          <w:b/>
          <w:color w:val="000000"/>
          <w:sz w:val="20"/>
        </w:rPr>
      </w:pPr>
      <w:bookmarkStart w:id="16" w:name="items_1a_risk_factors"/>
      <w:bookmarkStart w:id="17" w:name="item_11_executive_compensat"/>
      <w:bookmarkEnd w:id="16"/>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Risk Factors” in our Annual Report on Form 10-K for the fiscal year ended December 31, 2025,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jc w:val="left"/>
        <w:rPr/>
      </w:pPr>
      <w:r>
        <w:rPr/>
        <w:t> </w:t>
      </w:r>
    </w:p>
    <w:p>
      <w:pPr>
        <w:pStyle w:val="TextBody"/>
        <w:bidi w:val="0"/>
        <w:jc w:val="left"/>
        <w:rPr>
          <w:rFonts w:ascii="Times New Roman" w:hAnsi="Times New Roman"/>
          <w:b/>
          <w:color w:val="000000"/>
          <w:sz w:val="20"/>
        </w:rPr>
      </w:pPr>
      <w:bookmarkStart w:id="18" w:name="item_2_unregistered_sales"/>
      <w:bookmarkStart w:id="19" w:name="item_12"/>
      <w:bookmarkEnd w:id="18"/>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shares of our common stock repurchased in the open market by the Company for each month in the three month period ended June 30, 2026.</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ISSUER PURCHASES OF EQUITY SECURITIES</w:t>
      </w:r>
    </w:p>
    <w:tbl>
      <w:tblPr>
        <w:tblW w:w="9394" w:type="dxa"/>
        <w:jc w:val="left"/>
        <w:tblInd w:w="0" w:type="dxa"/>
        <w:tblLayout w:type="fixed"/>
        <w:tblCellMar>
          <w:top w:w="28" w:type="dxa"/>
          <w:left w:w="28" w:type="dxa"/>
          <w:bottom w:w="28" w:type="dxa"/>
          <w:right w:w="28" w:type="dxa"/>
        </w:tblCellMar>
      </w:tblPr>
      <w:tblGrid>
        <w:gridCol w:w="1936"/>
        <w:gridCol w:w="146"/>
        <w:gridCol w:w="245"/>
        <w:gridCol w:w="1135"/>
        <w:gridCol w:w="146"/>
        <w:gridCol w:w="146"/>
        <w:gridCol w:w="352"/>
        <w:gridCol w:w="953"/>
        <w:gridCol w:w="246"/>
        <w:gridCol w:w="246"/>
        <w:gridCol w:w="284"/>
        <w:gridCol w:w="1321"/>
        <w:gridCol w:w="146"/>
        <w:gridCol w:w="146"/>
        <w:gridCol w:w="297"/>
        <w:gridCol w:w="1458"/>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203" w:type="dxa"/>
            <w:gridSpan w:val="1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r>
            <w:r>
              <w:rPr>
                <w:rFonts w:ascii="Times New Roman" w:hAnsi="Times New Roman"/>
                <w:color w:val="000000"/>
                <w:sz w:val="16"/>
              </w:rPr>
              <w:t xml:space="preserve"> </w:t>
            </w:r>
            <w:r>
              <w:rPr>
                <w:rFonts w:ascii="Times New Roman" w:hAnsi="Times New Roman"/>
                <w:b/>
                <w:color w:val="000000"/>
                <w:sz w:val="16"/>
              </w:rPr>
              <w:t>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Price</w:t>
              <w:br/>
              <w:t>Paid per Share</w:t>
            </w:r>
            <w:r>
              <w:rPr>
                <w:rFonts w:ascii="Times New Roman" w:hAnsi="Times New Roman"/>
                <w:b/>
                <w:color w:val="000000"/>
                <w:sz w:val="11"/>
              </w:rPr>
              <w:t>(1)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w:t>
              <w:br/>
              <w:t>Shares Purchased as</w:t>
              <w:br/>
              <w:t> Part of Publicly</w:t>
              <w:br/>
              <w:t> Announced Plans or</w:t>
              <w:br/>
              <w:t> Programs</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Maximum Number (or</w:t>
              <w:br/>
              <w:t> Approximate Dollar</w:t>
              <w:br/>
              <w:t> Value) of Shares that</w:t>
              <w:br/>
              <w:t>May Yet Be Purchased</w:t>
              <w:br/>
              <w:t> Under the Plans or</w:t>
              <w:br/>
              <w:t> Programs</w:t>
            </w:r>
            <w:r>
              <w:rPr>
                <w:rFonts w:ascii="Times New Roman" w:hAnsi="Times New Roman"/>
                <w:b/>
                <w:color w:val="000000"/>
                <w:sz w:val="11"/>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49,500,000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Reflects weighted average price, inclusive of commission.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5, 2026 (expiring November 30,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pStyle w:val="TextBody"/>
        <w:bidi w:val="0"/>
        <w:jc w:val="left"/>
        <w:rPr/>
      </w:pPr>
      <w:r>
        <w:rPr/>
        <w:t> </w:t>
      </w:r>
    </w:p>
    <w:p>
      <w:pPr>
        <w:pStyle w:val="TextBody"/>
        <w:bidi w:val="0"/>
        <w:jc w:val="left"/>
        <w:rPr>
          <w:rFonts w:ascii="Times New Roman" w:hAnsi="Times New Roman"/>
          <w:b/>
          <w:color w:val="000000"/>
          <w:sz w:val="20"/>
        </w:rPr>
      </w:pPr>
      <w:bookmarkStart w:id="20" w:name="item_3_defaults"/>
      <w:bookmarkStart w:id="21" w:name="item_13"/>
      <w:bookmarkEnd w:id="20"/>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2" w:name="item_4_mine_safety"/>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3" w:name="item_5_other_information"/>
      <w:bookmarkStart w:id="24" w:name="item_14"/>
      <w:bookmarkEnd w:id="23"/>
      <w:bookmarkEnd w:id="24"/>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under the Exchange Act) adopted, modified or terminated any Rule 10b5-1 trading arrangement or non-Rule 10b5-1 trading arrangement (as such terms are defined in Item 408 of Regulation S-K).</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5" w:name="item_6_exhibits"/>
      <w:bookmarkEnd w:id="25"/>
      <w:r>
        <w:rPr>
          <w:rFonts w:ascii="Times New Roman" w:hAnsi="Times New Roman"/>
          <w:b/>
          <w:color w:val="000000"/>
          <w:sz w:val="20"/>
        </w:rPr>
        <w:t>I</w:t>
      </w:r>
      <w:bookmarkStart w:id="26" w:name="item_15"/>
      <w:bookmarkEnd w:id="26"/>
      <w:r>
        <w:rPr>
          <w:rFonts w:ascii="Times New Roman" w:hAnsi="Times New Roman"/>
          <w:b/>
          <w:color w:val="000000"/>
          <w:sz w:val="20"/>
        </w:rPr>
        <w:t>TEM 6.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70"/>
        <w:gridCol w:w="290"/>
        <w:gridCol w:w="9145"/>
      </w:tblGrid>
      <w:tr>
        <w:trPr/>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9145" w:type="dxa"/>
            <w:tcBorders/>
            <w:shd w:fill="FFFFFF" w:val="clear"/>
            <w:vAlign w:val="center"/>
          </w:tcPr>
          <w:p>
            <w:pPr>
              <w:pStyle w:val="TableContents"/>
              <w:bidi w:val="0"/>
              <w:spacing w:before="0" w:after="283"/>
              <w:jc w:val="left"/>
              <w:rPr>
                <w:sz w:val="4"/>
                <w:szCs w:val="4"/>
              </w:rPr>
            </w:pPr>
            <w:r>
              <w:rPr>
                <w:sz w:val="4"/>
                <w:szCs w:val="4"/>
              </w:rPr>
            </w:r>
          </w:p>
        </w:tc>
      </w:tr>
      <w:tr>
        <w:trPr/>
        <w:tc>
          <w:tcPr>
            <w:tcW w:w="77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Exhibit No</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 of Exhibits</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(incorporated by reference to Exhibit 3.2 to Amendment No. 1 to the Company’s Current Report on Form 8-K filed on June 19, 2020).</w:t>
              </w:r>
            </w:hyperlink>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Third Amended and Restated Bylaws dated November 4, 2025 (incorporated by reference to Exhibit 3.2 to the Company’s Quarterly Report on Form 10-Q filed on November 4, 2025).</w:t>
              </w:r>
            </w:hyperlink>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4.1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Third Supplemental Indenture, dated as of May 14, 2026, between Sixth Street Specialty Lending, Inc. and U.S. Bank Trust Company, National Association, as Trustee (incorporated by reference to Exhibit 4.2 to the Company’s Current Report on Form 8-K filed on May 14, 2026).</w:t>
              </w:r>
            </w:hyperlink>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4.2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5.650% Note Due 2031 (included in Exhibit 4.2 to the Company’s Current Report on Form 8-K filed on May 14, 2026 and incorporated by reference).</w:t>
              </w:r>
            </w:hyperlink>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jc w:val="left"/>
              <w:rPr/>
            </w:pPr>
            <w:hyperlink r:id="rId6">
              <w:r>
                <w:rPr>
                  <w:rStyle w:val="InternetLink"/>
                  <w:rFonts w:ascii="Times New Roman" w:hAnsi="Times New Roman"/>
                  <w:color w:val="0000FF"/>
                  <w:sz w:val="20"/>
                  <w:u w:val="single"/>
                </w:rPr>
                <w:t>Seventeenth Amendment to Second Amended and Restated Senior Secured Revolving Credit Agreement, dated as of May</w:t>
              </w:r>
            </w:hyperlink>
          </w:p>
          <w:p>
            <w:pPr>
              <w:pStyle w:val="TableContents"/>
              <w:bidi w:val="0"/>
              <w:jc w:val="left"/>
              <w:rPr/>
            </w:pPr>
            <w:hyperlink r:id="rId7">
              <w:r>
                <w:rPr>
                  <w:rStyle w:val="InternetLink"/>
                  <w:rFonts w:ascii="Times New Roman" w:hAnsi="Times New Roman"/>
                  <w:color w:val="0000FF"/>
                  <w:sz w:val="20"/>
                  <w:u w:val="single"/>
                </w:rPr>
                <w:t>1, 2026, among Sixth Street Specialty Lending, Inc., as Borrower, the Lenders party thereto and Truist Bank (as successor</w:t>
              </w:r>
            </w:hyperlink>
          </w:p>
          <w:p>
            <w:pPr>
              <w:pStyle w:val="TableContents"/>
              <w:bidi w:val="0"/>
              <w:spacing w:before="0" w:after="283"/>
              <w:jc w:val="left"/>
              <w:rPr/>
            </w:pPr>
            <w:hyperlink r:id="rId8">
              <w:r>
                <w:rPr>
                  <w:rStyle w:val="InternetLink"/>
                  <w:rFonts w:ascii="Times New Roman" w:hAnsi="Times New Roman"/>
                  <w:color w:val="0000FF"/>
                  <w:sz w:val="20"/>
                  <w:u w:val="single"/>
                </w:rPr>
                <w:t>by merger to SunTrust Bank), as Administrative Agent (incorporated by reference to Exhibit 10.1 to the Company’s Quarterly Report on Form 10-Q filed on May 5, 2026).</w:t>
              </w:r>
            </w:hyperlink>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hyperlink w:anchor="tslx-ex31_1.htm">
              <w:r>
                <w:rPr>
                  <w:rStyle w:val="InternetLink"/>
                  <w:rFonts w:ascii="Times New Roman" w:hAnsi="Times New Roman"/>
                  <w:color w:val="0000FF"/>
                  <w:sz w:val="20"/>
                  <w:u w:val="single"/>
                </w:rPr>
                <w:t>Certification of Chief Executive Officer Pursuant to Exchange Act Rule 13a-14(a), as Adopted Pursuant to Section 302 of the Sarbanes-Oxley Act of 2002.</w:t>
              </w:r>
            </w:hyperlink>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hyperlink w:anchor="tslx-ex31_2.htm">
              <w:r>
                <w:rPr>
                  <w:rStyle w:val="InternetLink"/>
                  <w:rFonts w:ascii="Times New Roman" w:hAnsi="Times New Roman"/>
                  <w:color w:val="0000FF"/>
                  <w:sz w:val="20"/>
                  <w:u w:val="single"/>
                </w:rPr>
                <w:t>Certification of Chief Financial Officer Pursuant to Exchange Act Rule 13a-14(a), as Adopted Pursuant to Section 302 of the Sarbanes-Oxley Act of 2002.</w:t>
              </w:r>
            </w:hyperlink>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hyperlink w:anchor="tslx-ex32.htm">
              <w:r>
                <w:rPr>
                  <w:rStyle w:val="InternetLink"/>
                  <w:rFonts w:ascii="Times New Roman" w:hAnsi="Times New Roman"/>
                  <w:color w:val="0000FF"/>
                  <w:sz w:val="20"/>
                  <w:u w:val="single"/>
                </w:rPr>
                <w:t>Certification of CEO and CFO Pursuant to 18 U.S.C. Section 1350, as Adopted Pursuant to Section 906 of the Sarbanes-Oxley Act of 2002.</w:t>
              </w:r>
            </w:hyperlink>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4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14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agreements and other documents filed as exhibits to this Quarterly Report on Form 10-Q are not intended to provide factual information or other disclosure other than with respect to the terms of the agreements or other documents themselves, and shareholders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ignature_page"/>
      <w:bookmarkEnd w:id="2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6148" w:type="dxa"/>
        <w:jc w:val="left"/>
        <w:tblInd w:w="0" w:type="dxa"/>
        <w:tblLayout w:type="fixed"/>
        <w:tblCellMar>
          <w:top w:w="28" w:type="dxa"/>
          <w:left w:w="28" w:type="dxa"/>
          <w:bottom w:w="28" w:type="dxa"/>
          <w:right w:w="28" w:type="dxa"/>
        </w:tblCellMar>
      </w:tblPr>
      <w:tblGrid>
        <w:gridCol w:w="1846"/>
        <w:gridCol w:w="146"/>
        <w:gridCol w:w="41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SIXTH STREET SPECIALTY LENDING,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“Bo” Stanley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“Bo” Stanley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bookmarkStart w:id="28" w:name="tslx-ex31_1.htm"/>
      <w:bookmarkStart w:id="29" w:name="kstslxex31_1"/>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CEO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Robert “Bo” Stanley,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Sixth Street Specialty Lending,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tbl>
      <w:tblPr>
        <w:tblW w:w="2897" w:type="dxa"/>
        <w:jc w:val="left"/>
        <w:tblInd w:w="0" w:type="dxa"/>
        <w:tblLayout w:type="fixed"/>
        <w:tblCellMar>
          <w:top w:w="28" w:type="dxa"/>
          <w:left w:w="28" w:type="dxa"/>
          <w:bottom w:w="28" w:type="dxa"/>
          <w:right w:w="28" w:type="dxa"/>
        </w:tblCellMar>
      </w:tblPr>
      <w:tblGrid>
        <w:gridCol w:w="421"/>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Robert “Bo” Stanley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Robert “Bo” Stanley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tslx-ex31_2.htm"/>
      <w:bookmarkStart w:id="31" w:name="kstslxex31_2"/>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CFO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Ian Simmonds,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Sixth Street Specialty Lending,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tbl>
      <w:tblPr>
        <w:tblW w:w="2837" w:type="dxa"/>
        <w:jc w:val="left"/>
        <w:tblInd w:w="0" w:type="dxa"/>
        <w:tblLayout w:type="fixed"/>
        <w:tblCellMar>
          <w:top w:w="28" w:type="dxa"/>
          <w:left w:w="28" w:type="dxa"/>
          <w:bottom w:w="28" w:type="dxa"/>
          <w:right w:w="28" w:type="dxa"/>
        </w:tblCellMar>
      </w:tblPr>
      <w:tblGrid>
        <w:gridCol w:w="421"/>
        <w:gridCol w:w="2416"/>
      </w:tblGrid>
      <w:tr>
        <w:trPr/>
        <w:tc>
          <w:tcPr>
            <w:tcW w:w="42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I</w:t>
            </w:r>
            <w:r>
              <w:rPr>
                <w:rFonts w:ascii="Times New Roman" w:hAnsi="Times New Roman"/>
                <w:color w:val="000000"/>
                <w:sz w:val="15"/>
              </w:rPr>
              <w:t>AN</w:t>
            </w:r>
            <w:r>
              <w:rPr>
                <w:rFonts w:ascii="Times New Roman" w:hAnsi="Times New Roman"/>
                <w:color w:val="000000"/>
                <w:sz w:val="20"/>
              </w:rPr>
              <w:t> S</w:t>
            </w:r>
            <w:r>
              <w:rPr>
                <w:rFonts w:ascii="Times New Roman" w:hAnsi="Times New Roman"/>
                <w:color w:val="000000"/>
                <w:sz w:val="15"/>
              </w:rPr>
              <w:t>IMMONDS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tslx-ex32.htm"/>
      <w:bookmarkStart w:id="33" w:name="kstslxex32"/>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Sixth Street Specialty Lending, Inc. (the “Company”) for the quarterly period ended June 30, 2026, as filed with the Securities and Exchange Commission on the date hereof (the “Report”), Robert “Bo” Stanley, as Chief Executive Officer of the Company and Ian Simmonds, as Chief Financial Officer of the Company, each hereby certifies, pursuant to 18 U.S.C. § 1350, as adopted pursuant to § 906 of the Sarbanes-Oxley Act of 2002, that, to such officer’s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362" w:type="dxa"/>
        <w:jc w:val="left"/>
        <w:tblInd w:w="0" w:type="dxa"/>
        <w:tblLayout w:type="fixed"/>
        <w:tblCellMar>
          <w:top w:w="28" w:type="dxa"/>
          <w:left w:w="28" w:type="dxa"/>
          <w:bottom w:w="28" w:type="dxa"/>
          <w:right w:w="28" w:type="dxa"/>
        </w:tblCellMar>
      </w:tblPr>
      <w:tblGrid>
        <w:gridCol w:w="886"/>
        <w:gridCol w:w="2476"/>
      </w:tblGrid>
      <w:tr>
        <w:trPr/>
        <w:tc>
          <w:tcPr>
            <w:tcW w:w="88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36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xml:space="preserve">/ </w:t>
            </w:r>
            <w:r>
              <w:rPr>
                <w:rFonts w:ascii="Times New Roman" w:hAnsi="Times New Roman"/>
                <w:color w:val="000000"/>
                <w:sz w:val="19"/>
              </w:rPr>
              <w:t>Robert “Bo” Stanley</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Robert “Bo” Stanley</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p>
      <w:pPr>
        <w:pStyle w:val="TextBody"/>
        <w:bidi w:val="0"/>
        <w:jc w:val="left"/>
        <w:rPr/>
      </w:pPr>
      <w:r>
        <w:rPr/>
        <w:t> </w:t>
      </w:r>
    </w:p>
    <w:tbl>
      <w:tblPr>
        <w:tblW w:w="3302" w:type="dxa"/>
        <w:jc w:val="left"/>
        <w:tblInd w:w="0" w:type="dxa"/>
        <w:tblLayout w:type="fixed"/>
        <w:tblCellMar>
          <w:top w:w="28" w:type="dxa"/>
          <w:left w:w="28" w:type="dxa"/>
          <w:bottom w:w="28" w:type="dxa"/>
          <w:right w:w="28" w:type="dxa"/>
        </w:tblCellMar>
      </w:tblPr>
      <w:tblGrid>
        <w:gridCol w:w="886"/>
        <w:gridCol w:w="2416"/>
      </w:tblGrid>
      <w:tr>
        <w:trPr/>
        <w:tc>
          <w:tcPr>
            <w:tcW w:w="88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30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I</w:t>
            </w:r>
            <w:r>
              <w:rPr>
                <w:rFonts w:ascii="Times New Roman" w:hAnsi="Times New Roman"/>
                <w:color w:val="000000"/>
                <w:sz w:val="15"/>
              </w:rPr>
              <w:t>AN</w:t>
            </w:r>
            <w:r>
              <w:rPr>
                <w:rFonts w:ascii="Times New Roman" w:hAnsi="Times New Roman"/>
                <w:color w:val="000000"/>
                <w:sz w:val="20"/>
              </w:rPr>
              <w:t> S</w:t>
            </w:r>
            <w:r>
              <w:rPr>
                <w:rFonts w:ascii="Times New Roman" w:hAnsi="Times New Roman"/>
                <w:color w:val="000000"/>
                <w:sz w:val="15"/>
              </w:rPr>
              <w:t>IMMONDS</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24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Ian Simmonds</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Title:</w:t>
            </w:r>
          </w:p>
        </w:tc>
        <w:tc>
          <w:tcPr>
            <w:tcW w:w="24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8655/000119312520174009/d936084dex32.htm" TargetMode="External"/><Relationship Id="rId3" Type="http://schemas.openxmlformats.org/officeDocument/2006/relationships/hyperlink" Target="https://www.sec.gov/Archives/edgar/data/1508655/000119312525264618/tslx-ex3_2.htm" TargetMode="External"/><Relationship Id="rId4" Type="http://schemas.openxmlformats.org/officeDocument/2006/relationships/hyperlink" Target="https://www.sec.gov/Archives/edgar/data/1508655/000119312526224000/d553028dex42.htm" TargetMode="External"/><Relationship Id="rId5" Type="http://schemas.openxmlformats.org/officeDocument/2006/relationships/hyperlink" Target="https://www.sec.gov/Archives/edgar/data/1508655/000119312526224000/d553028dex42.htm" TargetMode="External"/><Relationship Id="rId6" Type="http://schemas.openxmlformats.org/officeDocument/2006/relationships/hyperlink" Target="https://www.sec.gov/Archives/edgar/data/1508655/000119312526206313/tslx-ex10_1.htm" TargetMode="External"/><Relationship Id="rId7" Type="http://schemas.openxmlformats.org/officeDocument/2006/relationships/hyperlink" Target="https://www.sec.gov/Archives/edgar/data/1508655/000119312526206313/tslx-ex10_1.htm" TargetMode="External"/><Relationship Id="rId8" Type="http://schemas.openxmlformats.org/officeDocument/2006/relationships/hyperlink" Target="https://www.sec.gov/Archives/edgar/data/1508655/000119312526206313/tslx-ex10_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49074</Words>
  <Characters>258364</Characters>
  <CharactersWithSpaces>315899</CharactersWithSpaces>
  <Paragraphs>27478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