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slx-20250430.htm"/>
      <w:bookmarkStart w:id="1" w:name="kstslx20250430"/>
      <w:bookmarkEnd w:id="0"/>
      <w:bookmarkEnd w:id="1"/>
      <w:r>
        <w:rPr/>
        <w:t> </w:t>
      </w:r>
    </w:p>
    <w:p>
      <w:pPr>
        <w:pStyle w:val="TextBody"/>
        <w:bidi w:val="0"/>
        <w:jc w:val="left"/>
        <w:rPr/>
      </w:pPr>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 April 30, 2025</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charter)</w:t>
      </w:r>
    </w:p>
    <w:p>
      <w:pPr>
        <w:pStyle w:val="TextBody"/>
        <w:pBdr>
          <w:bottom w:val="single" w:sz="8" w:space="1" w:color="000000"/>
        </w:pBdr>
        <w:bidi w:val="0"/>
        <w:jc w:val="center"/>
        <w:rPr/>
      </w:pPr>
      <w:r>
        <w:rPr/>
        <w:t> </w:t>
      </w:r>
    </w:p>
    <w:p>
      <w:pPr>
        <w:pStyle w:val="TextBody"/>
        <w:bidi w:val="0"/>
        <w:jc w:val="left"/>
        <w:rPr/>
      </w:pPr>
      <w:r>
        <w:rPr/>
        <w:t> </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001-36364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27-3380000</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341" w:type="dxa"/>
        <w:jc w:val="left"/>
        <w:tblInd w:w="0" w:type="dxa"/>
        <w:tblLayout w:type="fixed"/>
        <w:tblCellMar>
          <w:top w:w="28" w:type="dxa"/>
          <w:left w:w="28" w:type="dxa"/>
          <w:bottom w:w="28" w:type="dxa"/>
          <w:right w:w="28" w:type="dxa"/>
        </w:tblCellMar>
      </w:tblPr>
      <w:tblGrid>
        <w:gridCol w:w="3121"/>
        <w:gridCol w:w="109"/>
        <w:gridCol w:w="146"/>
        <w:gridCol w:w="109"/>
        <w:gridCol w:w="856"/>
      </w:tblGrid>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(469)</w:t>
      </w:r>
      <w:r>
        <w:rPr>
          <w:rFonts w:ascii="Times New Roman" w:hAnsi="Times New Roman"/>
          <w:color w:val="000000"/>
          <w:sz w:val="20"/>
        </w:rPr>
        <w:t xml:space="preserve"> </w:t>
      </w:r>
      <w:r>
        <w:rPr>
          <w:rFonts w:ascii="Times New Roman" w:hAnsi="Times New Roman"/>
          <w:b/>
          <w:color w:val="000000"/>
          <w:sz w:val="20"/>
        </w:rPr>
        <w:t>621-3001</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b/>
          <w:color w:val="000000"/>
          <w:sz w:val="19"/>
        </w:rPr>
      </w:pPr>
      <w:r>
        <w:rPr>
          <w:rFonts w:ascii="Times New Roman" w:hAnsi="Times New Roman"/>
          <w:b/>
          <w:color w:val="000000"/>
          <w:sz w:val="19"/>
        </w:rPr>
        <w:t>Securities registered pursuant to Section 12(b) of the Act:</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3181"/>
        <w:gridCol w:w="145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TSLX</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30, 2025, Sixth Street Specialty Lending, Inc. (the “Company”) issued a press release announcing its financial results for the three months ended March 31, 2025. The text of the press release is included as Exhibit 99.1 to this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7.01 –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30, 2025, the Company issued a press release, included herewith as Exhibit 99.1, announcing the declaration of a second quarter 2025 base dividend per share of $0.46 to shareholders of record as of June 16, 2025, payable on June 30, 2025, and a first quarter 2025 supplemental dividend per share of $0.06 to shareholders of record as of May 30, 2025, payable on June 20,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303" w:type="dxa"/>
        <w:jc w:val="left"/>
        <w:tblInd w:w="0" w:type="dxa"/>
        <w:tblLayout w:type="fixed"/>
        <w:tblCellMar>
          <w:top w:w="28" w:type="dxa"/>
          <w:left w:w="28" w:type="dxa"/>
          <w:bottom w:w="28" w:type="dxa"/>
          <w:right w:w="28" w:type="dxa"/>
        </w:tblCellMar>
      </w:tblPr>
      <w:tblGrid>
        <w:gridCol w:w="706"/>
        <w:gridCol w:w="146"/>
        <w:gridCol w:w="645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283"/>
              <w:jc w:val="left"/>
              <w:rPr/>
            </w:pPr>
            <w:hyperlink w:anchor="tslx-ex99_1.htm">
              <w:r>
                <w:rPr>
                  <w:rStyle w:val="InternetLink"/>
                  <w:rFonts w:ascii="Times New Roman" w:hAnsi="Times New Roman"/>
                  <w:color w:val="0000FF"/>
                  <w:sz w:val="20"/>
                  <w:u w:val="single"/>
                </w:rPr>
                <w:t>Press Release, dated April 30,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of this Current Report on Form 8-K, formatted in Inline XBRL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507" w:type="dxa"/>
        <w:jc w:val="left"/>
        <w:tblInd w:w="0" w:type="dxa"/>
        <w:tblLayout w:type="fixed"/>
        <w:tblCellMar>
          <w:top w:w="28" w:type="dxa"/>
          <w:left w:w="28" w:type="dxa"/>
          <w:bottom w:w="28" w:type="dxa"/>
          <w:right w:w="28" w:type="dxa"/>
        </w:tblCellMar>
      </w:tblPr>
      <w:tblGrid>
        <w:gridCol w:w="1786"/>
        <w:gridCol w:w="146"/>
        <w:gridCol w:w="768"/>
        <w:gridCol w:w="3807"/>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75"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SIXTH STREET SPECIALTY LENDING, INC.</w:t>
            </w:r>
          </w:p>
          <w:p>
            <w:pPr>
              <w:pStyle w:val="TableContents"/>
              <w:bidi w:val="0"/>
              <w:spacing w:before="0" w:after="283"/>
              <w:jc w:val="left"/>
              <w:rPr>
                <w:color w:val="000000"/>
              </w:rPr>
            </w:pPr>
            <w:r>
              <w:rPr>
                <w:color w:val="000000"/>
              </w:rPr>
              <w:t>                    </w:t>
            </w:r>
            <w:r>
              <w:rPr>
                <w:rFonts w:ascii="Times New Roman" w:hAnsi="Times New Roman"/>
                <w:color w:val="000000"/>
                <w:sz w:val="20"/>
              </w:rPr>
              <w:t>(Registrant)</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0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2" w:name="tslx-ex99_1.htm"/>
      <w:bookmarkStart w:id="3" w:name="kstslxex99_1"/>
      <w:bookmarkEnd w:id="2"/>
      <w:bookmarkEnd w:id="3"/>
      <w:r>
        <w:rPr>
          <w:rFonts w:ascii="sans-serif" w:hAnsi="sans-serif"/>
          <w:b/>
          <w:color w:val="000000"/>
          <w:sz w:val="20"/>
        </w:rPr>
        <w:t>Exhibit 99.1</w:t>
      </w:r>
      <w:r>
        <w:br w:type="page"/>
      </w:r>
    </w:p>
    <w:p>
      <w:pPr>
        <w:pStyle w:val="TextBody"/>
        <w:bidi w:val="0"/>
        <w:jc w:val="right"/>
        <w:rPr/>
      </w:pPr>
      <w:r>
        <w:rPr/>
        <w:t> </w:t>
      </w:r>
    </w:p>
    <w:p>
      <w:pPr>
        <w:pStyle w:val="TextBody"/>
        <w:bidi w:val="0"/>
        <w:jc w:val="left"/>
        <w:rPr/>
      </w:pPr>
      <w:r>
        <w:rPr/>
        <w:drawing>
          <wp:inline distT="0" distB="0" distL="0" distR="0">
            <wp:extent cx="15240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bidi w:val="0"/>
        <w:jc w:val="left"/>
        <w:rPr>
          <w:rFonts w:ascii="Times New Roman" w:hAnsi="Times New Roman"/>
          <w:sz w:val="20"/>
        </w:rPr>
      </w:pPr>
      <w:r>
        <w:rPr>
          <w:rFonts w:ascii="sans-serif" w:hAnsi="sans-serif"/>
          <w:b/>
          <w:caps/>
          <w:color w:val="000000"/>
          <w:sz w:val="2"/>
        </w:rPr>
        <w:t>k</w:t>
      </w:r>
      <w:r>
        <w:rPr>
          <w:rFonts w:ascii="Times New Roman" w:hAnsi="Times New Roman"/>
          <w:caps/>
          <w:color w:val="000000"/>
          <w:sz w:val="20"/>
        </w:rPr>
        <w:t xml:space="preserve"> </w:t>
      </w:r>
    </w:p>
    <w:p>
      <w:pPr>
        <w:pStyle w:val="Heading1"/>
        <w:pBdr>
          <w:bottom w:val="single" w:sz="6" w:space="1" w:color="A0ABB4"/>
        </w:pBdr>
        <w:bidi w:val="0"/>
        <w:jc w:val="left"/>
        <w:rPr>
          <w:rFonts w:ascii="sans-serif" w:hAnsi="sans-serif"/>
          <w:b/>
          <w:caps/>
          <w:color w:val="000000"/>
          <w:sz w:val="36"/>
        </w:rPr>
      </w:pPr>
      <w:r>
        <w:rPr>
          <w:rFonts w:ascii="sans-serif" w:hAnsi="sans-serif"/>
          <w:b/>
          <w:caps/>
          <w:color w:val="000000"/>
          <w:sz w:val="36"/>
        </w:rPr>
        <w:t>FIRST QUARTER 2025 EARNINGS RESULTS</w:t>
      </w:r>
    </w:p>
    <w:p>
      <w:pPr>
        <w:pStyle w:val="TextBody"/>
        <w:bidi w:val="0"/>
        <w:jc w:val="both"/>
        <w:rPr>
          <w:rFonts w:ascii="sans-serif" w:hAnsi="sans-serif"/>
          <w:b/>
          <w:color w:val="000000"/>
          <w:sz w:val="20"/>
        </w:rPr>
      </w:pPr>
      <w:r>
        <w:rPr>
          <w:rFonts w:ascii="sans-serif" w:hAnsi="sans-serif"/>
          <w:b/>
          <w:color w:val="000000"/>
          <w:sz w:val="20"/>
        </w:rPr>
        <w:t>Sixth Street Specialty Lending, Inc. Reports First Quarter Results; Declares a Second Quarter Base Dividend Per Share of $0.46, and a First Quarter Supplemental Dividend Per Share of $0.06.</w:t>
      </w:r>
    </w:p>
    <w:tbl>
      <w:tblPr>
        <w:tblW w:w="10205" w:type="dxa"/>
        <w:jc w:val="left"/>
        <w:tblInd w:w="0" w:type="dxa"/>
        <w:tblLayout w:type="fixed"/>
        <w:tblCellMar>
          <w:top w:w="28" w:type="dxa"/>
          <w:left w:w="28" w:type="dxa"/>
          <w:bottom w:w="28" w:type="dxa"/>
          <w:right w:w="28" w:type="dxa"/>
        </w:tblCellMar>
      </w:tblPr>
      <w:tblGrid>
        <w:gridCol w:w="7299"/>
        <w:gridCol w:w="218"/>
        <w:gridCol w:w="1624"/>
        <w:gridCol w:w="1064"/>
      </w:tblGrid>
      <w:tr>
        <w:trPr/>
        <w:tc>
          <w:tcPr>
            <w:tcW w:w="729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7299" w:type="dxa"/>
            <w:vMerge w:val="restart"/>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sans-serif" w:hAnsi="sans-serif"/>
                <w:color w:val="000000"/>
                <w:sz w:val="20"/>
              </w:rPr>
              <w:t>NEW YORK — April 30, 2025 — Sixth Street Specialty Lending, Inc. (NYSE: TSLX, or the “Company”) today reported net investment income of $0.62 per share and net income of $0.39 per share for the first quarter ended March 31, 2025. These results correspond to an annualized return on equity (ROE) on net investment income and net income of 14.4% and 9.2%, respectively.</w:t>
            </w:r>
            <w:r>
              <w:rPr>
                <w:rFonts w:ascii="Times New Roman" w:hAnsi="Times New Roman"/>
                <w:color w:val="000000"/>
                <w:sz w:val="20"/>
              </w:rPr>
              <w:t xml:space="preserve"> </w:t>
            </w:r>
          </w:p>
          <w:p>
            <w:pPr>
              <w:pStyle w:val="TableContents"/>
              <w:bidi w:val="0"/>
              <w:jc w:val="both"/>
              <w:rPr/>
            </w:pPr>
            <w:r>
              <w:rPr/>
              <w:t> </w:t>
            </w:r>
          </w:p>
          <w:p>
            <w:pPr>
              <w:pStyle w:val="TableContents"/>
              <w:bidi w:val="0"/>
              <w:jc w:val="both"/>
              <w:rPr>
                <w:rFonts w:ascii="Times New Roman" w:hAnsi="Times New Roman"/>
                <w:sz w:val="20"/>
              </w:rPr>
            </w:pPr>
            <w:r>
              <w:rPr>
                <w:rFonts w:ascii="sans-serif" w:hAnsi="sans-serif"/>
                <w:color w:val="000000"/>
                <w:sz w:val="20"/>
              </w:rPr>
              <w:t>Both net investment income per share and net income per share include $0.04 per share of unwind of previously accrued capital gains incentive fee expenses that were accrued, but not paid or payable, related to cumulative unrealized capital gains in excess of cumulative net realized capital gains less any cumulative unrealized losses and capital gains incentive fees paid inception-to-date. Excluding the impact of the partial reversal or unwind of previously accrued capital gains incentive fee expenses, the Company’s adjusted net investment income and adjusted net income for the quarter ended March 31, 2025, were $54.3 million, or $0.58 per share, and $33.3 million, or $0.36 per share, respectively. These results correspond to an annualized return on equity (ROE) on adjusted net investment income and adjusted net income of 13.5% and 8.3%, respectively.</w:t>
            </w:r>
            <w:r>
              <w:rPr>
                <w:rFonts w:ascii="Times New Roman" w:hAnsi="Times New Roman"/>
                <w:color w:val="000000"/>
                <w:sz w:val="20"/>
              </w:rPr>
              <w:t xml:space="preserve"> </w:t>
            </w:r>
          </w:p>
          <w:p>
            <w:pPr>
              <w:pStyle w:val="TableContents"/>
              <w:bidi w:val="0"/>
              <w:jc w:val="both"/>
              <w:rPr/>
            </w:pPr>
            <w:r>
              <w:rPr/>
              <w:t> </w:t>
            </w:r>
          </w:p>
          <w:p>
            <w:pPr>
              <w:pStyle w:val="TableContents"/>
              <w:bidi w:val="0"/>
              <w:jc w:val="both"/>
              <w:rPr>
                <w:rFonts w:ascii="Times New Roman" w:hAnsi="Times New Roman"/>
                <w:sz w:val="20"/>
              </w:rPr>
            </w:pPr>
            <w:r>
              <w:rPr>
                <w:rFonts w:ascii="sans-serif" w:hAnsi="sans-serif"/>
                <w:color w:val="000000"/>
                <w:sz w:val="20"/>
              </w:rPr>
              <w:t>Reported net asset value (NAV) per share was $17.04 at March 31, 2025 as compared to NAV per share of $17.16 or an adjusted NAV per share of $17.09 at December 31, 2024 (which accounts for the impact of the $0.07 per share fourth quarter 2024 supplemental dividend). The main drivers of this quarter’s NAV per share decline were $0.13 per share related to the reversal of unrealized gains from paydowns and sales and $0.06 per share from the impact of widening credit spreads on the valuation of our portfolio.</w:t>
            </w:r>
            <w:r>
              <w:rPr>
                <w:rFonts w:ascii="Times New Roman" w:hAnsi="Times New Roman"/>
                <w:color w:val="000000"/>
                <w:sz w:val="20"/>
              </w:rPr>
              <w:t xml:space="preserve"> </w:t>
            </w:r>
          </w:p>
          <w:p>
            <w:pPr>
              <w:pStyle w:val="TableContents"/>
              <w:bidi w:val="0"/>
              <w:jc w:val="both"/>
              <w:rPr/>
            </w:pPr>
            <w:r>
              <w:rPr/>
              <w:t> </w:t>
            </w:r>
          </w:p>
          <w:p>
            <w:pPr>
              <w:pStyle w:val="TableContents"/>
              <w:bidi w:val="0"/>
              <w:jc w:val="both"/>
              <w:rPr>
                <w:rFonts w:ascii="sans-serif" w:hAnsi="sans-serif"/>
                <w:color w:val="000000"/>
                <w:sz w:val="20"/>
              </w:rPr>
            </w:pPr>
            <w:r>
              <w:rPr>
                <w:rFonts w:ascii="sans-serif" w:hAnsi="sans-serif"/>
                <w:color w:val="000000"/>
                <w:sz w:val="20"/>
              </w:rPr>
              <w:t>The Company announced that its Board of Directors has declared a second quarter 2025 base dividend of $0.46 per share to shareholders of record as of June 16, 2025, payable on June 30, 2025, and a first quarter supplemental dividend of $0.06 per share to shareholders of record as of May 30, 2025, payable on June 20, 2025. Adjusted for the impact of the supplemental dividend related to this quarter’s earnings, the Company’s Q1 adjusted NAV per share was $16.98.</w:t>
            </w:r>
          </w:p>
          <w:p>
            <w:pPr>
              <w:pStyle w:val="TableContents"/>
              <w:bidi w:val="0"/>
              <w:jc w:val="both"/>
              <w:rPr/>
            </w:pPr>
            <w:r>
              <w:rPr/>
              <w:t> </w:t>
            </w:r>
          </w:p>
          <w:p>
            <w:pPr>
              <w:pStyle w:val="TableContents"/>
              <w:bidi w:val="0"/>
              <w:jc w:val="both"/>
              <w:rPr>
                <w:rFonts w:ascii="sans-serif" w:hAnsi="sans-serif"/>
                <w:color w:val="000000"/>
                <w:sz w:val="20"/>
              </w:rPr>
            </w:pPr>
            <w:r>
              <w:rPr>
                <w:rFonts w:ascii="sans-serif" w:hAnsi="sans-serif"/>
                <w:color w:val="000000"/>
                <w:sz w:val="20"/>
              </w:rPr>
              <w:t>In February, the Company issued $300.0 million aggregate principal amount of unsecured notes that mature on August 15, 2030 (the "2030 Notes"). In connection with the offering, the Company entered into an interest rate swap to better align the interest rate of its liabilities with the Company's investment portfolio, which consists of predominately floating rate loans. As a result of the swap, the Company's effective interest rate on the 2030 Notes is SOFR plus 153 basis points.</w:t>
            </w:r>
          </w:p>
          <w:p>
            <w:pPr>
              <w:pStyle w:val="TableContents"/>
              <w:bidi w:val="0"/>
              <w:spacing w:before="0" w:after="283"/>
              <w:jc w:val="left"/>
              <w:rPr>
                <w:rFonts w:ascii="sans-serif" w:hAnsi="sans-serif"/>
                <w:color w:val="000000"/>
                <w:sz w:val="20"/>
              </w:rPr>
            </w:pPr>
            <w:r>
              <w:rPr>
                <w:rFonts w:ascii="sans-serif" w:hAnsi="sans-serif"/>
                <w:color w:val="000000"/>
                <w:sz w:val="20"/>
              </w:rPr>
              <w:t>In March, the Company completed an amendment to its Revolving Credit Facility, which, among other changes, (a) extended the stated maturity date to March 4, 2030 for $1.525 billion of commitments and (b) decreased the drawn spread and lowered the undrawn fee on the facility.</w:t>
            </w:r>
          </w:p>
        </w:tc>
        <w:tc>
          <w:tcPr>
            <w:tcW w:w="218"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2688"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Net Investment Income Per Share</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Times New Roman" w:hAnsi="Times New Roman"/>
                <w:sz w:val="16"/>
              </w:rPr>
            </w:pPr>
            <w:r>
              <w:rPr>
                <w:rFonts w:ascii="sans-serif" w:hAnsi="sans-serif"/>
                <w:b/>
                <w:color w:val="000000"/>
                <w:sz w:val="16"/>
              </w:rPr>
              <w:t>Q1 2025</w:t>
            </w:r>
            <w:r>
              <w:rPr>
                <w:rFonts w:ascii="sans-serif" w:hAnsi="sans-serif"/>
                <w:color w:val="000000"/>
                <w:sz w:val="16"/>
              </w:rPr>
              <w:t>:</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$0.62</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tcMar>
              <w:top w:w="0" w:type="dxa"/>
              <w:left w:w="0" w:type="dxa"/>
              <w:bottom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Q1 2025 (adjusted):</w:t>
            </w:r>
          </w:p>
        </w:tc>
        <w:tc>
          <w:tcPr>
            <w:tcW w:w="1064" w:type="dxa"/>
            <w:tcBorders/>
            <w:tcMar>
              <w:top w:w="0" w:type="dxa"/>
              <w:left w:w="0" w:type="dxa"/>
              <w:bottom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$0.58</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99"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688"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Net Income Per Share</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Q1 2025:</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$0.39</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tcMar>
              <w:top w:w="0" w:type="dxa"/>
              <w:left w:w="0" w:type="dxa"/>
              <w:bottom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Q1 2025 (adjusted):</w:t>
            </w:r>
          </w:p>
        </w:tc>
        <w:tc>
          <w:tcPr>
            <w:tcW w:w="1064" w:type="dxa"/>
            <w:tcBorders/>
            <w:tcMar>
              <w:top w:w="0" w:type="dxa"/>
              <w:left w:w="0" w:type="dxa"/>
              <w:bottom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$0.36</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99"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688"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Return on Equity</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Q1 2025 (NII):</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14.4%</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Q1 2025 (NI):</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9.2%</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Q1 2025 (Adj. NII):</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13.5%</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tcMar>
              <w:top w:w="0" w:type="dxa"/>
              <w:left w:w="0" w:type="dxa"/>
              <w:bottom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Q1 2025 (Adj. NI):</w:t>
            </w:r>
          </w:p>
        </w:tc>
        <w:tc>
          <w:tcPr>
            <w:tcW w:w="1064" w:type="dxa"/>
            <w:tcBorders/>
            <w:tcMar>
              <w:top w:w="0" w:type="dxa"/>
              <w:left w:w="0" w:type="dxa"/>
              <w:bottom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8.3%</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99"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688"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NAV</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Q1 2025 ($MM):</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$1,601.3</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Q1 2025 (per share):</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$17.04</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tcMar>
              <w:top w:w="0" w:type="dxa"/>
              <w:left w:w="0" w:type="dxa"/>
              <w:bottom w:w="0" w:type="dxa"/>
              <w:right w:w="0" w:type="dxa"/>
            </w:tcMar>
            <w:vAlign w:val="center"/>
          </w:tcPr>
          <w:p>
            <w:pPr>
              <w:pStyle w:val="TableContents"/>
              <w:bidi w:val="0"/>
              <w:spacing w:before="60" w:after="60"/>
              <w:ind w:left="0" w:right="0" w:firstLine="72"/>
              <w:jc w:val="left"/>
              <w:rPr>
                <w:rFonts w:ascii="Times New Roman" w:hAnsi="Times New Roman"/>
                <w:sz w:val="16"/>
              </w:rPr>
            </w:pPr>
            <w:r>
              <w:rPr>
                <w:rFonts w:ascii="sans-serif" w:hAnsi="sans-serif"/>
                <w:b/>
                <w:color w:val="000000"/>
                <w:sz w:val="16"/>
              </w:rPr>
              <w:t>Q1 2025 (per share, adj):</w:t>
            </w:r>
            <w:r>
              <w:rPr>
                <w:rFonts w:ascii="Times New Roman" w:hAnsi="Times New Roman"/>
                <w:color w:val="000000"/>
                <w:sz w:val="16"/>
              </w:rPr>
              <w:t xml:space="preserve"> </w:t>
            </w:r>
          </w:p>
        </w:tc>
        <w:tc>
          <w:tcPr>
            <w:tcW w:w="1064" w:type="dxa"/>
            <w:tcBorders/>
            <w:tcMar>
              <w:top w:w="0" w:type="dxa"/>
              <w:left w:w="0" w:type="dxa"/>
              <w:bottom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$16.98</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99"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688"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Dividends Declared (per share)</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Q1 2025 (Base):</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$0.46</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LTM Q1 2025 (Base):</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$1.84</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Times New Roman" w:hAnsi="Times New Roman"/>
                <w:sz w:val="16"/>
              </w:rPr>
            </w:pPr>
            <w:r>
              <w:rPr>
                <w:rFonts w:ascii="sans-serif" w:hAnsi="sans-serif"/>
                <w:b/>
                <w:color w:val="000000"/>
                <w:sz w:val="16"/>
              </w:rPr>
              <w:t>LTM Q1 2025 (Supplemental):</w:t>
            </w:r>
            <w:r>
              <w:rPr>
                <w:rFonts w:ascii="Times New Roman" w:hAnsi="Times New Roman"/>
                <w:color w:val="000000"/>
                <w:sz w:val="16"/>
              </w:rPr>
              <w:t xml:space="preserve"> </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$0.24</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24" w:type="dxa"/>
            <w:tcBorders/>
            <w:tcMar>
              <w:top w:w="0" w:type="dxa"/>
              <w:left w:w="0" w:type="dxa"/>
              <w:bottom w:w="0" w:type="dxa"/>
              <w:right w:w="0" w:type="dxa"/>
            </w:tcMar>
            <w:vAlign w:val="center"/>
          </w:tcPr>
          <w:p>
            <w:pPr>
              <w:pStyle w:val="TableContents"/>
              <w:bidi w:val="0"/>
              <w:spacing w:before="60" w:after="60"/>
              <w:ind w:left="0" w:right="0" w:firstLine="72"/>
              <w:jc w:val="left"/>
              <w:rPr>
                <w:rFonts w:ascii="Times New Roman" w:hAnsi="Times New Roman"/>
                <w:sz w:val="16"/>
              </w:rPr>
            </w:pPr>
            <w:r>
              <w:rPr>
                <w:rFonts w:ascii="sans-serif" w:hAnsi="sans-serif"/>
                <w:b/>
                <w:color w:val="000000"/>
                <w:sz w:val="16"/>
              </w:rPr>
              <w:t>LTM Q1 2025 (Total):</w:t>
            </w:r>
            <w:r>
              <w:rPr>
                <w:rFonts w:ascii="Times New Roman" w:hAnsi="Times New Roman"/>
                <w:color w:val="000000"/>
                <w:sz w:val="16"/>
              </w:rPr>
              <w:t xml:space="preserve"> </w:t>
            </w:r>
          </w:p>
        </w:tc>
        <w:tc>
          <w:tcPr>
            <w:tcW w:w="1064" w:type="dxa"/>
            <w:tcBorders/>
            <w:tcMar>
              <w:top w:w="0" w:type="dxa"/>
              <w:left w:w="0" w:type="dxa"/>
              <w:bottom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$2.08</w:t>
            </w:r>
          </w:p>
        </w:tc>
      </w:tr>
      <w:tr>
        <w:trPr/>
        <w:tc>
          <w:tcPr>
            <w:tcW w:w="7299"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624"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120"/>
        <w:jc w:val="both"/>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sans-serif" w:hAnsi="sans-serif"/>
          <w:b/>
          <w:caps/>
          <w:color w:val="000000"/>
          <w:sz w:val="24"/>
        </w:rPr>
      </w:pPr>
      <w:r>
        <w:rPr>
          <w:rFonts w:ascii="sans-serif" w:hAnsi="sans-serif"/>
          <w:b/>
          <w:caps/>
          <w:color w:val="000000"/>
          <w:sz w:val="24"/>
        </w:rPr>
        <w:t>Portfolio and Investment Activity</w:t>
      </w:r>
    </w:p>
    <w:p>
      <w:pPr>
        <w:pStyle w:val="TextBody"/>
        <w:bidi w:val="0"/>
        <w:jc w:val="left"/>
        <w:rPr/>
      </w:pPr>
      <w:r>
        <w:rPr/>
        <w:t> </w:t>
      </w:r>
    </w:p>
    <w:p>
      <w:pPr>
        <w:pStyle w:val="TextBody"/>
        <w:bidi w:val="0"/>
        <w:spacing w:before="0" w:after="12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1"/>
        <w:gridCol w:w="362"/>
        <w:gridCol w:w="1837"/>
        <w:gridCol w:w="1285"/>
      </w:tblGrid>
      <w:tr>
        <w:trPr/>
        <w:tc>
          <w:tcPr>
            <w:tcW w:w="672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6721" w:type="dxa"/>
            <w:vMerge w:val="restart"/>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0"/>
              </w:rPr>
            </w:pPr>
            <w:r>
              <w:rPr>
                <w:rFonts w:ascii="sans-serif" w:hAnsi="sans-serif"/>
                <w:color w:val="000000"/>
                <w:sz w:val="20"/>
              </w:rPr>
              <w:t>For the quarter ended March 31, 2025, new investment commitments totaled $154.4 million. This compares to $479.0 million for the quarter ended December 31, 2024.</w:t>
            </w:r>
          </w:p>
          <w:p>
            <w:pPr>
              <w:pStyle w:val="TableContents"/>
              <w:bidi w:val="0"/>
              <w:jc w:val="both"/>
              <w:rPr>
                <w:rFonts w:ascii="sans-serif" w:hAnsi="sans-serif"/>
                <w:color w:val="000000"/>
                <w:sz w:val="20"/>
              </w:rPr>
            </w:pPr>
            <w:r>
              <w:rPr>
                <w:rFonts w:ascii="sans-serif" w:hAnsi="sans-serif"/>
                <w:color w:val="000000"/>
                <w:sz w:val="20"/>
              </w:rPr>
              <w:t>For the quarter ended March 31, 2025, the principal amount of new investments funded was $136.8 million across six new portfolio companies and four upsizes to existing portfolio companies. For this period, the Company had $269.6 million aggregate principal amount in exits and repayments. For the quarter ended December 31, 2024, the principal amount of new investments funded was $323.5 million across nine new portfolio companies and seven upsizes to existing portfolio companies. For that period, the Company had $304.7 million aggregate principal amount in exits and repayments.</w:t>
            </w:r>
          </w:p>
          <w:p>
            <w:pPr>
              <w:pStyle w:val="TableContents"/>
              <w:bidi w:val="0"/>
              <w:jc w:val="both"/>
              <w:rPr/>
            </w:pPr>
            <w:r>
              <w:rPr/>
              <w:t> </w:t>
            </w:r>
          </w:p>
          <w:p>
            <w:pPr>
              <w:pStyle w:val="TableContents"/>
              <w:bidi w:val="0"/>
              <w:jc w:val="both"/>
              <w:rPr>
                <w:rFonts w:ascii="Times New Roman" w:hAnsi="Times New Roman"/>
                <w:sz w:val="20"/>
              </w:rPr>
            </w:pPr>
            <w:r>
              <w:rPr>
                <w:rFonts w:ascii="sans-serif" w:hAnsi="sans-serif"/>
                <w:color w:val="000000"/>
                <w:sz w:val="20"/>
              </w:rPr>
              <w:t>As of March 31, 2025 and December 31, 2024, the Company had investments in 115 and 116</w:t>
            </w:r>
            <w:r>
              <w:rPr>
                <w:rFonts w:ascii="sans-serif" w:hAnsi="sans-serif"/>
                <w:color w:val="000000"/>
                <w:sz w:val="13"/>
              </w:rPr>
              <w:t>1</w:t>
            </w:r>
            <w:r>
              <w:rPr>
                <w:rFonts w:ascii="Times New Roman" w:hAnsi="Times New Roman"/>
                <w:color w:val="000000"/>
                <w:sz w:val="20"/>
              </w:rPr>
              <w:t> </w:t>
            </w:r>
            <w:r>
              <w:rPr>
                <w:rFonts w:ascii="sans-serif" w:hAnsi="sans-serif"/>
                <w:color w:val="000000"/>
                <w:sz w:val="20"/>
              </w:rPr>
              <w:t>portfolio companies, respectively, with an aggregate fair value of $3,412.0 million and $3,518.4 million, respectively. As of March 31, 2025, the average investment size in each portfolio company was $29.7 million based on fair value.</w:t>
            </w:r>
          </w:p>
          <w:p>
            <w:pPr>
              <w:pStyle w:val="TableContents"/>
              <w:bidi w:val="0"/>
              <w:jc w:val="both"/>
              <w:rPr/>
            </w:pPr>
            <w:r>
              <w:rPr/>
              <w:t> </w:t>
            </w:r>
          </w:p>
          <w:p>
            <w:pPr>
              <w:pStyle w:val="TableContents"/>
              <w:bidi w:val="0"/>
              <w:jc w:val="both"/>
              <w:rPr>
                <w:rFonts w:ascii="sans-serif" w:hAnsi="sans-serif"/>
                <w:color w:val="000000"/>
                <w:sz w:val="20"/>
              </w:rPr>
            </w:pPr>
            <w:r>
              <w:rPr>
                <w:rFonts w:ascii="sans-serif" w:hAnsi="sans-serif"/>
                <w:color w:val="000000"/>
                <w:sz w:val="20"/>
              </w:rPr>
              <w:t>As of March 31, 2025, the Company’s portfolio based on fair value consisted of 92.9% first-lien debt investments, 1.0% second-lien debt investments, 1.5% mezzanine debt investments, and 4.6% equity and other investments. As of December 31, 2024, the Company’s portfolio based on fair value consisted of 93.9% first-lien debt investments, 0.6% second-lien debt investments, 0.1% structured credit investments, 1.1% mezzanine debt investments, and 4.4% equity and other investments.</w:t>
            </w:r>
          </w:p>
          <w:p>
            <w:pPr>
              <w:pStyle w:val="TableContents"/>
              <w:bidi w:val="0"/>
              <w:jc w:val="both"/>
              <w:rPr/>
            </w:pPr>
            <w:r>
              <w:rPr/>
              <w:t> </w:t>
            </w:r>
          </w:p>
          <w:p>
            <w:pPr>
              <w:pStyle w:val="TableContents"/>
              <w:bidi w:val="0"/>
              <w:jc w:val="both"/>
              <w:rPr>
                <w:rFonts w:ascii="Times New Roman" w:hAnsi="Times New Roman"/>
                <w:sz w:val="20"/>
              </w:rPr>
            </w:pPr>
            <w:r>
              <w:rPr>
                <w:rFonts w:ascii="sans-serif" w:hAnsi="sans-serif"/>
                <w:color w:val="000000"/>
                <w:sz w:val="20"/>
              </w:rPr>
              <w:t>As of March 31, 2025, 97.0% of debt investments</w:t>
            </w:r>
            <w:r>
              <w:rPr>
                <w:rFonts w:ascii="sans-serif" w:hAnsi="sans-serif"/>
                <w:color w:val="000000"/>
                <w:sz w:val="13"/>
              </w:rPr>
              <w:t>2</w:t>
            </w:r>
            <w:r>
              <w:rPr>
                <w:rFonts w:ascii="Times New Roman" w:hAnsi="Times New Roman"/>
                <w:color w:val="000000"/>
                <w:sz w:val="20"/>
              </w:rPr>
              <w:t> </w:t>
            </w:r>
            <w:r>
              <w:rPr>
                <w:rFonts w:ascii="sans-serif" w:hAnsi="sans-serif"/>
                <w:color w:val="000000"/>
                <w:sz w:val="20"/>
              </w:rPr>
              <w:t>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pStyle w:val="TableContents"/>
              <w:bidi w:val="0"/>
              <w:jc w:val="both"/>
              <w:rPr/>
            </w:pPr>
            <w:r>
              <w:rPr/>
              <w:t> </w:t>
            </w:r>
          </w:p>
          <w:p>
            <w:pPr>
              <w:pStyle w:val="TableContents"/>
              <w:bidi w:val="0"/>
              <w:jc w:val="both"/>
              <w:rPr>
                <w:rFonts w:ascii="sans-serif" w:hAnsi="sans-serif"/>
                <w:color w:val="000000"/>
                <w:sz w:val="20"/>
              </w:rPr>
            </w:pPr>
            <w:r>
              <w:rPr>
                <w:rFonts w:ascii="sans-serif" w:hAnsi="sans-serif"/>
                <w:color w:val="000000"/>
                <w:sz w:val="20"/>
              </w:rPr>
              <w:t>As of March 31, 2025 and December 31, 2024, the weighted average total yield of debt and income-producing securities at fair value (which includes interest income and amortization of fees and discounts) was 12.1% and 12.3%, respectively, and the weighted average total yield of debt and income-producing securities at amortized cost (which includes interest income and amortization of fees and discounts) was 12.3% and 12.5% for the quarter ended March 31, 2025 and December 31, 2024, respectively.</w:t>
            </w:r>
          </w:p>
          <w:p>
            <w:pPr>
              <w:pStyle w:val="TableContents"/>
              <w:bidi w:val="0"/>
              <w:jc w:val="both"/>
              <w:rPr/>
            </w:pPr>
            <w:r>
              <w:rPr/>
              <w:t> </w:t>
            </w:r>
          </w:p>
          <w:p>
            <w:pPr>
              <w:pStyle w:val="TableContents"/>
              <w:bidi w:val="0"/>
              <w:spacing w:before="0" w:after="283"/>
              <w:jc w:val="left"/>
              <w:rPr>
                <w:rFonts w:ascii="sans-serif" w:hAnsi="sans-serif"/>
                <w:color w:val="000000"/>
                <w:sz w:val="20"/>
              </w:rPr>
            </w:pPr>
            <w:r>
              <w:rPr>
                <w:rFonts w:ascii="sans-serif" w:hAnsi="sans-serif"/>
                <w:color w:val="000000"/>
                <w:sz w:val="20"/>
              </w:rPr>
              <w:t>As of March 31, 2025 and December 31, 2024, 1.2% and 1.4% of the portfolio at fair value was on non-accrual status, respectively. No new investments were added to non-accrual status during the quarter.</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Q1 2025 Origination Activity</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837"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Commitments:</w:t>
            </w:r>
          </w:p>
        </w:tc>
        <w:tc>
          <w:tcPr>
            <w:tcW w:w="1285"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$154.4MM</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837"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Fundings:</w:t>
            </w:r>
          </w:p>
        </w:tc>
        <w:tc>
          <w:tcPr>
            <w:tcW w:w="1285"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$136.8MM</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837"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Net Payoffs:</w:t>
            </w:r>
          </w:p>
        </w:tc>
        <w:tc>
          <w:tcPr>
            <w:tcW w:w="1285"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$132.9MM</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both"/>
              <w:rPr/>
            </w:pPr>
            <w:r>
              <w:rPr/>
              <w:t> </w:t>
            </w:r>
          </w:p>
        </w:tc>
        <w:tc>
          <w:tcPr>
            <w:tcW w:w="1837"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Average Investment Size</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$29.7MM</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7"/>
              </w:rPr>
            </w:pPr>
            <w:r>
              <w:rPr>
                <w:rFonts w:ascii="sans-serif" w:hAnsi="sans-serif"/>
                <w:i/>
                <w:color w:val="000000"/>
                <w:sz w:val="17"/>
              </w:rPr>
              <w:t>(0.9% of the portfolio at fair value)</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1837"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1837"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First Lien Debt Investments (% FV)</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92.9%</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1837"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2"/>
            <w:tcBorders/>
            <w:shd w:fill="0F2F50" w:val="clear"/>
            <w:tcMar>
              <w:top w:w="0" w:type="dxa"/>
              <w:left w:w="0" w:type="dxa"/>
              <w:bottom w:w="0" w:type="dxa"/>
              <w:right w:w="0" w:type="dxa"/>
            </w:tcMar>
            <w:vAlign w:val="center"/>
          </w:tcPr>
          <w:p>
            <w:pPr>
              <w:pStyle w:val="TableContents"/>
              <w:bidi w:val="0"/>
              <w:spacing w:before="60" w:after="283"/>
              <w:jc w:val="center"/>
              <w:rPr>
                <w:rFonts w:ascii="Times New Roman" w:hAnsi="Times New Roman"/>
                <w:sz w:val="17"/>
              </w:rPr>
            </w:pPr>
            <w:r>
              <w:rPr>
                <w:rFonts w:ascii="sans-serif" w:hAnsi="sans-serif"/>
                <w:b/>
                <w:color w:val="FFFFFF"/>
                <w:sz w:val="17"/>
              </w:rPr>
              <w:t>Floating Rate Debt Investments</w:t>
            </w:r>
            <w:r>
              <w:rPr>
                <w:rFonts w:ascii="sans-serif" w:hAnsi="sans-serif"/>
                <w:b/>
                <w:color w:val="FFFFFF"/>
                <w:sz w:val="11"/>
              </w:rPr>
              <w:t>2</w:t>
            </w:r>
            <w:r>
              <w:rPr>
                <w:rFonts w:ascii="Times New Roman" w:hAnsi="Times New Roman"/>
                <w:color w:val="FFFFFF"/>
                <w:sz w:val="17"/>
              </w:rPr>
              <w:t xml:space="preserve"> </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2"/>
            <w:tcBorders/>
            <w:shd w:fill="0F2F50" w:val="clear"/>
            <w:tcMar>
              <w:top w:w="0" w:type="dxa"/>
              <w:left w:w="0" w:type="dxa"/>
              <w:bottom w:w="0" w:type="dxa"/>
              <w:right w:w="0" w:type="dxa"/>
            </w:tcMar>
            <w:vAlign w:val="center"/>
          </w:tcPr>
          <w:p>
            <w:pPr>
              <w:pStyle w:val="TableContents"/>
              <w:bidi w:val="0"/>
              <w:spacing w:before="0" w:after="60"/>
              <w:jc w:val="center"/>
              <w:rPr>
                <w:rFonts w:ascii="sans-serif" w:hAnsi="sans-serif"/>
                <w:b/>
                <w:color w:val="FFFFFF"/>
                <w:sz w:val="17"/>
              </w:rPr>
            </w:pPr>
            <w:r>
              <w:rPr>
                <w:rFonts w:ascii="sans-serif" w:hAnsi="sans-serif"/>
                <w:b/>
                <w:color w:val="FFFFFF"/>
                <w:sz w:val="17"/>
              </w:rPr>
              <w:t>(% FV)</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2"/>
            <w:tcBorders/>
            <w:tcMar>
              <w:top w:w="0" w:type="dxa"/>
              <w:left w:w="0" w:type="dxa"/>
              <w:bottom w:w="0" w:type="dxa"/>
              <w:right w:w="0" w:type="dxa"/>
            </w:tcMar>
            <w:vAlign w:val="center"/>
          </w:tcPr>
          <w:p>
            <w:pPr>
              <w:pStyle w:val="TableContents"/>
              <w:bidi w:val="0"/>
              <w:spacing w:before="60" w:after="60"/>
              <w:jc w:val="center"/>
              <w:rPr>
                <w:rFonts w:ascii="sans-serif" w:hAnsi="sans-serif"/>
                <w:b/>
                <w:color w:val="000000"/>
                <w:sz w:val="17"/>
              </w:rPr>
            </w:pPr>
            <w:r>
              <w:rPr>
                <w:rFonts w:ascii="sans-serif" w:hAnsi="sans-serif"/>
                <w:b/>
                <w:color w:val="000000"/>
                <w:sz w:val="17"/>
              </w:rPr>
              <w:t>97.0%</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1837"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Weighted Average Yield of Debt and Incoming-Producing Securities</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837" w:type="dxa"/>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rFonts w:ascii="Times New Roman" w:hAnsi="Times New Roman"/>
                <w:sz w:val="17"/>
              </w:rPr>
            </w:pPr>
            <w:r>
              <w:rPr>
                <w:rFonts w:ascii="sans-serif" w:hAnsi="sans-serif"/>
                <w:b/>
                <w:color w:val="000000"/>
                <w:sz w:val="17"/>
              </w:rPr>
              <w:t>Yield at Fair Value:</w:t>
            </w:r>
            <w:r>
              <w:rPr>
                <w:rFonts w:ascii="Times New Roman" w:hAnsi="Times New Roman"/>
                <w:color w:val="000000"/>
                <w:sz w:val="17"/>
              </w:rPr>
              <w:t xml:space="preserve"> </w:t>
            </w:r>
          </w:p>
        </w:tc>
        <w:tc>
          <w:tcPr>
            <w:tcW w:w="128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12.1%</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837"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Yield at Amortized Cost:</w:t>
            </w:r>
          </w:p>
        </w:tc>
        <w:tc>
          <w:tcPr>
            <w:tcW w:w="1285"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12.3%</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1837" w:type="dxa"/>
            <w:tcBorders/>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3122"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16"/>
              </w:rPr>
            </w:pPr>
            <w:r>
              <w:rPr>
                <w:rFonts w:ascii="Times New Roman" w:hAnsi="Times New Roman"/>
                <w:color w:val="000000"/>
                <w:sz w:val="16"/>
              </w:rPr>
              <w:t>1.</w:t>
            </w:r>
          </w:p>
          <w:p>
            <w:pPr>
              <w:pStyle w:val="TableContents"/>
              <w:bidi w:val="0"/>
              <w:spacing w:before="120" w:after="283"/>
              <w:jc w:val="both"/>
              <w:rPr>
                <w:rFonts w:ascii="sans-serif" w:hAnsi="sans-serif"/>
                <w:color w:val="000000"/>
                <w:sz w:val="16"/>
              </w:rPr>
            </w:pPr>
            <w:r>
              <w:rPr>
                <w:rFonts w:ascii="sans-serif" w:hAnsi="sans-serif"/>
                <w:color w:val="000000"/>
                <w:sz w:val="16"/>
              </w:rPr>
              <w:t>As of December 31, 2024, includes one structured credit investments with a total fair value of $1.5 million.</w:t>
            </w:r>
          </w:p>
          <w:p>
            <w:pPr>
              <w:pStyle w:val="TableContents"/>
              <w:bidi w:val="0"/>
              <w:spacing w:before="120" w:after="283"/>
              <w:jc w:val="both"/>
              <w:rPr>
                <w:rFonts w:ascii="Calibri" w:hAnsi="Calibri"/>
                <w:color w:val="000000"/>
                <w:sz w:val="16"/>
              </w:rPr>
            </w:pPr>
            <w:r>
              <w:rPr>
                <w:rFonts w:ascii="Calibri" w:hAnsi="Calibri"/>
                <w:color w:val="000000"/>
                <w:sz w:val="16"/>
              </w:rPr>
              <w:t>2.</w:t>
            </w:r>
          </w:p>
          <w:p>
            <w:pPr>
              <w:pStyle w:val="TableContents"/>
              <w:bidi w:val="0"/>
              <w:spacing w:before="120" w:after="283"/>
              <w:jc w:val="both"/>
              <w:rPr>
                <w:rFonts w:ascii="sans-serif" w:hAnsi="sans-serif"/>
                <w:color w:val="000000"/>
                <w:sz w:val="16"/>
              </w:rPr>
            </w:pPr>
            <w:r>
              <w:rPr>
                <w:rFonts w:ascii="sans-serif" w:hAnsi="sans-serif"/>
                <w:color w:val="000000"/>
                <w:sz w:val="16"/>
              </w:rPr>
              <w:t>Calculation includes income earning debt investments only.</w:t>
            </w:r>
          </w:p>
        </w:tc>
      </w:tr>
    </w:tbl>
    <w:p>
      <w:pPr>
        <w:pStyle w:val="TextBody"/>
        <w:bidi w:val="0"/>
        <w:spacing w:before="0" w:after="120"/>
        <w:jc w:val="both"/>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b/>
          <w:caps/>
          <w:color w:val="000000"/>
          <w:sz w:val="24"/>
        </w:rPr>
      </w:pPr>
      <w:r>
        <w:rPr>
          <w:rFonts w:ascii="sans-serif" w:hAnsi="sans-serif"/>
          <w:b/>
          <w:caps/>
          <w:color w:val="000000"/>
          <w:sz w:val="24"/>
        </w:rPr>
        <w:t>RESULTS OF OPERATIONS FOR THE THREE MONTHS ENDED march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59"/>
        <w:gridCol w:w="218"/>
        <w:gridCol w:w="1132"/>
        <w:gridCol w:w="896"/>
      </w:tblGrid>
      <w:tr>
        <w:trPr/>
        <w:tc>
          <w:tcPr>
            <w:tcW w:w="795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7959" w:type="dxa"/>
            <w:tcBorders/>
            <w:tcMar>
              <w:top w:w="0" w:type="dxa"/>
              <w:left w:w="0" w:type="dxa"/>
              <w:bottom w:w="0" w:type="dxa"/>
              <w:right w:w="0" w:type="dxa"/>
            </w:tcMar>
            <w:vAlign w:val="center"/>
          </w:tcPr>
          <w:p>
            <w:pPr>
              <w:pStyle w:val="TableContents"/>
              <w:bidi w:val="0"/>
              <w:spacing w:before="0" w:after="60"/>
              <w:jc w:val="both"/>
              <w:rPr>
                <w:rFonts w:ascii="sans-serif" w:hAnsi="sans-serif"/>
                <w:b/>
                <w:color w:val="000000"/>
                <w:sz w:val="19"/>
              </w:rPr>
            </w:pPr>
            <w:r>
              <w:rPr>
                <w:rFonts w:ascii="sans-serif" w:hAnsi="sans-serif"/>
                <w:b/>
                <w:color w:val="000000"/>
                <w:sz w:val="19"/>
              </w:rPr>
              <w:t>Total Investment Income</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9"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vMerge w:val="restart"/>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Total Investment Income</w:t>
            </w:r>
          </w:p>
        </w:tc>
      </w:tr>
      <w:tr>
        <w:trPr/>
        <w:tc>
          <w:tcPr>
            <w:tcW w:w="7959" w:type="dxa"/>
            <w:vMerge w:val="restart"/>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For the three months ended March 31, 2025 and 2024, investment income was $116.3 million and $117.8 million, respectively. The slight decrease in investment income was largely the result of lower interest rates, partially offset by net funding activity and higher activity-based fee income.</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vMerge w:val="continue"/>
            <w:tcBorders/>
            <w:shd w:fill="0F2F50" w:val="clear"/>
            <w:tcMar>
              <w:top w:w="0" w:type="dxa"/>
              <w:left w:w="0" w:type="dxa"/>
              <w:bottom w:w="0" w:type="dxa"/>
              <w:right w:w="0" w:type="dxa"/>
            </w:tcMar>
            <w:vAlign w:val="center"/>
          </w:tcPr>
          <w:p>
            <w:pPr>
              <w:pStyle w:val="Normal"/>
              <w:bidi w:val="0"/>
              <w:jc w:val="left"/>
              <w:rPr/>
            </w:pPr>
            <w:r>
              <w:rPr/>
            </w:r>
          </w:p>
        </w:tc>
      </w:tr>
      <w:tr>
        <w:trPr/>
        <w:tc>
          <w:tcPr>
            <w:tcW w:w="7959"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sans-serif" w:hAnsi="sans-serif"/>
                <w:b/>
                <w:color w:val="000000"/>
                <w:sz w:val="17"/>
              </w:rPr>
            </w:pPr>
            <w:r>
              <w:rPr>
                <w:rFonts w:ascii="sans-serif" w:hAnsi="sans-serif"/>
                <w:b/>
                <w:color w:val="000000"/>
                <w:sz w:val="17"/>
              </w:rPr>
              <w:t>$116.3MM</w:t>
            </w:r>
          </w:p>
        </w:tc>
      </w:tr>
      <w:tr>
        <w:trPr/>
        <w:tc>
          <w:tcPr>
            <w:tcW w:w="7959"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9" w:type="dxa"/>
            <w:tcBorders/>
            <w:tcMar>
              <w:top w:w="0" w:type="dxa"/>
              <w:left w:w="0" w:type="dxa"/>
              <w:bottom w:w="0" w:type="dxa"/>
              <w:right w:w="0" w:type="dxa"/>
            </w:tcMar>
            <w:vAlign w:val="center"/>
          </w:tcPr>
          <w:p>
            <w:pPr>
              <w:pStyle w:val="TableContents"/>
              <w:bidi w:val="0"/>
              <w:spacing w:before="0" w:after="60"/>
              <w:jc w:val="both"/>
              <w:rPr>
                <w:rFonts w:ascii="sans-serif" w:hAnsi="sans-serif"/>
                <w:b/>
                <w:color w:val="000000"/>
                <w:sz w:val="19"/>
              </w:rPr>
            </w:pPr>
            <w:r>
              <w:rPr>
                <w:rFonts w:ascii="sans-serif" w:hAnsi="sans-serif"/>
                <w:b/>
                <w:color w:val="000000"/>
                <w:sz w:val="19"/>
              </w:rPr>
              <w:t>Net Expenses</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9"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vMerge w:val="restart"/>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Net Expenses</w:t>
            </w:r>
          </w:p>
        </w:tc>
      </w:tr>
      <w:tr>
        <w:trPr/>
        <w:tc>
          <w:tcPr>
            <w:tcW w:w="7959" w:type="dxa"/>
            <w:vMerge w:val="restart"/>
            <w:tcBorders/>
            <w:tcMar>
              <w:top w:w="0" w:type="dxa"/>
              <w:left w:w="0" w:type="dxa"/>
              <w:bottom w:w="0" w:type="dxa"/>
              <w:right w:w="0" w:type="dxa"/>
            </w:tcMar>
            <w:vAlign w:val="center"/>
          </w:tcPr>
          <w:p>
            <w:pPr>
              <w:pStyle w:val="TableContents"/>
              <w:bidi w:val="0"/>
              <w:jc w:val="left"/>
              <w:rPr>
                <w:rFonts w:ascii="Times New Roman" w:hAnsi="Times New Roman"/>
                <w:sz w:val="19"/>
              </w:rPr>
            </w:pPr>
            <w:r>
              <w:rPr>
                <w:rFonts w:ascii="sans-serif" w:hAnsi="sans-serif"/>
                <w:color w:val="000000"/>
                <w:sz w:val="19"/>
              </w:rPr>
              <w:t>Net expenses totaled $57.0 million and $64.6 million for the three months ended March 31, 2025 and 2024, respectively. The decrease in net expenses was primarily due to the downward movement in reference rates which decreased the Company’s weighted average interest rate on average debt outstanding.</w:t>
            </w:r>
            <w:r>
              <w:rPr>
                <w:rFonts w:ascii="Times New Roman" w:hAnsi="Times New Roman"/>
                <w:color w:val="000000"/>
                <w:sz w:val="19"/>
              </w:rPr>
              <w:t xml:space="preserve"> </w:t>
            </w:r>
          </w:p>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vMerge w:val="continue"/>
            <w:tcBorders/>
            <w:shd w:fill="0F2F50" w:val="clear"/>
            <w:tcMar>
              <w:top w:w="0" w:type="dxa"/>
              <w:left w:w="0" w:type="dxa"/>
              <w:bottom w:w="0" w:type="dxa"/>
              <w:right w:w="0" w:type="dxa"/>
            </w:tcMar>
            <w:vAlign w:val="center"/>
          </w:tcPr>
          <w:p>
            <w:pPr>
              <w:pStyle w:val="Normal"/>
              <w:bidi w:val="0"/>
              <w:jc w:val="left"/>
              <w:rPr/>
            </w:pPr>
            <w:r>
              <w:rPr/>
            </w:r>
          </w:p>
        </w:tc>
      </w:tr>
      <w:tr>
        <w:trPr/>
        <w:tc>
          <w:tcPr>
            <w:tcW w:w="7959"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sans-serif" w:hAnsi="sans-serif"/>
                <w:b/>
                <w:color w:val="000000"/>
                <w:sz w:val="17"/>
              </w:rPr>
            </w:pPr>
            <w:r>
              <w:rPr>
                <w:rFonts w:ascii="sans-serif" w:hAnsi="sans-serif"/>
                <w:b/>
                <w:color w:val="000000"/>
                <w:sz w:val="17"/>
              </w:rPr>
              <w:t>$57.0MM</w:t>
            </w:r>
          </w:p>
        </w:tc>
      </w:tr>
      <w:tr>
        <w:trPr/>
        <w:tc>
          <w:tcPr>
            <w:tcW w:w="7959"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9" w:type="dxa"/>
            <w:tcBorders/>
            <w:tcMar>
              <w:top w:w="0" w:type="dxa"/>
              <w:left w:w="0" w:type="dxa"/>
              <w:bottom w:w="0" w:type="dxa"/>
              <w:right w:w="0" w:type="dxa"/>
            </w:tcMar>
            <w:vAlign w:val="center"/>
          </w:tcPr>
          <w:p>
            <w:pPr>
              <w:pStyle w:val="TableContents"/>
              <w:bidi w:val="0"/>
              <w:spacing w:before="0" w:after="60"/>
              <w:jc w:val="both"/>
              <w:rPr>
                <w:rFonts w:ascii="sans-serif" w:hAnsi="sans-serif"/>
                <w:b/>
                <w:color w:val="000000"/>
                <w:sz w:val="19"/>
              </w:rPr>
            </w:pPr>
            <w:r>
              <w:rPr>
                <w:rFonts w:ascii="sans-serif" w:hAnsi="sans-serif"/>
                <w:b/>
                <w:color w:val="000000"/>
                <w:sz w:val="19"/>
              </w:rPr>
              <w:t>Debt and Capital Resources</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9"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9" w:type="dxa"/>
            <w:vMerge w:val="restart"/>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 of March 31, 2025, the Company had $47.3 million in cash and cash equivalents (including $42.7 million of restricted cash), total principal value of debt outstanding of $1,889.2 million, and $1,012.8 million of undrawn capacity on its revolving credit facility, subject to borrowing base and other limitations. The Company’s weighted average interest rate on debt outstanding was 6.4% and 7.0% for the three-month periods ended March 31, 2025 and December 31, 2024, respectively. At March 31, 2025, the Company’s debt to equity ratio was 1.18x, compared to 1.22x at December 31, 2024. Average debt to equity was 1.19x for the three-month period ended March 31, 2025, compared to 1.23x for the three-month period ended December 31, 2024.</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Total Principal Debt Outstanding</w:t>
            </w:r>
          </w:p>
        </w:tc>
      </w:tr>
      <w:tr>
        <w:trPr/>
        <w:tc>
          <w:tcPr>
            <w:tcW w:w="7959"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$1,889.2MM</w:t>
            </w:r>
          </w:p>
        </w:tc>
      </w:tr>
      <w:tr>
        <w:trPr/>
        <w:tc>
          <w:tcPr>
            <w:tcW w:w="7959"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9"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Debt-to-Equity Ratio</w:t>
            </w:r>
          </w:p>
        </w:tc>
      </w:tr>
      <w:tr>
        <w:trPr/>
        <w:tc>
          <w:tcPr>
            <w:tcW w:w="7959"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Q1 2025 Quarter End:</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7"/>
              </w:rPr>
            </w:pPr>
            <w:r>
              <w:rPr>
                <w:rFonts w:ascii="sans-serif" w:hAnsi="sans-serif"/>
                <w:b/>
                <w:color w:val="000000"/>
                <w:sz w:val="17"/>
              </w:rPr>
              <w:t>1.18x</w:t>
            </w:r>
          </w:p>
        </w:tc>
      </w:tr>
      <w:tr>
        <w:trPr/>
        <w:tc>
          <w:tcPr>
            <w:tcW w:w="7959"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132"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sz w:val="17"/>
              </w:rPr>
            </w:pPr>
            <w:r>
              <w:rPr>
                <w:rFonts w:ascii="sans-serif" w:hAnsi="sans-serif"/>
                <w:b/>
                <w:color w:val="000000"/>
                <w:sz w:val="17"/>
              </w:rPr>
              <w:t>Q1 2025 Average</w:t>
            </w:r>
            <w:r>
              <w:rPr>
                <w:rFonts w:ascii="sans-serif" w:hAnsi="sans-serif"/>
                <w:b/>
                <w:color w:val="000000"/>
                <w:sz w:val="11"/>
              </w:rPr>
              <w:t>1</w:t>
            </w:r>
            <w:r>
              <w:rPr>
                <w:rFonts w:ascii="sans-serif" w:hAnsi="sans-serif"/>
                <w:b/>
                <w:color w:val="000000"/>
                <w:sz w:val="17"/>
              </w:rPr>
              <w:t>:</w:t>
            </w:r>
          </w:p>
        </w:tc>
        <w:tc>
          <w:tcPr>
            <w:tcW w:w="896" w:type="dxa"/>
            <w:tcBorders/>
            <w:tcMar>
              <w:top w:w="0" w:type="dxa"/>
              <w:left w:w="0" w:type="dxa"/>
              <w:bottom w:w="0" w:type="dxa"/>
              <w:right w:w="0" w:type="dxa"/>
            </w:tcMar>
            <w:vAlign w:val="center"/>
          </w:tcPr>
          <w:p>
            <w:pPr>
              <w:pStyle w:val="TableContents"/>
              <w:bidi w:val="0"/>
              <w:spacing w:before="0" w:after="120"/>
              <w:ind w:left="0" w:right="0" w:firstLine="216"/>
              <w:jc w:val="right"/>
              <w:rPr>
                <w:rFonts w:ascii="sans-serif" w:hAnsi="sans-serif"/>
                <w:b/>
                <w:color w:val="000000"/>
                <w:sz w:val="17"/>
              </w:rPr>
            </w:pPr>
            <w:r>
              <w:rPr>
                <w:rFonts w:ascii="sans-serif" w:hAnsi="sans-serif"/>
                <w:b/>
                <w:color w:val="000000"/>
                <w:sz w:val="17"/>
              </w:rPr>
              <w:t>1.19x</w:t>
            </w:r>
          </w:p>
        </w:tc>
      </w:tr>
      <w:tr>
        <w:trPr/>
        <w:tc>
          <w:tcPr>
            <w:tcW w:w="7959" w:type="dxa"/>
            <w:tcBorders/>
            <w:tcMar>
              <w:top w:w="0" w:type="dxa"/>
              <w:left w:w="0" w:type="dxa"/>
              <w:bottom w:w="0" w:type="dxa"/>
              <w:right w:w="0" w:type="dxa"/>
            </w:tcMar>
            <w:vAlign w:val="center"/>
          </w:tcPr>
          <w:p>
            <w:pPr>
              <w:pStyle w:val="TableContents"/>
              <w:bidi w:val="0"/>
              <w:spacing w:before="120" w:after="283"/>
              <w:jc w:val="left"/>
              <w:rPr>
                <w:rFonts w:ascii="Calibri" w:hAnsi="Calibri"/>
                <w:color w:val="000000"/>
                <w:sz w:val="16"/>
              </w:rPr>
            </w:pPr>
            <w:r>
              <w:rPr>
                <w:rFonts w:ascii="Calibri" w:hAnsi="Calibri"/>
                <w:color w:val="000000"/>
                <w:sz w:val="16"/>
              </w:rPr>
              <w:t>1.</w:t>
            </w:r>
          </w:p>
          <w:p>
            <w:pPr>
              <w:pStyle w:val="TableContents"/>
              <w:bidi w:val="0"/>
              <w:spacing w:before="120" w:after="283"/>
              <w:jc w:val="left"/>
              <w:rPr>
                <w:rFonts w:ascii="sans-serif" w:hAnsi="sans-serif"/>
                <w:color w:val="000000"/>
                <w:sz w:val="16"/>
              </w:rPr>
            </w:pPr>
            <w:r>
              <w:rPr>
                <w:rFonts w:ascii="sans-serif" w:hAnsi="sans-serif"/>
                <w:color w:val="000000"/>
                <w:sz w:val="16"/>
              </w:rPr>
              <w:t>Daily average debt outstanding during the quarter divided by the average net assets during the quarter. Average net assets is calculated by starting with the prior quarter end net asset value and adjusting for capital activity during the quarter (adding common stock offerings / DRIP contributions).</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13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89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b/>
          <w:caps/>
          <w:color w:val="000000"/>
          <w:sz w:val="24"/>
        </w:rPr>
      </w:pPr>
      <w:r>
        <w:rPr>
          <w:rFonts w:ascii="sans-serif" w:hAnsi="sans-serif"/>
          <w:b/>
          <w:caps/>
          <w:color w:val="000000"/>
          <w:sz w:val="24"/>
        </w:rPr>
        <w:t>LIQUIDITY AND FUNDING PROFILE</w:t>
      </w:r>
    </w:p>
    <w:p>
      <w:pPr>
        <w:pStyle w:val="TextBody"/>
        <w:bidi w:val="0"/>
        <w:jc w:val="left"/>
        <w:rPr/>
      </w:pPr>
      <w:r>
        <w:rPr/>
        <w:t> </w:t>
      </w:r>
    </w:p>
    <w:p>
      <w:pPr>
        <w:pStyle w:val="TextBody"/>
        <w:bidi w:val="0"/>
        <w:spacing w:before="0" w:after="120"/>
        <w:jc w:val="left"/>
        <w:rPr>
          <w:rFonts w:ascii="sans-serif" w:hAnsi="sans-serif"/>
          <w:b/>
          <w:color w:val="000000"/>
          <w:sz w:val="19"/>
        </w:rPr>
      </w:pPr>
      <w:r>
        <w:rPr>
          <w:rFonts w:ascii="sans-serif" w:hAnsi="sans-serif"/>
          <w:b/>
          <w:color w:val="000000"/>
          <w:sz w:val="19"/>
        </w:rPr>
        <w:t>Liquidity</w:t>
      </w:r>
    </w:p>
    <w:p>
      <w:pPr>
        <w:pStyle w:val="TextBody"/>
        <w:bidi w:val="0"/>
        <w:jc w:val="both"/>
        <w:rPr>
          <w:rFonts w:ascii="sans-serif" w:hAnsi="sans-serif"/>
          <w:color w:val="000000"/>
          <w:sz w:val="20"/>
        </w:rPr>
      </w:pPr>
      <w:r>
        <w:rPr>
          <w:rFonts w:ascii="sans-serif" w:hAnsi="sans-serif"/>
          <w:color w:val="000000"/>
          <w:sz w:val="20"/>
        </w:rPr>
        <w:t>The following tables summarize the Company’s liquidity at March 31, 2025 and changes to unfunded commitments since December 31, 2024.</w:t>
      </w:r>
    </w:p>
    <w:p>
      <w:pPr>
        <w:pStyle w:val="TextBody"/>
        <w:bidi w:val="0"/>
        <w:jc w:val="left"/>
        <w:rPr/>
      </w:pPr>
      <w:r>
        <w:rPr/>
        <w:t> </w:t>
      </w:r>
    </w:p>
    <w:p>
      <w:pPr>
        <w:pStyle w:val="TextBody"/>
        <w:bidi w:val="0"/>
        <w:jc w:val="left"/>
        <w:rPr>
          <w:rFonts w:ascii="sans-serif" w:hAnsi="sans-serif"/>
          <w:color w:val="000000"/>
          <w:sz w:val="16"/>
        </w:rPr>
      </w:pPr>
      <w:r>
        <w:rPr>
          <w:rFonts w:ascii="sans-serif" w:hAnsi="sans-serif"/>
          <w:color w:val="000000"/>
          <w:sz w:val="16"/>
        </w:rPr>
        <w:t>$ Millions</w:t>
      </w:r>
    </w:p>
    <w:tbl>
      <w:tblPr>
        <w:tblW w:w="10205" w:type="dxa"/>
        <w:jc w:val="left"/>
        <w:tblInd w:w="0" w:type="dxa"/>
        <w:tblLayout w:type="fixed"/>
        <w:tblCellMar>
          <w:top w:w="28" w:type="dxa"/>
          <w:left w:w="28" w:type="dxa"/>
          <w:bottom w:w="28" w:type="dxa"/>
          <w:right w:w="28" w:type="dxa"/>
        </w:tblCellMar>
      </w:tblPr>
      <w:tblGrid>
        <w:gridCol w:w="4293"/>
        <w:gridCol w:w="781"/>
        <w:gridCol w:w="146"/>
        <w:gridCol w:w="4230"/>
        <w:gridCol w:w="755"/>
      </w:tblGrid>
      <w:tr>
        <w:trPr/>
        <w:tc>
          <w:tcPr>
            <w:tcW w:w="429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5074"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FFFFFF"/>
                <w:sz w:val="20"/>
              </w:rPr>
              <w:t>Revolving Credit Facility</w:t>
            </w:r>
            <w:r>
              <w:rPr>
                <w:rFonts w:ascii="sans-serif" w:hAnsi="sans-serif"/>
                <w:b/>
                <w:color w:val="FFFFFF"/>
                <w:sz w:val="13"/>
              </w:rPr>
              <w:t>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85"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Unfunded Commitment Activity</w:t>
            </w:r>
          </w:p>
        </w:tc>
      </w:tr>
      <w:tr>
        <w:trPr/>
        <w:tc>
          <w:tcPr>
            <w:tcW w:w="4293"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Revolver Capacity</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$1,675</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2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b/>
                <w:color w:val="000000"/>
                <w:sz w:val="18"/>
              </w:rPr>
              <w:t>Unfunded Commitments (See Note 8 in 12/31/24 10-Q)</w:t>
            </w:r>
            <w:r>
              <w:rPr>
                <w:rFonts w:ascii="Times New Roman" w:hAnsi="Times New Roman"/>
                <w:color w:val="000000"/>
                <w:sz w:val="18"/>
              </w:rPr>
              <w:t xml:space="preserve"> </w:t>
            </w:r>
          </w:p>
        </w:tc>
        <w:tc>
          <w:tcPr>
            <w:tcW w:w="755"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$356</w:t>
            </w:r>
          </w:p>
        </w:tc>
      </w:tr>
      <w:tr>
        <w:trPr/>
        <w:tc>
          <w:tcPr>
            <w:tcW w:w="4293"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Drawn on Revolver</w:t>
            </w:r>
            <w:r>
              <w:rPr>
                <w:rFonts w:ascii="Times New Roman" w:hAnsi="Times New Roman"/>
                <w:color w:val="000000"/>
                <w:sz w:val="18"/>
              </w:rPr>
              <w:t xml:space="preserve"> </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($639)</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2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Extinguished Unfunded Commitments</w:t>
            </w:r>
            <w:r>
              <w:rPr>
                <w:rFonts w:ascii="Times New Roman" w:hAnsi="Times New Roman"/>
                <w:color w:val="000000"/>
                <w:sz w:val="18"/>
              </w:rPr>
              <w:t xml:space="preserve"> </w:t>
            </w:r>
          </w:p>
        </w:tc>
        <w:tc>
          <w:tcPr>
            <w:tcW w:w="755"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r>
      <w:tr>
        <w:trPr/>
        <w:tc>
          <w:tcPr>
            <w:tcW w:w="4293"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Unrestricted Cash Balance</w:t>
            </w:r>
            <w:r>
              <w:rPr>
                <w:rFonts w:ascii="Times New Roman" w:hAnsi="Times New Roman"/>
                <w:color w:val="000000"/>
                <w:sz w:val="18"/>
              </w:rPr>
              <w:t xml:space="preserve"> </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2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New Unfunded Commitments</w:t>
            </w:r>
            <w:r>
              <w:rPr>
                <w:rFonts w:ascii="Times New Roman" w:hAnsi="Times New Roman"/>
                <w:color w:val="000000"/>
                <w:sz w:val="18"/>
              </w:rPr>
              <w:t xml:space="preserve"> </w:t>
            </w:r>
          </w:p>
        </w:tc>
        <w:tc>
          <w:tcPr>
            <w:tcW w:w="755"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r>
      <w:tr>
        <w:trPr/>
        <w:tc>
          <w:tcPr>
            <w:tcW w:w="4293"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Issued Letters of Credit</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2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Drawdown of Unfunded Commitments</w:t>
            </w:r>
          </w:p>
        </w:tc>
        <w:tc>
          <w:tcPr>
            <w:tcW w:w="755"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w:t>
            </w:r>
          </w:p>
        </w:tc>
      </w:tr>
      <w:tr>
        <w:trPr/>
        <w:tc>
          <w:tcPr>
            <w:tcW w:w="4293"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b/>
                <w:color w:val="000000"/>
                <w:sz w:val="18"/>
              </w:rPr>
              <w:t>Total Liquidity (Pre-Unfunded Commitments)</w:t>
            </w:r>
            <w:r>
              <w:rPr>
                <w:rFonts w:ascii="Times New Roman" w:hAnsi="Times New Roman"/>
                <w:color w:val="000000"/>
                <w:sz w:val="18"/>
              </w:rPr>
              <w:t xml:space="preserve"> </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$1,018</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2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Unfunded Commitments</w:t>
            </w:r>
          </w:p>
        </w:tc>
        <w:tc>
          <w:tcPr>
            <w:tcW w:w="755"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$323</w:t>
            </w:r>
          </w:p>
        </w:tc>
      </w:tr>
      <w:tr>
        <w:trPr/>
        <w:tc>
          <w:tcPr>
            <w:tcW w:w="4293"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Available Unfunded Commitments</w:t>
            </w:r>
            <w:r>
              <w:rPr>
                <w:rFonts w:ascii="sans-serif" w:hAnsi="sans-serif"/>
                <w:color w:val="000000"/>
                <w:sz w:val="12"/>
              </w:rPr>
              <w:t>2</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2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Unavailable Unfunded Commitments</w:t>
            </w:r>
            <w:r>
              <w:rPr>
                <w:rFonts w:ascii="sans-serif" w:hAnsi="sans-serif"/>
                <w:color w:val="000000"/>
                <w:sz w:val="12"/>
              </w:rPr>
              <w:t>2</w:t>
            </w:r>
          </w:p>
        </w:tc>
        <w:tc>
          <w:tcPr>
            <w:tcW w:w="755"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w:t>
            </w:r>
          </w:p>
        </w:tc>
      </w:tr>
      <w:tr>
        <w:trPr/>
        <w:tc>
          <w:tcPr>
            <w:tcW w:w="4293"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Liquidity (Burdened for Unfunded Commitments)</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$843</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2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b/>
                <w:color w:val="000000"/>
                <w:sz w:val="18"/>
              </w:rPr>
              <w:t>Available Unfunded Commitments</w:t>
            </w:r>
            <w:r>
              <w:rPr>
                <w:rFonts w:ascii="sans-serif" w:hAnsi="sans-serif"/>
                <w:color w:val="000000"/>
                <w:sz w:val="12"/>
              </w:rPr>
              <w:t>2</w:t>
            </w:r>
          </w:p>
        </w:tc>
        <w:tc>
          <w:tcPr>
            <w:tcW w:w="755"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$175</w:t>
            </w:r>
          </w:p>
        </w:tc>
      </w:tr>
    </w:tbl>
    <w:p>
      <w:pPr>
        <w:pStyle w:val="TextBody"/>
        <w:bidi w:val="0"/>
        <w:jc w:val="both"/>
        <w:rPr/>
      </w:pPr>
      <w:r>
        <w:rPr/>
        <w:t> </w:t>
      </w:r>
    </w:p>
    <w:p>
      <w:pPr>
        <w:pStyle w:val="TextBody"/>
        <w:bidi w:val="0"/>
        <w:spacing w:before="0" w:after="0"/>
        <w:jc w:val="both"/>
        <w:rPr>
          <w:rFonts w:ascii="Calibri" w:hAnsi="Calibri"/>
          <w:color w:val="000000"/>
          <w:sz w:val="14"/>
        </w:rPr>
      </w:pPr>
      <w:r>
        <w:rPr>
          <w:rFonts w:ascii="Calibri" w:hAnsi="Calibri"/>
          <w:color w:val="000000"/>
          <w:sz w:val="14"/>
        </w:rPr>
        <w:t>1.</w:t>
      </w:r>
    </w:p>
    <w:p>
      <w:pPr>
        <w:pStyle w:val="TextBody"/>
        <w:bidi w:val="0"/>
        <w:spacing w:before="0" w:after="0"/>
        <w:jc w:val="both"/>
        <w:rPr>
          <w:rFonts w:ascii="sans-serif" w:hAnsi="sans-serif"/>
          <w:color w:val="000000"/>
          <w:sz w:val="14"/>
        </w:rPr>
      </w:pPr>
      <w:r>
        <w:rPr>
          <w:rFonts w:ascii="sans-serif" w:hAnsi="sans-serif"/>
          <w:color w:val="000000"/>
          <w:sz w:val="14"/>
        </w:rPr>
        <w:t>Includes $150 million of non‐extending commitments with a maturity of April 23, 2027 and a revolving period ending April 24, 2026.</w:t>
      </w:r>
    </w:p>
    <w:p>
      <w:pPr>
        <w:pStyle w:val="TextBody"/>
        <w:bidi w:val="0"/>
        <w:spacing w:before="0" w:after="0"/>
        <w:jc w:val="both"/>
        <w:rPr>
          <w:rFonts w:ascii="Calibri" w:hAnsi="Calibri"/>
          <w:color w:val="000000"/>
          <w:sz w:val="14"/>
        </w:rPr>
      </w:pPr>
      <w:r>
        <w:rPr>
          <w:rFonts w:ascii="Calibri" w:hAnsi="Calibri"/>
          <w:color w:val="000000"/>
          <w:sz w:val="14"/>
        </w:rPr>
        <w:t>2.</w:t>
      </w:r>
    </w:p>
    <w:p>
      <w:pPr>
        <w:pStyle w:val="TextBody"/>
        <w:bidi w:val="0"/>
        <w:jc w:val="both"/>
        <w:rPr>
          <w:rFonts w:ascii="sans-serif" w:hAnsi="sans-serif"/>
          <w:color w:val="000000"/>
          <w:sz w:val="14"/>
        </w:rPr>
      </w:pPr>
      <w:r>
        <w:rPr>
          <w:rFonts w:ascii="sans-serif" w:hAnsi="sans-serif"/>
          <w:color w:val="000000"/>
          <w:sz w:val="14"/>
        </w:rPr>
        <w:t>Commitments may be subject to limitations on borrowings set forth in the agreements between the Company and the applicable portfolio company. As a result, portfolio companies may not be eligible to borrow the full commitment amount on such date.</w:t>
      </w:r>
    </w:p>
    <w:p>
      <w:pPr>
        <w:pStyle w:val="TextBody"/>
        <w:bidi w:val="0"/>
        <w:spacing w:before="0" w:after="160"/>
        <w:jc w:val="left"/>
        <w:rPr>
          <w:rFonts w:ascii="sans-serif" w:hAnsi="sans-serif"/>
          <w:color w:val="000000"/>
          <w:sz w:val="14"/>
        </w:rPr>
      </w:pPr>
      <w:r>
        <w:rPr>
          <w:rFonts w:ascii="sans-serif" w:hAnsi="sans-serif"/>
          <w:color w:val="000000"/>
          <w:sz w:val="14"/>
        </w:rPr>
        <w:t>Note: May not sum due to rounding.</w:t>
      </w:r>
    </w:p>
    <w:p>
      <w:pPr>
        <w:pStyle w:val="TextBody"/>
        <w:bidi w:val="0"/>
        <w:jc w:val="left"/>
        <w:rPr/>
      </w:pPr>
      <w:r>
        <w:rPr/>
        <w:t> </w:t>
      </w:r>
    </w:p>
    <w:p>
      <w:pPr>
        <w:pStyle w:val="TextBody"/>
        <w:bidi w:val="0"/>
        <w:spacing w:before="0" w:after="120"/>
        <w:jc w:val="left"/>
        <w:rPr>
          <w:rFonts w:ascii="sans-serif" w:hAnsi="sans-serif"/>
          <w:b/>
          <w:color w:val="000000"/>
          <w:sz w:val="20"/>
        </w:rPr>
      </w:pPr>
      <w:r>
        <w:rPr>
          <w:rFonts w:ascii="sans-serif" w:hAnsi="sans-serif"/>
          <w:b/>
          <w:color w:val="000000"/>
          <w:sz w:val="20"/>
        </w:rPr>
        <w:t>Funding Profile</w:t>
      </w:r>
    </w:p>
    <w:p>
      <w:pPr>
        <w:pStyle w:val="TextBody"/>
        <w:bidi w:val="0"/>
        <w:spacing w:before="0" w:after="160"/>
        <w:jc w:val="both"/>
        <w:rPr>
          <w:rFonts w:ascii="Times New Roman" w:hAnsi="Times New Roman"/>
          <w:sz w:val="20"/>
        </w:rPr>
      </w:pPr>
      <w:r>
        <w:rPr>
          <w:rFonts w:ascii="sans-serif" w:hAnsi="sans-serif"/>
          <w:color w:val="000000"/>
          <w:sz w:val="20"/>
        </w:rPr>
        <w:t>At March 31, 2025, the Company’s funding mix was comprised of approximately 66% unsecured and 34% secured debt. As illustrated below, the Company’s nearest debt maturity is in August 2026 at $300 million, and the weighted average remaining life of investments funded with debt was ~2.3 years, compared to a weighted average remaining maturity on debt of ~4.2 years</w:t>
      </w:r>
      <w:r>
        <w:rPr>
          <w:rFonts w:ascii="sans-serif" w:hAnsi="sans-serif"/>
          <w:color w:val="000000"/>
          <w:sz w:val="13"/>
        </w:rPr>
        <w:t>2</w:t>
      </w:r>
      <w:r>
        <w:rPr>
          <w:rFonts w:ascii="sans-serif" w:hAnsi="sans-serif"/>
          <w:color w:val="000000"/>
          <w:sz w:val="20"/>
        </w:rPr>
        <w:t>.</w:t>
      </w:r>
    </w:p>
    <w:p>
      <w:pPr>
        <w:pStyle w:val="TextBody"/>
        <w:bidi w:val="0"/>
        <w:jc w:val="both"/>
        <w:rPr/>
      </w:pPr>
      <w:r>
        <w:rPr/>
        <w:drawing>
          <wp:inline distT="0" distB="0" distL="0" distR="0">
            <wp:extent cx="6400800" cy="1847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00800" cy="1847850"/>
                    </a:xfrm>
                    <a:prstGeom prst="rect">
                      <a:avLst/>
                    </a:prstGeom>
                  </pic:spPr>
                </pic:pic>
              </a:graphicData>
            </a:graphic>
          </wp:inline>
        </w:drawing>
      </w:r>
    </w:p>
    <w:p>
      <w:pPr>
        <w:pStyle w:val="TextBody"/>
        <w:bidi w:val="0"/>
        <w:jc w:val="both"/>
        <w:rPr/>
      </w:pPr>
      <w:r>
        <w:rPr/>
        <w:t> </w:t>
      </w:r>
    </w:p>
    <w:p>
      <w:pPr>
        <w:pStyle w:val="TextBody"/>
        <w:bidi w:val="0"/>
        <w:spacing w:before="120" w:after="283"/>
        <w:jc w:val="both"/>
        <w:rPr>
          <w:rFonts w:ascii="Calibri" w:hAnsi="Calibri"/>
          <w:color w:val="000000"/>
          <w:sz w:val="14"/>
        </w:rPr>
      </w:pPr>
      <w:r>
        <w:rPr>
          <w:rFonts w:ascii="Calibri" w:hAnsi="Calibri"/>
          <w:color w:val="000000"/>
          <w:sz w:val="14"/>
        </w:rPr>
        <w:t>1.</w:t>
      </w:r>
    </w:p>
    <w:p>
      <w:pPr>
        <w:pStyle w:val="TextBody"/>
        <w:bidi w:val="0"/>
        <w:spacing w:before="120" w:after="283"/>
        <w:jc w:val="both"/>
        <w:rPr>
          <w:rFonts w:ascii="sans-serif" w:hAnsi="sans-serif"/>
          <w:color w:val="000000"/>
          <w:sz w:val="14"/>
        </w:rPr>
      </w:pPr>
      <w:r>
        <w:rPr>
          <w:rFonts w:ascii="sans-serif" w:hAnsi="sans-serif"/>
          <w:color w:val="000000"/>
          <w:sz w:val="14"/>
        </w:rPr>
        <w:t xml:space="preserve">Includes $150 million of remaining non-extending commitments with a maturity of April 23, 2027 and a revolving period ending April 24, 2026. The amount available may be subject to limitations related to the borrowing base under the Revolving Credit Facility, outstanding letters of credit and asset coverage requirements </w:t>
      </w:r>
    </w:p>
    <w:p>
      <w:pPr>
        <w:pStyle w:val="TextBody"/>
        <w:bidi w:val="0"/>
        <w:spacing w:before="0" w:after="120"/>
        <w:jc w:val="both"/>
        <w:rPr>
          <w:rFonts w:ascii="Calibri" w:hAnsi="Calibri"/>
          <w:color w:val="000000"/>
          <w:sz w:val="14"/>
        </w:rPr>
      </w:pPr>
      <w:r>
        <w:rPr>
          <w:rFonts w:ascii="Calibri" w:hAnsi="Calibri"/>
          <w:color w:val="000000"/>
          <w:sz w:val="14"/>
        </w:rPr>
        <w:t>2.</w:t>
      </w:r>
    </w:p>
    <w:p>
      <w:pPr>
        <w:pStyle w:val="TextBody"/>
        <w:bidi w:val="0"/>
        <w:spacing w:before="0" w:after="120"/>
        <w:jc w:val="both"/>
        <w:rPr>
          <w:rFonts w:ascii="sans-serif" w:hAnsi="sans-serif"/>
          <w:color w:val="000000"/>
          <w:sz w:val="14"/>
        </w:rPr>
      </w:pPr>
      <w:r>
        <w:rPr>
          <w:rFonts w:ascii="sans-serif" w:hAnsi="sans-serif"/>
          <w:color w:val="000000"/>
          <w:sz w:val="14"/>
        </w:rPr>
        <w:t xml:space="preserve">Weighted by gross commitment amount. </w:t>
      </w:r>
    </w:p>
    <w:p>
      <w:pPr>
        <w:pStyle w:val="TextBody"/>
        <w:bidi w:val="0"/>
        <w:spacing w:before="0" w:after="120"/>
        <w:jc w:val="both"/>
        <w:rPr>
          <w:rFonts w:ascii="sans-serif" w:hAnsi="sans-serif"/>
          <w:color w:val="000000"/>
          <w:sz w:val="14"/>
        </w:rPr>
      </w:pPr>
      <w:r>
        <w:rPr>
          <w:rFonts w:ascii="sans-serif" w:hAnsi="sans-serif"/>
          <w:color w:val="000000"/>
          <w:sz w:val="14"/>
        </w:rPr>
        <w:t>Note: Numbers may not sum due to rounding.</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pBdr>
          <w:bottom w:val="single" w:sz="6" w:space="1" w:color="A0ABB4"/>
        </w:pBdr>
        <w:bidi w:val="0"/>
        <w:jc w:val="left"/>
        <w:rPr>
          <w:rFonts w:ascii="sans-serif" w:hAnsi="sans-serif"/>
          <w:b/>
          <w:caps/>
          <w:color w:val="000000"/>
          <w:sz w:val="36"/>
        </w:rPr>
      </w:pPr>
      <w:r>
        <w:rPr>
          <w:rFonts w:ascii="sans-serif" w:hAnsi="sans-serif"/>
          <w:b/>
          <w:caps/>
          <w:color w:val="000000"/>
          <w:sz w:val="36"/>
        </w:rPr>
        <w:t>Conference Call and Webcast</w:t>
      </w:r>
    </w:p>
    <w:p>
      <w:pPr>
        <w:pStyle w:val="TextBody"/>
        <w:bidi w:val="0"/>
        <w:jc w:val="left"/>
        <w:rPr/>
      </w:pPr>
      <w:r>
        <w:rPr/>
        <w:t> </w:t>
      </w:r>
    </w:p>
    <w:p>
      <w:pPr>
        <w:pStyle w:val="TextBody"/>
        <w:bidi w:val="0"/>
        <w:spacing w:before="0" w:after="360"/>
        <w:jc w:val="both"/>
        <w:rPr>
          <w:rFonts w:ascii="sans-serif" w:hAnsi="sans-serif"/>
          <w:b/>
          <w:color w:val="000000"/>
          <w:sz w:val="20"/>
        </w:rPr>
      </w:pPr>
      <w:r>
        <w:rPr>
          <w:rFonts w:ascii="sans-serif" w:hAnsi="sans-serif"/>
          <w:b/>
          <w:color w:val="000000"/>
          <w:sz w:val="20"/>
        </w:rPr>
        <w:t>Conference Call Information:</w:t>
      </w:r>
    </w:p>
    <w:p>
      <w:pPr>
        <w:pStyle w:val="TextBody"/>
        <w:bidi w:val="0"/>
        <w:jc w:val="both"/>
        <w:rPr>
          <w:rFonts w:ascii="sans-serif" w:hAnsi="sans-serif"/>
          <w:color w:val="000000"/>
          <w:sz w:val="20"/>
        </w:rPr>
      </w:pPr>
      <w:r>
        <w:rPr>
          <w:rFonts w:ascii="sans-serif" w:hAnsi="sans-serif"/>
          <w:color w:val="000000"/>
          <w:sz w:val="20"/>
        </w:rPr>
        <w:t>A conference call to discuss the Company’s financial results will be held at 8:30 a.m. Eastern Time on May 1, 2025.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Research analysts who wish to participate in the conference call must first register at https://register-conf.media-server.com/register/BI7e78a782f1584dd281c1213111e7235b. Upon registration, all telephone participants will receive a confirmation email detailing how to join the conference call, including the dial-in number along with a unique passcode and registrant ID that can be used to access the call.</w:t>
      </w:r>
    </w:p>
    <w:p>
      <w:pPr>
        <w:pStyle w:val="TextBody"/>
        <w:bidi w:val="0"/>
        <w:spacing w:before="0" w:after="160"/>
        <w:jc w:val="both"/>
        <w:rPr/>
      </w:pPr>
      <w:r>
        <w:rPr/>
        <w:t> </w:t>
      </w:r>
    </w:p>
    <w:p>
      <w:pPr>
        <w:pStyle w:val="TextBody"/>
        <w:bidi w:val="0"/>
        <w:jc w:val="both"/>
        <w:rPr>
          <w:rFonts w:ascii="sans-serif" w:hAnsi="sans-serif"/>
          <w:b/>
          <w:color w:val="000000"/>
          <w:sz w:val="20"/>
        </w:rPr>
      </w:pPr>
      <w:r>
        <w:rPr>
          <w:rFonts w:ascii="sans-serif" w:hAnsi="sans-serif"/>
          <w:b/>
          <w:color w:val="000000"/>
          <w:sz w:val="20"/>
        </w:rPr>
        <w:t>Replay Information:</w:t>
      </w:r>
    </w:p>
    <w:p>
      <w:pPr>
        <w:pStyle w:val="TextBody"/>
        <w:bidi w:val="0"/>
        <w:spacing w:before="160" w:after="283"/>
        <w:jc w:val="both"/>
        <w:rPr/>
      </w:pPr>
      <w:r>
        <w:rPr/>
        <w:t> </w:t>
      </w:r>
    </w:p>
    <w:p>
      <w:pPr>
        <w:pStyle w:val="TextBody"/>
        <w:bidi w:val="0"/>
        <w:jc w:val="both"/>
        <w:rPr>
          <w:rFonts w:ascii="Times New Roman" w:hAnsi="Times New Roman"/>
          <w:sz w:val="20"/>
        </w:rPr>
      </w:pPr>
      <w:r>
        <w:rPr>
          <w:rFonts w:ascii="sans-serif" w:hAnsi="sans-serif"/>
          <w:color w:val="000000"/>
          <w:sz w:val="20"/>
        </w:rPr>
        <w:t>A recorded version will be available under the same webcast link (</w:t>
      </w:r>
      <w:r>
        <w:rPr>
          <w:rFonts w:ascii="sans-serif" w:hAnsi="sans-serif"/>
          <w:color w:val="0563C1"/>
          <w:sz w:val="20"/>
        </w:rPr>
        <w:t>https://sixthstreetspecialtylending.gcs-web.com/events-and-presentations</w:t>
      </w:r>
      <w:r>
        <w:rPr>
          <w:rFonts w:ascii="sans-serif" w:hAnsi="sans-serif"/>
          <w:color w:val="000000"/>
          <w:sz w:val="20"/>
        </w:rPr>
        <w:t>) following the conclusion of the conference call.</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pBdr>
          <w:bottom w:val="single" w:sz="6" w:space="1" w:color="A0ABB4"/>
        </w:pBdr>
        <w:bidi w:val="0"/>
        <w:jc w:val="left"/>
        <w:rPr>
          <w:rFonts w:ascii="sans-serif" w:hAnsi="sans-serif"/>
          <w:b/>
          <w:caps/>
          <w:color w:val="000000"/>
          <w:sz w:val="36"/>
        </w:rPr>
      </w:pPr>
      <w:r>
        <w:rPr>
          <w:rFonts w:ascii="sans-serif" w:hAnsi="sans-serif"/>
          <w:b/>
          <w:caps/>
          <w:color w:val="000000"/>
          <w:sz w:val="36"/>
        </w:rPr>
        <w:t>Financial Highlights</w:t>
      </w:r>
    </w:p>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(Amounts in millions, except per share amounts)</w:t>
      </w:r>
    </w:p>
    <w:tbl>
      <w:tblPr>
        <w:tblW w:w="10205" w:type="dxa"/>
        <w:jc w:val="left"/>
        <w:tblInd w:w="0" w:type="dxa"/>
        <w:tblLayout w:type="fixed"/>
        <w:tblCellMar>
          <w:top w:w="28" w:type="dxa"/>
          <w:left w:w="28" w:type="dxa"/>
          <w:bottom w:w="28" w:type="dxa"/>
          <w:right w:w="28" w:type="dxa"/>
        </w:tblCellMar>
      </w:tblPr>
      <w:tblGrid>
        <w:gridCol w:w="4577"/>
        <w:gridCol w:w="146"/>
        <w:gridCol w:w="146"/>
        <w:gridCol w:w="231"/>
        <w:gridCol w:w="159"/>
        <w:gridCol w:w="791"/>
        <w:gridCol w:w="271"/>
        <w:gridCol w:w="146"/>
        <w:gridCol w:w="146"/>
        <w:gridCol w:w="270"/>
        <w:gridCol w:w="186"/>
        <w:gridCol w:w="924"/>
        <w:gridCol w:w="271"/>
        <w:gridCol w:w="146"/>
        <w:gridCol w:w="146"/>
        <w:gridCol w:w="231"/>
        <w:gridCol w:w="159"/>
        <w:gridCol w:w="791"/>
        <w:gridCol w:w="271"/>
        <w:gridCol w:w="197"/>
      </w:tblGrid>
      <w:tr>
        <w:trPr/>
        <w:tc>
          <w:tcPr>
            <w:tcW w:w="4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Dividend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Asset Value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Gains Incentive Fee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Investment Income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Income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Gains Incentive Fee Expense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Investment Income Per Share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Income Per Share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(Net Investment Income)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(Net Income)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(Adjusted Net Investment Income) </w:t>
            </w:r>
            <w:r>
              <w:rPr>
                <w:rFonts w:ascii="Times New Roman" w:hAnsi="Times New Roman"/>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(Adjusted Net Income) </w:t>
            </w:r>
            <w:r>
              <w:rPr>
                <w:rFonts w:ascii="Times New Roman" w:hAnsi="Times New Roman"/>
                <w:color w:val="000000"/>
                <w:sz w:val="13"/>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of Debt and Income Producing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of Debt and Income Producing Securities at 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Debt Investment Commitments at Floating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Calibri" w:hAnsi="Calibri"/>
          <w:color w:val="000000"/>
          <w:sz w:val="16"/>
        </w:rPr>
      </w:pPr>
      <w:r>
        <w:rPr>
          <w:rFonts w:ascii="Calibri" w:hAnsi="Calibri"/>
          <w:color w:val="000000"/>
          <w:sz w:val="16"/>
        </w:rPr>
        <w:t>1.</w:t>
      </w:r>
    </w:p>
    <w:p>
      <w:pPr>
        <w:pStyle w:val="TextBody"/>
        <w:bidi w:val="0"/>
        <w:spacing w:before="0" w:after="0"/>
        <w:jc w:val="both"/>
        <w:rPr>
          <w:rFonts w:ascii="sans-serif" w:hAnsi="sans-serif"/>
          <w:color w:val="000000"/>
          <w:sz w:val="16"/>
        </w:rPr>
      </w:pPr>
      <w:r>
        <w:rPr>
          <w:rFonts w:ascii="sans-serif" w:hAnsi="sans-serif"/>
          <w:color w:val="000000"/>
          <w:sz w:val="16"/>
        </w:rPr>
        <w:t xml:space="preserve">Adjusted net asset value per share gives effect to the supplemental dividend declared related to earnings or special dividend in the applicable period. </w:t>
      </w:r>
    </w:p>
    <w:p>
      <w:pPr>
        <w:pStyle w:val="TextBody"/>
        <w:bidi w:val="0"/>
        <w:spacing w:before="0" w:after="0"/>
        <w:jc w:val="both"/>
        <w:rPr>
          <w:rFonts w:ascii="Calibri" w:hAnsi="Calibri"/>
          <w:color w:val="000000"/>
          <w:sz w:val="16"/>
        </w:rPr>
      </w:pPr>
      <w:r>
        <w:rPr>
          <w:rFonts w:ascii="Calibri" w:hAnsi="Calibri"/>
          <w:color w:val="000000"/>
          <w:sz w:val="16"/>
        </w:rPr>
        <w:t>2.</w:t>
      </w:r>
    </w:p>
    <w:p>
      <w:pPr>
        <w:pStyle w:val="TextBody"/>
        <w:bidi w:val="0"/>
        <w:spacing w:before="0" w:after="0"/>
        <w:jc w:val="both"/>
        <w:rPr>
          <w:rFonts w:ascii="sans-serif" w:hAnsi="sans-serif"/>
          <w:color w:val="000000"/>
          <w:sz w:val="16"/>
        </w:rPr>
      </w:pPr>
      <w:r>
        <w:rPr>
          <w:rFonts w:ascii="sans-serif" w:hAnsi="sans-serif"/>
          <w:color w:val="000000"/>
          <w:sz w:val="16"/>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pStyle w:val="TextBody"/>
        <w:bidi w:val="0"/>
        <w:spacing w:before="0" w:after="0"/>
        <w:jc w:val="both"/>
        <w:rPr>
          <w:rFonts w:ascii="Calibri" w:hAnsi="Calibri"/>
          <w:color w:val="000000"/>
          <w:sz w:val="16"/>
        </w:rPr>
      </w:pPr>
      <w:r>
        <w:rPr>
          <w:rFonts w:ascii="Calibri" w:hAnsi="Calibri"/>
          <w:color w:val="000000"/>
          <w:sz w:val="16"/>
        </w:rPr>
        <w:t>3.</w:t>
      </w:r>
    </w:p>
    <w:p>
      <w:pPr>
        <w:pStyle w:val="TextBody"/>
        <w:bidi w:val="0"/>
        <w:jc w:val="both"/>
        <w:rPr>
          <w:rFonts w:ascii="sans-serif" w:hAnsi="sans-serif"/>
          <w:color w:val="000000"/>
          <w:sz w:val="16"/>
        </w:rPr>
      </w:pPr>
      <w:r>
        <w:rPr>
          <w:rFonts w:ascii="sans-serif" w:hAnsi="sans-serif"/>
          <w:color w:val="000000"/>
          <w:sz w:val="16"/>
        </w:rPr>
        <w:t>Return on equity is calculated using prior period’s ending net asset value per share.</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pBdr>
          <w:bottom w:val="single" w:sz="6" w:space="1" w:color="A0ABB4"/>
        </w:pBdr>
        <w:bidi w:val="0"/>
        <w:jc w:val="left"/>
        <w:rPr>
          <w:rFonts w:ascii="sans-serif" w:hAnsi="sans-serif"/>
          <w:b/>
          <w:caps/>
          <w:color w:val="000000"/>
          <w:sz w:val="36"/>
        </w:rPr>
      </w:pPr>
      <w:r>
        <w:rPr>
          <w:rFonts w:ascii="sans-serif" w:hAnsi="sans-serif"/>
          <w:b/>
          <w:caps/>
          <w:color w:val="000000"/>
          <w:sz w:val="36"/>
        </w:rPr>
        <w:t>Financial Statements and Tables</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Sixth Street Specialty Lending, Inc.</w:t>
      </w:r>
      <w:r>
        <w:rPr>
          <w:rFonts w:ascii="sans-serif" w:hAnsi="sans-serif"/>
          <w:color w:val="000000"/>
          <w:sz w:val="22"/>
        </w:rPr>
        <w:br/>
        <w:t>Consolidated Balance Sheets</w:t>
      </w:r>
    </w:p>
    <w:p>
      <w:pPr>
        <w:pStyle w:val="TextBody"/>
        <w:bidi w:val="0"/>
        <w:jc w:val="center"/>
        <w:rPr>
          <w:rFonts w:ascii="sans-serif" w:hAnsi="sans-serif"/>
          <w:i/>
          <w:color w:val="000000"/>
          <w:sz w:val="20"/>
        </w:rPr>
      </w:pPr>
      <w:r>
        <w:rPr>
          <w:rFonts w:ascii="sans-serif" w:hAnsi="sans-serif"/>
          <w:i/>
          <w:color w:val="000000"/>
          <w:sz w:val="20"/>
        </w:rPr>
        <w:t>(Amounts 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45"/>
        <w:gridCol w:w="146"/>
        <w:gridCol w:w="196"/>
        <w:gridCol w:w="826"/>
        <w:gridCol w:w="166"/>
        <w:gridCol w:w="146"/>
        <w:gridCol w:w="208"/>
        <w:gridCol w:w="879"/>
        <w:gridCol w:w="593"/>
      </w:tblGrid>
      <w:tr>
        <w:trPr/>
        <w:tc>
          <w:tcPr>
            <w:tcW w:w="7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 (amortized cost of $3,352,041 and $3,450,644,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3,453,317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 (amortized cost of $91,549 and $88,509,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65,095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 at fair value (amortized cost of $3,443,590 and $3,539,153,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3,518,412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(restricted cash of $42,713 and $22,362,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3,498,500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3,582,225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 (net of deferred financing costs of $29,646 and $23,837,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1,901,142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payables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1,974,696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 $0.01 par value; 100,000,000 shares authorized; no shares</w:t>
              <w:br/>
              <w:t>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$0.01 par value; 400,000,000 shares authorized, 94,628,608</w:t>
              <w:br/>
              <w:t>   and 94,325,686 shares issued, respectively; and 93,964,358 and 93,661,436</w:t>
              <w:br/>
              <w:t>   shares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1,519,337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at cost; 664,250 and 664,250 shares held,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1,607,529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3,498,500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3,582,225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Sixth Street Specialty Lending, Inc.</w:t>
      </w:r>
    </w:p>
    <w:p>
      <w:pPr>
        <w:pStyle w:val="TextBody"/>
        <w:bidi w:val="0"/>
        <w:jc w:val="center"/>
        <w:rPr>
          <w:rFonts w:ascii="sans-serif" w:hAnsi="sans-serif"/>
          <w:color w:val="000000"/>
          <w:sz w:val="22"/>
        </w:rPr>
      </w:pPr>
      <w:r>
        <w:rPr>
          <w:rFonts w:ascii="sans-serif" w:hAnsi="sans-serif"/>
          <w:color w:val="000000"/>
          <w:sz w:val="22"/>
        </w:rPr>
        <w:t>Consolidated Statements of Operations</w:t>
      </w:r>
    </w:p>
    <w:p>
      <w:pPr>
        <w:pStyle w:val="TextBody"/>
        <w:bidi w:val="0"/>
        <w:jc w:val="center"/>
        <w:rPr>
          <w:rFonts w:ascii="sans-serif" w:hAnsi="sans-serif"/>
          <w:i/>
          <w:color w:val="000000"/>
          <w:sz w:val="20"/>
        </w:rPr>
      </w:pPr>
      <w:r>
        <w:rPr>
          <w:rFonts w:ascii="sans-serif" w:hAnsi="sans-serif"/>
          <w:i/>
          <w:color w:val="000000"/>
          <w:sz w:val="20"/>
        </w:rPr>
        <w:t>(Amounts in thousands, except share and per share amounts)</w:t>
      </w:r>
    </w:p>
    <w:p>
      <w:pPr>
        <w:pStyle w:val="TextBody"/>
        <w:bidi w:val="0"/>
        <w:jc w:val="center"/>
        <w:rPr/>
      </w:pPr>
      <w:r>
        <w:rPr/>
        <w:t> </w:t>
      </w:r>
    </w:p>
    <w:tbl>
      <w:tblPr>
        <w:tblW w:w="9580" w:type="dxa"/>
        <w:jc w:val="left"/>
        <w:tblInd w:w="0" w:type="dxa"/>
        <w:tblLayout w:type="fixed"/>
        <w:tblCellMar>
          <w:top w:w="28" w:type="dxa"/>
          <w:left w:w="28" w:type="dxa"/>
          <w:bottom w:w="28" w:type="dxa"/>
          <w:right w:w="28" w:type="dxa"/>
        </w:tblCellMar>
      </w:tblPr>
      <w:tblGrid>
        <w:gridCol w:w="5591"/>
        <w:gridCol w:w="146"/>
        <w:gridCol w:w="222"/>
        <w:gridCol w:w="1038"/>
        <w:gridCol w:w="166"/>
        <w:gridCol w:w="146"/>
        <w:gridCol w:w="222"/>
        <w:gridCol w:w="1038"/>
        <w:gridCol w:w="1011"/>
      </w:tblGrid>
      <w:tr>
        <w:trPr/>
        <w:tc>
          <w:tcPr>
            <w:tcW w:w="5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102,407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115,549</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39,032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12,597</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64,969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waived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53,212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including excise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52,362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Translation of other assets and liabilities in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(6,969</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47,518</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of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93,669,671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89,032,381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spacing w:before="0" w:after="240"/>
        <w:jc w:val="both"/>
        <w:rPr>
          <w:rFonts w:ascii="sans-serif" w:hAnsi="sans-serif"/>
          <w:color w:val="000000"/>
          <w:sz w:val="20"/>
        </w:rPr>
      </w:pPr>
      <w:r>
        <w:rPr>
          <w:rFonts w:ascii="sans-serif" w:hAnsi="sans-serif"/>
          <w:color w:val="000000"/>
          <w:sz w:val="20"/>
        </w:rPr>
        <w:t>The Company’s investment activity for the quarter ended March 31, 2025 and 2025 presented below (information presented herein is at par value unless otherwise indicated).</w:t>
      </w:r>
    </w:p>
    <w:tbl>
      <w:tblPr>
        <w:tblW w:w="8250" w:type="dxa"/>
        <w:jc w:val="left"/>
        <w:tblInd w:w="0" w:type="dxa"/>
        <w:tblLayout w:type="fixed"/>
        <w:tblCellMar>
          <w:top w:w="28" w:type="dxa"/>
          <w:left w:w="28" w:type="dxa"/>
          <w:bottom w:w="28" w:type="dxa"/>
          <w:right w:w="28" w:type="dxa"/>
        </w:tblCellMar>
      </w:tblPr>
      <w:tblGrid>
        <w:gridCol w:w="4576"/>
        <w:gridCol w:w="146"/>
        <w:gridCol w:w="285"/>
        <w:gridCol w:w="975"/>
        <w:gridCol w:w="271"/>
        <w:gridCol w:w="146"/>
        <w:gridCol w:w="285"/>
        <w:gridCol w:w="975"/>
        <w:gridCol w:w="5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Gross originations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Syndications/sell downs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new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new investment commitment amount in</w:t>
              <w:br/>
              <w:t>   new portfolio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term for new investment</w:t>
              <w:br/>
              <w:t>   commitments in new portfolio companies</w:t>
              <w:br/>
              <w:t>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fixed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new </w:t>
              <w:br/>
              <w:t>   floating rate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Calibri" w:hAnsi="Calibri"/>
          <w:color w:val="000000"/>
          <w:sz w:val="16"/>
        </w:rPr>
      </w:pPr>
      <w:r>
        <w:rPr>
          <w:rFonts w:ascii="Calibri" w:hAnsi="Calibri"/>
          <w:color w:val="000000"/>
          <w:sz w:val="16"/>
        </w:rPr>
        <w:t>1.</w:t>
      </w:r>
    </w:p>
    <w:p>
      <w:pPr>
        <w:pStyle w:val="TextBody"/>
        <w:bidi w:val="0"/>
        <w:jc w:val="both"/>
        <w:rPr>
          <w:rFonts w:ascii="sans-serif" w:hAnsi="sans-serif"/>
          <w:color w:val="000000"/>
          <w:sz w:val="16"/>
        </w:rPr>
      </w:pPr>
      <w:r>
        <w:rPr>
          <w:rFonts w:ascii="sans-serif" w:hAnsi="sans-serif"/>
          <w:color w:val="000000"/>
          <w:sz w:val="16"/>
        </w:rPr>
        <w:t xml:space="preserve">Includes affiliates of Sixth Street. </w:t>
      </w:r>
    </w:p>
    <w:p>
      <w:pPr>
        <w:pStyle w:val="TextBody"/>
        <w:bidi w:val="0"/>
        <w:jc w:val="both"/>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b/>
          <w:color w:val="000000"/>
          <w:sz w:val="20"/>
        </w:rPr>
        <w:t>About Sixth Street Specialty Lending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 xml:space="preserve">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$100 billion in assets under management and committed capital. For more information, visit the Company’s website at </w:t>
      </w:r>
      <w:r>
        <w:rPr>
          <w:rFonts w:ascii="sans-serif" w:hAnsi="sans-serif"/>
          <w:color w:val="0563C1"/>
          <w:sz w:val="20"/>
        </w:rPr>
        <w:t>https://sixthstreetspecialtylending.com</w:t>
      </w:r>
      <w:r>
        <w:rPr>
          <w:rFonts w:ascii="sans-serif" w:hAnsi="sans-serif"/>
          <w:color w:val="000000"/>
          <w:sz w:val="20"/>
        </w:rPr>
        <w:t>.</w:t>
      </w:r>
    </w:p>
    <w:p>
      <w:pPr>
        <w:pStyle w:val="TextBody"/>
        <w:bidi w:val="0"/>
        <w:spacing w:before="160" w:after="240"/>
        <w:jc w:val="left"/>
        <w:rPr>
          <w:rFonts w:ascii="Times New Roman" w:hAnsi="Times New Roman"/>
          <w:sz w:val="20"/>
        </w:rPr>
      </w:pPr>
      <w:r>
        <w:rPr>
          <w:rFonts w:ascii="sans-serif" w:hAnsi="sans-serif"/>
          <w:b/>
          <w:color w:val="000000"/>
          <w:sz w:val="20"/>
        </w:rPr>
        <w:t>About Sixth Street</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Sixth Street is a global investment firm with over $100 billion in assets under management and committed capital. The firm uses its long-term flexible capital, data-enabled capabilities, and One Team culture to develop themes and offer solutions to companies across all stages of growth. Founded in 2009, Sixth Street has more than 650 team members including over 280 investment professionals around the world. For more information, visit https://sixthstreet.com or follow Sixth Street on LinkedIn.</w:t>
      </w:r>
    </w:p>
    <w:p>
      <w:pPr>
        <w:pStyle w:val="TextBody"/>
        <w:bidi w:val="0"/>
        <w:spacing w:before="160" w:after="240"/>
        <w:jc w:val="left"/>
        <w:rPr>
          <w:rFonts w:ascii="Times New Roman" w:hAnsi="Times New Roman"/>
          <w:sz w:val="20"/>
        </w:rPr>
      </w:pPr>
      <w:r>
        <w:rPr>
          <w:rFonts w:ascii="sans-serif" w:hAnsi="sans-serif"/>
          <w:b/>
          <w:color w:val="000000"/>
          <w:sz w:val="20"/>
        </w:rPr>
        <w:t>Forward-Looking Statements</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Statements included herein may constitute “forward-looking statements,” within the meaning of the federal securities laws and the Private Securities Litigation Reform Act of 1995, which relate to future events or the Company’s future performance or financial condition. These forward-looking statements can be identified by the use of forward-looking terminology, such as “outlook,” “indicator,” “believes,” “expects,” “potential,” “continues,” “may,” “can,” “will,” “should,” “seeks,” “approximately,” “predicts,” “intends,” “plans,” “estimates,” “anticipates”, “confident,” “conviction,” “identified” or the negative versions of these words or other comparable words thereof.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which are accessible on the SEC’s website at www.sec.gov. Except as otherwise required by federal securities laws, the Company assumes no obligation to update any such forward-looking statements, whether as a result of new information, future developments or otherwise.</w:t>
      </w:r>
    </w:p>
    <w:p>
      <w:pPr>
        <w:pStyle w:val="TextBody"/>
        <w:bidi w:val="0"/>
        <w:spacing w:before="160" w:after="240"/>
        <w:jc w:val="left"/>
        <w:rPr>
          <w:rFonts w:ascii="Times New Roman" w:hAnsi="Times New Roman"/>
          <w:sz w:val="20"/>
        </w:rPr>
      </w:pPr>
      <w:r>
        <w:rPr>
          <w:rFonts w:ascii="sans-serif" w:hAnsi="sans-serif"/>
          <w:b/>
          <w:color w:val="000000"/>
          <w:sz w:val="20"/>
        </w:rPr>
        <w:t>Non-GAAP Financial Measures</w:t>
      </w:r>
      <w:r>
        <w:rPr>
          <w:rFonts w:ascii="Times New Roman" w:hAnsi="Times New Roman"/>
          <w:color w:val="000000"/>
          <w:sz w:val="20"/>
        </w:rPr>
        <w:t xml:space="preserve"> </w:t>
      </w:r>
    </w:p>
    <w:p>
      <w:pPr>
        <w:pStyle w:val="TextBody"/>
        <w:bidi w:val="0"/>
        <w:jc w:val="both"/>
        <w:rPr>
          <w:rFonts w:ascii="sans-serif" w:hAnsi="sans-serif"/>
          <w:color w:val="000000"/>
          <w:sz w:val="20"/>
        </w:rPr>
      </w:pPr>
      <w:r>
        <w:rPr>
          <w:rFonts w:ascii="sans-serif" w:hAnsi="sans-serif"/>
          <w:color w:val="000000"/>
          <w:sz w:val="20"/>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pStyle w:val="TextBody"/>
        <w:bidi w:val="0"/>
        <w:jc w:val="left"/>
        <w:rPr/>
      </w:pPr>
      <w:r>
        <w:rPr/>
        <w:t> </w:t>
      </w:r>
    </w:p>
    <w:p>
      <w:pPr>
        <w:pStyle w:val="TextBody"/>
        <w:bidi w:val="0"/>
        <w:spacing w:before="160" w:after="283"/>
        <w:jc w:val="left"/>
        <w:rPr>
          <w:rFonts w:ascii="sans-serif" w:hAnsi="sans-serif"/>
          <w:color w:val="000000"/>
          <w:sz w:val="20"/>
        </w:rPr>
      </w:pPr>
      <w:r>
        <w:rPr>
          <w:rFonts w:ascii="sans-serif" w:hAnsi="sans-serif"/>
          <w:color w:val="000000"/>
          <w:sz w:val="20"/>
        </w:rPr>
        <w:t>Investors:</w:t>
      </w:r>
    </w:p>
    <w:p>
      <w:pPr>
        <w:pStyle w:val="TextBody"/>
        <w:bidi w:val="0"/>
        <w:spacing w:before="160" w:after="283"/>
        <w:jc w:val="left"/>
        <w:rPr>
          <w:rFonts w:ascii="sans-serif" w:hAnsi="sans-serif"/>
          <w:color w:val="000000"/>
          <w:sz w:val="20"/>
        </w:rPr>
      </w:pPr>
      <w:r>
        <w:rPr>
          <w:rFonts w:ascii="sans-serif" w:hAnsi="sans-serif"/>
          <w:color w:val="000000"/>
          <w:sz w:val="20"/>
        </w:rPr>
        <w:t xml:space="preserve">Cami VanHorn, 469-621-2033 </w:t>
        <w:br/>
        <w:t>Sixth Street Specialty Lending</w:t>
        <w:br/>
        <w:t>IRTSLX@sixthstreet.com</w:t>
      </w:r>
    </w:p>
    <w:p>
      <w:pPr>
        <w:pStyle w:val="TextBody"/>
        <w:bidi w:val="0"/>
        <w:jc w:val="left"/>
        <w:rPr/>
      </w:pPr>
      <w:r>
        <w:rPr/>
        <w:t> </w:t>
      </w:r>
    </w:p>
    <w:p>
      <w:pPr>
        <w:pStyle w:val="TextBody"/>
        <w:bidi w:val="0"/>
        <w:spacing w:before="160" w:after="283"/>
        <w:jc w:val="left"/>
        <w:rPr>
          <w:rFonts w:ascii="Times New Roman" w:hAnsi="Times New Roman"/>
          <w:sz w:val="20"/>
        </w:rPr>
      </w:pPr>
      <w:r>
        <w:rPr>
          <w:rFonts w:ascii="sans-serif" w:hAnsi="sans-serif"/>
          <w:color w:val="000000"/>
          <w:sz w:val="20"/>
        </w:rPr>
        <w:t>Media:</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sans-serif" w:hAnsi="sans-serif"/>
          <w:color w:val="000000"/>
          <w:sz w:val="20"/>
        </w:rPr>
        <w:t>Patrick Clifford, 617-793-2004</w:t>
      </w:r>
      <w:r>
        <w:rPr>
          <w:rFonts w:ascii="Calibri Light;sans-serif" w:hAnsi="Calibri Light;sans-serif"/>
          <w:color w:val="000000"/>
          <w:sz w:val="20"/>
        </w:rPr>
        <w:br/>
      </w:r>
      <w:r>
        <w:rPr>
          <w:rFonts w:ascii="sans-serif" w:hAnsi="sans-serif"/>
          <w:color w:val="000000"/>
          <w:sz w:val="20"/>
        </w:rPr>
        <w:t>Sixth Street</w:t>
      </w:r>
      <w:r>
        <w:rPr>
          <w:rFonts w:ascii="Calibri Light;sans-serif" w:hAnsi="Calibri Light;sans-serif"/>
          <w:color w:val="000000"/>
          <w:sz w:val="20"/>
        </w:rPr>
        <w:br/>
      </w:r>
      <w:r>
        <w:rPr>
          <w:rFonts w:ascii="sans-serif" w:hAnsi="sans-serif"/>
          <w:color w:val="000000"/>
          <w:sz w:val="20"/>
        </w:rPr>
        <w:t>PClifford@sixthstreet.com</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Light">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4174</Words>
  <Characters>23157</Characters>
  <CharactersWithSpaces>27814</CharactersWithSpaces>
  <Paragraphs>1885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