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380" w:hanging="532"/>
        <w:spacing w:after="0" w:line="237"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right="38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4"/>
                <w:szCs w:val="24"/>
                <w:color w:val="auto"/>
              </w:rPr>
            </w:pPr>
          </w:p>
        </w:tc>
      </w:tr>
      <w:tr>
        <w:trPr>
          <w:trHeight w:val="225"/>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12" w:right="239" w:bottom="1440" w:gutter="0" w:footer="0" w:header="0"/>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800" w:space="720"/>
            <w:col w:w="4880" w:space="720"/>
            <w:col w:w="2320" w:space="720"/>
            <w:col w:w="260"/>
          </w:cols>
          <w:pgMar w:left="240" w:top="612"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800" w:space="720"/>
            <w:col w:w="160" w:space="100"/>
            <w:col w:w="4620" w:space="720"/>
            <w:col w:w="2320" w:space="720"/>
            <w:col w:w="260"/>
          </w:cols>
          <w:pgMar w:left="240" w:top="612" w:right="239" w:bottom="1440" w:gutter="0" w:footer="0" w:header="0"/>
          <w:type w:val="continuous"/>
        </w:sectPr>
      </w:pPr>
    </w:p>
    <w:p>
      <w:pPr>
        <w:spacing w:after="0" w:line="196" w:lineRule="exact"/>
        <w:tabs>
          <w:tab w:leader="none" w:pos="9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sectPr>
          <w:pgSz w:w="11900" w:h="16838" w:orient="portrait"/>
          <w:cols w:equalWidth="0" w:num="2">
            <w:col w:w="10280" w:space="180"/>
            <w:col w:w="960"/>
          </w:cols>
          <w:pgMar w:left="240" w:top="612"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$.01 par value per share, outstanding at May 7, 2015 was 54,001,289.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type w:val="continuous"/>
        </w:sectPr>
      </w:pPr>
    </w:p>
    <w:bookmarkStart w:id="1" w:name="page2"/>
    <w:bookmarkEnd w:id="1"/>
    <w:p>
      <w:pPr>
        <w:ind w:left="4200"/>
        <w:spacing w:after="0"/>
        <w:rPr>
          <w:sz w:val="20"/>
          <w:szCs w:val="20"/>
          <w:color w:val="auto"/>
        </w:rPr>
      </w:pPr>
      <w:r>
        <w:rPr>
          <w:rFonts w:ascii="Arial" w:cs="Arial" w:eastAsia="Arial" w:hAnsi="Arial"/>
          <w:sz w:val="18"/>
          <w:szCs w:val="18"/>
          <w:b w:val="1"/>
          <w:bCs w:val="1"/>
          <w:color w:val="auto"/>
        </w:rPr>
        <w:t>TPG SPECIALTY LENDING, INC.</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INDEX</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PART I.</w:t>
            </w:r>
          </w:p>
        </w:tc>
        <w:tc>
          <w:tcPr>
            <w:tcW w:w="93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740" w:type="dxa"/>
            <w:vAlign w:val="bottom"/>
            <w:tcBorders>
              <w:top w:val="single" w:sz="8" w:color="0000EE"/>
            </w:tcBorders>
            <w:gridSpan w:val="3"/>
          </w:tcPr>
          <w:p>
            <w:pPr>
              <w:spacing w:after="0"/>
              <w:rPr>
                <w:sz w:val="24"/>
                <w:szCs w:val="24"/>
                <w:color w:val="auto"/>
              </w:rPr>
            </w:pPr>
          </w:p>
        </w:tc>
        <w:tc>
          <w:tcPr>
            <w:tcW w:w="7140" w:type="dxa"/>
            <w:vAlign w:val="bottom"/>
            <w:gridSpan w:val="11"/>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6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March 31, 2015 and December 31, 2014 (Unaudited)</w:t>
              </w:r>
            </w:hyperlink>
          </w:p>
        </w:tc>
        <w:tc>
          <w:tcPr>
            <w:tcW w:w="3040" w:type="dxa"/>
            <w:vAlign w:val="bottom"/>
            <w:gridSpan w:val="6"/>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76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months ended March 31, 2015 and 2014 (Unaudited)</w:t>
              </w:r>
            </w:hyperlink>
          </w:p>
        </w:tc>
        <w:tc>
          <w:tcPr>
            <w:tcW w:w="1780" w:type="dxa"/>
            <w:vAlign w:val="bottom"/>
            <w:gridSpan w:val="3"/>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March 31, 2015 and December 31, 2014 (Unaudited)</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9380" w:type="dxa"/>
            <w:vAlign w:val="bottom"/>
            <w:gridSpan w:val="19"/>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Consolidated Statements of Changes in Net Assets for the three months ended March 31, 2015 and 2014 (Unaudited)</w:t>
              </w:r>
            </w:hyperlink>
          </w:p>
        </w:tc>
      </w:tr>
      <w:tr>
        <w:trPr>
          <w:trHeight w:val="331"/>
        </w:trPr>
        <w:tc>
          <w:tcPr>
            <w:tcW w:w="1040" w:type="dxa"/>
            <w:vAlign w:val="bottom"/>
          </w:tcPr>
          <w:p>
            <w:pPr>
              <w:spacing w:after="0"/>
              <w:rPr>
                <w:sz w:val="24"/>
                <w:szCs w:val="24"/>
                <w:color w:val="auto"/>
              </w:rPr>
            </w:pPr>
          </w:p>
        </w:tc>
        <w:tc>
          <w:tcPr>
            <w:tcW w:w="8420" w:type="dxa"/>
            <w:vAlign w:val="bottom"/>
            <w:tcBorders>
              <w:top w:val="single" w:sz="8" w:color="0000EE"/>
            </w:tcBorders>
            <w:gridSpan w:val="18"/>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Consolidated Statements of Cash Flows for the three months ended March 31, 2015 and 2014 (Unaudited)</w:t>
              </w:r>
            </w:hyperlink>
          </w:p>
        </w:tc>
        <w:tc>
          <w:tcPr>
            <w:tcW w:w="960" w:type="dxa"/>
            <w:vAlign w:val="bottom"/>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Notes to Consolidated Financial Statements (Unaudited)</w:t>
              </w:r>
            </w:hyperlink>
          </w:p>
        </w:tc>
        <w:tc>
          <w:tcPr>
            <w:tcW w:w="3580" w:type="dxa"/>
            <w:vAlign w:val="bottom"/>
            <w:tcBorders>
              <w:top w:val="single" w:sz="8" w:color="0000EE"/>
            </w:tcBorders>
            <w:gridSpan w:val="7"/>
          </w:tcPr>
          <w:p>
            <w:pPr>
              <w:spacing w:after="0"/>
              <w:rPr>
                <w:sz w:val="24"/>
                <w:szCs w:val="24"/>
                <w:color w:val="auto"/>
              </w:rPr>
            </w:pPr>
          </w:p>
        </w:tc>
        <w:tc>
          <w:tcPr>
            <w:tcW w:w="1740" w:type="dxa"/>
            <w:vAlign w:val="bottom"/>
            <w:gridSpan w:val="2"/>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40" w:type="dxa"/>
            <w:vAlign w:val="bottom"/>
            <w:gridSpan w:val="5"/>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Controls and Procedures</w:t>
              </w:r>
            </w:hyperlink>
          </w:p>
        </w:tc>
        <w:tc>
          <w:tcPr>
            <w:tcW w:w="7620" w:type="dxa"/>
            <w:vAlign w:val="bottom"/>
            <w:gridSpan w:val="13"/>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OTHER INFORMATION</w:t>
              </w:r>
            </w:hyperlink>
          </w:p>
        </w:tc>
        <w:tc>
          <w:tcPr>
            <w:tcW w:w="7500" w:type="dxa"/>
            <w:vAlign w:val="bottom"/>
            <w:gridSpan w:val="12"/>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060" w:type="dxa"/>
            <w:vAlign w:val="bottom"/>
            <w:gridSpan w:val="15"/>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Unregistered Sales of Equity Securities and Use of Proceeds</w:t>
              </w:r>
            </w:hyperlink>
          </w:p>
        </w:tc>
        <w:tc>
          <w:tcPr>
            <w:tcW w:w="5040" w:type="dxa"/>
            <w:vAlign w:val="bottom"/>
            <w:gridSpan w:val="8"/>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Defaults Upon Senior Securities</w:t>
              </w:r>
            </w:hyperlink>
          </w:p>
        </w:tc>
        <w:tc>
          <w:tcPr>
            <w:tcW w:w="7060" w:type="dxa"/>
            <w:vAlign w:val="bottom"/>
            <w:gridSpan w:val="10"/>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Mine Safety Disclosures</w:t>
              </w:r>
            </w:hyperlink>
          </w:p>
        </w:tc>
        <w:tc>
          <w:tcPr>
            <w:tcW w:w="7620" w:type="dxa"/>
            <w:vAlign w:val="bottom"/>
            <w:gridSpan w:val="13"/>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080" w:type="dxa"/>
            <w:vAlign w:val="bottom"/>
            <w:gridSpan w:val="16"/>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PAGE</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-3175</wp:posOffset>
            </wp:positionV>
            <wp:extent cx="420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ectPr>
          <w:pgSz w:w="11900" w:h="16838" w:orient="portrait"/>
          <w:cols w:equalWidth="0" w:num="2">
            <w:col w:w="10420" w:space="300"/>
            <w:col w:w="460"/>
          </w:cols>
          <w:pgMar w:left="360" w:top="337"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3"/>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3"/>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0" w:hanging="253"/>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and in our Annual Report on Form 10-K for the year ended December 31, 2014, filed with the SEC on February 24, 2015, and elsewhere in our filings with the SEC.</w:t>
      </w:r>
    </w:p>
    <w:p>
      <w:pPr>
        <w:spacing w:after="0" w:line="170"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$1,295,328</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$1,225,672, respectively)</w:t>
            </w: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1,285,623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1,221,875</w:t>
            </w:r>
          </w:p>
        </w:tc>
        <w:tc>
          <w:tcPr>
            <w:tcW w:w="120" w:type="dxa"/>
            <w:vAlign w:val="bottom"/>
            <w:shd w:val="clear" w:color="auto" w:fill="CFF0FC"/>
          </w:tcPr>
          <w:p>
            <w:pPr>
              <w:spacing w:after="0"/>
              <w:rPr>
                <w:sz w:val="20"/>
                <w:szCs w:val="20"/>
                <w:color w:val="auto"/>
              </w:rPr>
            </w:pPr>
          </w:p>
        </w:tc>
      </w:tr>
      <w:tr>
        <w:trPr>
          <w:trHeight w:val="215"/>
        </w:trPr>
        <w:tc>
          <w:tcPr>
            <w:tcW w:w="692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$50,709 and $47,580,</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45,370</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41,636</w:t>
            </w:r>
          </w:p>
        </w:tc>
        <w:tc>
          <w:tcPr>
            <w:tcW w:w="120" w:type="dxa"/>
            <w:vAlign w:val="bottom"/>
            <w:tcBorders>
              <w:bottom w:val="single" w:sz="8" w:color="CFF0FC"/>
            </w:tcBorders>
          </w:tcPr>
          <w:p>
            <w:pPr>
              <w:spacing w:after="0"/>
              <w:rPr>
                <w:sz w:val="20"/>
                <w:szCs w:val="20"/>
                <w:color w:val="auto"/>
              </w:rPr>
            </w:pPr>
          </w:p>
        </w:tc>
      </w:tr>
      <w:tr>
        <w:trPr>
          <w:trHeight w:val="20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$1,346,037 and $1,273,252,</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1,330,993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120" w:type="dxa"/>
            <w:vAlign w:val="bottom"/>
            <w:shd w:val="clear" w:color="auto" w:fill="CFF0FC"/>
          </w:tcPr>
          <w:p>
            <w:pPr>
              <w:spacing w:after="0"/>
              <w:rPr>
                <w:sz w:val="20"/>
                <w:szCs w:val="20"/>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30,650</w:t>
            </w:r>
          </w:p>
        </w:tc>
        <w:tc>
          <w:tcPr>
            <w:tcW w:w="120" w:type="dxa"/>
            <w:vAlign w:val="bottom"/>
            <w:shd w:val="clear" w:color="auto" w:fill="CFF0FC"/>
          </w:tcPr>
          <w:p>
            <w:pPr>
              <w:spacing w:after="0"/>
              <w:rPr>
                <w:sz w:val="19"/>
                <w:szCs w:val="19"/>
                <w:color w:val="auto"/>
              </w:rPr>
            </w:pPr>
          </w:p>
        </w:tc>
      </w:tr>
      <w:tr>
        <w:trPr>
          <w:trHeight w:val="263"/>
        </w:trPr>
        <w:tc>
          <w:tcPr>
            <w:tcW w:w="6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1,373,759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120" w:type="dxa"/>
            <w:vAlign w:val="bottom"/>
            <w:tcBorders>
              <w:bottom w:val="single" w:sz="8" w:color="CFF0FC"/>
            </w:tcBorders>
          </w:tcPr>
          <w:p>
            <w:pPr>
              <w:spacing w:after="0"/>
              <w:rPr>
                <w:sz w:val="22"/>
                <w:szCs w:val="22"/>
                <w:color w:val="auto"/>
              </w:rPr>
            </w:pPr>
          </w:p>
        </w:tc>
      </w:tr>
      <w:tr>
        <w:trPr>
          <w:trHeight w:val="210"/>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Debt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485,223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395,864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20,981</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29,017</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0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532,229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468,326</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and outstanding</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53,960,847 and</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53,798,357 shares issued, respectively; and 53,959,848 and 53,797,358 shares</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FF0FC"/>
          </w:tcPr>
          <w:p>
            <w:pPr>
              <w:spacing w:after="0"/>
              <w:rPr>
                <w:sz w:val="20"/>
                <w:szCs w:val="20"/>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810,422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808,053</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999 shares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6,555</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Undistributed net realized gains</w:t>
            </w:r>
          </w:p>
        </w:tc>
        <w:tc>
          <w:tcPr>
            <w:tcW w:w="10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841,530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835,405</w:t>
            </w:r>
          </w:p>
        </w:tc>
        <w:tc>
          <w:tcPr>
            <w:tcW w:w="120" w:type="dxa"/>
            <w:vAlign w:val="bottom"/>
            <w:shd w:val="clear" w:color="auto" w:fill="CFF0FC"/>
          </w:tcPr>
          <w:p>
            <w:pPr>
              <w:spacing w:after="0"/>
              <w:rPr>
                <w:sz w:val="19"/>
                <w:szCs w:val="19"/>
                <w:color w:val="auto"/>
              </w:rPr>
            </w:pPr>
          </w:p>
        </w:tc>
      </w:tr>
      <w:tr>
        <w:trPr>
          <w:trHeight w:val="263"/>
        </w:trPr>
        <w:tc>
          <w:tcPr>
            <w:tcW w:w="6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1,373,759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120" w:type="dxa"/>
            <w:vAlign w:val="bottom"/>
            <w:tcBorders>
              <w:bottom w:val="single" w:sz="8" w:color="CFF0FC"/>
            </w:tcBorders>
          </w:tcPr>
          <w:p>
            <w:pPr>
              <w:spacing w:after="0"/>
              <w:rPr>
                <w:sz w:val="22"/>
                <w:szCs w:val="22"/>
                <w:color w:val="auto"/>
              </w:rPr>
            </w:pPr>
          </w:p>
        </w:tc>
      </w:tr>
      <w:tr>
        <w:trPr>
          <w:trHeight w:val="210"/>
        </w:trPr>
        <w:tc>
          <w:tcPr>
            <w:tcW w:w="6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0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1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1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1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1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Interest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Directors’ fees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1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waived (Note 3)</w:t>
            </w:r>
          </w:p>
        </w:tc>
        <w:tc>
          <w:tcPr>
            <w:tcW w:w="1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Net Expenses</w:t>
            </w:r>
          </w:p>
        </w:tc>
        <w:tc>
          <w:tcPr>
            <w:tcW w:w="1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 including excise taxes</w:t>
            </w:r>
          </w:p>
        </w:tc>
        <w:tc>
          <w:tcPr>
            <w:tcW w:w="1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Income</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Translation of assets and liabilities in foreign currencies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net change in unrealized gains</w:t>
            </w:r>
          </w:p>
        </w:tc>
        <w:tc>
          <w:tcPr>
            <w:tcW w:w="11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Realized gains (losses):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Foreign currency transactions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realized gains (losses)</w:t>
            </w:r>
          </w:p>
        </w:tc>
        <w:tc>
          <w:tcPr>
            <w:tcW w:w="1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880"/>
              <w:spacing w:after="0"/>
              <w:rPr>
                <w:sz w:val="20"/>
                <w:szCs w:val="20"/>
                <w:color w:val="auto"/>
              </w:rPr>
            </w:pPr>
            <w:r>
              <w:rPr>
                <w:rFonts w:ascii="Arial" w:cs="Arial" w:eastAsia="Arial" w:hAnsi="Arial"/>
                <w:sz w:val="18"/>
                <w:szCs w:val="18"/>
                <w:b w:val="1"/>
                <w:bCs w:val="1"/>
                <w:color w:val="auto"/>
              </w:rPr>
              <w:t>Total Unrealized and Realized Gains</w:t>
            </w:r>
          </w:p>
        </w:tc>
        <w:tc>
          <w:tcPr>
            <w:tcW w:w="1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12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tcBorders>
              <w:bottom w:val="single" w:sz="8" w:color="CFF0FC"/>
            </w:tcBorders>
            <w:vMerge w:val="continue"/>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1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53,902,074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41,539,083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March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Percentage</w:t>
            </w:r>
          </w:p>
        </w:tc>
      </w:tr>
      <w:tr>
        <w:trPr>
          <w:trHeight w:val="228"/>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600" w:type="dxa"/>
            <w:vAlign w:val="bottom"/>
            <w:gridSpan w:val="2"/>
          </w:tcPr>
          <w:p>
            <w:pPr>
              <w:ind w:left="900"/>
              <w:spacing w:after="0"/>
              <w:rPr>
                <w:sz w:val="20"/>
                <w:szCs w:val="20"/>
                <w:color w:val="auto"/>
              </w:rPr>
            </w:pPr>
            <w:r>
              <w:rPr>
                <w:rFonts w:ascii="Arial" w:cs="Arial" w:eastAsia="Arial" w:hAnsi="Arial"/>
                <w:sz w:val="14"/>
                <w:szCs w:val="14"/>
                <w:b w:val="1"/>
                <w:bCs w:val="1"/>
                <w:color w:val="auto"/>
              </w:rPr>
              <w:t>Investment</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(2)</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of Net Assets</w:t>
            </w: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 Holdings,</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($32,826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1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(3)(4)</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32,383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29,872</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15"/>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($4,278 par, due 6/2017)</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10.75%</w:t>
            </w:r>
          </w:p>
        </w:tc>
        <w:tc>
          <w:tcPr>
            <w:tcW w:w="94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3,778</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33,650</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r>
      <w:tr>
        <w:trPr>
          <w:trHeight w:val="223"/>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(3)(4)(6)</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($64,098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3/2020)</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62,856</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62,816</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Great Atlantic &amp; Pacific Tea Co.</w:t>
            </w:r>
          </w:p>
        </w:tc>
        <w:tc>
          <w:tcPr>
            <w:tcW w:w="2600" w:type="dxa"/>
            <w:vAlign w:val="bottom"/>
            <w:gridSpan w:val="2"/>
          </w:tcPr>
          <w:p>
            <w:pPr>
              <w:spacing w:after="0"/>
              <w:rPr>
                <w:sz w:val="20"/>
                <w:szCs w:val="20"/>
                <w:color w:val="auto"/>
              </w:rPr>
            </w:pPr>
            <w:r>
              <w:rPr>
                <w:rFonts w:ascii="Arial" w:cs="Arial" w:eastAsia="Arial" w:hAnsi="Arial"/>
                <w:sz w:val="18"/>
                <w:szCs w:val="18"/>
                <w:color w:val="auto"/>
              </w:rPr>
              <w:t>First-lien loan ($22,574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180" w:type="dxa"/>
            <w:vAlign w:val="bottom"/>
            <w:gridSpan w:val="2"/>
          </w:tcPr>
          <w:p>
            <w:pPr>
              <w:ind w:left="16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w:t>
            </w:r>
          </w:p>
        </w:tc>
        <w:tc>
          <w:tcPr>
            <w:tcW w:w="2600" w:type="dxa"/>
            <w:vAlign w:val="bottom"/>
            <w:gridSpan w:val="2"/>
          </w:tcPr>
          <w:p>
            <w:pPr>
              <w:spacing w:after="0"/>
              <w:rPr>
                <w:sz w:val="20"/>
                <w:szCs w:val="20"/>
                <w:color w:val="auto"/>
              </w:rPr>
            </w:pPr>
            <w:r>
              <w:rPr>
                <w:rFonts w:ascii="Arial" w:cs="Arial" w:eastAsia="Arial" w:hAnsi="Arial"/>
                <w:sz w:val="18"/>
                <w:szCs w:val="18"/>
                <w:color w:val="auto"/>
              </w:rPr>
              <w:t>due 9/2019)</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9.85%</w:t>
            </w:r>
          </w:p>
        </w:tc>
        <w:tc>
          <w:tcPr>
            <w:tcW w:w="940" w:type="dxa"/>
            <w:vAlign w:val="bottom"/>
          </w:tcPr>
          <w:p>
            <w:pPr>
              <w:jc w:val="right"/>
              <w:spacing w:after="0"/>
              <w:rPr>
                <w:sz w:val="20"/>
                <w:szCs w:val="20"/>
                <w:color w:val="auto"/>
              </w:rPr>
            </w:pPr>
            <w:r>
              <w:rPr>
                <w:rFonts w:ascii="Arial" w:cs="Arial" w:eastAsia="Arial" w:hAnsi="Arial"/>
                <w:sz w:val="18"/>
                <w:szCs w:val="18"/>
                <w:color w:val="auto"/>
              </w:rPr>
              <w:t>9/17/2014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22,231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22,405</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85,221</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r>
      <w:tr>
        <w:trPr>
          <w:trHeight w:val="223"/>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(3)(4)(6)</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($62,915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61,394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63,387</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(3)(4)(5)</w:t>
            </w:r>
          </w:p>
        </w:tc>
        <w:tc>
          <w:tcPr>
            <w:tcW w:w="2600" w:type="dxa"/>
            <w:vAlign w:val="bottom"/>
            <w:gridSpan w:val="2"/>
          </w:tcPr>
          <w:p>
            <w:pPr>
              <w:spacing w:after="0"/>
              <w:rPr>
                <w:sz w:val="20"/>
                <w:szCs w:val="20"/>
                <w:color w:val="auto"/>
              </w:rPr>
            </w:pPr>
            <w:r>
              <w:rPr>
                <w:rFonts w:ascii="Arial" w:cs="Arial" w:eastAsia="Arial" w:hAnsi="Arial"/>
                <w:sz w:val="18"/>
                <w:szCs w:val="18"/>
                <w:color w:val="auto"/>
              </w:rPr>
              <w:t>First-lien loan ($29,376 par, due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6/2019)</w:t>
            </w:r>
          </w:p>
        </w:tc>
        <w:tc>
          <w:tcPr>
            <w:tcW w:w="1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940" w:type="dxa"/>
            <w:vAlign w:val="bottom"/>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28,793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28,984</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(3)(4)</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($29,659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9/2018)</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29,230</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29,582</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(3)(4)</w:t>
            </w:r>
          </w:p>
        </w:tc>
        <w:tc>
          <w:tcPr>
            <w:tcW w:w="2600" w:type="dxa"/>
            <w:vAlign w:val="bottom"/>
            <w:gridSpan w:val="2"/>
          </w:tcPr>
          <w:p>
            <w:pPr>
              <w:spacing w:after="0"/>
              <w:rPr>
                <w:sz w:val="20"/>
                <w:szCs w:val="20"/>
                <w:color w:val="auto"/>
              </w:rPr>
            </w:pPr>
            <w:r>
              <w:rPr>
                <w:rFonts w:ascii="Arial" w:cs="Arial" w:eastAsia="Arial" w:hAnsi="Arial"/>
                <w:sz w:val="18"/>
                <w:szCs w:val="18"/>
                <w:color w:val="auto"/>
              </w:rPr>
              <w:t>First-lien loan ($17,143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12/30/2014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16,737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16,862</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136,154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138,815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w:t>
            </w:r>
          </w:p>
        </w:tc>
      </w:tr>
      <w:tr>
        <w:trPr>
          <w:trHeight w:val="223"/>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(3)(4)</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($19,900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10/2019)</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10/31/2014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19,246</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17,562</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Education</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(3)(4)(6)</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($27,590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9/2018)</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27,080</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27,590</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Electronics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(3)(4)</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($63,859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1/2018)</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63,074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63,375</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MyAlarm Center, LLC</w:t>
            </w:r>
          </w:p>
        </w:tc>
        <w:tc>
          <w:tcPr>
            <w:tcW w:w="2600" w:type="dxa"/>
            <w:vAlign w:val="bottom"/>
            <w:gridSpan w:val="2"/>
          </w:tcPr>
          <w:p>
            <w:pPr>
              <w:spacing w:after="0"/>
              <w:rPr>
                <w:sz w:val="20"/>
                <w:szCs w:val="20"/>
                <w:color w:val="auto"/>
              </w:rPr>
            </w:pPr>
            <w:r>
              <w:rPr>
                <w:rFonts w:ascii="Arial" w:cs="Arial" w:eastAsia="Arial" w:hAnsi="Arial"/>
                <w:sz w:val="18"/>
                <w:szCs w:val="18"/>
                <w:color w:val="auto"/>
                <w:w w:val="98"/>
              </w:rPr>
              <w:t>Mezzanine loan ($4,887 par, due</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16.25% (incl.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7/2018)</w:t>
            </w: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4.25% PIK)</w:t>
            </w:r>
          </w:p>
        </w:tc>
        <w:tc>
          <w:tcPr>
            <w:tcW w:w="940" w:type="dxa"/>
            <w:vAlign w:val="bottom"/>
          </w:tcPr>
          <w:p>
            <w:pPr>
              <w:jc w:val="right"/>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4,862</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APX Group Inc.</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Senior notes 8.75% ($10,000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12/2020)</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12/11/2014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8,608</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9,225</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76,533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77,462</w:t>
            </w: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23"/>
        </w:trPr>
        <w:tc>
          <w:tcPr>
            <w:tcW w:w="31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Embarcadero Technologies,</w:t>
            </w:r>
          </w:p>
        </w:tc>
        <w:tc>
          <w:tcPr>
            <w:tcW w:w="2600" w:type="dxa"/>
            <w:vAlign w:val="bottom"/>
            <w:gridSpan w:val="2"/>
          </w:tcPr>
          <w:p>
            <w:pPr>
              <w:spacing w:after="0"/>
              <w:rPr>
                <w:sz w:val="20"/>
                <w:szCs w:val="20"/>
                <w:color w:val="auto"/>
              </w:rPr>
            </w:pPr>
            <w:r>
              <w:rPr>
                <w:rFonts w:ascii="Arial" w:cs="Arial" w:eastAsia="Arial" w:hAnsi="Arial"/>
                <w:sz w:val="18"/>
                <w:szCs w:val="18"/>
                <w:color w:val="auto"/>
              </w:rPr>
              <w:t>First-lien loan ($39,684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180" w:type="dxa"/>
            <w:vAlign w:val="bottom"/>
            <w:gridSpan w:val="2"/>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(3)(4)(6)</w:t>
            </w:r>
          </w:p>
        </w:tc>
        <w:tc>
          <w:tcPr>
            <w:tcW w:w="260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39,082</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40,080</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($33,000 par,</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10.00% (incl.</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3/2020)</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3/6/2015</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32,240</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5"/>
                <w:szCs w:val="15"/>
                <w:color w:val="auto"/>
              </w:rPr>
              <w:t>(3)(4)(6)</w:t>
            </w:r>
          </w:p>
        </w:tc>
        <w:tc>
          <w:tcPr>
            <w:tcW w:w="2600" w:type="dxa"/>
            <w:vAlign w:val="bottom"/>
            <w:gridSpan w:val="2"/>
          </w:tcPr>
          <w:p>
            <w:pPr>
              <w:spacing w:after="0"/>
              <w:rPr>
                <w:sz w:val="20"/>
                <w:szCs w:val="20"/>
                <w:color w:val="auto"/>
              </w:rPr>
            </w:pPr>
            <w:r>
              <w:rPr>
                <w:rFonts w:ascii="Arial" w:cs="Arial" w:eastAsia="Arial" w:hAnsi="Arial"/>
                <w:sz w:val="18"/>
                <w:szCs w:val="18"/>
                <w:color w:val="auto"/>
              </w:rPr>
              <w:t>First-lien loan ($65,628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due 12/2018)</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11/21/2012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64,573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64,972</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135,902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137,292</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ind w:left="260"/>
        <w:spacing w:after="0"/>
        <w:rPr>
          <w:sz w:val="20"/>
          <w:szCs w:val="20"/>
          <w:color w:val="auto"/>
        </w:rPr>
      </w:pPr>
      <w:r>
        <w:rPr>
          <w:rFonts w:ascii="Arial" w:cs="Arial" w:eastAsia="Arial" w:hAnsi="Arial"/>
          <w:sz w:val="18"/>
          <w:szCs w:val="18"/>
          <w:b w:val="1"/>
          <w:bCs w:val="1"/>
          <w:color w:val="auto"/>
        </w:rPr>
        <w:t>Healthcare and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pharmaceuticals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(3)(4)(6)</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($34,344 par,</w:t>
            </w: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5/2019)</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5/8/2014  $</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33,485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Global Healthcare Exchange,</w:t>
            </w:r>
          </w:p>
        </w:tc>
        <w:tc>
          <w:tcPr>
            <w:tcW w:w="2580" w:type="dxa"/>
            <w:vAlign w:val="bottom"/>
          </w:tcPr>
          <w:p>
            <w:pPr>
              <w:ind w:left="140"/>
              <w:spacing w:after="0"/>
              <w:rPr>
                <w:sz w:val="20"/>
                <w:szCs w:val="20"/>
                <w:color w:val="auto"/>
              </w:rPr>
            </w:pPr>
            <w:r>
              <w:rPr>
                <w:rFonts w:ascii="Arial" w:cs="Arial" w:eastAsia="Arial" w:hAnsi="Arial"/>
                <w:sz w:val="18"/>
                <w:szCs w:val="18"/>
                <w:color w:val="auto"/>
              </w:rPr>
              <w:t>First-lien loan ($46,134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w:t>
            </w:r>
          </w:p>
        </w:tc>
        <w:tc>
          <w:tcPr>
            <w:tcW w:w="2580" w:type="dxa"/>
            <w:vAlign w:val="bottom"/>
          </w:tcPr>
          <w:p>
            <w:pPr>
              <w:ind w:left="140"/>
              <w:spacing w:after="0"/>
              <w:rPr>
                <w:sz w:val="20"/>
                <w:szCs w:val="20"/>
                <w:color w:val="auto"/>
              </w:rPr>
            </w:pPr>
            <w:r>
              <w:rPr>
                <w:rFonts w:ascii="Arial" w:cs="Arial" w:eastAsia="Arial" w:hAnsi="Arial"/>
                <w:sz w:val="18"/>
                <w:szCs w:val="18"/>
                <w:color w:val="auto"/>
              </w:rPr>
              <w:t>due 3/2020)</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45,272</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(3)(5)</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First-lien loan (EUR 28,224 par,</w:t>
            </w:r>
          </w:p>
        </w:tc>
        <w:tc>
          <w:tcPr>
            <w:tcW w:w="16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11.50% (incl.</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9/2019)</w:t>
            </w:r>
          </w:p>
        </w:tc>
        <w:tc>
          <w:tcPr>
            <w:tcW w:w="16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3.00%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29,252</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First-lien revolving loan</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(EUR 300 par, due 9/2019)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Mediware Information Systems,</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($68,948 par,</w:t>
            </w: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(3)(4)(6)</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5/2018)</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11/9/2012</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67,846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69,637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(3)(4)</w:t>
            </w:r>
          </w:p>
        </w:tc>
        <w:tc>
          <w:tcPr>
            <w:tcW w:w="2580" w:type="dxa"/>
            <w:vAlign w:val="bottom"/>
          </w:tcPr>
          <w:p>
            <w:pPr>
              <w:ind w:left="140"/>
              <w:spacing w:after="0"/>
              <w:rPr>
                <w:sz w:val="20"/>
                <w:szCs w:val="20"/>
                <w:color w:val="auto"/>
              </w:rPr>
            </w:pPr>
            <w:r>
              <w:rPr>
                <w:rFonts w:ascii="Arial" w:cs="Arial" w:eastAsia="Arial" w:hAnsi="Arial"/>
                <w:sz w:val="18"/>
                <w:szCs w:val="18"/>
                <w:color w:val="auto"/>
              </w:rPr>
              <w:t>First-lien loan ($33,281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due 12/2017)</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33,448</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18"/>
                <w:szCs w:val="18"/>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revolving loan</w:t>
            </w: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($2,000 par, due 12/2017)</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215,466</w:t>
            </w:r>
          </w:p>
        </w:tc>
        <w:tc>
          <w:tcPr>
            <w:tcW w:w="2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213,332</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5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5"/>
                <w:szCs w:val="15"/>
                <w:color w:val="auto"/>
              </w:rPr>
              <w:t>(3)(4)</w:t>
            </w:r>
          </w:p>
        </w:tc>
        <w:tc>
          <w:tcPr>
            <w:tcW w:w="2580" w:type="dxa"/>
            <w:vAlign w:val="bottom"/>
          </w:tcPr>
          <w:p>
            <w:pPr>
              <w:ind w:left="140"/>
              <w:spacing w:after="0"/>
              <w:rPr>
                <w:sz w:val="20"/>
                <w:szCs w:val="20"/>
                <w:color w:val="auto"/>
              </w:rPr>
            </w:pPr>
            <w:r>
              <w:rPr>
                <w:rFonts w:ascii="Arial" w:cs="Arial" w:eastAsia="Arial" w:hAnsi="Arial"/>
                <w:sz w:val="18"/>
                <w:szCs w:val="18"/>
                <w:color w:val="auto"/>
                <w:w w:val="98"/>
              </w:rPr>
              <w:t>Second-lien loan ($10,000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due 2/2020)</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2/15/2013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10,075</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IRG Sports &amp; Entertainment,</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First-lien loan ($44,201 par, due</w:t>
            </w:r>
          </w:p>
        </w:tc>
        <w:tc>
          <w:tcPr>
            <w:tcW w:w="16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12.00% (incl.</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(3)(4)</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9/2019)</w:t>
            </w:r>
          </w:p>
        </w:tc>
        <w:tc>
          <w:tcPr>
            <w:tcW w:w="16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5.00%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40,444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(5)</w:t>
            </w:r>
          </w:p>
        </w:tc>
        <w:tc>
          <w:tcPr>
            <w:tcW w:w="2580" w:type="dxa"/>
            <w:vAlign w:val="bottom"/>
          </w:tcPr>
          <w:p>
            <w:pPr>
              <w:ind w:left="140"/>
              <w:spacing w:after="0"/>
              <w:rPr>
                <w:sz w:val="20"/>
                <w:szCs w:val="20"/>
                <w:color w:val="auto"/>
              </w:rPr>
            </w:pPr>
            <w:r>
              <w:rPr>
                <w:rFonts w:ascii="Arial" w:cs="Arial" w:eastAsia="Arial" w:hAnsi="Arial"/>
                <w:sz w:val="18"/>
                <w:szCs w:val="18"/>
                <w:color w:val="auto"/>
                <w:w w:val="97"/>
              </w:rPr>
              <w:t>Second-lien bond (GBP 20,375</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par, due 10/2018)</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9/20/2013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33,252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31,759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84,906</w:t>
            </w:r>
          </w:p>
        </w:tc>
        <w:tc>
          <w:tcPr>
            <w:tcW w:w="20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82,278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w w:val="92"/>
              </w:rPr>
              <w:t>Human Resource Support Services</w:t>
            </w:r>
          </w:p>
        </w:tc>
        <w:tc>
          <w:tcPr>
            <w:tcW w:w="2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(3)(6)</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($55,000 par,</w:t>
            </w: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3/2021)</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3/30/2015</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54,175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Insurance</w:t>
            </w:r>
          </w:p>
        </w:tc>
        <w:tc>
          <w:tcPr>
            <w:tcW w:w="25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5"/>
                <w:szCs w:val="15"/>
                <w:color w:val="auto"/>
              </w:rPr>
              <w:t>(3)(4)</w:t>
            </w:r>
          </w:p>
        </w:tc>
        <w:tc>
          <w:tcPr>
            <w:tcW w:w="2580" w:type="dxa"/>
            <w:vAlign w:val="bottom"/>
          </w:tcPr>
          <w:p>
            <w:pPr>
              <w:ind w:left="140"/>
              <w:spacing w:after="0"/>
              <w:rPr>
                <w:sz w:val="20"/>
                <w:szCs w:val="20"/>
                <w:color w:val="auto"/>
              </w:rPr>
            </w:pPr>
            <w:r>
              <w:rPr>
                <w:rFonts w:ascii="Arial" w:cs="Arial" w:eastAsia="Arial" w:hAnsi="Arial"/>
                <w:sz w:val="18"/>
                <w:szCs w:val="18"/>
                <w:color w:val="auto"/>
              </w:rPr>
              <w:t>First-lien loan ($34,950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due 6/2017)</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6/1/2012</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34,588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34,775</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18"/>
                <w:szCs w:val="18"/>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First-lien revolving loan ($2,202</w:t>
            </w: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 due 6/2017)</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6/1/2012</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(3)(4)(6)</w:t>
            </w:r>
          </w:p>
        </w:tc>
        <w:tc>
          <w:tcPr>
            <w:tcW w:w="2580" w:type="dxa"/>
            <w:vAlign w:val="bottom"/>
          </w:tcPr>
          <w:p>
            <w:pPr>
              <w:ind w:left="140"/>
              <w:spacing w:after="0"/>
              <w:rPr>
                <w:sz w:val="20"/>
                <w:szCs w:val="20"/>
                <w:color w:val="auto"/>
              </w:rPr>
            </w:pPr>
            <w:r>
              <w:rPr>
                <w:rFonts w:ascii="Arial" w:cs="Arial" w:eastAsia="Arial" w:hAnsi="Arial"/>
                <w:sz w:val="18"/>
                <w:szCs w:val="18"/>
                <w:color w:val="auto"/>
              </w:rPr>
              <w:t>First-lien loan ($64,838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due 10/2020)</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10/31/2014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64,222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64,189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100,969</w:t>
            </w:r>
          </w:p>
        </w:tc>
        <w:tc>
          <w:tcPr>
            <w:tcW w:w="20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101,141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3060" w:type="dxa"/>
            <w:vAlign w:val="bottom"/>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(3)(4)</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First-lien loan ($54,038 par, due</w:t>
            </w:r>
          </w:p>
        </w:tc>
        <w:tc>
          <w:tcPr>
            <w:tcW w:w="16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7/2018)</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53,468</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Manufacturing</w:t>
            </w:r>
          </w:p>
        </w:tc>
        <w:tc>
          <w:tcPr>
            <w:tcW w:w="25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Jeeves Information Systems</w:t>
            </w:r>
          </w:p>
        </w:tc>
        <w:tc>
          <w:tcPr>
            <w:tcW w:w="2580" w:type="dxa"/>
            <w:vAlign w:val="bottom"/>
          </w:tcPr>
          <w:p>
            <w:pPr>
              <w:ind w:left="140"/>
              <w:spacing w:after="0"/>
              <w:rPr>
                <w:sz w:val="20"/>
                <w:szCs w:val="20"/>
                <w:color w:val="auto"/>
              </w:rPr>
            </w:pPr>
            <w:r>
              <w:rPr>
                <w:rFonts w:ascii="Arial" w:cs="Arial" w:eastAsia="Arial" w:hAnsi="Arial"/>
                <w:sz w:val="18"/>
                <w:szCs w:val="18"/>
                <w:color w:val="auto"/>
                <w:w w:val="92"/>
              </w:rPr>
              <w:t>First-lien loan (SEK 200,499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(3)(5)(6)</w:t>
            </w:r>
          </w:p>
        </w:tc>
        <w:tc>
          <w:tcPr>
            <w:tcW w:w="2580" w:type="dxa"/>
            <w:vAlign w:val="bottom"/>
          </w:tcPr>
          <w:p>
            <w:pPr>
              <w:ind w:left="140"/>
              <w:spacing w:after="0"/>
              <w:rPr>
                <w:sz w:val="20"/>
                <w:szCs w:val="20"/>
                <w:color w:val="auto"/>
              </w:rPr>
            </w:pPr>
            <w:r>
              <w:rPr>
                <w:rFonts w:ascii="Arial" w:cs="Arial" w:eastAsia="Arial" w:hAnsi="Arial"/>
                <w:sz w:val="18"/>
                <w:szCs w:val="18"/>
                <w:color w:val="auto"/>
              </w:rPr>
              <w:t>due 3/2019)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6/5/2013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23,074</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Metals and mining</w:t>
            </w:r>
          </w:p>
        </w:tc>
        <w:tc>
          <w:tcPr>
            <w:tcW w:w="25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5"/>
                <w:szCs w:val="15"/>
                <w:color w:val="auto"/>
              </w:rPr>
              <w:t>(3)(4)(6)</w:t>
            </w:r>
          </w:p>
        </w:tc>
        <w:tc>
          <w:tcPr>
            <w:tcW w:w="2580" w:type="dxa"/>
            <w:vAlign w:val="bottom"/>
          </w:tcPr>
          <w:p>
            <w:pPr>
              <w:ind w:left="140"/>
              <w:spacing w:after="0"/>
              <w:rPr>
                <w:sz w:val="20"/>
                <w:szCs w:val="20"/>
                <w:color w:val="auto"/>
              </w:rPr>
            </w:pPr>
            <w:r>
              <w:rPr>
                <w:rFonts w:ascii="Arial" w:cs="Arial" w:eastAsia="Arial" w:hAnsi="Arial"/>
                <w:sz w:val="18"/>
                <w:szCs w:val="18"/>
                <w:color w:val="auto"/>
              </w:rPr>
              <w:t>First-lien loan ($19,773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due 11/2019)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11/21/2013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21,009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Office products</w:t>
            </w:r>
          </w:p>
        </w:tc>
        <w:tc>
          <w:tcPr>
            <w:tcW w:w="25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(3)(4)(6)</w:t>
            </w:r>
          </w:p>
        </w:tc>
        <w:tc>
          <w:tcPr>
            <w:tcW w:w="2580" w:type="dxa"/>
            <w:vAlign w:val="bottom"/>
          </w:tcPr>
          <w:p>
            <w:pPr>
              <w:ind w:left="140"/>
              <w:spacing w:after="0"/>
              <w:rPr>
                <w:sz w:val="20"/>
                <w:szCs w:val="20"/>
                <w:color w:val="auto"/>
              </w:rPr>
            </w:pPr>
            <w:r>
              <w:rPr>
                <w:rFonts w:ascii="Arial" w:cs="Arial" w:eastAsia="Arial" w:hAnsi="Arial"/>
                <w:sz w:val="18"/>
                <w:szCs w:val="18"/>
                <w:color w:val="auto"/>
              </w:rPr>
              <w:t>First-lien loan ($37,358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due 3/2019)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37,122</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Oil, gas and consumable fuels</w:t>
            </w:r>
          </w:p>
        </w:tc>
        <w:tc>
          <w:tcPr>
            <w:tcW w:w="25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 xml:space="preserve">Milagro Exploration, LLC </w:t>
            </w:r>
            <w:r>
              <w:rPr>
                <w:rFonts w:ascii="Arial" w:cs="Arial" w:eastAsia="Arial" w:hAnsi="Arial"/>
                <w:sz w:val="15"/>
                <w:szCs w:val="15"/>
                <w:color w:val="auto"/>
              </w:rPr>
              <w:t>(3)(4)</w:t>
            </w:r>
          </w:p>
        </w:tc>
        <w:tc>
          <w:tcPr>
            <w:tcW w:w="2580" w:type="dxa"/>
            <w:vAlign w:val="bottom"/>
          </w:tcPr>
          <w:p>
            <w:pPr>
              <w:ind w:left="140"/>
              <w:spacing w:after="0"/>
              <w:rPr>
                <w:sz w:val="20"/>
                <w:szCs w:val="20"/>
                <w:color w:val="auto"/>
              </w:rPr>
            </w:pPr>
            <w:r>
              <w:rPr>
                <w:rFonts w:ascii="Arial" w:cs="Arial" w:eastAsia="Arial" w:hAnsi="Arial"/>
                <w:sz w:val="18"/>
                <w:szCs w:val="18"/>
                <w:color w:val="auto"/>
              </w:rPr>
              <w:t>First-lien loan ($62,464 par,</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due 9/2017)</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61,802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61,993</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(3)(4)(8)</w:t>
            </w: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($42,568 par,</w:t>
            </w:r>
          </w:p>
        </w:tc>
        <w:tc>
          <w:tcPr>
            <w:tcW w:w="16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13.00% (incl.</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6/2018)</w:t>
            </w:r>
          </w:p>
        </w:tc>
        <w:tc>
          <w:tcPr>
            <w:tcW w:w="16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1.50%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41,835</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103,637</w:t>
            </w:r>
          </w:p>
        </w:tc>
        <w:tc>
          <w:tcPr>
            <w:tcW w:w="2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102,858</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Retail</w:t>
            </w:r>
          </w:p>
        </w:tc>
        <w:tc>
          <w:tcPr>
            <w:tcW w:w="25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7</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(3)(4)</w:t>
            </w:r>
          </w:p>
        </w:tc>
        <w:tc>
          <w:tcPr>
            <w:tcW w:w="3000" w:type="dxa"/>
            <w:vAlign w:val="bottom"/>
          </w:tcPr>
          <w:p>
            <w:pPr>
              <w:ind w:left="200"/>
              <w:spacing w:after="0"/>
              <w:rPr>
                <w:sz w:val="20"/>
                <w:szCs w:val="20"/>
                <w:color w:val="auto"/>
              </w:rPr>
            </w:pPr>
            <w:r>
              <w:rPr>
                <w:rFonts w:ascii="Arial" w:cs="Arial" w:eastAsia="Arial" w:hAnsi="Arial"/>
                <w:sz w:val="18"/>
                <w:szCs w:val="18"/>
                <w:color w:val="auto"/>
              </w:rPr>
              <w:t>First-lien loan ($42,000 par,</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due 10/2019)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10/10/2014  $</w:t>
            </w:r>
          </w:p>
        </w:tc>
        <w:tc>
          <w:tcPr>
            <w:tcW w:w="760" w:type="dxa"/>
            <w:vAlign w:val="bottom"/>
          </w:tcPr>
          <w:p>
            <w:pPr>
              <w:jc w:val="right"/>
              <w:spacing w:after="0"/>
              <w:rPr>
                <w:sz w:val="20"/>
                <w:szCs w:val="20"/>
                <w:color w:val="auto"/>
              </w:rPr>
            </w:pPr>
            <w:r>
              <w:rPr>
                <w:rFonts w:ascii="Arial" w:cs="Arial" w:eastAsia="Arial" w:hAnsi="Arial"/>
                <w:sz w:val="18"/>
                <w:szCs w:val="18"/>
                <w:color w:val="auto"/>
              </w:rPr>
              <w:t>41,179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41,685</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Transportation</w:t>
            </w: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3000" w:type="dxa"/>
            <w:vAlign w:val="bottom"/>
          </w:tcPr>
          <w:p>
            <w:pPr>
              <w:ind w:left="200"/>
              <w:spacing w:after="0"/>
              <w:rPr>
                <w:sz w:val="20"/>
                <w:szCs w:val="20"/>
                <w:color w:val="auto"/>
              </w:rPr>
            </w:pPr>
            <w:r>
              <w:rPr>
                <w:rFonts w:ascii="Arial" w:cs="Arial" w:eastAsia="Arial" w:hAnsi="Arial"/>
                <w:sz w:val="18"/>
                <w:szCs w:val="18"/>
                <w:color w:val="auto"/>
              </w:rPr>
              <w:t>First-lien loan ($8,000 par,</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due 1/2019)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3/17/2015</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7,440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7,387</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(3)(5)</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Second-lien loan ($62,500 par,</w:t>
            </w: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10/2019)</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10/2/2013</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61,406</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1,324,521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1,316,527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Equity and Other Investments</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Network Merchants, Inc</w:t>
            </w:r>
          </w:p>
        </w:tc>
        <w:tc>
          <w:tcPr>
            <w:tcW w:w="3000" w:type="dxa"/>
            <w:vAlign w:val="bottom"/>
          </w:tcPr>
          <w:p>
            <w:pPr>
              <w:ind w:left="200"/>
              <w:spacing w:after="0"/>
              <w:rPr>
                <w:sz w:val="20"/>
                <w:szCs w:val="20"/>
                <w:color w:val="auto"/>
              </w:rPr>
            </w:pPr>
            <w:r>
              <w:rPr>
                <w:rFonts w:ascii="Arial" w:cs="Arial" w:eastAsia="Arial" w:hAnsi="Arial"/>
                <w:sz w:val="18"/>
                <w:szCs w:val="18"/>
                <w:color w:val="auto"/>
              </w:rPr>
              <w:t>Non-Voting Preferred Units</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(774,099 units)</w:t>
            </w:r>
          </w:p>
        </w:tc>
        <w:tc>
          <w:tcPr>
            <w:tcW w:w="1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9/12/2013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w w:val="96"/>
              </w:rPr>
              <w:t>Healthcare and pharmaceuticals</w:t>
            </w: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Global Healthcare Exchange, LLC</w:t>
            </w:r>
          </w:p>
        </w:tc>
        <w:tc>
          <w:tcPr>
            <w:tcW w:w="3000" w:type="dxa"/>
            <w:vAlign w:val="bottom"/>
          </w:tcPr>
          <w:p>
            <w:pPr>
              <w:ind w:left="200"/>
              <w:spacing w:after="0"/>
              <w:rPr>
                <w:sz w:val="20"/>
                <w:szCs w:val="20"/>
                <w:color w:val="auto"/>
              </w:rPr>
            </w:pPr>
            <w:r>
              <w:rPr>
                <w:rFonts w:ascii="Arial" w:cs="Arial" w:eastAsia="Arial" w:hAnsi="Arial"/>
                <w:sz w:val="18"/>
                <w:szCs w:val="18"/>
                <w:color w:val="auto"/>
              </w:rPr>
              <w:t>Common Shares Class A (598</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18"/>
                <w:szCs w:val="18"/>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Class B (196</w:t>
            </w: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(5)</w:t>
            </w:r>
          </w:p>
        </w:tc>
        <w:tc>
          <w:tcPr>
            <w:tcW w:w="300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Class A</w:t>
            </w: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(1,980 shares)</w:t>
            </w:r>
          </w:p>
        </w:tc>
        <w:tc>
          <w:tcPr>
            <w:tcW w:w="1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Common Shares Class B</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(2,953,020 shares)</w:t>
            </w:r>
          </w:p>
        </w:tc>
        <w:tc>
          <w:tcPr>
            <w:tcW w:w="1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IRG Sports &amp; Entertainment, LLC</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Warrants</w:t>
            </w: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Metals and mining</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Metalico, Inc.</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Warrants</w:t>
            </w: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11/21/2013</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 fuels</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(8)</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 Member Units (933</w:t>
            </w: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units)</w:t>
            </w:r>
          </w:p>
        </w:tc>
        <w:tc>
          <w:tcPr>
            <w:tcW w:w="1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Other</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(5)(7)</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Structured Product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5.98%</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11/17/2014</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5"/>
        </w:trPr>
        <w:tc>
          <w:tcPr>
            <w:tcW w:w="294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3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14,466</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30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vMerge w:val="continue"/>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1,346,037</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1,330,993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158.2%</w:t>
            </w: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30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right="60" w:hanging="532"/>
        <w:spacing w:after="0" w:line="25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Certain portfolio company investments are subject to contractual restrictions on sales.</w:t>
      </w:r>
    </w:p>
    <w:p>
      <w:pPr>
        <w:spacing w:after="0" w:line="1" w:lineRule="exact"/>
        <w:rPr>
          <w:rFonts w:ascii="Arial" w:cs="Arial" w:eastAsia="Arial" w:hAnsi="Arial"/>
          <w:sz w:val="18"/>
          <w:szCs w:val="18"/>
          <w:color w:val="auto"/>
        </w:rPr>
      </w:pPr>
    </w:p>
    <w:p>
      <w:pPr>
        <w:ind w:left="540" w:right="160" w:hanging="532"/>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40" w:right="20" w:hanging="532"/>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ind w:left="540" w:right="520" w:hanging="532"/>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jc w:val="both"/>
        <w:ind w:left="540" w:right="220" w:hanging="532"/>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40" w:right="380" w:hanging="532"/>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5" w:right="239" w:bottom="1440" w:gutter="0" w:footer="0" w:header="0"/>
        </w:sectPr>
      </w:pPr>
    </w:p>
    <w:bookmarkStart w:id="8" w:name="page9"/>
    <w:bookmarkEnd w:id="8"/>
    <w:p>
      <w:pPr>
        <w:ind w:left="540" w:right="60" w:hanging="532"/>
        <w:spacing w:after="0" w:line="27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2015 in which the issuer was an Affiliated Person of and was deemed to Control a portfolio company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5"/>
              </w:rPr>
              <w:t>Fair Value at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7"/>
          </w:tcPr>
          <w:p>
            <w:pPr>
              <w:jc w:val="center"/>
              <w:ind w:right="60"/>
              <w:spacing w:after="0" w:line="196" w:lineRule="exact"/>
              <w:rPr>
                <w:sz w:val="20"/>
                <w:szCs w:val="20"/>
                <w:color w:val="auto"/>
              </w:rPr>
            </w:pPr>
            <w:r>
              <w:rPr>
                <w:rFonts w:ascii="Arial" w:cs="Arial" w:eastAsia="Arial" w:hAnsi="Arial"/>
                <w:sz w:val="18"/>
                <w:szCs w:val="18"/>
                <w:b w:val="1"/>
                <w:bCs w:val="1"/>
                <w:color w:val="auto"/>
                <w:w w:val="89"/>
              </w:rPr>
              <w:t>Additions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7"/>
          </w:tcPr>
          <w:p>
            <w:pPr>
              <w:jc w:val="center"/>
              <w:ind w:right="200"/>
              <w:spacing w:after="0" w:line="196" w:lineRule="exact"/>
              <w:rPr>
                <w:sz w:val="20"/>
                <w:szCs w:val="20"/>
                <w:color w:val="auto"/>
              </w:rPr>
            </w:pPr>
            <w:r>
              <w:rPr>
                <w:rFonts w:ascii="Arial" w:cs="Arial" w:eastAsia="Arial" w:hAnsi="Arial"/>
                <w:sz w:val="18"/>
                <w:szCs w:val="18"/>
                <w:b w:val="1"/>
                <w:bCs w:val="1"/>
                <w:color w:val="auto"/>
                <w:w w:val="87"/>
              </w:rPr>
              <w:t>Reductions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8"/>
          </w:tcPr>
          <w:p>
            <w:pPr>
              <w:jc w:val="center"/>
              <w:ind w:right="280"/>
              <w:spacing w:after="0" w:line="196" w:lineRule="exact"/>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tcPr>
          <w:p>
            <w:pPr>
              <w:jc w:val="center"/>
              <w:ind w:right="460"/>
              <w:spacing w:after="0" w:line="196" w:lineRule="exact"/>
              <w:rPr>
                <w:sz w:val="20"/>
                <w:szCs w:val="20"/>
                <w:color w:val="auto"/>
              </w:rPr>
            </w:pPr>
            <w:r>
              <w:rPr>
                <w:rFonts w:ascii="Arial" w:cs="Arial" w:eastAsia="Arial" w:hAnsi="Arial"/>
                <w:sz w:val="18"/>
                <w:szCs w:val="18"/>
                <w:b w:val="1"/>
                <w:bCs w:val="1"/>
                <w:color w:val="auto"/>
                <w:w w:val="90"/>
              </w:rPr>
              <w:t>Realized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6"/>
          </w:tcPr>
          <w:p>
            <w:pPr>
              <w:jc w:val="center"/>
              <w:ind w:right="420"/>
              <w:spacing w:after="0" w:line="196" w:lineRule="exact"/>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4"/>
          </w:tcPr>
          <w:p>
            <w:pPr>
              <w:jc w:val="center"/>
              <w:ind w:right="460"/>
              <w:spacing w:after="0" w:line="196"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7"/>
                <w:szCs w:val="17"/>
                <w:color w:val="auto"/>
              </w:rPr>
            </w:pPr>
          </w:p>
        </w:tc>
        <w:tc>
          <w:tcPr>
            <w:tcW w:w="8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3"/>
          </w:tcPr>
          <w:p>
            <w:pPr>
              <w:ind w:left="460"/>
              <w:spacing w:after="0" w:line="196" w:lineRule="exact"/>
              <w:rPr>
                <w:sz w:val="20"/>
                <w:szCs w:val="20"/>
                <w:color w:val="auto"/>
              </w:rPr>
            </w:pPr>
            <w:r>
              <w:rPr>
                <w:rFonts w:ascii="Arial" w:cs="Arial" w:eastAsia="Arial" w:hAnsi="Arial"/>
                <w:sz w:val="18"/>
                <w:szCs w:val="18"/>
                <w:b w:val="1"/>
                <w:bCs w:val="1"/>
                <w:color w:val="auto"/>
              </w:rPr>
              <w:t>Company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left="230"/>
              <w:spacing w:after="0" w:line="196" w:lineRule="exact"/>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center"/>
              <w:ind w:right="160"/>
              <w:spacing w:after="0" w:line="196" w:lineRule="exact"/>
              <w:rPr>
                <w:sz w:val="20"/>
                <w:szCs w:val="20"/>
                <w:color w:val="auto"/>
              </w:rPr>
            </w:pPr>
            <w:r>
              <w:rPr>
                <w:rFonts w:ascii="Arial" w:cs="Arial" w:eastAsia="Arial" w:hAnsi="Arial"/>
                <w:sz w:val="18"/>
                <w:szCs w:val="18"/>
                <w:b w:val="1"/>
                <w:bCs w:val="1"/>
                <w:color w:val="auto"/>
                <w:w w:val="99"/>
              </w:rPr>
              <w:t>(a)</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center"/>
              <w:ind w:right="320"/>
              <w:spacing w:after="0" w:line="196" w:lineRule="exact"/>
              <w:rPr>
                <w:sz w:val="20"/>
                <w:szCs w:val="20"/>
                <w:color w:val="auto"/>
              </w:rPr>
            </w:pPr>
            <w:r>
              <w:rPr>
                <w:rFonts w:ascii="Arial" w:cs="Arial" w:eastAsia="Arial" w:hAnsi="Arial"/>
                <w:sz w:val="18"/>
                <w:szCs w:val="18"/>
                <w:b w:val="1"/>
                <w:bCs w:val="1"/>
                <w:color w:val="auto"/>
                <w:w w:val="95"/>
              </w:rPr>
              <w:t>(b)</w:t>
            </w:r>
          </w:p>
        </w:tc>
        <w:tc>
          <w:tcPr>
            <w:tcW w:w="2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8"/>
          </w:tcPr>
          <w:p>
            <w:pPr>
              <w:jc w:val="center"/>
              <w:ind w:right="260"/>
              <w:spacing w:after="0" w:line="196" w:lineRule="exact"/>
              <w:rPr>
                <w:sz w:val="20"/>
                <w:szCs w:val="20"/>
                <w:color w:val="auto"/>
              </w:rPr>
            </w:pPr>
            <w:r>
              <w:rPr>
                <w:rFonts w:ascii="Arial" w:cs="Arial" w:eastAsia="Arial" w:hAnsi="Arial"/>
                <w:sz w:val="18"/>
                <w:szCs w:val="18"/>
                <w:b w:val="1"/>
                <w:bCs w:val="1"/>
                <w:color w:val="auto"/>
                <w:w w:val="90"/>
              </w:rPr>
              <w:t>Gain/(Loss)</w:t>
            </w:r>
          </w:p>
        </w:tc>
        <w:tc>
          <w:tcPr>
            <w:tcW w:w="40" w:type="dxa"/>
            <w:vAlign w:val="bottom"/>
          </w:tcPr>
          <w:p>
            <w:pPr>
              <w:spacing w:after="0"/>
              <w:rPr>
                <w:sz w:val="17"/>
                <w:szCs w:val="17"/>
                <w:color w:val="auto"/>
              </w:rPr>
            </w:pPr>
          </w:p>
        </w:tc>
        <w:tc>
          <w:tcPr>
            <w:tcW w:w="1320" w:type="dxa"/>
            <w:vAlign w:val="bottom"/>
            <w:gridSpan w:val="5"/>
          </w:tcPr>
          <w:p>
            <w:pPr>
              <w:jc w:val="center"/>
              <w:ind w:right="280"/>
              <w:spacing w:after="0" w:line="196" w:lineRule="exact"/>
              <w:rPr>
                <w:sz w:val="20"/>
                <w:szCs w:val="20"/>
                <w:color w:val="auto"/>
              </w:rPr>
            </w:pPr>
            <w:r>
              <w:rPr>
                <w:rFonts w:ascii="Arial" w:cs="Arial" w:eastAsia="Arial" w:hAnsi="Arial"/>
                <w:sz w:val="18"/>
                <w:szCs w:val="18"/>
                <w:b w:val="1"/>
                <w:bCs w:val="1"/>
                <w:color w:val="auto"/>
                <w:w w:val="87"/>
              </w:rPr>
              <w:t>Gain/(Losses)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left="130"/>
              <w:spacing w:after="0" w:line="196" w:lineRule="exact"/>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center"/>
              <w:ind w:right="380"/>
              <w:spacing w:after="0" w:line="196" w:lineRule="exact"/>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7"/>
                <w:szCs w:val="17"/>
                <w:color w:val="auto"/>
              </w:rPr>
            </w:pPr>
          </w:p>
        </w:tc>
        <w:tc>
          <w:tcPr>
            <w:tcW w:w="8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00" w:type="dxa"/>
            <w:vAlign w:val="bottom"/>
            <w:tcBorders>
              <w:top w:val="single" w:sz="8" w:color="auto"/>
            </w:tcBorders>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top w:val="single" w:sz="8" w:color="auto"/>
            </w:tcBorders>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580" w:type="dxa"/>
            <w:vAlign w:val="bottom"/>
            <w:tcBorders>
              <w:top w:val="single" w:sz="8" w:color="auto"/>
            </w:tcBorders>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0" w:type="dxa"/>
            <w:vAlign w:val="bottom"/>
            <w:tcBorders>
              <w:top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20" w:type="dxa"/>
            <w:vAlign w:val="bottom"/>
            <w:tcBorders>
              <w:right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Mississippi</w:t>
            </w:r>
          </w:p>
        </w:tc>
        <w:tc>
          <w:tcPr>
            <w:tcW w:w="1000" w:type="dxa"/>
            <w:vAlign w:val="bottom"/>
            <w:gridSpan w:val="3"/>
            <w:shd w:val="clear" w:color="auto" w:fill="CFF0FC"/>
          </w:tcPr>
          <w:p>
            <w:pPr>
              <w:spacing w:after="0"/>
              <w:rPr>
                <w:sz w:val="18"/>
                <w:szCs w:val="18"/>
                <w:color w:val="auto"/>
              </w:rPr>
            </w:pPr>
          </w:p>
        </w:tc>
        <w:tc>
          <w:tcPr>
            <w:tcW w:w="8280" w:type="dxa"/>
            <w:vAlign w:val="bottom"/>
            <w:tcBorders>
              <w:left w:val="single" w:sz="8" w:color="CFF0FC"/>
              <w:right w:val="single" w:sz="8" w:color="CFF0FC"/>
            </w:tcBorders>
            <w:gridSpan w:val="53"/>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Resources, LLC</w:t>
            </w:r>
          </w:p>
        </w:tc>
        <w:tc>
          <w:tcPr>
            <w:tcW w:w="3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41,636</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3,220</w:t>
            </w:r>
          </w:p>
        </w:tc>
        <w:tc>
          <w:tcPr>
            <w:tcW w:w="4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6"/>
            <w:shd w:val="clear" w:color="auto" w:fill="CFF0FC"/>
          </w:tcPr>
          <w:p>
            <w:pPr>
              <w:ind w:left="460"/>
              <w:spacing w:after="0"/>
              <w:rPr>
                <w:sz w:val="20"/>
                <w:szCs w:val="20"/>
                <w:color w:val="auto"/>
              </w:rPr>
            </w:pPr>
            <w:r>
              <w:rPr>
                <w:rFonts w:ascii="Arial" w:cs="Arial" w:eastAsia="Arial" w:hAnsi="Arial"/>
                <w:sz w:val="18"/>
                <w:szCs w:val="18"/>
                <w:color w:val="auto"/>
              </w:rPr>
              <w:t>(91)</w:t>
            </w:r>
          </w:p>
        </w:tc>
        <w:tc>
          <w:tcPr>
            <w:tcW w:w="30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spacing w:after="0"/>
              <w:rPr>
                <w:sz w:val="20"/>
                <w:szCs w:val="20"/>
                <w:color w:val="auto"/>
              </w:rPr>
            </w:pPr>
          </w:p>
        </w:tc>
        <w:tc>
          <w:tcPr>
            <w:tcW w:w="46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45,370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41,636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3,220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5"/>
          </w:tcPr>
          <w:p>
            <w:pPr>
              <w:ind w:left="460"/>
              <w:spacing w:after="0"/>
              <w:rPr>
                <w:sz w:val="20"/>
                <w:szCs w:val="20"/>
                <w:color w:val="auto"/>
              </w:rPr>
            </w:pPr>
            <w:r>
              <w:rPr>
                <w:rFonts w:ascii="Arial" w:cs="Arial" w:eastAsia="Arial" w:hAnsi="Arial"/>
                <w:sz w:val="17"/>
                <w:szCs w:val="17"/>
                <w:b w:val="1"/>
                <w:bCs w:val="1"/>
                <w:color w:val="auto"/>
                <w:w w:val="72"/>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605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45,370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gridSpan w:val="5"/>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right="760" w:hanging="532"/>
        <w:spacing w:after="0" w:line="25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540" w:right="120" w:hanging="532"/>
        <w:spacing w:after="0" w:line="261"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6"/>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Percentage</w:t>
            </w:r>
          </w:p>
        </w:tc>
      </w:tr>
      <w:tr>
        <w:trPr>
          <w:trHeight w:val="228"/>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00" w:type="dxa"/>
            <w:vAlign w:val="bottom"/>
          </w:tcPr>
          <w:p>
            <w:pPr>
              <w:ind w:left="90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(2)</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of Net Assets</w:t>
            </w: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 Holdings,</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($32,826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1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(3)(4)</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6/2017)</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32,340</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30,447</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r>
        <w:trPr>
          <w:trHeight w:val="215"/>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First-lien revolving loan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($4,500 par, due 6/2017)</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10.75%</w:t>
            </w:r>
          </w:p>
        </w:tc>
        <w:tc>
          <w:tcPr>
            <w:tcW w:w="94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4,097</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34,544</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r>
      <w:tr>
        <w:trPr>
          <w:trHeight w:val="223"/>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(3)(4)(6)</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($64,399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3/2020)</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6.25%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63,102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63,111</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Great Atlantic &amp; Pacific Tea Co.</w:t>
            </w:r>
          </w:p>
        </w:tc>
        <w:tc>
          <w:tcPr>
            <w:tcW w:w="2400" w:type="dxa"/>
            <w:vAlign w:val="bottom"/>
          </w:tcPr>
          <w:p>
            <w:pPr>
              <w:spacing w:after="0"/>
              <w:rPr>
                <w:sz w:val="20"/>
                <w:szCs w:val="20"/>
                <w:color w:val="auto"/>
              </w:rPr>
            </w:pPr>
            <w:r>
              <w:rPr>
                <w:rFonts w:ascii="Arial" w:cs="Arial" w:eastAsia="Arial" w:hAnsi="Arial"/>
                <w:sz w:val="18"/>
                <w:szCs w:val="18"/>
                <w:color w:val="auto"/>
              </w:rPr>
              <w:t>First-lien loan ($22,787 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180" w:type="dxa"/>
            <w:vAlign w:val="bottom"/>
            <w:gridSpan w:val="2"/>
          </w:tcPr>
          <w:p>
            <w:pPr>
              <w:ind w:left="16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w:t>
            </w:r>
          </w:p>
        </w:tc>
        <w:tc>
          <w:tcPr>
            <w:tcW w:w="2400" w:type="dxa"/>
            <w:vAlign w:val="bottom"/>
          </w:tcPr>
          <w:p>
            <w:pPr>
              <w:spacing w:after="0"/>
              <w:rPr>
                <w:sz w:val="20"/>
                <w:szCs w:val="20"/>
                <w:color w:val="auto"/>
              </w:rPr>
            </w:pPr>
            <w:r>
              <w:rPr>
                <w:rFonts w:ascii="Arial" w:cs="Arial" w:eastAsia="Arial" w:hAnsi="Arial"/>
                <w:sz w:val="18"/>
                <w:szCs w:val="18"/>
                <w:color w:val="auto"/>
              </w:rPr>
              <w:t>due 9/2019)</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9.85%</w:t>
            </w:r>
          </w:p>
        </w:tc>
        <w:tc>
          <w:tcPr>
            <w:tcW w:w="940" w:type="dxa"/>
            <w:vAlign w:val="bottom"/>
          </w:tcPr>
          <w:p>
            <w:pPr>
              <w:jc w:val="right"/>
              <w:spacing w:after="0"/>
              <w:rPr>
                <w:sz w:val="20"/>
                <w:szCs w:val="20"/>
                <w:color w:val="auto"/>
              </w:rPr>
            </w:pPr>
            <w:r>
              <w:rPr>
                <w:rFonts w:ascii="Arial" w:cs="Arial" w:eastAsia="Arial" w:hAnsi="Arial"/>
                <w:sz w:val="18"/>
                <w:szCs w:val="18"/>
                <w:color w:val="auto"/>
              </w:rPr>
              <w:t>9/17/2014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22,426</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22,274</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85,385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23"/>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(3)(4)(6)</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($63,933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4/2018)</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7.50%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62,282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63,933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(3)(4)(5)</w:t>
            </w:r>
          </w:p>
        </w:tc>
        <w:tc>
          <w:tcPr>
            <w:tcW w:w="2400" w:type="dxa"/>
            <w:vAlign w:val="bottom"/>
          </w:tcPr>
          <w:p>
            <w:pPr>
              <w:spacing w:after="0"/>
              <w:rPr>
                <w:sz w:val="20"/>
                <w:szCs w:val="20"/>
                <w:color w:val="auto"/>
              </w:rPr>
            </w:pPr>
            <w:r>
              <w:rPr>
                <w:rFonts w:ascii="Arial" w:cs="Arial" w:eastAsia="Arial" w:hAnsi="Arial"/>
                <w:sz w:val="18"/>
                <w:szCs w:val="18"/>
                <w:color w:val="auto"/>
                <w:w w:val="93"/>
              </w:rPr>
              <w:t>First-lien loan ($16,418 par, due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6/2019)</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7.50%</w:t>
            </w:r>
          </w:p>
        </w:tc>
        <w:tc>
          <w:tcPr>
            <w:tcW w:w="940" w:type="dxa"/>
            <w:vAlign w:val="bottom"/>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16,003</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(3)(4)</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($29,659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9/2018)</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29,506</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(3)(4)</w:t>
            </w:r>
          </w:p>
        </w:tc>
        <w:tc>
          <w:tcPr>
            <w:tcW w:w="2400" w:type="dxa"/>
            <w:vAlign w:val="bottom"/>
          </w:tcPr>
          <w:p>
            <w:pPr>
              <w:spacing w:after="0"/>
              <w:rPr>
                <w:sz w:val="20"/>
                <w:szCs w:val="20"/>
                <w:color w:val="auto"/>
              </w:rPr>
            </w:pPr>
            <w:r>
              <w:rPr>
                <w:rFonts w:ascii="Arial" w:cs="Arial" w:eastAsia="Arial" w:hAnsi="Arial"/>
                <w:sz w:val="18"/>
                <w:szCs w:val="18"/>
                <w:color w:val="auto"/>
              </w:rPr>
              <w:t>First-lien loan ($16,071 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due 12/2019)</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7.50%</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12/30/2014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15,621</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123,191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125,063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r>
      <w:tr>
        <w:trPr>
          <w:trHeight w:val="223"/>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(3)(4)</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($19,950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10/2019)</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10.50%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10/31/2014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Communications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IPC Systems, Inc. </w:t>
            </w:r>
            <w:r>
              <w:rPr>
                <w:rFonts w:ascii="Arial" w:cs="Arial" w:eastAsia="Arial" w:hAnsi="Arial"/>
                <w:sz w:val="15"/>
                <w:szCs w:val="15"/>
                <w:color w:val="auto"/>
              </w:rPr>
              <w:t>(3)(4)</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w w:val="96"/>
              </w:rPr>
              <w:t>Second-lien loan ($17,000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5/2021)</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9.50%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16,935</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17,680</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Containers and packaging</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5"/>
                <w:szCs w:val="15"/>
                <w:color w:val="auto"/>
              </w:rPr>
              <w:t>(3)(4)</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($39,240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2/2018)</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40,025</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Education</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(3)(4)(6)</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($28,125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9/2018)</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27,576</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27,914</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Electronics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(3)(4)</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($61,861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1/2018)</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8.50%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MyAlarm Center, LLC</w:t>
            </w:r>
          </w:p>
        </w:tc>
        <w:tc>
          <w:tcPr>
            <w:tcW w:w="2400" w:type="dxa"/>
            <w:vAlign w:val="bottom"/>
          </w:tcPr>
          <w:p>
            <w:pPr>
              <w:spacing w:after="0"/>
              <w:rPr>
                <w:sz w:val="20"/>
                <w:szCs w:val="20"/>
                <w:color w:val="auto"/>
              </w:rPr>
            </w:pPr>
            <w:r>
              <w:rPr>
                <w:rFonts w:ascii="Arial" w:cs="Arial" w:eastAsia="Arial" w:hAnsi="Arial"/>
                <w:sz w:val="18"/>
                <w:szCs w:val="18"/>
                <w:color w:val="auto"/>
                <w:w w:val="90"/>
              </w:rPr>
              <w:t>Mezzanine loan ($4,887 par, due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16.25% (incl.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7/2018)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4.25% PIK)</w:t>
            </w:r>
          </w:p>
        </w:tc>
        <w:tc>
          <w:tcPr>
            <w:tcW w:w="940" w:type="dxa"/>
            <w:vAlign w:val="bottom"/>
          </w:tcPr>
          <w:p>
            <w:pPr>
              <w:jc w:val="right"/>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4,849</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4,520</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APX Group Inc.</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w w:val="96"/>
              </w:rPr>
              <w:t>First-lien bond 6.375% ($5,000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par, due 12/2019)</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6.38%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12/12/2014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4,788</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w:t>
            </w:r>
          </w:p>
        </w:tc>
      </w:tr>
      <w:tr>
        <w:trPr>
          <w:trHeight w:val="215"/>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6"/>
              </w:rPr>
              <w:t>First-lien bond 8.75% ($10,000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par, due 12/2020)</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8.75%</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12/11/2014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8,566</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8,444</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79,155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78,645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Embarcadero Technologies,</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($40,243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31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(3)(4)(6)</w:t>
            </w: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due 12/2017)</w:t>
            </w:r>
          </w:p>
        </w:tc>
        <w:tc>
          <w:tcPr>
            <w:tcW w:w="16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8.00%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39,585</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40,544</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15"/>
        </w:trPr>
        <w:tc>
          <w:tcPr>
            <w:tcW w:w="3180" w:type="dxa"/>
            <w:vAlign w:val="bottom"/>
            <w:gridSpan w:val="2"/>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5"/>
                <w:szCs w:val="15"/>
                <w:color w:val="auto"/>
              </w:rPr>
              <w:t>(3)(4)(6)</w:t>
            </w:r>
          </w:p>
        </w:tc>
        <w:tc>
          <w:tcPr>
            <w:tcW w:w="2400" w:type="dxa"/>
            <w:vAlign w:val="bottom"/>
          </w:tcPr>
          <w:p>
            <w:pPr>
              <w:spacing w:after="0"/>
              <w:rPr>
                <w:sz w:val="20"/>
                <w:szCs w:val="20"/>
                <w:color w:val="auto"/>
              </w:rPr>
            </w:pPr>
            <w:r>
              <w:rPr>
                <w:rFonts w:ascii="Arial" w:cs="Arial" w:eastAsia="Arial" w:hAnsi="Arial"/>
                <w:sz w:val="18"/>
                <w:szCs w:val="18"/>
                <w:color w:val="auto"/>
              </w:rPr>
              <w:t>First-lien loan ($66,470 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due 12/2018)</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7.50%</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11/21/2012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65,344</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65,971</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426"/>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60" w:type="dxa"/>
            <w:vAlign w:val="bottom"/>
            <w:gridSpan w:val="3"/>
          </w:tcPr>
          <w:p>
            <w:pPr>
              <w:jc w:val="right"/>
              <w:ind w:right="1056"/>
              <w:spacing w:after="0"/>
              <w:rPr>
                <w:sz w:val="20"/>
                <w:szCs w:val="20"/>
                <w:color w:val="auto"/>
              </w:rPr>
            </w:pPr>
            <w:r>
              <w:rPr>
                <w:rFonts w:ascii="Arial" w:cs="Arial" w:eastAsia="Arial" w:hAnsi="Arial"/>
                <w:sz w:val="18"/>
                <w:szCs w:val="18"/>
                <w:color w:val="auto"/>
                <w:w w:val="99"/>
              </w:rPr>
              <w:t>10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9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104,929</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106,515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5"/>
        </w:trPr>
        <w:tc>
          <w:tcPr>
            <w:tcW w:w="290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Healthcare and</w:t>
            </w:r>
          </w:p>
        </w:tc>
        <w:tc>
          <w:tcPr>
            <w:tcW w:w="2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380"/>
              <w:spacing w:after="0"/>
              <w:rPr>
                <w:sz w:val="20"/>
                <w:szCs w:val="20"/>
                <w:color w:val="auto"/>
              </w:rPr>
            </w:pPr>
            <w:r>
              <w:rPr>
                <w:rFonts w:ascii="Arial" w:cs="Arial" w:eastAsia="Arial" w:hAnsi="Arial"/>
                <w:sz w:val="18"/>
                <w:szCs w:val="18"/>
                <w:b w:val="1"/>
                <w:bCs w:val="1"/>
                <w:color w:val="auto"/>
              </w:rPr>
              <w:t>pharmaceuticals</w:t>
            </w:r>
          </w:p>
        </w:tc>
        <w:tc>
          <w:tcPr>
            <w:tcW w:w="2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(3)(4)(6)</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loan ($34,563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5/2019)</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5/8/2014  $</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33,526</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Global Healthcare Exchange,</w:t>
            </w:r>
          </w:p>
        </w:tc>
        <w:tc>
          <w:tcPr>
            <w:tcW w:w="2720" w:type="dxa"/>
            <w:vAlign w:val="bottom"/>
          </w:tcPr>
          <w:p>
            <w:pPr>
              <w:ind w:left="300"/>
              <w:spacing w:after="0"/>
              <w:rPr>
                <w:sz w:val="20"/>
                <w:szCs w:val="20"/>
                <w:color w:val="auto"/>
              </w:rPr>
            </w:pPr>
            <w:r>
              <w:rPr>
                <w:rFonts w:ascii="Arial" w:cs="Arial" w:eastAsia="Arial" w:hAnsi="Arial"/>
                <w:sz w:val="18"/>
                <w:szCs w:val="18"/>
                <w:color w:val="auto"/>
              </w:rPr>
              <w:t>First-lien loan ($46,250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w:t>
            </w:r>
          </w:p>
        </w:tc>
        <w:tc>
          <w:tcPr>
            <w:tcW w:w="2720" w:type="dxa"/>
            <w:vAlign w:val="bottom"/>
          </w:tcPr>
          <w:p>
            <w:pPr>
              <w:ind w:left="300"/>
              <w:spacing w:after="0"/>
              <w:rPr>
                <w:sz w:val="20"/>
                <w:szCs w:val="20"/>
                <w:color w:val="auto"/>
              </w:rPr>
            </w:pPr>
            <w:r>
              <w:rPr>
                <w:rFonts w:ascii="Arial" w:cs="Arial" w:eastAsia="Arial" w:hAnsi="Arial"/>
                <w:sz w:val="18"/>
                <w:szCs w:val="18"/>
                <w:color w:val="auto"/>
              </w:rPr>
              <w:t>due 3/2020)</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45,149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45,139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(3)(5)</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4"/>
              </w:rPr>
              <w:t>First-lien loan (EUR 28,014 par,</w:t>
            </w:r>
          </w:p>
        </w:tc>
        <w:tc>
          <w:tcPr>
            <w:tcW w:w="16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11.50% (incl.</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9/2019)</w:t>
            </w:r>
          </w:p>
        </w:tc>
        <w:tc>
          <w:tcPr>
            <w:tcW w:w="16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3.00%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32,373</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rPr>
              <w:t>First-lien revolving loan</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rPr>
              <w:t>(EUR 300 par, due 9/2019)</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Mediware Information Systems,</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loan ($69,405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(3)(4)(6)</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5/2018)</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11/9/2012</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68,885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(3)(4)</w:t>
            </w:r>
          </w:p>
        </w:tc>
        <w:tc>
          <w:tcPr>
            <w:tcW w:w="2720" w:type="dxa"/>
            <w:vAlign w:val="bottom"/>
          </w:tcPr>
          <w:p>
            <w:pPr>
              <w:ind w:left="300"/>
              <w:spacing w:after="0"/>
              <w:rPr>
                <w:sz w:val="20"/>
                <w:szCs w:val="20"/>
                <w:color w:val="auto"/>
              </w:rPr>
            </w:pPr>
            <w:r>
              <w:rPr>
                <w:rFonts w:ascii="Arial" w:cs="Arial" w:eastAsia="Arial" w:hAnsi="Arial"/>
                <w:sz w:val="18"/>
                <w:szCs w:val="18"/>
                <w:color w:val="auto"/>
              </w:rPr>
              <w:t>First-lien loan ($33,750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rPr>
              <w:t>due 12/2017)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33,192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33,834</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18"/>
                <w:szCs w:val="18"/>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revolving loan</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($2,000 par, due 12/2017)</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216,205</w:t>
            </w:r>
          </w:p>
        </w:tc>
        <w:tc>
          <w:tcPr>
            <w:tcW w:w="2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215,989</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7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5"/>
                <w:szCs w:val="15"/>
                <w:color w:val="auto"/>
              </w:rPr>
              <w:t>(3)(4)</w:t>
            </w:r>
          </w:p>
        </w:tc>
        <w:tc>
          <w:tcPr>
            <w:tcW w:w="2720" w:type="dxa"/>
            <w:vAlign w:val="bottom"/>
          </w:tcPr>
          <w:p>
            <w:pPr>
              <w:ind w:left="300"/>
              <w:spacing w:after="0"/>
              <w:rPr>
                <w:sz w:val="20"/>
                <w:szCs w:val="20"/>
                <w:color w:val="auto"/>
              </w:rPr>
            </w:pPr>
            <w:r>
              <w:rPr>
                <w:rFonts w:ascii="Arial" w:cs="Arial" w:eastAsia="Arial" w:hAnsi="Arial"/>
                <w:sz w:val="18"/>
                <w:szCs w:val="18"/>
                <w:color w:val="auto"/>
                <w:w w:val="97"/>
              </w:rPr>
              <w:t>Second-lien loan ($10,000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rPr>
              <w:t>due 2/2020)</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2/15/2013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9,931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9,913</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IRG Sports &amp; Entertainment,</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4"/>
              </w:rPr>
              <w:t>First-lien loan ($43,653 par, due</w:t>
            </w:r>
          </w:p>
        </w:tc>
        <w:tc>
          <w:tcPr>
            <w:tcW w:w="16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12.00% (incl.</w:t>
            </w: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(3)(4)</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9/2019)</w:t>
            </w:r>
          </w:p>
        </w:tc>
        <w:tc>
          <w:tcPr>
            <w:tcW w:w="16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5.00%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40,161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(5)</w:t>
            </w:r>
          </w:p>
        </w:tc>
        <w:tc>
          <w:tcPr>
            <w:tcW w:w="2720" w:type="dxa"/>
            <w:vAlign w:val="bottom"/>
          </w:tcPr>
          <w:p>
            <w:pPr>
              <w:ind w:left="300"/>
              <w:spacing w:after="0"/>
              <w:rPr>
                <w:sz w:val="20"/>
                <w:szCs w:val="20"/>
                <w:color w:val="auto"/>
              </w:rPr>
            </w:pPr>
            <w:r>
              <w:rPr>
                <w:rFonts w:ascii="Arial" w:cs="Arial" w:eastAsia="Arial" w:hAnsi="Arial"/>
                <w:sz w:val="18"/>
                <w:szCs w:val="18"/>
                <w:color w:val="auto"/>
                <w:w w:val="96"/>
              </w:rPr>
              <w:t>Second-lien bond (GBP 13,750</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rPr>
              <w:t>par, due 10/2018)</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9/20/2013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22,826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22,565</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73,830</w:t>
            </w:r>
          </w:p>
        </w:tc>
        <w:tc>
          <w:tcPr>
            <w:tcW w:w="20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5"/>
                <w:szCs w:val="15"/>
                <w:color w:val="auto"/>
              </w:rPr>
              <w:t>(3)(4)</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loan ($35,438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6/2017)</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6/1/2012</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35,260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w w:val="95"/>
              </w:rPr>
              <w:t>First-lien revolving loan ($2,010</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rPr>
              <w:t>par, due 6/2017)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6/1/2012</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(3)(4)(6)</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loan ($65,000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10/2020)</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10/31/2014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64,363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64,025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101,358</w:t>
            </w:r>
          </w:p>
        </w:tc>
        <w:tc>
          <w:tcPr>
            <w:tcW w:w="2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101,270</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7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(3)(4)</w:t>
            </w:r>
          </w:p>
        </w:tc>
        <w:tc>
          <w:tcPr>
            <w:tcW w:w="2720" w:type="dxa"/>
            <w:vAlign w:val="bottom"/>
          </w:tcPr>
          <w:p>
            <w:pPr>
              <w:ind w:left="300"/>
              <w:spacing w:after="0"/>
              <w:rPr>
                <w:sz w:val="20"/>
                <w:szCs w:val="20"/>
                <w:color w:val="auto"/>
              </w:rPr>
            </w:pPr>
            <w:r>
              <w:rPr>
                <w:rFonts w:ascii="Arial" w:cs="Arial" w:eastAsia="Arial" w:hAnsi="Arial"/>
                <w:sz w:val="18"/>
                <w:szCs w:val="18"/>
                <w:color w:val="auto"/>
                <w:w w:val="94"/>
              </w:rPr>
              <w:t>First-lien loan ($41,401 par, due</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rPr>
              <w:t>7/2018)</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40,931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40,859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Jeeves Information Systems</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1"/>
              </w:rPr>
              <w:t>First-lien loan (SEK 203,140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(3)(5)(6)</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3/2019)</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6/5/2013</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25,690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Metals and mining</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5"/>
                <w:szCs w:val="15"/>
                <w:color w:val="auto"/>
              </w:rPr>
              <w:t>(3)(4)(6)</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loan ($19,973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11/2019)</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11/21/2013</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21,321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Office products</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(3)(4)(6)</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loan ($35,390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3/2019)</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34,868</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 fuels</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Milagro Exploration, LLC </w:t>
            </w:r>
            <w:r>
              <w:rPr>
                <w:rFonts w:ascii="Arial" w:cs="Arial" w:eastAsia="Arial" w:hAnsi="Arial"/>
                <w:sz w:val="15"/>
                <w:szCs w:val="15"/>
                <w:color w:val="auto"/>
              </w:rPr>
              <w:t>(3)(4)</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loan ($62,857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9/2017)</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62,130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61,457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(3)(4)(8)</w:t>
            </w:r>
          </w:p>
        </w:tc>
        <w:tc>
          <w:tcPr>
            <w:tcW w:w="2720" w:type="dxa"/>
            <w:vAlign w:val="bottom"/>
          </w:tcPr>
          <w:p>
            <w:pPr>
              <w:ind w:left="300"/>
              <w:spacing w:after="0"/>
              <w:rPr>
                <w:sz w:val="20"/>
                <w:szCs w:val="20"/>
                <w:color w:val="auto"/>
              </w:rPr>
            </w:pPr>
            <w:r>
              <w:rPr>
                <w:rFonts w:ascii="Arial" w:cs="Arial" w:eastAsia="Arial" w:hAnsi="Arial"/>
                <w:sz w:val="18"/>
                <w:szCs w:val="18"/>
                <w:color w:val="auto"/>
              </w:rPr>
              <w:t>First-lien loan ($39,505 par,</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13.00% (incl.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Arial" w:cs="Arial" w:eastAsia="Arial" w:hAnsi="Arial"/>
                <w:sz w:val="18"/>
                <w:szCs w:val="18"/>
                <w:color w:val="auto"/>
              </w:rPr>
              <w:t>due 6/2018)</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1.50% PIK)</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6/4/2014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38,706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37,381</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100,836</w:t>
            </w:r>
          </w:p>
        </w:tc>
        <w:tc>
          <w:tcPr>
            <w:tcW w:w="20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Retail</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(3)(4)</w:t>
            </w: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First-lien loan ($42,000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due 10/2019)</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10/10/2014</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41,149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41,370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2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20" w:type="dxa"/>
            <w:vAlign w:val="bottom"/>
          </w:tcPr>
          <w:p>
            <w:pPr>
              <w:jc w:val="right"/>
              <w:ind w:right="1350"/>
              <w:spacing w:after="0"/>
              <w:rPr>
                <w:sz w:val="20"/>
                <w:szCs w:val="20"/>
                <w:color w:val="auto"/>
              </w:rPr>
            </w:pPr>
            <w:r>
              <w:rPr>
                <w:rFonts w:ascii="Arial" w:cs="Arial" w:eastAsia="Arial" w:hAnsi="Arial"/>
                <w:sz w:val="18"/>
                <w:szCs w:val="18"/>
                <w:color w:val="auto"/>
                <w:w w:val="79"/>
              </w:rPr>
              <w:t>11</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Transportation</w:t>
            </w:r>
          </w:p>
        </w:tc>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(3)(5)</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Second-lien loan ($62,500 par,</w:t>
            </w: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10/2019)</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10/2/2013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1,251,749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1,248,618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Equity and Other Investments</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Network Merchants, Inc</w:t>
            </w:r>
          </w:p>
        </w:tc>
        <w:tc>
          <w:tcPr>
            <w:tcW w:w="3000" w:type="dxa"/>
            <w:vAlign w:val="bottom"/>
          </w:tcPr>
          <w:p>
            <w:pPr>
              <w:ind w:left="200"/>
              <w:spacing w:after="0"/>
              <w:rPr>
                <w:sz w:val="20"/>
                <w:szCs w:val="20"/>
                <w:color w:val="auto"/>
              </w:rPr>
            </w:pPr>
            <w:r>
              <w:rPr>
                <w:rFonts w:ascii="Arial" w:cs="Arial" w:eastAsia="Arial" w:hAnsi="Arial"/>
                <w:sz w:val="18"/>
                <w:szCs w:val="18"/>
                <w:color w:val="auto"/>
              </w:rPr>
              <w:t>Non-Voting Preferred Units</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(774,099 units)</w:t>
            </w:r>
          </w:p>
        </w:tc>
        <w:tc>
          <w:tcPr>
            <w:tcW w:w="1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9/12/2013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932</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w w:val="96"/>
              </w:rPr>
              <w:t>Healthcare and pharmaceuticals</w:t>
            </w: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Global Healthcare Exchange, LLC</w:t>
            </w:r>
          </w:p>
        </w:tc>
        <w:tc>
          <w:tcPr>
            <w:tcW w:w="3000" w:type="dxa"/>
            <w:vAlign w:val="bottom"/>
          </w:tcPr>
          <w:p>
            <w:pPr>
              <w:ind w:left="200"/>
              <w:spacing w:after="0"/>
              <w:rPr>
                <w:sz w:val="20"/>
                <w:szCs w:val="20"/>
                <w:color w:val="auto"/>
              </w:rPr>
            </w:pPr>
            <w:r>
              <w:rPr>
                <w:rFonts w:ascii="Arial" w:cs="Arial" w:eastAsia="Arial" w:hAnsi="Arial"/>
                <w:sz w:val="18"/>
                <w:szCs w:val="18"/>
                <w:color w:val="auto"/>
              </w:rPr>
              <w:t>Common Shares Class A (598</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18"/>
                <w:szCs w:val="18"/>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Class B (196</w:t>
            </w: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w:t>
            </w:r>
          </w:p>
        </w:tc>
        <w:tc>
          <w:tcPr>
            <w:tcW w:w="1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(5)</w:t>
            </w:r>
          </w:p>
        </w:tc>
        <w:tc>
          <w:tcPr>
            <w:tcW w:w="300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Class A</w:t>
            </w: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(1,980 shares)</w:t>
            </w:r>
          </w:p>
        </w:tc>
        <w:tc>
          <w:tcPr>
            <w:tcW w:w="1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Common Shares Class B</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(2,953,020 shares)</w:t>
            </w:r>
          </w:p>
        </w:tc>
        <w:tc>
          <w:tcPr>
            <w:tcW w:w="1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IRG Sports &amp; Entertainment, LLC</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Warrants</w:t>
            </w: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Metals and mining</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Metalico, Inc.</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Warrants</w:t>
            </w:r>
          </w:p>
        </w:tc>
        <w:tc>
          <w:tcPr>
            <w:tcW w:w="1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11/21/2013</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 fuels</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(8)</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 Member Units</w:t>
            </w: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(933 units)</w:t>
            </w:r>
          </w:p>
        </w:tc>
        <w:tc>
          <w:tcPr>
            <w:tcW w:w="1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b w:val="1"/>
                <w:bCs w:val="1"/>
                <w:color w:val="auto"/>
              </w:rPr>
              <w:t>Other</w:t>
            </w: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(5)(7)</w:t>
            </w:r>
          </w:p>
        </w:tc>
        <w:tc>
          <w:tcPr>
            <w:tcW w:w="3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Structured Product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5.98%</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11/17/2014</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5"/>
        </w:trPr>
        <w:tc>
          <w:tcPr>
            <w:tcW w:w="294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3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14,893</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30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0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vMerge w:val="continue"/>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1,273,252</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1,263,511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150.0%</w:t>
            </w: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30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right="140" w:hanging="532"/>
        <w:spacing w:after="0" w:line="256"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2014, the Company does not “control” any of the portfolio companies nor are any of its portfolio companies considered to be “affiliates” (see Note 4). Certain portfolio company investments are subject to contractual restrictions on sales.</w:t>
      </w:r>
    </w:p>
    <w:p>
      <w:pPr>
        <w:ind w:left="540" w:right="160" w:hanging="532"/>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40" w:right="20" w:hanging="532"/>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ind w:left="540" w:right="520" w:hanging="532"/>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jc w:val="both"/>
        <w:ind w:left="540" w:right="220" w:hanging="532"/>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40" w:right="380" w:hanging="532"/>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40" w:right="60" w:hanging="532"/>
        <w:spacing w:after="0" w:line="255"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51" w:right="239" w:bottom="1440" w:gutter="0" w:footer="0" w:header="0"/>
        </w:sectPr>
      </w:pPr>
    </w:p>
    <w:bookmarkStart w:id="12" w:name="page13"/>
    <w:bookmarkEnd w:id="12"/>
    <w:p>
      <w:pPr>
        <w:ind w:left="540"/>
        <w:spacing w:after="0"/>
        <w:rPr>
          <w:sz w:val="20"/>
          <w:szCs w:val="20"/>
          <w:color w:val="auto"/>
        </w:rPr>
      </w:pPr>
      <w:r>
        <w:rPr>
          <w:rFonts w:ascii="Arial" w:cs="Arial" w:eastAsia="Arial" w:hAnsi="Arial"/>
          <w:sz w:val="16"/>
          <w:szCs w:val="16"/>
          <w:color w:val="auto"/>
        </w:rPr>
        <w:t>management agreement). Transactions during the year ended December 31, 2014 in which the issuer was an Affiliated Person of and was deemed to</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Control a portfolio company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5"/>
              </w:rPr>
              <w:t>Fair Value at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7"/>
          </w:tcPr>
          <w:p>
            <w:pPr>
              <w:jc w:val="center"/>
              <w:ind w:right="60"/>
              <w:spacing w:after="0" w:line="196" w:lineRule="exact"/>
              <w:rPr>
                <w:sz w:val="20"/>
                <w:szCs w:val="20"/>
                <w:color w:val="auto"/>
              </w:rPr>
            </w:pPr>
            <w:r>
              <w:rPr>
                <w:rFonts w:ascii="Arial" w:cs="Arial" w:eastAsia="Arial" w:hAnsi="Arial"/>
                <w:sz w:val="18"/>
                <w:szCs w:val="18"/>
                <w:b w:val="1"/>
                <w:bCs w:val="1"/>
                <w:color w:val="auto"/>
                <w:w w:val="89"/>
              </w:rPr>
              <w:t>Additions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6"/>
          </w:tcPr>
          <w:p>
            <w:pPr>
              <w:jc w:val="center"/>
              <w:ind w:right="60"/>
              <w:spacing w:after="0" w:line="196" w:lineRule="exact"/>
              <w:rPr>
                <w:sz w:val="20"/>
                <w:szCs w:val="20"/>
                <w:color w:val="auto"/>
              </w:rPr>
            </w:pPr>
            <w:r>
              <w:rPr>
                <w:rFonts w:ascii="Arial" w:cs="Arial" w:eastAsia="Arial" w:hAnsi="Arial"/>
                <w:sz w:val="18"/>
                <w:szCs w:val="18"/>
                <w:b w:val="1"/>
                <w:bCs w:val="1"/>
                <w:color w:val="auto"/>
                <w:w w:val="87"/>
              </w:rPr>
              <w:t>Reductions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8"/>
          </w:tcPr>
          <w:p>
            <w:pPr>
              <w:jc w:val="center"/>
              <w:ind w:right="280"/>
              <w:spacing w:after="0" w:line="196" w:lineRule="exact"/>
              <w:rPr>
                <w:sz w:val="20"/>
                <w:szCs w:val="20"/>
                <w:color w:val="auto"/>
              </w:rPr>
            </w:pPr>
            <w:r>
              <w:rPr>
                <w:rFonts w:ascii="Arial" w:cs="Arial" w:eastAsia="Arial" w:hAnsi="Arial"/>
                <w:sz w:val="18"/>
                <w:szCs w:val="18"/>
                <w:b w:val="1"/>
                <w:bCs w:val="1"/>
                <w:color w:val="auto"/>
                <w:w w:val="92"/>
              </w:rPr>
              <w:t>Unrealized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tcPr>
          <w:p>
            <w:pPr>
              <w:jc w:val="center"/>
              <w:ind w:right="460"/>
              <w:spacing w:after="0" w:line="196" w:lineRule="exact"/>
              <w:rPr>
                <w:sz w:val="20"/>
                <w:szCs w:val="20"/>
                <w:color w:val="auto"/>
              </w:rPr>
            </w:pPr>
            <w:r>
              <w:rPr>
                <w:rFonts w:ascii="Arial" w:cs="Arial" w:eastAsia="Arial" w:hAnsi="Arial"/>
                <w:sz w:val="18"/>
                <w:szCs w:val="18"/>
                <w:b w:val="1"/>
                <w:bCs w:val="1"/>
                <w:color w:val="auto"/>
                <w:w w:val="90"/>
              </w:rPr>
              <w:t>Realized</w:t>
            </w:r>
          </w:p>
        </w:tc>
        <w:tc>
          <w:tcPr>
            <w:tcW w:w="1360" w:type="dxa"/>
            <w:vAlign w:val="bottom"/>
            <w:gridSpan w:val="7"/>
          </w:tcPr>
          <w:p>
            <w:pPr>
              <w:jc w:val="center"/>
              <w:ind w:right="260"/>
              <w:spacing w:after="0" w:line="196"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4"/>
          </w:tcPr>
          <w:p>
            <w:pPr>
              <w:jc w:val="center"/>
              <w:ind w:right="460"/>
              <w:spacing w:after="0" w:line="196"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7"/>
                <w:szCs w:val="17"/>
                <w:color w:val="auto"/>
              </w:rPr>
            </w:pPr>
          </w:p>
        </w:tc>
        <w:tc>
          <w:tcPr>
            <w:tcW w:w="8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3"/>
          </w:tcPr>
          <w:p>
            <w:pPr>
              <w:ind w:left="460"/>
              <w:spacing w:after="0" w:line="196" w:lineRule="exact"/>
              <w:rPr>
                <w:sz w:val="20"/>
                <w:szCs w:val="20"/>
                <w:color w:val="auto"/>
              </w:rPr>
            </w:pPr>
            <w:r>
              <w:rPr>
                <w:rFonts w:ascii="Arial" w:cs="Arial" w:eastAsia="Arial" w:hAnsi="Arial"/>
                <w:sz w:val="18"/>
                <w:szCs w:val="18"/>
                <w:b w:val="1"/>
                <w:bCs w:val="1"/>
                <w:color w:val="auto"/>
              </w:rPr>
              <w:t>Company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left="230"/>
              <w:spacing w:after="0" w:line="196" w:lineRule="exact"/>
              <w:rPr>
                <w:sz w:val="20"/>
                <w:szCs w:val="20"/>
                <w:color w:val="auto"/>
              </w:rPr>
            </w:pPr>
            <w:r>
              <w:rPr>
                <w:rFonts w:ascii="Arial" w:cs="Arial" w:eastAsia="Arial" w:hAnsi="Arial"/>
                <w:sz w:val="18"/>
                <w:szCs w:val="18"/>
                <w:b w:val="1"/>
                <w:bCs w:val="1"/>
                <w:color w:val="auto"/>
                <w:w w:val="89"/>
              </w:rPr>
              <w:t>2013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center"/>
              <w:ind w:right="230"/>
              <w:spacing w:after="0" w:line="196" w:lineRule="exact"/>
              <w:rPr>
                <w:sz w:val="20"/>
                <w:szCs w:val="20"/>
                <w:color w:val="auto"/>
              </w:rPr>
            </w:pPr>
            <w:r>
              <w:rPr>
                <w:rFonts w:ascii="Arial" w:cs="Arial" w:eastAsia="Arial" w:hAnsi="Arial"/>
                <w:sz w:val="18"/>
                <w:szCs w:val="18"/>
                <w:b w:val="1"/>
                <w:bCs w:val="1"/>
                <w:color w:val="auto"/>
                <w:w w:val="95"/>
              </w:rPr>
              <w:t>(b)</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8"/>
          </w:tcPr>
          <w:p>
            <w:pPr>
              <w:jc w:val="center"/>
              <w:ind w:right="260"/>
              <w:spacing w:after="0" w:line="196" w:lineRule="exact"/>
              <w:rPr>
                <w:sz w:val="20"/>
                <w:szCs w:val="20"/>
                <w:color w:val="auto"/>
              </w:rPr>
            </w:pPr>
            <w:r>
              <w:rPr>
                <w:rFonts w:ascii="Arial" w:cs="Arial" w:eastAsia="Arial" w:hAnsi="Arial"/>
                <w:sz w:val="18"/>
                <w:szCs w:val="18"/>
                <w:b w:val="1"/>
                <w:bCs w:val="1"/>
                <w:color w:val="auto"/>
                <w:w w:val="90"/>
              </w:rPr>
              <w:t>Gain/(Loss)</w:t>
            </w:r>
          </w:p>
        </w:tc>
        <w:tc>
          <w:tcPr>
            <w:tcW w:w="40" w:type="dxa"/>
            <w:vAlign w:val="bottom"/>
          </w:tcPr>
          <w:p>
            <w:pPr>
              <w:spacing w:after="0"/>
              <w:rPr>
                <w:sz w:val="17"/>
                <w:szCs w:val="17"/>
                <w:color w:val="auto"/>
              </w:rPr>
            </w:pPr>
          </w:p>
        </w:tc>
        <w:tc>
          <w:tcPr>
            <w:tcW w:w="1320" w:type="dxa"/>
            <w:vAlign w:val="bottom"/>
            <w:gridSpan w:val="5"/>
          </w:tcPr>
          <w:p>
            <w:pPr>
              <w:jc w:val="center"/>
              <w:ind w:right="280"/>
              <w:spacing w:after="0" w:line="196" w:lineRule="exact"/>
              <w:rPr>
                <w:sz w:val="20"/>
                <w:szCs w:val="20"/>
                <w:color w:val="auto"/>
              </w:rPr>
            </w:pPr>
            <w:r>
              <w:rPr>
                <w:rFonts w:ascii="Arial" w:cs="Arial" w:eastAsia="Arial" w:hAnsi="Arial"/>
                <w:sz w:val="18"/>
                <w:szCs w:val="18"/>
                <w:b w:val="1"/>
                <w:bCs w:val="1"/>
                <w:color w:val="auto"/>
                <w:w w:val="87"/>
              </w:rPr>
              <w:t>Gain/(Losses)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center"/>
              <w:ind w:left="70"/>
              <w:spacing w:after="0" w:line="196" w:lineRule="exact"/>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center"/>
              <w:ind w:right="380"/>
              <w:spacing w:after="0" w:line="196" w:lineRule="exact"/>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7"/>
                <w:szCs w:val="17"/>
                <w:color w:val="auto"/>
              </w:rPr>
            </w:pPr>
          </w:p>
        </w:tc>
        <w:tc>
          <w:tcPr>
            <w:tcW w:w="8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900" w:type="dxa"/>
            <w:vAlign w:val="bottom"/>
            <w:tcBorders>
              <w:top w:val="single" w:sz="8" w:color="auto"/>
            </w:tcBorders>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top w:val="single" w:sz="8" w:color="auto"/>
            </w:tcBorders>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0" w:type="dxa"/>
            <w:vAlign w:val="bottom"/>
            <w:tcBorders>
              <w:top w:val="single" w:sz="8" w:color="auto"/>
            </w:tcBorders>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0" w:type="dxa"/>
            <w:vAlign w:val="bottom"/>
            <w:tcBorders>
              <w:top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20" w:type="dxa"/>
            <w:vAlign w:val="bottom"/>
            <w:tcBorders>
              <w:right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Mississippi</w:t>
            </w:r>
          </w:p>
        </w:tc>
        <w:tc>
          <w:tcPr>
            <w:tcW w:w="1000" w:type="dxa"/>
            <w:vAlign w:val="bottom"/>
            <w:gridSpan w:val="3"/>
            <w:shd w:val="clear" w:color="auto" w:fill="CFF0FC"/>
          </w:tcPr>
          <w:p>
            <w:pPr>
              <w:spacing w:after="0"/>
              <w:rPr>
                <w:sz w:val="18"/>
                <w:szCs w:val="18"/>
                <w:color w:val="auto"/>
              </w:rPr>
            </w:pPr>
          </w:p>
        </w:tc>
        <w:tc>
          <w:tcPr>
            <w:tcW w:w="5160" w:type="dxa"/>
            <w:vAlign w:val="bottom"/>
            <w:tcBorders>
              <w:left w:val="single" w:sz="8" w:color="CFF0FC"/>
              <w:right w:val="single" w:sz="8" w:color="CFF0FC"/>
            </w:tcBorders>
            <w:gridSpan w:val="35"/>
            <w:shd w:val="clear" w:color="auto" w:fill="CFF0FC"/>
          </w:tcPr>
          <w:p>
            <w:pPr>
              <w:spacing w:after="0"/>
              <w:rPr>
                <w:sz w:val="18"/>
                <w:szCs w:val="18"/>
                <w:color w:val="auto"/>
              </w:rPr>
            </w:pPr>
          </w:p>
        </w:tc>
        <w:tc>
          <w:tcPr>
            <w:tcW w:w="1020" w:type="dxa"/>
            <w:vAlign w:val="bottom"/>
            <w:gridSpan w:val="4"/>
            <w:shd w:val="clear" w:color="auto" w:fill="CFF0FC"/>
          </w:tcPr>
          <w:p>
            <w:pPr>
              <w:spacing w:after="0"/>
              <w:rPr>
                <w:sz w:val="18"/>
                <w:szCs w:val="18"/>
                <w:color w:val="auto"/>
              </w:rPr>
            </w:pPr>
          </w:p>
        </w:tc>
        <w:tc>
          <w:tcPr>
            <w:tcW w:w="2100" w:type="dxa"/>
            <w:vAlign w:val="bottom"/>
            <w:tcBorders>
              <w:left w:val="single" w:sz="8" w:color="CFF0FC"/>
              <w:right w:val="single" w:sz="8" w:color="CFF0FC"/>
            </w:tcBorders>
            <w:gridSpan w:val="12"/>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Resources, LLC</w:t>
            </w:r>
          </w:p>
        </w:tc>
        <w:tc>
          <w:tcPr>
            <w:tcW w:w="3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88"/>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6"/>
            <w:shd w:val="clear" w:color="auto" w:fill="CFF0FC"/>
          </w:tcPr>
          <w:p>
            <w:pPr>
              <w:ind w:left="200"/>
              <w:spacing w:after="0"/>
              <w:rPr>
                <w:sz w:val="20"/>
                <w:szCs w:val="20"/>
                <w:color w:val="auto"/>
              </w:rPr>
            </w:pPr>
            <w:r>
              <w:rPr>
                <w:rFonts w:ascii="Arial" w:cs="Arial" w:eastAsia="Arial" w:hAnsi="Arial"/>
                <w:sz w:val="18"/>
                <w:szCs w:val="18"/>
                <w:color w:val="auto"/>
                <w:w w:val="87"/>
              </w:rPr>
              <w:t>47,580</w:t>
            </w:r>
          </w:p>
        </w:tc>
        <w:tc>
          <w:tcPr>
            <w:tcW w:w="4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4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CFF0FC"/>
          </w:tcPr>
          <w:p>
            <w:pPr>
              <w:ind w:left="280"/>
              <w:spacing w:after="0"/>
              <w:rPr>
                <w:sz w:val="20"/>
                <w:szCs w:val="20"/>
                <w:color w:val="auto"/>
              </w:rPr>
            </w:pPr>
            <w:r>
              <w:rPr>
                <w:rFonts w:ascii="Arial" w:cs="Arial" w:eastAsia="Arial" w:hAnsi="Arial"/>
                <w:sz w:val="18"/>
                <w:szCs w:val="18"/>
                <w:color w:val="auto"/>
              </w:rPr>
              <w:t>(5,944)</w:t>
            </w:r>
          </w:p>
        </w:tc>
        <w:tc>
          <w:tcPr>
            <w:tcW w:w="24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spacing w:after="0"/>
              <w:rPr>
                <w:sz w:val="20"/>
                <w:szCs w:val="20"/>
                <w:color w:val="auto"/>
              </w:rPr>
            </w:pPr>
          </w:p>
        </w:tc>
        <w:tc>
          <w:tcPr>
            <w:tcW w:w="46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41,636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w w:val="87"/>
              </w:rPr>
              <w:t>47,580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w w:val="80"/>
              </w:rPr>
              <w:t>(5,944)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41,636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143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gridSpan w:val="5"/>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right="760" w:hanging="532"/>
        <w:spacing w:after="0" w:line="25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540" w:right="120" w:hanging="532"/>
        <w:spacing w:after="0" w:line="26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20,787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net investment income</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(21,044)</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(19,717)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9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(18,343)</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beginning of period</w:t>
            </w: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841,530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804,755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 End of the</w:t>
            </w: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140"/>
              <w:spacing w:after="0"/>
              <w:rPr>
                <w:sz w:val="20"/>
                <w:szCs w:val="20"/>
                <w:color w:val="auto"/>
              </w:rPr>
            </w:pPr>
            <w:r>
              <w:rPr>
                <w:rFonts w:ascii="Arial" w:cs="Arial" w:eastAsia="Arial" w:hAnsi="Arial"/>
                <w:sz w:val="18"/>
                <w:szCs w:val="18"/>
                <w:b w:val="1"/>
                <w:bCs w:val="1"/>
                <w:color w:val="auto"/>
              </w:rPr>
              <w:t>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6,818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24,468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 to net cash</w:t>
            </w: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used in operating activities:</w:t>
            </w: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on foreign currency transactions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(7,215)</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Net change in unrealized losses on interest rate swaps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investments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Net realized losses on foreign currency transactions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Net amortization of discount on securities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Accretion of discount on Convertible Senior Notes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investments, net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(139,319)</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(325,289)</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(23,277)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9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(77,254)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Payments on debt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(147,826)</w:t>
            </w: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(517,042)</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(18,282)</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9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78,170</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in Cash and Cash Equivalents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and Cash Equivalents, End of Period</w:t>
            </w: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Excise taxes paid during the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2,701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100"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2014, which was filed with the Securities and Exchange Commission (“SEC”), on February 24, 2015.</w:t>
      </w:r>
    </w:p>
    <w:p>
      <w:pPr>
        <w:spacing w:after="0" w:line="154"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applying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3"/>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3"/>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3"/>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2015,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59" w:lineRule="exact"/>
        <w:rPr>
          <w:sz w:val="20"/>
          <w:szCs w:val="20"/>
          <w:color w:val="auto"/>
        </w:rPr>
      </w:pPr>
    </w:p>
    <w:p>
      <w:pPr>
        <w:ind w:left="520" w:hanging="253"/>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3"/>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sectPr>
      </w:pPr>
    </w:p>
    <w:bookmarkStart w:id="17" w:name="page18"/>
    <w:bookmarkEnd w:id="17"/>
    <w:p>
      <w:pPr>
        <w:ind w:right="20" w:firstLine="259"/>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28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3"/>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80" w:hanging="253"/>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8" w:name="page19"/>
    <w:bookmarkEnd w:id="18"/>
    <w:p>
      <w:pPr>
        <w:ind w:right="160" w:firstLine="259"/>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34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58"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20" w:firstLine="259"/>
        <w:spacing w:after="0" w:line="279" w:lineRule="auto"/>
        <w:rPr>
          <w:sz w:val="20"/>
          <w:szCs w:val="20"/>
          <w:color w:val="auto"/>
        </w:rPr>
      </w:pPr>
      <w:r>
        <w:rPr>
          <w:rFonts w:ascii="Arial" w:cs="Arial" w:eastAsia="Arial" w:hAnsi="Arial"/>
          <w:sz w:val="17"/>
          <w:szCs w:val="17"/>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7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00" w:firstLine="259"/>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Going Concern (Subtopic 205 – 40): Disclosure of Uncertainties About an Entity’s Ability to Continue as a Going Concern</w:t>
      </w:r>
      <w:r>
        <w:rPr>
          <w:rFonts w:ascii="Arial" w:cs="Arial" w:eastAsia="Arial" w:hAnsi="Arial"/>
          <w:sz w:val="17"/>
          <w:szCs w:val="17"/>
          <w:color w:val="auto"/>
        </w:rPr>
        <w:t>.” ASU 2014-15</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79"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 xml:space="preserve">In May 2014, the Financial Accounting Standards Board issued Accounting Standards Update 2014-09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The guidance in this ASU supersedes the revenue recognition requirements in Topic 605, Revenue Recognition. Under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annual reporting periods beginning after December 15, 2016, including interim periods within that reporting period. Early application is not permitted. The Company is currently evaluating the impact of adopting this ASU on its consolidated financial statements. In April 2015, the FASB issued a proposal to defer the effective date of this guidance for an additional year. If approved by the FASB, this guidance would become effective for public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665" w:right="279" w:bottom="1440" w:gutter="0" w:footer="0" w:header="0"/>
        </w:sectPr>
      </w:pPr>
    </w:p>
    <w:bookmarkStart w:id="20" w:name="page21"/>
    <w:bookmarkEnd w:id="20"/>
    <w:p>
      <w:pPr>
        <w:ind w:right="240"/>
        <w:spacing w:after="0" w:line="277" w:lineRule="auto"/>
        <w:rPr>
          <w:sz w:val="20"/>
          <w:szCs w:val="20"/>
          <w:color w:val="auto"/>
        </w:rPr>
      </w:pPr>
      <w:r>
        <w:rPr>
          <w:rFonts w:ascii="Arial" w:cs="Arial" w:eastAsia="Arial" w:hAnsi="Arial"/>
          <w:sz w:val="18"/>
          <w:szCs w:val="18"/>
          <w:color w:val="auto"/>
        </w:rPr>
        <w:t>companies for interim and annual periods beginning after December 15, 2017, with early adoption permitted for interim and annual periods beginning after December 15, 2016.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For the three months ended March 31, 2015, and 2014, the Company incurred expenses of $0.9 million and $0.6 million, respectively, for administrative services payable to the Adviser under the terms of the Administration Agreement.</w:t>
      </w:r>
    </w:p>
    <w:p>
      <w:pPr>
        <w:spacing w:after="0" w:line="170"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4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2015 and 2014, Management Fees were $5.0 million and $4.2 million, respectively.</w:t>
      </w:r>
    </w:p>
    <w:p>
      <w:pPr>
        <w:spacing w:after="0" w:line="225" w:lineRule="exact"/>
        <w:rPr>
          <w:sz w:val="20"/>
          <w:szCs w:val="20"/>
          <w:color w:val="auto"/>
        </w:rPr>
      </w:pPr>
    </w:p>
    <w:p>
      <w:pPr>
        <w:ind w:right="260" w:firstLine="259"/>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For the three months ended March 31, 2015, no Management Fees were waived. For the three months ended March 31, 2014, $2.5 million of Management Fees were waived. Any waived Management Fees were not subject to recoupment by the Adviser. Following the IPO, the Adviser has not waived its right to receive the full Management Fee and accordingly, the Company will be required to continue to pay the full amount of the Management Fee.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100" w:hanging="254"/>
        <w:spacing w:after="0" w:line="259"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7" w:right="239" w:bottom="1440" w:gutter="0" w:footer="0" w:header="0"/>
        </w:sectPr>
      </w:pPr>
    </w:p>
    <w:bookmarkStart w:id="21" w:name="page22"/>
    <w:bookmarkEnd w:id="21"/>
    <w:p>
      <w:pPr>
        <w:ind w:left="520" w:right="120"/>
        <w:spacing w:after="0" w:line="302" w:lineRule="auto"/>
        <w:rPr>
          <w:sz w:val="20"/>
          <w:szCs w:val="20"/>
          <w:color w:val="auto"/>
        </w:rPr>
      </w:pPr>
      <w:r>
        <w:rPr>
          <w:rFonts w:ascii="Arial" w:cs="Arial" w:eastAsia="Arial" w:hAnsi="Arial"/>
          <w:sz w:val="16"/>
          <w:szCs w:val="16"/>
          <w:color w:val="auto"/>
        </w:rPr>
        <w:t>pre-Incentive Fee net investment income for that quarter .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46" w:lineRule="exact"/>
        <w:rPr>
          <w:sz w:val="20"/>
          <w:szCs w:val="20"/>
          <w:color w:val="auto"/>
        </w:rPr>
      </w:pPr>
    </w:p>
    <w:p>
      <w:pPr>
        <w:jc w:val="both"/>
        <w:ind w:left="520"/>
        <w:spacing w:after="0" w:line="254" w:lineRule="auto"/>
        <w:rPr>
          <w:sz w:val="20"/>
          <w:szCs w:val="20"/>
          <w:color w:val="auto"/>
        </w:rPr>
      </w:pPr>
      <w:r>
        <w:rPr>
          <w:rFonts w:ascii="Arial" w:cs="Arial" w:eastAsia="Arial" w:hAnsi="Arial"/>
          <w:sz w:val="18"/>
          <w:szCs w:val="18"/>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sz w:val="20"/>
          <w:szCs w:val="20"/>
          <w:color w:val="auto"/>
        </w:rPr>
      </w:pPr>
    </w:p>
    <w:p>
      <w:pPr>
        <w:ind w:left="520" w:right="18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81" w:lineRule="exact"/>
        <w:rPr>
          <w:sz w:val="20"/>
          <w:szCs w:val="20"/>
          <w:color w:val="auto"/>
        </w:rPr>
      </w:pPr>
    </w:p>
    <w:p>
      <w:pPr>
        <w:ind w:left="520" w:right="40" w:hanging="254"/>
        <w:spacing w:after="0" w:line="289"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16" w:lineRule="exact"/>
        <w:rPr>
          <w:sz w:val="20"/>
          <w:szCs w:val="20"/>
          <w:color w:val="auto"/>
        </w:rPr>
      </w:pPr>
    </w:p>
    <w:p>
      <w:pPr>
        <w:ind w:left="520" w:hanging="253"/>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17" w:lineRule="exact"/>
        <w:rPr>
          <w:rFonts w:ascii="Arial" w:cs="Arial" w:eastAsia="Arial" w:hAnsi="Arial"/>
          <w:sz w:val="18"/>
          <w:szCs w:val="18"/>
          <w:color w:val="auto"/>
        </w:rPr>
      </w:pPr>
    </w:p>
    <w:p>
      <w:pPr>
        <w:ind w:left="520" w:right="360" w:hanging="253"/>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62" w:lineRule="exact"/>
        <w:rPr>
          <w:rFonts w:ascii="Arial" w:cs="Arial" w:eastAsia="Arial" w:hAnsi="Arial"/>
          <w:sz w:val="18"/>
          <w:szCs w:val="18"/>
          <w:color w:val="auto"/>
        </w:rPr>
      </w:pPr>
    </w:p>
    <w:p>
      <w:pPr>
        <w:ind w:left="520" w:right="260" w:hanging="253"/>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80" w:firstLine="259"/>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300" w:firstLine="259"/>
        <w:spacing w:after="0" w:line="308" w:lineRule="auto"/>
        <w:rPr>
          <w:sz w:val="20"/>
          <w:szCs w:val="20"/>
          <w:color w:val="auto"/>
        </w:rPr>
      </w:pPr>
      <w:r>
        <w:rPr>
          <w:rFonts w:ascii="Arial" w:cs="Arial" w:eastAsia="Arial" w:hAnsi="Arial"/>
          <w:sz w:val="17"/>
          <w:szCs w:val="17"/>
          <w:color w:val="auto"/>
        </w:rPr>
        <w:t>For the three months ended March 31, 2015, Incentive Fees were $5.0 million, of which $4.5 million were realized and payable to the Adviser. For the three months ended March 31, 2014, Incentive Fees were $4.5 million, of which $3.9 million were realized and payable to the Adviser.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49" w:right="259" w:bottom="1440" w:gutter="0" w:footer="0" w:header="0"/>
        </w:sectPr>
      </w:pPr>
    </w:p>
    <w:bookmarkStart w:id="22" w:name="page23"/>
    <w:bookmarkEnd w:id="22"/>
    <w:p>
      <w:pPr>
        <w:ind w:right="60" w:firstLine="259"/>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March 31, 2015 and December 31, 2014:</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1,206,404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1,199,200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(1,419)</w:t>
            </w: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(7,049)</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1,346,037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1,330,993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2014</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Gain (Loss)</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1,127,215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1,124,246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(6,609)</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1,273,252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6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557" w:right="35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color w:val="auto"/>
        </w:rPr>
        <w:t>The industry composition of Investments at fair value at March 31, 2015 and December 31, 2014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March 31, 2015</w:t>
            </w:r>
          </w:p>
        </w:tc>
        <w:tc>
          <w:tcPr>
            <w:tcW w:w="2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2014</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Chemicals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Electronics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Internet services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Metals and mining</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Retail</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March 31, 2015 and December 31, 2014 is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March 31, 2015</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21.6%</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South</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29.0%</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Canada</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6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During the three months ended March 31, 2015, the Company entered into foreign currency forward contracts related to its non-USD investments. The Company did not have any open foreign currency forward contracts as of March 31,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4" w:name="page25"/>
    <w:bookmarkEnd w:id="24"/>
    <w:p>
      <w:pPr>
        <w:ind w:right="220" w:firstLine="259"/>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right="300" w:firstLine="259"/>
        <w:spacing w:after="0" w:line="264" w:lineRule="auto"/>
        <w:rPr>
          <w:sz w:val="20"/>
          <w:szCs w:val="20"/>
          <w:color w:val="auto"/>
        </w:rPr>
      </w:pPr>
      <w:r>
        <w:rPr>
          <w:rFonts w:ascii="Arial" w:cs="Arial" w:eastAsia="Arial" w:hAnsi="Arial"/>
          <w:sz w:val="18"/>
          <w:szCs w:val="18"/>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81"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47"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During the three months ended March 31, 2015, the Company received $1.3 million and paid $0.9 million related to the quarterly settlements of its interest rate swaps. This net amount is a reduction to interest expense in the Company’s consolidated statements of operations.</w:t>
      </w:r>
    </w:p>
    <w:p>
      <w:pPr>
        <w:spacing w:after="0" w:line="14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For the three months ended March 31, 2015, the Company recognized $0.4 million in unrealized depreciation on derivatives in the consolidated statement of operations related to the swap transactions. As of March 31, 2015, the swap transactions had a fair value of $0.7 million, which is included in receivable on interest rate swaps on the Company’s consolidated balance sheet.</w:t>
      </w:r>
    </w:p>
    <w:p>
      <w:pPr>
        <w:spacing w:after="0" w:line="181"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March 31, 2015, $2.4 million of cash is pledged as collateral under the Company’s derivative instruments and is included in restricted cash as a component of other assets on the Company’s consolidated balance sheet.</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March 31, 2015 and December 31, 2014:</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7"/>
          </w:tcPr>
          <w:p>
            <w:pPr>
              <w:ind w:left="100"/>
              <w:spacing w:after="0"/>
              <w:rPr>
                <w:sz w:val="20"/>
                <w:szCs w:val="20"/>
                <w:color w:val="auto"/>
              </w:rPr>
            </w:pPr>
            <w:r>
              <w:rPr>
                <w:rFonts w:ascii="Arial" w:cs="Arial" w:eastAsia="Arial" w:hAnsi="Arial"/>
                <w:sz w:val="14"/>
                <w:szCs w:val="14"/>
                <w:b w:val="1"/>
                <w:bCs w:val="1"/>
                <w:color w:val="auto"/>
                <w:w w:val="97"/>
              </w:rPr>
              <w:t>Fair Value Hierarchy at March 31, 2015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66,633</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1,132,567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1,199,200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41,834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6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6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123,244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1,207,749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123,911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1,207,749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1,331,660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20" w:type="dxa"/>
            <w:vAlign w:val="bottom"/>
            <w:vMerge w:val="restart"/>
          </w:tcPr>
          <w:p>
            <w:pPr>
              <w:jc w:val="right"/>
              <w:ind w:right="70"/>
              <w:spacing w:after="0"/>
              <w:rPr>
                <w:sz w:val="20"/>
                <w:szCs w:val="20"/>
                <w:color w:val="auto"/>
              </w:rPr>
            </w:pPr>
            <w:r>
              <w:rPr>
                <w:rFonts w:ascii="Arial" w:cs="Arial" w:eastAsia="Arial" w:hAnsi="Arial"/>
                <w:sz w:val="18"/>
                <w:szCs w:val="18"/>
                <w:color w:val="auto"/>
              </w:rPr>
              <w:t>25</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57" w:right="259" w:bottom="1440" w:gutter="0" w:footer="0" w:header="0"/>
        </w:sectPr>
      </w:pPr>
    </w:p>
    <w:bookmarkStart w:id="25" w:name="page26"/>
    <w:bookmarkEnd w:id="25"/>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145"/>
              <w:spacing w:after="0"/>
              <w:rPr>
                <w:sz w:val="20"/>
                <w:szCs w:val="20"/>
                <w:color w:val="auto"/>
              </w:rPr>
            </w:pPr>
            <w:r>
              <w:rPr>
                <w:rFonts w:ascii="Arial" w:cs="Arial" w:eastAsia="Arial" w:hAnsi="Arial"/>
                <w:sz w:val="14"/>
                <w:szCs w:val="14"/>
                <w:b w:val="1"/>
                <w:bCs w:val="1"/>
                <w:color w:val="auto"/>
                <w:w w:val="93"/>
              </w:rPr>
              <w:t>Fair Value Hierarchy at December 31, 2014</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64,910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1,124,246</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111,408</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129,037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1,134,474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1,263,511</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Receivable on interest rate swaps</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130,057</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1,134,474</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1,264,531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4"/>
              </w:rPr>
              <w:t>March 31, 2015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0"/>
              </w:rPr>
              <w:t>Second-lien</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Mezzanine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1,134,474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121,413</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(47,344)</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(47,344)</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(3,239)</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Year</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1,132,567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1,207,749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9"/>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4"/>
              </w:rPr>
              <w:t>March 31,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0"/>
              </w:rPr>
              <w:t>Second-lien</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Mezzanine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854,972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960,307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257,098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325,289</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(51,642)</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(51,642)</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(102,989)</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(103,453)</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4,371</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Transfers into (out of) of Level 3</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Year</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962,577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1,139,008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74"/>
              <w:spacing w:after="0"/>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346" w:right="239" w:bottom="1440" w:gutter="0" w:footer="0" w:header="0"/>
        </w:sectPr>
      </w:pPr>
    </w:p>
    <w:bookmarkStart w:id="26" w:name="page27"/>
    <w:bookmarkEnd w:id="26"/>
    <w:p>
      <w:pPr>
        <w:ind w:right="300" w:firstLine="259"/>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2015 and 2014:</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Net Change in Unrealized</w:t>
            </w:r>
          </w:p>
        </w:tc>
        <w:tc>
          <w:tcPr>
            <w:tcW w:w="14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Appreciation or (Depreciation)</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Appreciation or (Depreciation)</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2015 on</w:t>
            </w:r>
          </w:p>
        </w:tc>
        <w:tc>
          <w:tcPr>
            <w:tcW w:w="14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2014 on</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Investments Held at</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2015</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2014</w:t>
            </w: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2,908</w:t>
            </w:r>
          </w:p>
        </w:tc>
        <w:tc>
          <w:tcPr>
            <w:tcW w:w="80" w:type="dxa"/>
            <w:vAlign w:val="bottom"/>
          </w:tcPr>
          <w:p>
            <w:pPr>
              <w:spacing w:after="0"/>
              <w:rPr>
                <w:sz w:val="19"/>
                <w:szCs w:val="19"/>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Pr>
          <w:p>
            <w:pPr>
              <w:spacing w:after="0"/>
              <w:rPr>
                <w:sz w:val="19"/>
                <w:szCs w:val="19"/>
                <w:color w:val="auto"/>
              </w:rPr>
            </w:pP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r>
      <w:tr>
        <w:trPr>
          <w:trHeight w:val="223"/>
        </w:trPr>
        <w:tc>
          <w:tcPr>
            <w:tcW w:w="3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December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March 31, 2015</w:t>
            </w:r>
          </w:p>
        </w:tc>
        <w:tc>
          <w:tcPr>
            <w:tcW w:w="1320" w:type="dxa"/>
            <w:vAlign w:val="bottom"/>
            <w:tcBorders>
              <w:bottom w:val="single" w:sz="8" w:color="auto"/>
            </w:tcBorders>
          </w:tcPr>
          <w:p>
            <w:pPr>
              <w:spacing w:after="0"/>
              <w:rPr>
                <w:sz w:val="14"/>
                <w:szCs w:val="14"/>
                <w:color w:val="auto"/>
              </w:rPr>
            </w:pPr>
          </w:p>
        </w:tc>
      </w:tr>
      <w:tr>
        <w:trPr>
          <w:trHeight w:val="146"/>
        </w:trPr>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Impact to Valuation</w:t>
            </w:r>
          </w:p>
        </w:tc>
      </w:tr>
      <w:tr>
        <w:trPr>
          <w:trHeight w:val="162"/>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ind w:left="700"/>
              <w:spacing w:after="0"/>
              <w:rPr>
                <w:sz w:val="20"/>
                <w:szCs w:val="20"/>
                <w:color w:val="auto"/>
              </w:rPr>
            </w:pPr>
            <w:r>
              <w:rPr>
                <w:rFonts w:ascii="Arial" w:cs="Arial" w:eastAsia="Arial" w:hAnsi="Arial"/>
                <w:sz w:val="14"/>
                <w:szCs w:val="14"/>
                <w:b w:val="1"/>
                <w:bCs w:val="1"/>
                <w:color w:val="auto"/>
              </w:rPr>
              <w:t>Valuation</w:t>
            </w:r>
          </w:p>
        </w:tc>
        <w:tc>
          <w:tcPr>
            <w:tcW w:w="1640" w:type="dxa"/>
            <w:vAlign w:val="bottom"/>
            <w:gridSpan w:val="2"/>
          </w:tcPr>
          <w:p>
            <w:pPr>
              <w:ind w:left="340"/>
              <w:spacing w:after="0"/>
              <w:rPr>
                <w:sz w:val="20"/>
                <w:szCs w:val="20"/>
                <w:color w:val="auto"/>
              </w:rPr>
            </w:pPr>
            <w:r>
              <w:rPr>
                <w:rFonts w:ascii="Arial" w:cs="Arial" w:eastAsia="Arial" w:hAnsi="Arial"/>
                <w:sz w:val="14"/>
                <w:szCs w:val="14"/>
                <w:b w:val="1"/>
                <w:bCs w:val="1"/>
                <w:color w:val="auto"/>
              </w:rPr>
              <w:t>Unobservable</w:t>
            </w:r>
          </w:p>
        </w:tc>
        <w:tc>
          <w:tcPr>
            <w:tcW w:w="3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Range (Weighted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from an Increase to</w:t>
            </w:r>
          </w:p>
        </w:tc>
      </w:tr>
      <w:tr>
        <w:trPr>
          <w:trHeight w:val="17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2120" w:type="dxa"/>
            <w:vAlign w:val="bottom"/>
            <w:gridSpan w:val="2"/>
          </w:tcPr>
          <w:p>
            <w:pPr>
              <w:ind w:left="680"/>
              <w:spacing w:after="0"/>
              <w:rPr>
                <w:sz w:val="20"/>
                <w:szCs w:val="20"/>
                <w:color w:val="auto"/>
              </w:rPr>
            </w:pPr>
            <w:r>
              <w:rPr>
                <w:rFonts w:ascii="Arial" w:cs="Arial" w:eastAsia="Arial" w:hAnsi="Arial"/>
                <w:sz w:val="14"/>
                <w:szCs w:val="14"/>
                <w:b w:val="1"/>
                <w:bCs w:val="1"/>
                <w:color w:val="auto"/>
              </w:rPr>
              <w:t>Technique</w:t>
            </w:r>
          </w:p>
        </w:tc>
        <w:tc>
          <w:tcPr>
            <w:tcW w:w="1640" w:type="dxa"/>
            <w:vAlign w:val="bottom"/>
            <w:gridSpan w:val="2"/>
          </w:tcPr>
          <w:p>
            <w:pPr>
              <w:ind w:left="580"/>
              <w:spacing w:after="0"/>
              <w:rPr>
                <w:sz w:val="20"/>
                <w:szCs w:val="20"/>
                <w:color w:val="auto"/>
              </w:rPr>
            </w:pPr>
            <w:r>
              <w:rPr>
                <w:rFonts w:ascii="Arial" w:cs="Arial" w:eastAsia="Arial" w:hAnsi="Arial"/>
                <w:sz w:val="14"/>
                <w:szCs w:val="14"/>
                <w:b w:val="1"/>
                <w:bCs w:val="1"/>
                <w:color w:val="auto"/>
              </w:rPr>
              <w:t>Input</w:t>
            </w:r>
          </w:p>
        </w:tc>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Input</w:t>
            </w:r>
          </w:p>
        </w:tc>
      </w:tr>
      <w:tr>
        <w:trPr>
          <w:trHeight w:val="209"/>
        </w:trPr>
        <w:tc>
          <w:tcPr>
            <w:tcW w:w="1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w:t>
            </w:r>
          </w:p>
        </w:tc>
        <w:tc>
          <w:tcPr>
            <w:tcW w:w="4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r>
      <w:tr>
        <w:trPr>
          <w:trHeight w:val="230"/>
        </w:trPr>
        <w:tc>
          <w:tcPr>
            <w:tcW w:w="1660" w:type="dxa"/>
            <w:vAlign w:val="bottom"/>
            <w:shd w:val="clear" w:color="auto" w:fill="CFF0FC"/>
          </w:tcPr>
          <w:p>
            <w:pPr>
              <w:jc w:val="center"/>
              <w:ind w:right="430"/>
              <w:spacing w:after="0"/>
              <w:rPr>
                <w:sz w:val="20"/>
                <w:szCs w:val="20"/>
                <w:color w:val="auto"/>
              </w:rPr>
            </w:pPr>
            <w:r>
              <w:rPr>
                <w:rFonts w:ascii="Arial" w:cs="Arial" w:eastAsia="Arial" w:hAnsi="Arial"/>
                <w:sz w:val="18"/>
                <w:szCs w:val="18"/>
                <w:color w:val="auto"/>
                <w:w w:val="89"/>
              </w:rPr>
              <w:t>investments</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1,132,567</w:t>
            </w:r>
          </w:p>
        </w:tc>
        <w:tc>
          <w:tcPr>
            <w:tcW w:w="23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Income approach (1)</w:t>
            </w:r>
          </w:p>
        </w:tc>
        <w:tc>
          <w:tcPr>
            <w:tcW w:w="1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30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7.54% — 15.61% (10.63%)</w:t>
            </w:r>
          </w:p>
        </w:tc>
        <w:tc>
          <w:tcPr>
            <w:tcW w:w="1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w:t>
            </w:r>
          </w:p>
        </w:tc>
      </w:tr>
      <w:tr>
        <w:trPr>
          <w:trHeight w:val="215"/>
        </w:trPr>
        <w:tc>
          <w:tcPr>
            <w:tcW w:w="1660" w:type="dxa"/>
            <w:vAlign w:val="bottom"/>
          </w:tcPr>
          <w:p>
            <w:pPr>
              <w:spacing w:after="0"/>
              <w:rPr>
                <w:sz w:val="20"/>
                <w:szCs w:val="20"/>
                <w:color w:val="auto"/>
              </w:rPr>
            </w:pPr>
            <w:r>
              <w:rPr>
                <w:rFonts w:ascii="Arial" w:cs="Arial" w:eastAsia="Arial" w:hAnsi="Arial"/>
                <w:sz w:val="18"/>
                <w:szCs w:val="18"/>
                <w:color w:val="auto"/>
              </w:rPr>
              <w:t>Second-lien debt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660" w:type="dxa"/>
            <w:vAlign w:val="bottom"/>
          </w:tcPr>
          <w:p>
            <w:pPr>
              <w:jc w:val="center"/>
              <w:ind w:right="430"/>
              <w:spacing w:after="0"/>
              <w:rPr>
                <w:sz w:val="20"/>
                <w:szCs w:val="20"/>
                <w:color w:val="auto"/>
              </w:rPr>
            </w:pPr>
            <w:r>
              <w:rPr>
                <w:rFonts w:ascii="Arial" w:cs="Arial" w:eastAsia="Arial" w:hAnsi="Arial"/>
                <w:sz w:val="18"/>
                <w:szCs w:val="18"/>
                <w:color w:val="auto"/>
                <w:w w:val="89"/>
              </w:rPr>
              <w:t>investments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61,406</w:t>
            </w: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64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3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10.93% — 10.93% (10.93%)</w:t>
            </w:r>
          </w:p>
        </w:tc>
        <w:tc>
          <w:tcPr>
            <w:tcW w:w="1320" w:type="dxa"/>
            <w:vAlign w:val="bottom"/>
          </w:tcPr>
          <w:p>
            <w:pPr>
              <w:ind w:left="20"/>
              <w:spacing w:after="0"/>
              <w:rPr>
                <w:sz w:val="20"/>
                <w:szCs w:val="20"/>
                <w:color w:val="auto"/>
              </w:rPr>
            </w:pPr>
            <w:r>
              <w:rPr>
                <w:rFonts w:ascii="Arial" w:cs="Arial" w:eastAsia="Arial" w:hAnsi="Arial"/>
                <w:sz w:val="18"/>
                <w:szCs w:val="18"/>
                <w:color w:val="auto"/>
              </w:rPr>
              <w:t>Decrease</w:t>
            </w:r>
          </w:p>
        </w:tc>
      </w:tr>
      <w:tr>
        <w:trPr>
          <w:trHeight w:val="215"/>
        </w:trPr>
        <w:tc>
          <w:tcPr>
            <w:tcW w:w="166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Mezzanine debt</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1660" w:type="dxa"/>
            <w:vAlign w:val="bottom"/>
            <w:shd w:val="clear" w:color="auto" w:fill="CFF0FC"/>
          </w:tcPr>
          <w:p>
            <w:pPr>
              <w:jc w:val="center"/>
              <w:ind w:right="430"/>
              <w:spacing w:after="0"/>
              <w:rPr>
                <w:sz w:val="20"/>
                <w:szCs w:val="20"/>
                <w:color w:val="auto"/>
              </w:rPr>
            </w:pPr>
            <w:r>
              <w:rPr>
                <w:rFonts w:ascii="Arial" w:cs="Arial" w:eastAsia="Arial" w:hAnsi="Arial"/>
                <w:sz w:val="18"/>
                <w:szCs w:val="18"/>
                <w:color w:val="auto"/>
                <w:w w:val="89"/>
              </w:rPr>
              <w:t>investments</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23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Income approach</w:t>
            </w:r>
          </w:p>
        </w:tc>
        <w:tc>
          <w:tcPr>
            <w:tcW w:w="1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30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2"/>
              </w:rPr>
              <w:t>19.64% — 19.64% (19.64%)</w:t>
            </w:r>
          </w:p>
        </w:tc>
        <w:tc>
          <w:tcPr>
            <w:tcW w:w="1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w:t>
            </w:r>
          </w:p>
        </w:tc>
      </w:tr>
      <w:tr>
        <w:trPr>
          <w:trHeight w:val="215"/>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Market Multiple,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Discounted Cash Flow or</w:t>
            </w:r>
          </w:p>
        </w:tc>
        <w:tc>
          <w:tcPr>
            <w:tcW w:w="1640" w:type="dxa"/>
            <w:vAlign w:val="bottom"/>
            <w:gridSpan w:val="2"/>
          </w:tcPr>
          <w:p>
            <w:pPr>
              <w:spacing w:after="0"/>
              <w:rPr>
                <w:sz w:val="20"/>
                <w:szCs w:val="20"/>
                <w:color w:val="auto"/>
              </w:rPr>
            </w:pPr>
            <w:r>
              <w:rPr>
                <w:rFonts w:ascii="Arial" w:cs="Arial" w:eastAsia="Arial" w:hAnsi="Arial"/>
                <w:sz w:val="18"/>
                <w:szCs w:val="18"/>
                <w:color w:val="auto"/>
              </w:rPr>
              <w:t>Comparable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Equity and other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Black Scholes Option</w:t>
            </w:r>
          </w:p>
        </w:tc>
        <w:tc>
          <w:tcPr>
            <w:tcW w:w="1640" w:type="dxa"/>
            <w:vAlign w:val="bottom"/>
            <w:gridSpan w:val="2"/>
          </w:tcPr>
          <w:p>
            <w:pPr>
              <w:spacing w:after="0"/>
              <w:rPr>
                <w:sz w:val="20"/>
                <w:szCs w:val="20"/>
                <w:color w:val="auto"/>
              </w:rPr>
            </w:pPr>
            <w:r>
              <w:rPr>
                <w:rFonts w:ascii="Arial" w:cs="Arial" w:eastAsia="Arial" w:hAnsi="Arial"/>
                <w:sz w:val="18"/>
                <w:szCs w:val="18"/>
                <w:color w:val="auto"/>
              </w:rPr>
              <w:t>multiple, discount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Increase or</w:t>
            </w:r>
          </w:p>
        </w:tc>
      </w:tr>
      <w:tr>
        <w:trPr>
          <w:trHeight w:val="230"/>
        </w:trPr>
        <w:tc>
          <w:tcPr>
            <w:tcW w:w="1660" w:type="dxa"/>
            <w:vAlign w:val="bottom"/>
          </w:tcPr>
          <w:p>
            <w:pPr>
              <w:jc w:val="center"/>
              <w:ind w:right="430"/>
              <w:spacing w:after="0"/>
              <w:rPr>
                <w:sz w:val="20"/>
                <w:szCs w:val="20"/>
                <w:color w:val="auto"/>
              </w:rPr>
            </w:pPr>
            <w:r>
              <w:rPr>
                <w:rFonts w:ascii="Arial" w:cs="Arial" w:eastAsia="Arial" w:hAnsi="Arial"/>
                <w:sz w:val="18"/>
                <w:szCs w:val="18"/>
                <w:color w:val="auto"/>
                <w:w w:val="89"/>
              </w:rPr>
              <w:t>investments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8,914</w:t>
            </w: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Model</w:t>
            </w:r>
          </w:p>
        </w:tc>
        <w:tc>
          <w:tcPr>
            <w:tcW w:w="1640" w:type="dxa"/>
            <w:vAlign w:val="bottom"/>
            <w:gridSpan w:val="2"/>
          </w:tcPr>
          <w:p>
            <w:pPr>
              <w:spacing w:after="0"/>
              <w:rPr>
                <w:sz w:val="20"/>
                <w:szCs w:val="20"/>
                <w:color w:val="auto"/>
              </w:rPr>
            </w:pPr>
            <w:r>
              <w:rPr>
                <w:rFonts w:ascii="Arial" w:cs="Arial" w:eastAsia="Arial" w:hAnsi="Arial"/>
                <w:sz w:val="18"/>
                <w:szCs w:val="18"/>
                <w:color w:val="auto"/>
              </w:rPr>
              <w:t>rate or volatility</w:t>
            </w:r>
          </w:p>
        </w:tc>
        <w:tc>
          <w:tcPr>
            <w:tcW w:w="30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9.0x — 13.1x (11.9x) or 12.0% or 40%</w:t>
            </w:r>
          </w:p>
        </w:tc>
        <w:tc>
          <w:tcPr>
            <w:tcW w:w="1320" w:type="dxa"/>
            <w:vAlign w:val="bottom"/>
          </w:tcPr>
          <w:p>
            <w:pPr>
              <w:ind w:left="20"/>
              <w:spacing w:after="0"/>
              <w:rPr>
                <w:sz w:val="20"/>
                <w:szCs w:val="20"/>
                <w:color w:val="auto"/>
              </w:rPr>
            </w:pPr>
            <w:r>
              <w:rPr>
                <w:rFonts w:ascii="Arial" w:cs="Arial" w:eastAsia="Arial" w:hAnsi="Arial"/>
                <w:sz w:val="18"/>
                <w:szCs w:val="18"/>
                <w:color w:val="auto"/>
              </w:rPr>
              <w:t>decrease</w:t>
            </w:r>
          </w:p>
        </w:tc>
      </w:tr>
    </w:tbl>
    <w:p>
      <w:pPr>
        <w:spacing w:after="0" w:line="161" w:lineRule="exact"/>
        <w:rPr>
          <w:sz w:val="20"/>
          <w:szCs w:val="20"/>
          <w:color w:val="auto"/>
        </w:rPr>
      </w:pPr>
    </w:p>
    <w:p>
      <w:pPr>
        <w:ind w:left="540" w:right="380" w:hanging="53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$54.2 million of first-lien debt investments which, due to the proximity of the transactions relative to the measurement date, were valued using the cost of the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December 31, 2014</w:t>
            </w:r>
          </w:p>
        </w:tc>
        <w:tc>
          <w:tcPr>
            <w:tcW w:w="1320" w:type="dxa"/>
            <w:vAlign w:val="bottom"/>
            <w:tcBorders>
              <w:bottom w:val="single" w:sz="8" w:color="auto"/>
            </w:tcBorders>
          </w:tcPr>
          <w:p>
            <w:pPr>
              <w:spacing w:after="0"/>
              <w:rPr>
                <w:sz w:val="14"/>
                <w:szCs w:val="14"/>
                <w:color w:val="auto"/>
              </w:rPr>
            </w:pPr>
          </w:p>
        </w:tc>
      </w:tr>
      <w:tr>
        <w:trPr>
          <w:trHeight w:val="146"/>
        </w:trPr>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Impact to Valuation</w:t>
            </w:r>
          </w:p>
        </w:tc>
      </w:tr>
      <w:tr>
        <w:trPr>
          <w:trHeight w:val="162"/>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ind w:left="700"/>
              <w:spacing w:after="0"/>
              <w:rPr>
                <w:sz w:val="20"/>
                <w:szCs w:val="20"/>
                <w:color w:val="auto"/>
              </w:rPr>
            </w:pPr>
            <w:r>
              <w:rPr>
                <w:rFonts w:ascii="Arial" w:cs="Arial" w:eastAsia="Arial" w:hAnsi="Arial"/>
                <w:sz w:val="14"/>
                <w:szCs w:val="14"/>
                <w:b w:val="1"/>
                <w:bCs w:val="1"/>
                <w:color w:val="auto"/>
              </w:rPr>
              <w:t>Valuation</w:t>
            </w:r>
          </w:p>
        </w:tc>
        <w:tc>
          <w:tcPr>
            <w:tcW w:w="1640" w:type="dxa"/>
            <w:vAlign w:val="bottom"/>
            <w:gridSpan w:val="2"/>
          </w:tcPr>
          <w:p>
            <w:pPr>
              <w:ind w:left="340"/>
              <w:spacing w:after="0"/>
              <w:rPr>
                <w:sz w:val="20"/>
                <w:szCs w:val="20"/>
                <w:color w:val="auto"/>
              </w:rPr>
            </w:pPr>
            <w:r>
              <w:rPr>
                <w:rFonts w:ascii="Arial" w:cs="Arial" w:eastAsia="Arial" w:hAnsi="Arial"/>
                <w:sz w:val="14"/>
                <w:szCs w:val="14"/>
                <w:b w:val="1"/>
                <w:bCs w:val="1"/>
                <w:color w:val="auto"/>
              </w:rPr>
              <w:t>Unobservable</w:t>
            </w:r>
          </w:p>
        </w:tc>
        <w:tc>
          <w:tcPr>
            <w:tcW w:w="3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Range (Weighted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from an Increase to</w:t>
            </w:r>
          </w:p>
        </w:tc>
      </w:tr>
      <w:tr>
        <w:trPr>
          <w:trHeight w:val="171"/>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2120" w:type="dxa"/>
            <w:vAlign w:val="bottom"/>
            <w:gridSpan w:val="2"/>
          </w:tcPr>
          <w:p>
            <w:pPr>
              <w:ind w:left="680"/>
              <w:spacing w:after="0"/>
              <w:rPr>
                <w:sz w:val="20"/>
                <w:szCs w:val="20"/>
                <w:color w:val="auto"/>
              </w:rPr>
            </w:pPr>
            <w:r>
              <w:rPr>
                <w:rFonts w:ascii="Arial" w:cs="Arial" w:eastAsia="Arial" w:hAnsi="Arial"/>
                <w:sz w:val="14"/>
                <w:szCs w:val="14"/>
                <w:b w:val="1"/>
                <w:bCs w:val="1"/>
                <w:color w:val="auto"/>
              </w:rPr>
              <w:t>Technique</w:t>
            </w:r>
          </w:p>
        </w:tc>
        <w:tc>
          <w:tcPr>
            <w:tcW w:w="1640" w:type="dxa"/>
            <w:vAlign w:val="bottom"/>
            <w:gridSpan w:val="2"/>
          </w:tcPr>
          <w:p>
            <w:pPr>
              <w:ind w:left="580"/>
              <w:spacing w:after="0"/>
              <w:rPr>
                <w:sz w:val="20"/>
                <w:szCs w:val="20"/>
                <w:color w:val="auto"/>
              </w:rPr>
            </w:pPr>
            <w:r>
              <w:rPr>
                <w:rFonts w:ascii="Arial" w:cs="Arial" w:eastAsia="Arial" w:hAnsi="Arial"/>
                <w:sz w:val="14"/>
                <w:szCs w:val="14"/>
                <w:b w:val="1"/>
                <w:bCs w:val="1"/>
                <w:color w:val="auto"/>
              </w:rPr>
              <w:t>Input</w:t>
            </w:r>
          </w:p>
        </w:tc>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Input</w:t>
            </w:r>
          </w:p>
        </w:tc>
      </w:tr>
      <w:tr>
        <w:trPr>
          <w:trHeight w:val="209"/>
        </w:trPr>
        <w:tc>
          <w:tcPr>
            <w:tcW w:w="1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w:t>
            </w:r>
          </w:p>
        </w:tc>
        <w:tc>
          <w:tcPr>
            <w:tcW w:w="4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r>
      <w:tr>
        <w:trPr>
          <w:trHeight w:val="230"/>
        </w:trPr>
        <w:tc>
          <w:tcPr>
            <w:tcW w:w="1660" w:type="dxa"/>
            <w:vAlign w:val="bottom"/>
            <w:shd w:val="clear" w:color="auto" w:fill="CFF0FC"/>
          </w:tcPr>
          <w:p>
            <w:pPr>
              <w:jc w:val="center"/>
              <w:ind w:right="430"/>
              <w:spacing w:after="0"/>
              <w:rPr>
                <w:sz w:val="20"/>
                <w:szCs w:val="20"/>
                <w:color w:val="auto"/>
              </w:rPr>
            </w:pPr>
            <w:r>
              <w:rPr>
                <w:rFonts w:ascii="Arial" w:cs="Arial" w:eastAsia="Arial" w:hAnsi="Arial"/>
                <w:sz w:val="18"/>
                <w:szCs w:val="18"/>
                <w:color w:val="auto"/>
                <w:w w:val="89"/>
              </w:rPr>
              <w:t>investments</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1,059,336</w:t>
            </w:r>
          </w:p>
        </w:tc>
        <w:tc>
          <w:tcPr>
            <w:tcW w:w="23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Income approach (1)</w:t>
            </w:r>
          </w:p>
        </w:tc>
        <w:tc>
          <w:tcPr>
            <w:tcW w:w="1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30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8.00% — 15.35% (10.86%)</w:t>
            </w:r>
          </w:p>
        </w:tc>
        <w:tc>
          <w:tcPr>
            <w:tcW w:w="1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w:t>
            </w:r>
          </w:p>
        </w:tc>
      </w:tr>
      <w:tr>
        <w:trPr>
          <w:trHeight w:val="215"/>
        </w:trPr>
        <w:tc>
          <w:tcPr>
            <w:tcW w:w="1660" w:type="dxa"/>
            <w:vAlign w:val="bottom"/>
          </w:tcPr>
          <w:p>
            <w:pPr>
              <w:spacing w:after="0"/>
              <w:rPr>
                <w:sz w:val="20"/>
                <w:szCs w:val="20"/>
                <w:color w:val="auto"/>
              </w:rPr>
            </w:pPr>
            <w:r>
              <w:rPr>
                <w:rFonts w:ascii="Arial" w:cs="Arial" w:eastAsia="Arial" w:hAnsi="Arial"/>
                <w:sz w:val="18"/>
                <w:szCs w:val="18"/>
                <w:color w:val="auto"/>
              </w:rPr>
              <w:t>Second-lien debt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660" w:type="dxa"/>
            <w:vAlign w:val="bottom"/>
          </w:tcPr>
          <w:p>
            <w:pPr>
              <w:jc w:val="center"/>
              <w:ind w:right="430"/>
              <w:spacing w:after="0"/>
              <w:rPr>
                <w:sz w:val="20"/>
                <w:szCs w:val="20"/>
                <w:color w:val="auto"/>
              </w:rPr>
            </w:pPr>
            <w:r>
              <w:rPr>
                <w:rFonts w:ascii="Arial" w:cs="Arial" w:eastAsia="Arial" w:hAnsi="Arial"/>
                <w:sz w:val="18"/>
                <w:szCs w:val="18"/>
                <w:color w:val="auto"/>
                <w:w w:val="89"/>
              </w:rPr>
              <w:t>investments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61,250</w:t>
            </w: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64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3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10.97% — 10.97% (10.97%)</w:t>
            </w:r>
          </w:p>
        </w:tc>
        <w:tc>
          <w:tcPr>
            <w:tcW w:w="1320" w:type="dxa"/>
            <w:vAlign w:val="bottom"/>
          </w:tcPr>
          <w:p>
            <w:pPr>
              <w:ind w:left="20"/>
              <w:spacing w:after="0"/>
              <w:rPr>
                <w:sz w:val="20"/>
                <w:szCs w:val="20"/>
                <w:color w:val="auto"/>
              </w:rPr>
            </w:pPr>
            <w:r>
              <w:rPr>
                <w:rFonts w:ascii="Arial" w:cs="Arial" w:eastAsia="Arial" w:hAnsi="Arial"/>
                <w:sz w:val="18"/>
                <w:szCs w:val="18"/>
                <w:color w:val="auto"/>
              </w:rPr>
              <w:t>Decrease</w:t>
            </w:r>
          </w:p>
        </w:tc>
      </w:tr>
      <w:tr>
        <w:trPr>
          <w:trHeight w:val="215"/>
        </w:trPr>
        <w:tc>
          <w:tcPr>
            <w:tcW w:w="1660" w:type="dxa"/>
            <w:vAlign w:val="bottom"/>
            <w:shd w:val="clear" w:color="auto" w:fill="CFF0FC"/>
          </w:tcPr>
          <w:p>
            <w:pPr>
              <w:jc w:val="center"/>
              <w:ind w:right="410"/>
              <w:spacing w:after="0"/>
              <w:rPr>
                <w:sz w:val="20"/>
                <w:szCs w:val="20"/>
                <w:color w:val="auto"/>
              </w:rPr>
            </w:pPr>
            <w:r>
              <w:rPr>
                <w:rFonts w:ascii="Arial" w:cs="Arial" w:eastAsia="Arial" w:hAnsi="Arial"/>
                <w:sz w:val="18"/>
                <w:szCs w:val="18"/>
                <w:color w:val="auto"/>
                <w:w w:val="91"/>
              </w:rPr>
              <w:t>Mezzanine debt</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1660" w:type="dxa"/>
            <w:vAlign w:val="bottom"/>
            <w:shd w:val="clear" w:color="auto" w:fill="CFF0FC"/>
          </w:tcPr>
          <w:p>
            <w:pPr>
              <w:jc w:val="center"/>
              <w:ind w:right="430"/>
              <w:spacing w:after="0"/>
              <w:rPr>
                <w:sz w:val="20"/>
                <w:szCs w:val="20"/>
                <w:color w:val="auto"/>
              </w:rPr>
            </w:pPr>
            <w:r>
              <w:rPr>
                <w:rFonts w:ascii="Arial" w:cs="Arial" w:eastAsia="Arial" w:hAnsi="Arial"/>
                <w:sz w:val="18"/>
                <w:szCs w:val="18"/>
                <w:color w:val="auto"/>
                <w:w w:val="89"/>
              </w:rPr>
              <w:t>investments</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3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Income approach</w:t>
            </w:r>
          </w:p>
        </w:tc>
        <w:tc>
          <w:tcPr>
            <w:tcW w:w="1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30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2"/>
              </w:rPr>
              <w:t>20.78% — 20.78% (20.78%)</w:t>
            </w:r>
          </w:p>
        </w:tc>
        <w:tc>
          <w:tcPr>
            <w:tcW w:w="1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w:t>
            </w:r>
          </w:p>
        </w:tc>
      </w:tr>
      <w:tr>
        <w:trPr>
          <w:trHeight w:val="215"/>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Market Multiple,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Discounted Cash Flow or</w:t>
            </w:r>
          </w:p>
        </w:tc>
        <w:tc>
          <w:tcPr>
            <w:tcW w:w="1640" w:type="dxa"/>
            <w:vAlign w:val="bottom"/>
            <w:gridSpan w:val="2"/>
          </w:tcPr>
          <w:p>
            <w:pPr>
              <w:spacing w:after="0"/>
              <w:rPr>
                <w:sz w:val="20"/>
                <w:szCs w:val="20"/>
                <w:color w:val="auto"/>
              </w:rPr>
            </w:pPr>
            <w:r>
              <w:rPr>
                <w:rFonts w:ascii="Arial" w:cs="Arial" w:eastAsia="Arial" w:hAnsi="Arial"/>
                <w:sz w:val="18"/>
                <w:szCs w:val="18"/>
                <w:color w:val="auto"/>
              </w:rPr>
              <w:t>Comparable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Equity and other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Black Scholes Option</w:t>
            </w:r>
          </w:p>
        </w:tc>
        <w:tc>
          <w:tcPr>
            <w:tcW w:w="1640" w:type="dxa"/>
            <w:vAlign w:val="bottom"/>
            <w:gridSpan w:val="2"/>
          </w:tcPr>
          <w:p>
            <w:pPr>
              <w:spacing w:after="0"/>
              <w:rPr>
                <w:sz w:val="20"/>
                <w:szCs w:val="20"/>
                <w:color w:val="auto"/>
              </w:rPr>
            </w:pPr>
            <w:r>
              <w:rPr>
                <w:rFonts w:ascii="Arial" w:cs="Arial" w:eastAsia="Arial" w:hAnsi="Arial"/>
                <w:sz w:val="18"/>
                <w:szCs w:val="18"/>
                <w:color w:val="auto"/>
              </w:rPr>
              <w:t>multiple, discount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Increase or</w:t>
            </w:r>
          </w:p>
        </w:tc>
      </w:tr>
      <w:tr>
        <w:trPr>
          <w:trHeight w:val="230"/>
        </w:trPr>
        <w:tc>
          <w:tcPr>
            <w:tcW w:w="1660" w:type="dxa"/>
            <w:vAlign w:val="bottom"/>
          </w:tcPr>
          <w:p>
            <w:pPr>
              <w:jc w:val="center"/>
              <w:ind w:right="430"/>
              <w:spacing w:after="0"/>
              <w:rPr>
                <w:sz w:val="20"/>
                <w:szCs w:val="20"/>
                <w:color w:val="auto"/>
              </w:rPr>
            </w:pPr>
            <w:r>
              <w:rPr>
                <w:rFonts w:ascii="Arial" w:cs="Arial" w:eastAsia="Arial" w:hAnsi="Arial"/>
                <w:sz w:val="18"/>
                <w:szCs w:val="18"/>
                <w:color w:val="auto"/>
                <w:w w:val="89"/>
              </w:rPr>
              <w:t>investments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9,368</w:t>
            </w: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Model</w:t>
            </w:r>
          </w:p>
        </w:tc>
        <w:tc>
          <w:tcPr>
            <w:tcW w:w="1640" w:type="dxa"/>
            <w:vAlign w:val="bottom"/>
            <w:gridSpan w:val="2"/>
          </w:tcPr>
          <w:p>
            <w:pPr>
              <w:spacing w:after="0"/>
              <w:rPr>
                <w:sz w:val="20"/>
                <w:szCs w:val="20"/>
                <w:color w:val="auto"/>
              </w:rPr>
            </w:pPr>
            <w:r>
              <w:rPr>
                <w:rFonts w:ascii="Arial" w:cs="Arial" w:eastAsia="Arial" w:hAnsi="Arial"/>
                <w:sz w:val="18"/>
                <w:szCs w:val="18"/>
                <w:color w:val="auto"/>
              </w:rPr>
              <w:t>rate or volatility</w:t>
            </w:r>
          </w:p>
        </w:tc>
        <w:tc>
          <w:tcPr>
            <w:tcW w:w="30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7.9x — 13.0x (10.4x) or 14.4% or 40%</w:t>
            </w:r>
          </w:p>
        </w:tc>
        <w:tc>
          <w:tcPr>
            <w:tcW w:w="1320" w:type="dxa"/>
            <w:vAlign w:val="bottom"/>
          </w:tcPr>
          <w:p>
            <w:pPr>
              <w:ind w:left="20"/>
              <w:spacing w:after="0"/>
              <w:rPr>
                <w:sz w:val="20"/>
                <w:szCs w:val="20"/>
                <w:color w:val="auto"/>
              </w:rPr>
            </w:pPr>
            <w:r>
              <w:rPr>
                <w:rFonts w:ascii="Arial" w:cs="Arial" w:eastAsia="Arial" w:hAnsi="Arial"/>
                <w:sz w:val="18"/>
                <w:szCs w:val="18"/>
                <w:color w:val="auto"/>
              </w:rPr>
              <w:t>decrease</w:t>
            </w:r>
          </w:p>
        </w:tc>
      </w:tr>
    </w:tbl>
    <w:p>
      <w:pPr>
        <w:spacing w:after="0" w:line="161" w:lineRule="exact"/>
        <w:rPr>
          <w:sz w:val="20"/>
          <w:szCs w:val="20"/>
          <w:color w:val="auto"/>
        </w:rPr>
      </w:pPr>
    </w:p>
    <w:p>
      <w:pPr>
        <w:ind w:left="540" w:right="380" w:hanging="53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70"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7" w:name="page28"/>
    <w:bookmarkEnd w:id="27"/>
    <w:p>
      <w:pPr>
        <w:ind w:right="160" w:firstLine="259"/>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The fair value of the Company’s SPV Asset Facility and Revolving Credit Facility, which are categorized as Level 3 within the fair value hierarchy, as of March 31, 2015 and December 31, 2014, approximates their carrying value as the outstanding balances are callable at carrying value. The fair value of the Company’s Convertible Senior Notes, which is categorized as Level 2 within the fair value hierarchy, as of March 31, 2015, was $116.2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2015 and December 31, 2014, the Company’s asset coverage was 273.4% and 311.0%,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2015 and December 31, 2014:</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100" w:type="dxa"/>
            <w:vAlign w:val="bottom"/>
          </w:tcPr>
          <w:p>
            <w:pPr>
              <w:spacing w:after="0"/>
              <w:rPr>
                <w:sz w:val="12"/>
                <w:szCs w:val="12"/>
                <w:color w:val="auto"/>
              </w:rPr>
            </w:pPr>
          </w:p>
        </w:tc>
        <w:tc>
          <w:tcPr>
            <w:tcW w:w="12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7"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6"/>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r>
      <w:tr>
        <w:trPr>
          <w:trHeight w:val="171"/>
        </w:trPr>
        <w:tc>
          <w:tcPr>
            <w:tcW w:w="5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Amount Committed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Available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(2)</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128,725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9"/>
              </w:rPr>
              <w:t>128,725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781,250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360"/>
              <w:spacing w:after="0"/>
              <w:rPr>
                <w:sz w:val="20"/>
                <w:szCs w:val="20"/>
                <w:color w:val="auto"/>
              </w:rPr>
            </w:pPr>
            <w:r>
              <w:rPr>
                <w:rFonts w:ascii="Arial" w:cs="Arial" w:eastAsia="Arial" w:hAnsi="Arial"/>
                <w:sz w:val="18"/>
                <w:szCs w:val="18"/>
                <w:color w:val="auto"/>
                <w:w w:val="89"/>
              </w:rPr>
              <w:t>244,437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445,318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244,437</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9"/>
              </w:rPr>
              <w:t>115,000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112,061</w:t>
            </w:r>
          </w:p>
        </w:tc>
        <w:tc>
          <w:tcPr>
            <w:tcW w:w="120" w:type="dxa"/>
            <w:vAlign w:val="bottom"/>
            <w:shd w:val="clear" w:color="auto" w:fill="CFF0FC"/>
          </w:tcPr>
          <w:p>
            <w:pPr>
              <w:spacing w:after="0"/>
              <w:rPr>
                <w:sz w:val="19"/>
                <w:szCs w:val="19"/>
                <w:color w:val="auto"/>
              </w:rPr>
            </w:pPr>
          </w:p>
        </w:tc>
      </w:tr>
      <w:tr>
        <w:trPr>
          <w:trHeight w:val="223"/>
        </w:trPr>
        <w:tc>
          <w:tcPr>
            <w:tcW w:w="510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1,024,975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9"/>
              </w:rPr>
              <w:t>488,162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485,223</w:t>
            </w:r>
          </w:p>
        </w:tc>
        <w:tc>
          <w:tcPr>
            <w:tcW w:w="12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100" w:type="dxa"/>
            <w:vAlign w:val="bottom"/>
          </w:tcPr>
          <w:p>
            <w:pPr>
              <w:spacing w:after="0"/>
              <w:rPr>
                <w:sz w:val="12"/>
                <w:szCs w:val="12"/>
                <w:color w:val="auto"/>
              </w:rPr>
            </w:pPr>
          </w:p>
        </w:tc>
        <w:tc>
          <w:tcPr>
            <w:tcW w:w="12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7"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16"/>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r>
      <w:tr>
        <w:trPr>
          <w:trHeight w:val="171"/>
        </w:trPr>
        <w:tc>
          <w:tcPr>
            <w:tcW w:w="5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Amount Committed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Available (1)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(3)</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9"/>
              </w:rPr>
              <w:t>106,725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45,279</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781,250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360"/>
              <w:spacing w:after="0"/>
              <w:rPr>
                <w:sz w:val="20"/>
                <w:szCs w:val="20"/>
                <w:color w:val="auto"/>
              </w:rPr>
            </w:pPr>
            <w:r>
              <w:rPr>
                <w:rFonts w:ascii="Arial" w:cs="Arial" w:eastAsia="Arial" w:hAnsi="Arial"/>
                <w:sz w:val="18"/>
                <w:szCs w:val="18"/>
                <w:color w:val="auto"/>
                <w:w w:val="89"/>
              </w:rPr>
              <w:t>177,216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177,216</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9"/>
              </w:rPr>
              <w:t>115,000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111,923</w:t>
            </w:r>
          </w:p>
        </w:tc>
        <w:tc>
          <w:tcPr>
            <w:tcW w:w="120" w:type="dxa"/>
            <w:vAlign w:val="bottom"/>
            <w:shd w:val="clear" w:color="auto" w:fill="CFF0FC"/>
          </w:tcPr>
          <w:p>
            <w:pPr>
              <w:spacing w:after="0"/>
              <w:rPr>
                <w:sz w:val="19"/>
                <w:szCs w:val="19"/>
                <w:color w:val="auto"/>
              </w:rPr>
            </w:pPr>
          </w:p>
        </w:tc>
      </w:tr>
      <w:tr>
        <w:trPr>
          <w:trHeight w:val="223"/>
        </w:trPr>
        <w:tc>
          <w:tcPr>
            <w:tcW w:w="510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1,071,250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360"/>
              <w:spacing w:after="0"/>
              <w:rPr>
                <w:sz w:val="20"/>
                <w:szCs w:val="20"/>
                <w:color w:val="auto"/>
              </w:rPr>
            </w:pPr>
            <w:r>
              <w:rPr>
                <w:rFonts w:ascii="Arial" w:cs="Arial" w:eastAsia="Arial" w:hAnsi="Arial"/>
                <w:sz w:val="18"/>
                <w:szCs w:val="18"/>
                <w:color w:val="auto"/>
                <w:w w:val="89"/>
              </w:rPr>
              <w:t>398,941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511,468</w:t>
            </w:r>
          </w:p>
        </w:tc>
        <w:tc>
          <w:tcPr>
            <w:tcW w:w="200" w:type="dxa"/>
            <w:vAlign w:val="bottom"/>
            <w:gridSpan w:val="2"/>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395,864</w:t>
            </w:r>
          </w:p>
        </w:tc>
        <w:tc>
          <w:tcPr>
            <w:tcW w:w="12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40" w:hanging="532"/>
        <w:spacing w:after="0" w:line="261"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57" w:right="25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color w:val="auto"/>
        </w:rPr>
        <w:t>For the three months ended March 31, 2015 and 2014, the components of interest expense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March 31, 2014</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Commitment fees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180" w:type="dxa"/>
            <w:vAlign w:val="bottom"/>
            <w:tcBorders>
              <w:bottom w:val="single" w:sz="8" w:color="CFF0FC"/>
            </w:tcBorders>
          </w:tcPr>
          <w:p>
            <w:pPr>
              <w:spacing w:after="0"/>
              <w:rPr>
                <w:sz w:val="22"/>
                <w:szCs w:val="22"/>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w:t>
            </w:r>
          </w:p>
        </w:tc>
        <w:tc>
          <w:tcPr>
            <w:tcW w:w="180" w:type="dxa"/>
            <w:vAlign w:val="bottom"/>
            <w:shd w:val="clear" w:color="auto" w:fill="CFF0FC"/>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4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320" w:hanging="253"/>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380" w:hanging="254"/>
        <w:spacing w:after="0" w:line="277" w:lineRule="auto"/>
        <w:tabs>
          <w:tab w:leader="none" w:pos="7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40" w:firstLine="259"/>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40" w:hanging="253"/>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7" w:right="239" w:bottom="1440" w:gutter="0" w:footer="0" w:header="0"/>
        </w:sectPr>
      </w:pPr>
    </w:p>
    <w:bookmarkStart w:id="29" w:name="page30"/>
    <w:bookmarkEnd w:id="29"/>
    <w:p>
      <w:pPr>
        <w:jc w:val="both"/>
        <w:ind w:right="20" w:firstLine="259"/>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the Company, under certain circumstances, to increase the size to a maximum of $956.3 million.</w:t>
      </w:r>
    </w:p>
    <w:p>
      <w:pPr>
        <w:spacing w:after="0" w:line="170" w:lineRule="exact"/>
        <w:rPr>
          <w:sz w:val="20"/>
          <w:szCs w:val="20"/>
          <w:color w:val="auto"/>
        </w:rPr>
      </w:pPr>
    </w:p>
    <w:p>
      <w:pPr>
        <w:jc w:val="both"/>
        <w:ind w:right="54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2015, the Company had outstanding debt denominated in Swedish Krona (SEK) of 203.1 million, Euro (EUR) of 28.1 million and Pound Sterling (GBP) of 21.0 million on its Revolving Credit Facility, included in the Outstanding Principal amount in the table above.</w:t>
      </w:r>
    </w:p>
    <w:p>
      <w:pPr>
        <w:spacing w:after="0" w:line="181" w:lineRule="exact"/>
        <w:rPr>
          <w:sz w:val="20"/>
          <w:szCs w:val="20"/>
          <w:color w:val="auto"/>
        </w:rPr>
      </w:pPr>
    </w:p>
    <w:p>
      <w:pPr>
        <w:jc w:val="both"/>
        <w:ind w:right="140" w:firstLine="259"/>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160" w:hanging="253"/>
        <w:spacing w:after="0" w:line="342"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15" w:lineRule="exact"/>
        <w:rPr>
          <w:rFonts w:ascii="Arial" w:cs="Arial" w:eastAsia="Arial" w:hAnsi="Arial"/>
          <w:sz w:val="16"/>
          <w:szCs w:val="16"/>
          <w:color w:val="auto"/>
        </w:rPr>
      </w:pPr>
    </w:p>
    <w:p>
      <w:pPr>
        <w:ind w:left="520" w:hanging="25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7" w:right="239" w:bottom="1440" w:gutter="0" w:footer="0" w:header="0"/>
        </w:sectPr>
      </w:pPr>
    </w:p>
    <w:bookmarkStart w:id="30" w:name="page31"/>
    <w:bookmarkEnd w:id="30"/>
    <w:p>
      <w:pPr>
        <w:ind w:right="160" w:firstLine="259"/>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The amended and restated facility, among other things:</w:t>
      </w:r>
    </w:p>
    <w:p>
      <w:pPr>
        <w:spacing w:after="0" w:line="62" w:lineRule="exact"/>
        <w:rPr>
          <w:sz w:val="20"/>
          <w:szCs w:val="20"/>
          <w:color w:val="auto"/>
        </w:rPr>
      </w:pPr>
    </w:p>
    <w:p>
      <w:pPr>
        <w:ind w:left="520" w:hanging="25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17" w:lineRule="exact"/>
        <w:rPr>
          <w:rFonts w:ascii="Arial" w:cs="Arial" w:eastAsia="Arial" w:hAnsi="Arial"/>
          <w:sz w:val="18"/>
          <w:szCs w:val="18"/>
          <w:color w:val="auto"/>
        </w:rPr>
      </w:pPr>
    </w:p>
    <w:p>
      <w:pPr>
        <w:ind w:left="520" w:right="20" w:hanging="253"/>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73" w:lineRule="exact"/>
        <w:rPr>
          <w:rFonts w:ascii="Arial" w:cs="Arial" w:eastAsia="Arial" w:hAnsi="Arial"/>
          <w:sz w:val="18"/>
          <w:szCs w:val="18"/>
          <w:color w:val="auto"/>
        </w:rPr>
      </w:pPr>
    </w:p>
    <w:p>
      <w:pPr>
        <w:ind w:left="520" w:hanging="25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modified pricing for Natixis to cost of funds + 2.25%;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reinvestment period under the amended and restated credit and security agreement terminated on January 21, 2015 and accordingly any undrawn availability under the facility also terminated.</w:t>
      </w:r>
    </w:p>
    <w:p>
      <w:pPr>
        <w:spacing w:after="0" w:line="170"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27, 2015, TPG SL SPV further amended the amended and restated credit and security agreement (as amended, SPV Asset Facility). The second amended and restated credit and security agreement, among other things:</w:t>
      </w:r>
    </w:p>
    <w:p>
      <w:pPr>
        <w:spacing w:after="0" w:line="62" w:lineRule="exact"/>
        <w:rPr>
          <w:sz w:val="20"/>
          <w:szCs w:val="20"/>
          <w:color w:val="auto"/>
        </w:rPr>
      </w:pPr>
    </w:p>
    <w:p>
      <w:pPr>
        <w:ind w:left="520" w:hanging="25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the applicable margin with respect to loans from LIBOR lenders from 2.75% to 2.35%;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syndicated a portion of the outstanding loan previously held by affiliates of Natixis to two new lenders.</w:t>
      </w:r>
    </w:p>
    <w:p>
      <w:pPr>
        <w:spacing w:after="0" w:line="225"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78"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As of March 31, 2015 and December 31, 2014, TPG SL SPV had $360.8 million and $334.0 million, respectively, in investments at fair value, and $128.8 million and $108.8 million, respectively, in liabilities, including the outstanding borrowings, on its balance sheet. As of March 31, 2015 and December 31, 2014, TPG SL SPV had $10.3 million and $10.2 million, respectively, in restricted cash, a component of prepaid expenses and other assets, in the accompanying consolidated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as of March 31, 2015, the Company’s effective interest rate on the Convertible Senior Notes was three-month LIBOR plus 286 basis points. See Note 5 for further information related to the Company’s interest rate swaps.</w:t>
      </w:r>
    </w:p>
    <w:p>
      <w:pPr>
        <w:spacing w:after="0" w:line="180"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7" w:right="239" w:bottom="1440" w:gutter="0" w:footer="0" w:header="0"/>
        </w:sectPr>
      </w:pPr>
    </w:p>
    <w:bookmarkStart w:id="31" w:name="page32"/>
    <w:bookmarkEnd w:id="31"/>
    <w:p>
      <w:pPr>
        <w:spacing w:after="0" w:line="255" w:lineRule="auto"/>
        <w:rPr>
          <w:sz w:val="20"/>
          <w:szCs w:val="20"/>
          <w:color w:val="auto"/>
        </w:rPr>
      </w:pPr>
      <w:r>
        <w:rPr>
          <w:rFonts w:ascii="Arial" w:cs="Arial" w:eastAsia="Arial" w:hAnsi="Arial"/>
          <w:sz w:val="18"/>
          <w:szCs w:val="18"/>
          <w:color w:val="auto"/>
        </w:rPr>
        <w:t>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9"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2015, the components of interest expense related to the Convertible Senior Notes were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2015</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19"/>
                <w:szCs w:val="19"/>
                <w:color w:val="auto"/>
              </w:rPr>
            </w:pP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three months ended March 31, 2015, the Company received $1.3 million and paid $0.9 million related to the quarterly settlement of its interest rate swaps.This net amount is a reduction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88"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As of March 31, 2015,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2015, the components of the carrying value of the Convertible Senior Notes and the stated interest rate were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2019</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Stated interest rate</w:t>
            </w: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is 3 month LIBOR plus 286 basis points. Please see Note 5 for further information about the Company’s interest rate swaps.</w:t>
      </w:r>
    </w:p>
    <w:p>
      <w:pPr>
        <w:spacing w:after="0" w:line="170"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2015, the Company was in compliance with the terms of the Convertible Senior Notes Indenture.</w:t>
      </w:r>
    </w:p>
    <w:p>
      <w:pPr>
        <w:spacing w:after="0" w:line="154"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The Convertible Senior Notes are accounted for in accordance with Accounting Standards Codification (“ASC”) 470-20. Upon conversion of any of the Convertible Senior Notes, the Company intends to pay the outstanding principal amount in cash and, to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57" w:right="259" w:bottom="1440" w:gutter="0" w:footer="0" w:header="0"/>
        </w:sectPr>
      </w:pPr>
    </w:p>
    <w:bookmarkStart w:id="32" w:name="page33"/>
    <w:bookmarkEnd w:id="32"/>
    <w:p>
      <w:pPr>
        <w:ind w:right="140"/>
        <w:spacing w:after="0" w:line="291" w:lineRule="auto"/>
        <w:rPr>
          <w:sz w:val="20"/>
          <w:szCs w:val="20"/>
          <w:color w:val="auto"/>
        </w:rPr>
      </w:pPr>
      <w:r>
        <w:rPr>
          <w:rFonts w:ascii="Arial" w:cs="Arial" w:eastAsia="Arial" w:hAnsi="Arial"/>
          <w:sz w:val="16"/>
          <w:szCs w:val="16"/>
          <w:color w:val="auto"/>
        </w:rPr>
        <w:t>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2015 and December 31, 2014, the Company was in compliance with the terms of its debt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March 31, 2015 and December 31, 2014, the Company had the following commitments to fund investments: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31, 2014</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revolving loan commitments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term loan commitments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2015,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740" w:firstLine="259"/>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180" w:firstLine="259"/>
        <w:spacing w:after="0" w:line="308" w:lineRule="auto"/>
        <w:rPr>
          <w:sz w:val="20"/>
          <w:szCs w:val="20"/>
          <w:color w:val="auto"/>
        </w:rPr>
      </w:pPr>
      <w:r>
        <w:rPr>
          <w:rFonts w:ascii="Arial" w:cs="Arial" w:eastAsia="Arial" w:hAnsi="Arial"/>
          <w:sz w:val="17"/>
          <w:szCs w:val="17"/>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4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93"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For the three months ended March 31, 2014, the Company issued 4,234,501 shares and received proceeds of $65 million related to capital drawdowns delivered pursuant to the Subscription Agreement.</w:t>
      </w:r>
    </w:p>
    <w:p>
      <w:pPr>
        <w:spacing w:after="0" w:line="170" w:lineRule="exact"/>
        <w:rPr>
          <w:sz w:val="20"/>
          <w:szCs w:val="20"/>
          <w:color w:val="auto"/>
        </w:rPr>
      </w:pPr>
    </w:p>
    <w:p>
      <w:pPr>
        <w:ind w:right="180" w:firstLine="259"/>
        <w:spacing w:after="0" w:line="291" w:lineRule="auto"/>
        <w:rPr>
          <w:sz w:val="20"/>
          <w:szCs w:val="20"/>
          <w:color w:val="auto"/>
        </w:rPr>
      </w:pPr>
      <w:r>
        <w:rPr>
          <w:rFonts w:ascii="Arial" w:cs="Arial" w:eastAsia="Arial" w:hAnsi="Arial"/>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57" w:right="25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color w:val="auto"/>
        </w:rPr>
        <w:t>market transactions by the plan administrator will be allocated to a stockholder based on the average purchase price, excluding any brokerage charges or other charges, of all shares of common stock purchased in the open market.</w:t>
      </w:r>
    </w:p>
    <w:p>
      <w:pPr>
        <w:spacing w:after="0" w:line="170" w:lineRule="exact"/>
        <w:rPr>
          <w:sz w:val="20"/>
          <w:szCs w:val="20"/>
          <w:color w:val="auto"/>
        </w:rPr>
      </w:pPr>
    </w:p>
    <w:p>
      <w:pPr>
        <w:jc w:val="both"/>
        <w:ind w:right="26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2015 and 2014. All shares issued to stockholders in the tables below are newly issued shares.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March 31, 2015</w:t>
            </w: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2014</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9"/>
              </w:rPr>
              <w:t>December 31, 2014</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 2015</w:t>
            </w:r>
          </w:p>
        </w:tc>
        <w:tc>
          <w:tcPr>
            <w:tcW w:w="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March 31, 2014</w:t>
            </w: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31, 2013</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9"/>
              </w:rPr>
              <w:t>December 31, 2013</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13, 2014</w:t>
            </w:r>
          </w:p>
        </w:tc>
        <w:tc>
          <w:tcPr>
            <w:tcW w:w="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below the Company’s net asset value per share, in accordance with the guidelines specified in Rule 10b-18 and Rule 10b5-1 of the Exchange Act.</w:t>
      </w:r>
    </w:p>
    <w:p>
      <w:pPr>
        <w:spacing w:after="0" w:line="181"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an agent selected by the Company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June 30, 2015 or such time as the approved $50 million repurchase amount has been fully utilized, subject to certain conditions.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2015, no shares had been repurchased under the Company 10b5-1 Plan.</w:t>
      </w:r>
    </w:p>
    <w:p>
      <w:pPr>
        <w:spacing w:after="0" w:line="200" w:lineRule="exact"/>
        <w:rPr>
          <w:sz w:val="20"/>
          <w:szCs w:val="20"/>
          <w:color w:val="auto"/>
        </w:rPr>
      </w:pPr>
    </w:p>
    <w:p>
      <w:pPr>
        <w:spacing w:after="0" w:line="210"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March 31, 2015</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8"/>
              </w:rPr>
              <w:t>March 31, 2014</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Weighted average shares of common stock outstanding—basic</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53,902,074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41,539,083</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FF0FC"/>
          </w:tcPr>
          <w:p>
            <w:pPr>
              <w:spacing w:after="0"/>
              <w:rPr>
                <w:sz w:val="19"/>
                <w:szCs w:val="19"/>
                <w:color w:val="auto"/>
              </w:rPr>
            </w:pPr>
          </w:p>
        </w:tc>
      </w:tr>
      <w:tr>
        <w:trPr>
          <w:trHeight w:val="432"/>
        </w:trPr>
        <w:tc>
          <w:tcPr>
            <w:tcW w:w="5460" w:type="dxa"/>
            <w:vAlign w:val="bottom"/>
            <w:gridSpan w:val="2"/>
          </w:tcPr>
          <w:p>
            <w:pPr>
              <w:jc w:val="right"/>
              <w:ind w:right="710"/>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34" w:name="page35"/>
    <w:bookmarkEnd w:id="34"/>
    <w:p>
      <w:pPr>
        <w:ind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March 31, 2015 was less than the conversion price for the Convertible Senior Notes outstanding as of March 31, 2015. Therefore, for all periods presented in the financial statements, the underlying shares for the intrinsic value of the embedded options in the Convertible Senior Notes have no impact on the computation of diluted earnings per common share.</w:t>
      </w:r>
    </w:p>
    <w:p>
      <w:pPr>
        <w:spacing w:after="0" w:line="372"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dividends declared during the three months ended March 31, 2015 and 2014:</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6"/>
              </w:rPr>
              <w:t>March 31, 2015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142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Record Date</w:t>
            </w:r>
          </w:p>
        </w:tc>
        <w:tc>
          <w:tcPr>
            <w:tcW w:w="134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w w:val="95"/>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2015</w:t>
            </w:r>
          </w:p>
        </w:tc>
        <w:tc>
          <w:tcPr>
            <w:tcW w:w="134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1"/>
              </w:rPr>
              <w:t>March 31, 2015</w:t>
            </w:r>
          </w:p>
        </w:tc>
        <w:tc>
          <w:tcPr>
            <w:tcW w:w="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ind w:left="184"/>
              <w:spacing w:after="0"/>
              <w:rPr>
                <w:sz w:val="20"/>
                <w:szCs w:val="20"/>
                <w:color w:val="auto"/>
              </w:rPr>
            </w:pPr>
            <w:r>
              <w:rPr>
                <w:rFonts w:ascii="Arial" w:cs="Arial" w:eastAsia="Arial" w:hAnsi="Arial"/>
                <w:sz w:val="18"/>
                <w:szCs w:val="18"/>
                <w:color w:val="auto"/>
                <w:w w:val="93"/>
              </w:rPr>
              <w:t>April 30, 2015</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6"/>
              </w:rPr>
              <w:t>March 31, 2014</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142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Record Date</w:t>
            </w:r>
          </w:p>
        </w:tc>
        <w:tc>
          <w:tcPr>
            <w:tcW w:w="134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w w:val="95"/>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26, 2014</w:t>
            </w:r>
          </w:p>
        </w:tc>
        <w:tc>
          <w:tcPr>
            <w:tcW w:w="134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1"/>
              </w:rPr>
              <w:t>March 31, 2014</w:t>
            </w:r>
          </w:p>
        </w:tc>
        <w:tc>
          <w:tcPr>
            <w:tcW w:w="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ind w:left="184"/>
              <w:spacing w:after="0"/>
              <w:rPr>
                <w:sz w:val="20"/>
                <w:szCs w:val="20"/>
                <w:color w:val="auto"/>
              </w:rPr>
            </w:pPr>
            <w:r>
              <w:rPr>
                <w:rFonts w:ascii="Arial" w:cs="Arial" w:eastAsia="Arial" w:hAnsi="Arial"/>
                <w:sz w:val="18"/>
                <w:szCs w:val="18"/>
                <w:color w:val="auto"/>
                <w:w w:val="93"/>
              </w:rPr>
              <w:t>April 30, 2014</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dividends declared during the three months ended March 31, 2015 and 2014 were derived from net investment income, determined on a tax basis.</w:t>
      </w: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three months ended March 31, 2015 and 2014 were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Capital Gains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right="260" w:hanging="532"/>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three months ended March 31, 2015 and 2014, 75.9% and 84.0% of ordinary income qualified as interest related dividend which is exempt from U.S. withholding tax applicable to non U.S. shareholders.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reconciles increase in net assets resulting from operations for the three months ended March 31, 2015 and 2014 to taxable income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on investments</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(1,560)</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(5,715)</w:t>
            </w: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Other income for tax purposes, not book</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30"/>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508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r>
      <w:tr>
        <w:trPr>
          <w:trHeight w:val="230"/>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(1,188)</w:t>
            </w:r>
          </w:p>
        </w:tc>
      </w:tr>
      <w:tr>
        <w:trPr>
          <w:trHeight w:val="223"/>
        </w:trPr>
        <w:tc>
          <w:tcPr>
            <w:tcW w:w="5080" w:type="dxa"/>
            <w:vAlign w:val="bottom"/>
          </w:tcPr>
          <w:p>
            <w:pPr>
              <w:ind w:left="500"/>
              <w:spacing w:after="0"/>
              <w:rPr>
                <w:sz w:val="20"/>
                <w:szCs w:val="20"/>
                <w:color w:val="auto"/>
              </w:rPr>
            </w:pPr>
            <w:r>
              <w:rPr>
                <w:rFonts w:ascii="Arial" w:cs="Arial" w:eastAsia="Arial" w:hAnsi="Arial"/>
                <w:sz w:val="18"/>
                <w:szCs w:val="18"/>
                <w:b w:val="1"/>
                <w:bCs w:val="1"/>
                <w:color w:val="auto"/>
              </w:rPr>
              <w:t>Taxable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w:t>
            </w: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557" w:right="319" w:bottom="1440" w:gutter="0" w:footer="0" w:header="0"/>
        </w:sectPr>
      </w:pPr>
    </w:p>
    <w:bookmarkStart w:id="35" w:name="page36"/>
    <w:bookmarkEnd w:id="35"/>
    <w:p>
      <w:pPr>
        <w:ind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During the three months ended March 31, 2015, permanent differences were principally related to $1.7 million of recharacterization of prepayment penalties for tax purposes between ordinary income and capital gains, $1.9 million attributable to derivative reclassifications, and $0.3 million attributable to accrued U.S. federal excise taxes. 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w:t>
      </w:r>
    </w:p>
    <w:p>
      <w:pPr>
        <w:spacing w:after="0" w:line="188" w:lineRule="exact"/>
        <w:rPr>
          <w:sz w:val="20"/>
          <w:szCs w:val="20"/>
          <w:color w:val="auto"/>
        </w:rPr>
      </w:pPr>
    </w:p>
    <w:p>
      <w:pPr>
        <w:jc w:val="both"/>
        <w:ind w:right="440" w:firstLine="259"/>
        <w:spacing w:after="0" w:line="312" w:lineRule="auto"/>
        <w:rPr>
          <w:sz w:val="20"/>
          <w:szCs w:val="20"/>
          <w:color w:val="auto"/>
        </w:rPr>
      </w:pPr>
      <w:r>
        <w:rPr>
          <w:rFonts w:ascii="Arial" w:cs="Arial" w:eastAsia="Arial" w:hAnsi="Arial"/>
          <w:sz w:val="16"/>
          <w:szCs w:val="16"/>
          <w:color w:val="auto"/>
        </w:rPr>
        <w:t xml:space="preserve">The Company neither has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the Company have any unrecognized tax benefits as of the periods presented herein. Although the Company files federal and state tax returns, our major tax jurisdiction is federal. Our inception-to-date federal tax year remains subject to examination by the Internal Revenue Service.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cost of the Company’s investments as of March 31, 2015 and December 31, 2014, approximates their amortized cost.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48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three months ended March 31, 2015 and 2014.</w:t>
      </w:r>
    </w:p>
    <w:p>
      <w:pPr>
        <w:spacing w:after="0" w:line="23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4"/>
                <w:szCs w:val="1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15.53</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realized and unrealized gain </w:t>
            </w:r>
            <w:r>
              <w:rPr>
                <w:rFonts w:ascii="Arial" w:cs="Arial" w:eastAsia="Arial" w:hAnsi="Arial"/>
                <w:sz w:val="15"/>
                <w:szCs w:val="15"/>
                <w:color w:val="auto"/>
              </w:rPr>
              <w:t>(1)</w:t>
            </w:r>
          </w:p>
        </w:tc>
        <w:tc>
          <w:tcPr>
            <w:tcW w:w="9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(1)</w:t>
            </w: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Dividends declared from net investment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5"/>
                <w:szCs w:val="15"/>
                <w:color w:val="auto"/>
              </w:rPr>
              <w:t>(2)</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increase (decrease) in net assets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tcPr>
          <w:p>
            <w:pPr>
              <w:ind w:left="220"/>
              <w:spacing w:after="0"/>
              <w:rPr>
                <w:sz w:val="20"/>
                <w:szCs w:val="20"/>
                <w:color w:val="auto"/>
              </w:rPr>
            </w:pPr>
            <w:r>
              <w:rPr>
                <w:rFonts w:ascii="Arial" w:cs="Arial" w:eastAsia="Arial" w:hAnsi="Arial"/>
                <w:sz w:val="18"/>
                <w:szCs w:val="18"/>
                <w:b w:val="1"/>
                <w:bCs w:val="1"/>
                <w:color w:val="auto"/>
              </w:rPr>
              <w:t>Net Asset Value, End of Period</w:t>
            </w:r>
          </w:p>
        </w:tc>
        <w:tc>
          <w:tcPr>
            <w:tcW w:w="9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end of period</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53,959,848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51,887,708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Ratios / Supplemental Data</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Ratio of net expenses to average net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15"/>
                <w:szCs w:val="15"/>
                <w:color w:val="auto"/>
              </w:rPr>
              <w:t>(5)</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 to</w:t>
            </w: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(5)</w:t>
            </w: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 xml:space="preserve">Portfolio turnover </w:t>
            </w:r>
            <w:r>
              <w:rPr>
                <w:rFonts w:ascii="Arial" w:cs="Arial" w:eastAsia="Arial" w:hAnsi="Arial"/>
                <w:sz w:val="15"/>
                <w:szCs w:val="15"/>
                <w:color w:val="auto"/>
              </w:rPr>
              <w:t>(5)</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841,530</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804,755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40" w:right="200" w:hanging="532"/>
        <w:spacing w:after="0" w:line="261"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6" w:name="page37"/>
    <w:bookmarkEnd w:id="36"/>
    <w:p>
      <w:pPr>
        <w:ind w:left="540" w:right="520" w:hanging="532"/>
        <w:spacing w:after="0" w:line="25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40" w:firstLine="259"/>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3"/>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480" w:hanging="253"/>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On November 3, 2014, our Board approved a stock repurchase plan, the Company 10b5-1 Plan, to acquire up to $50 million in the aggregate of our common stock at prices below our net asset value over a specified period, in accordance with the guidelines specified in Rule 10b-18 and Rule 10b5-1 of the Exchange Act. Unless extended or terminated by the Board, the Company 10b5-1 Plan will be in effect through the earlier of June 30, 2015 or such time as the approved $50 million repurchase amount has been fully utilized, subject to certain conditions. As of March 31, 2015, no shares had been repurchased under the Company 10b5-1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March 31, 2015, we have originated more than $3.6 billion aggregate principal amount of investments and retained approximately $2.5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8"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2015, our core portfolio companies, which excludes certain investments that fall outside of our typical borrower profile, had weighted average annual revenue of $126 million and weighted average annual EBITDA of $32 million.</w:t>
      </w:r>
    </w:p>
    <w:p>
      <w:pPr>
        <w:spacing w:after="0" w:line="18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2015, our average investment size in each of our portfolio companies was approximately $38.0 million.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341" w:right="279" w:bottom="1440" w:gutter="0" w:footer="0" w:header="0"/>
        </w:sectPr>
      </w:pPr>
    </w:p>
    <w:bookmarkStart w:id="37" w:name="page38"/>
    <w:bookmarkEnd w:id="37"/>
    <w:p>
      <w:pPr>
        <w:ind w:right="160" w:firstLine="259"/>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129"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2015, no industry represented more than 16.2% of our total investment portfolio.</w:t>
      </w:r>
    </w:p>
    <w:p>
      <w:pPr>
        <w:spacing w:after="0" w:line="225"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As of March 31, 2015, approximately 97.9%</w:t>
      </w:r>
      <w:r>
        <w:rPr>
          <w:rFonts w:ascii="Arial" w:cs="Arial" w:eastAsia="Arial" w:hAnsi="Arial"/>
          <w:sz w:val="18"/>
          <w:szCs w:val="18"/>
          <w:i w:val="1"/>
          <w:iCs w:val="1"/>
          <w:color w:val="auto"/>
        </w:rPr>
        <w:t xml:space="preserve"> </w:t>
      </w:r>
      <w:r>
        <w:rPr>
          <w:rFonts w:ascii="Arial" w:cs="Arial" w:eastAsia="Arial" w:hAnsi="Arial"/>
          <w:sz w:val="18"/>
          <w:szCs w:val="18"/>
          <w:color w:val="auto"/>
        </w:rPr>
        <w:t>of our portfolio was invested in secured debt, including 90.1%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2015, the weighted average term on new investment commitments in new portfolio companies was 5.5 years.</w:t>
      </w:r>
    </w:p>
    <w:p>
      <w:pPr>
        <w:spacing w:after="0" w:line="189"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140" w:firstLine="259"/>
        <w:spacing w:after="0" w:line="291"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March 31, 2015, we had call protection on 93.9% of our debt investments, with weighted average call prices of 107.2% for the first year,</w:t>
      </w:r>
    </w:p>
    <w:p>
      <w:pPr>
        <w:ind w:right="480"/>
        <w:spacing w:after="0" w:line="323" w:lineRule="auto"/>
        <w:rPr>
          <w:sz w:val="20"/>
          <w:szCs w:val="20"/>
          <w:color w:val="auto"/>
        </w:rPr>
      </w:pPr>
      <w:r>
        <w:rPr>
          <w:rFonts w:ascii="Arial" w:cs="Arial" w:eastAsia="Arial" w:hAnsi="Arial"/>
          <w:sz w:val="16"/>
          <w:szCs w:val="16"/>
          <w:color w:val="auto"/>
        </w:rPr>
        <w:t>104.0% for the second year and 102.0% for the third year, in each case from the date of the initial investment. As of March 31, 2015, 96.5% of our debt investments bore interest at floating rates, subject to interest rate floors, which we believe helps act as a portfolio-wide hedge against inflation.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85"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TSSP, with over $11 billion of assets under management,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is TPG’s special situations and credit platform. TSSP has extensive experience with highly complex, global public and private investments executed through primary originations, secondary market purchases and restructurings, and has a team of over 100 investment and operating professionals. Twenty six (26) of these personnel are dedicated to our business, including 19 investment professionals.</w:t>
      </w:r>
    </w:p>
    <w:p>
      <w:pPr>
        <w:spacing w:after="0" w:line="70" w:lineRule="exact"/>
        <w:rPr>
          <w:sz w:val="20"/>
          <w:szCs w:val="20"/>
          <w:color w:val="auto"/>
        </w:rPr>
      </w:pPr>
    </w:p>
    <w:p>
      <w:pPr>
        <w:ind w:right="240" w:firstLine="259"/>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57" w:right="259" w:bottom="1440" w:gutter="0" w:footer="0" w:header="0"/>
        </w:sectPr>
      </w:pPr>
    </w:p>
    <w:bookmarkStart w:id="38" w:name="page39"/>
    <w:bookmarkEnd w:id="38"/>
    <w:p>
      <w:pPr>
        <w:ind w:right="60"/>
        <w:spacing w:after="0" w:line="264" w:lineRule="auto"/>
        <w:rPr>
          <w:sz w:val="20"/>
          <w:szCs w:val="20"/>
          <w:color w:val="auto"/>
        </w:rPr>
      </w:pPr>
      <w:r>
        <w:rPr>
          <w:rFonts w:ascii="Arial" w:cs="Arial" w:eastAsia="Arial" w:hAnsi="Arial"/>
          <w:sz w:val="18"/>
          <w:szCs w:val="18"/>
          <w:color w:val="auto"/>
        </w:rPr>
        <w:t>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1"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93"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March 31, 2015, 96.5% bear interest at a floating rate, subject to interest rate floors. Interest on debt investments is generally payable quarterly or semiannually. Some of our investments provide for deferred interest payments or PIK interest. For the three months ended March 31, 2015, less than 3.0% of our total investment income was comprised of PIK interest.</w:t>
      </w:r>
    </w:p>
    <w:p>
      <w:pPr>
        <w:spacing w:after="0" w:line="173"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39" w:name="page40"/>
    <w:bookmarkEnd w:id="39"/>
    <w:p>
      <w:pPr>
        <w:ind w:right="480" w:firstLine="259"/>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420" w:firstLine="259"/>
        <w:spacing w:after="0" w:line="279" w:lineRule="auto"/>
        <w:rPr>
          <w:sz w:val="20"/>
          <w:szCs w:val="20"/>
          <w:color w:val="auto"/>
        </w:rPr>
      </w:pPr>
      <w:r>
        <w:rPr>
          <w:rFonts w:ascii="Arial" w:cs="Arial" w:eastAsia="Arial" w:hAnsi="Arial"/>
          <w:sz w:val="17"/>
          <w:szCs w:val="17"/>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3"/>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hanging="253"/>
        <w:spacing w:after="0" w:line="30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right="300" w:hanging="253"/>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57" w:right="259" w:bottom="1440" w:gutter="0" w:footer="0" w:header="0"/>
        </w:sectPr>
      </w:pPr>
    </w:p>
    <w:bookmarkStart w:id="40" w:name="page41"/>
    <w:bookmarkEnd w:id="40"/>
    <w:p>
      <w:pPr>
        <w:ind w:right="36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The limited number of providers of capital to middle-market companies, combined with expected increases in required capital levels for financial institutions, reduces the capacity of traditional lenders to serve middle-market companies. Further, GE Capital, the largest non-bank lender in the U.S. middle market, recently announced its intention to sell nearly all of its non-captive finance assets. We believe that the exit of one of the largest middle market non-bank lender will likely create opportunities for the remaining non-bank lenders, including BDCs.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78"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As of March 31, 2015, our portfolio consisted of 90.1% first-lien debt investments, 7.8% second-lien debt investments, 1.0% mezzanine debt investments and 1.1% equity and other investments. As of December 31, 2014, our portfolio consisted of 89.0% first-lien debt investments, 8.8% second-lien debt investments, 1.0% mezzanine debt investments, and 1.2% equity and other investments.</w:t>
      </w:r>
    </w:p>
    <w:p>
      <w:pPr>
        <w:spacing w:after="0" w:line="181" w:lineRule="exact"/>
        <w:rPr>
          <w:sz w:val="20"/>
          <w:szCs w:val="20"/>
          <w:color w:val="auto"/>
        </w:rPr>
      </w:pPr>
    </w:p>
    <w:p>
      <w:pPr>
        <w:ind w:right="380" w:firstLine="259"/>
        <w:spacing w:after="0" w:line="312" w:lineRule="auto"/>
        <w:rPr>
          <w:sz w:val="20"/>
          <w:szCs w:val="20"/>
          <w:color w:val="auto"/>
        </w:rPr>
      </w:pPr>
      <w:r>
        <w:rPr>
          <w:rFonts w:ascii="Arial" w:cs="Arial" w:eastAsia="Arial" w:hAnsi="Arial"/>
          <w:sz w:val="16"/>
          <w:szCs w:val="16"/>
          <w:color w:val="auto"/>
        </w:rPr>
        <w:t>As of March 31, 2015 and December 31, 2014, our weighted average total yield of debt and income producing securities at fair value (which includes interest income and amortization of fees and discounts) was 10.4% and 10.3%, respectively, and our weighted average total yield of debt and income producing securities at amortized cost (which includes interest income and amortization of fees and discounts) was 10.3% and 10.3%, respectively.</w:t>
      </w:r>
    </w:p>
    <w:p>
      <w:pPr>
        <w:spacing w:after="0" w:line="147" w:lineRule="exact"/>
        <w:rPr>
          <w:sz w:val="20"/>
          <w:szCs w:val="20"/>
          <w:color w:val="auto"/>
        </w:rPr>
      </w:pPr>
    </w:p>
    <w:p>
      <w:pPr>
        <w:ind w:right="620" w:firstLine="259"/>
        <w:spacing w:after="0" w:line="277" w:lineRule="auto"/>
        <w:rPr>
          <w:sz w:val="20"/>
          <w:szCs w:val="20"/>
          <w:color w:val="auto"/>
        </w:rPr>
      </w:pPr>
      <w:r>
        <w:rPr>
          <w:rFonts w:ascii="Arial" w:cs="Arial" w:eastAsia="Arial" w:hAnsi="Arial"/>
          <w:sz w:val="18"/>
          <w:szCs w:val="18"/>
          <w:color w:val="auto"/>
        </w:rPr>
        <w:t>As of March 31, 2015 and December 31, 2014, we had investments in 35 and 34 portfolio companies, respectively, with an aggregate fair value of $1,331.0 million and $1,263.5 million, respectively.</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months ended March 31, 2015, we made new investment commitments of $137.8 million, $101.0 million in three new portfolio companies and $36.8 million in three existing portfolio companies. For this period, we had $60.8 million aggregate principal amount in exits and repayments, resulting in a net portfolio increase of $71.0 million aggregate principal amount.</w:t>
      </w:r>
    </w:p>
    <w:p>
      <w:pPr>
        <w:spacing w:after="0" w:line="181"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a net portfolio increase of $187.0 million aggregate principal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7" w:right="239" w:bottom="1440" w:gutter="0" w:footer="0" w:header="0"/>
        </w:sectPr>
      </w:pPr>
    </w:p>
    <w:bookmarkStart w:id="41" w:name="page42"/>
    <w:bookmarkEnd w:id="41"/>
    <w:p>
      <w:pPr>
        <w:ind w:firstLine="259"/>
        <w:spacing w:after="0" w:line="277" w:lineRule="auto"/>
        <w:rPr>
          <w:sz w:val="20"/>
          <w:szCs w:val="20"/>
          <w:color w:val="auto"/>
        </w:rPr>
      </w:pPr>
      <w:r>
        <w:rPr>
          <w:rFonts w:ascii="Arial" w:cs="Arial" w:eastAsia="Arial" w:hAnsi="Arial"/>
          <w:sz w:val="18"/>
          <w:szCs w:val="18"/>
          <w:color w:val="auto"/>
        </w:rPr>
        <w:t>Our investment activity for the three months ended March 31, 2015 and 2014 is presented below (information presented herein is at par value unless otherwise indicated).</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5100" w:type="dxa"/>
            <w:vAlign w:val="bottom"/>
            <w:gridSpan w:val="2"/>
            <w:vMerge w:val="restart"/>
          </w:tcPr>
          <w:p>
            <w:pPr>
              <w:ind w:left="114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March 31, 2015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3"/>
          </w:tcPr>
          <w:p>
            <w:pPr>
              <w:jc w:val="right"/>
              <w:ind w:right="3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267.8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369.6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55.0</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31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314.6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3"/>
          </w:tcPr>
          <w:p>
            <w:pPr>
              <w:jc w:val="right"/>
              <w:ind w:right="3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gridSpan w:val="2"/>
          </w:tcPr>
          <w:p>
            <w:pPr>
              <w:jc w:val="right"/>
              <w:ind w:right="31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288.2</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6"/>
              </w:rPr>
              <w:t>Principal amount of investments sold or repaid:</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3"/>
          </w:tcPr>
          <w:p>
            <w:pPr>
              <w:jc w:val="right"/>
              <w:ind w:right="3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101.2</w:t>
            </w:r>
          </w:p>
        </w:tc>
        <w:tc>
          <w:tcPr>
            <w:tcW w:w="18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new portfolio companies</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CFF0FC"/>
            </w:tcBorders>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w w:val="95"/>
              </w:rPr>
              <w:t>Average new investment commitment amount 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gridSpan w:val="3"/>
          </w:tcPr>
          <w:p>
            <w:pPr>
              <w:jc w:val="right"/>
              <w:ind w:right="31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180" w:type="dxa"/>
            <w:vAlign w:val="bottom"/>
            <w:tcBorders>
              <w:right w:val="single" w:sz="8" w:color="CFF0FC"/>
            </w:tcBorders>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b w:val="1"/>
                <w:bCs w:val="1"/>
                <w:color w:val="auto"/>
              </w:rPr>
              <w:t>commitments at floating rates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92.9%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98.5%</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at fixed rates</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w w:val="98"/>
              </w:rPr>
              <w:t>Weighted average interest rate on 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40" w:type="dxa"/>
            <w:vAlign w:val="bottom"/>
            <w:gridSpan w:val="6"/>
          </w:tcPr>
          <w:p>
            <w:pPr>
              <w:jc w:val="right"/>
              <w:ind w:right="95"/>
              <w:spacing w:after="0"/>
              <w:rPr>
                <w:sz w:val="20"/>
                <w:szCs w:val="20"/>
                <w:color w:val="auto"/>
              </w:rPr>
            </w:pPr>
            <w:r>
              <w:rPr>
                <w:rFonts w:ascii="Arial" w:cs="Arial" w:eastAsia="Arial" w:hAnsi="Arial"/>
                <w:sz w:val="18"/>
                <w:szCs w:val="18"/>
                <w:color w:val="auto"/>
                <w:w w:val="91"/>
              </w:rPr>
              <w:t>As of March 31, 2015 and December 31, 2014, our investments consisted of the following:</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20" w:type="dxa"/>
            <w:vAlign w:val="bottom"/>
            <w:gridSpan w:val="3"/>
            <w:vMerge w:val="restart"/>
          </w:tcPr>
          <w:p>
            <w:pPr>
              <w:ind w:left="3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2015</w:t>
            </w: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2014</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4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35"/>
              <w:spacing w:after="0" w:line="155"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8"/>
              </w:rPr>
              <w:t>Amortized Cost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1,199.2</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6"/>
              </w:rPr>
              <w:t>1,206.4</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1,124.2</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79"/>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1,127.2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and other investments</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1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1,331.0</w:t>
            </w: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6"/>
              </w:rPr>
              <w:t>1,346.0</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1,263.5</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right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1,273.2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shows the amortized cost of our performing and non-accrual investments as of March 31, 2015 and December 31, 2014:</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6"/>
        </w:trPr>
        <w:tc>
          <w:tcPr>
            <w:tcW w:w="310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Amortized Cost</w:t>
            </w:r>
          </w:p>
        </w:tc>
        <w:tc>
          <w:tcPr>
            <w:tcW w:w="100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Amortized Cost</w:t>
            </w:r>
          </w:p>
        </w:tc>
        <w:tc>
          <w:tcPr>
            <w:tcW w:w="102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Performing</w:t>
            </w:r>
          </w:p>
        </w:tc>
        <w:tc>
          <w:tcPr>
            <w:tcW w:w="19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1,346.0</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Non-accrual (1)</w:t>
            </w:r>
          </w:p>
        </w:tc>
        <w:tc>
          <w:tcPr>
            <w:tcW w:w="19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1,346.0</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1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00" w:type="dxa"/>
            <w:vAlign w:val="bottom"/>
          </w:tcPr>
          <w:p>
            <w:pPr>
              <w:spacing w:after="0"/>
              <w:rPr>
                <w:sz w:val="24"/>
                <w:szCs w:val="24"/>
                <w:color w:val="auto"/>
              </w:rPr>
            </w:pPr>
          </w:p>
        </w:tc>
        <w:tc>
          <w:tcPr>
            <w:tcW w:w="2280" w:type="dxa"/>
            <w:vAlign w:val="bottom"/>
            <w:gridSpan w:val="2"/>
          </w:tcPr>
          <w:p>
            <w:pPr>
              <w:jc w:val="right"/>
              <w:ind w:right="76"/>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557" w:right="699" w:bottom="1440" w:gutter="0" w:footer="0" w:header="0"/>
        </w:sectPr>
      </w:pPr>
    </w:p>
    <w:bookmarkStart w:id="42" w:name="page43"/>
    <w:bookmarkEnd w:id="42"/>
    <w:p>
      <w:pPr>
        <w:ind w:left="540" w:right="140" w:hanging="532"/>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weighted average yields and interest rates of our debt investments at fair value as of March 31, 2015 and December 31, 2014 were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March 31, 2015</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2014</w:t>
            </w:r>
          </w:p>
        </w:tc>
      </w:tr>
      <w:tr>
        <w:trPr>
          <w:trHeight w:val="195"/>
        </w:trPr>
        <w:tc>
          <w:tcPr>
            <w:tcW w:w="53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total yield of debt and income producing</w:t>
            </w:r>
          </w:p>
        </w:tc>
        <w:tc>
          <w:tcPr>
            <w:tcW w:w="10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30"/>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securities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 rate</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3"/>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ind w:left="520" w:right="20" w:hanging="253"/>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73" w:lineRule="exact"/>
        <w:rPr>
          <w:rFonts w:ascii="Arial" w:cs="Arial" w:eastAsia="Arial" w:hAnsi="Arial"/>
          <w:sz w:val="18"/>
          <w:szCs w:val="18"/>
          <w:color w:val="auto"/>
        </w:rPr>
      </w:pPr>
    </w:p>
    <w:p>
      <w:pPr>
        <w:ind w:left="520" w:right="260" w:hanging="253"/>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hanging="253"/>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right="220" w:hanging="253"/>
        <w:spacing w:after="0" w:line="276"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4" w:lineRule="exact"/>
        <w:rPr>
          <w:rFonts w:ascii="Arial" w:cs="Arial" w:eastAsia="Arial" w:hAnsi="Arial"/>
          <w:sz w:val="17"/>
          <w:szCs w:val="17"/>
          <w:color w:val="auto"/>
        </w:rPr>
      </w:pPr>
    </w:p>
    <w:p>
      <w:pPr>
        <w:ind w:left="520" w:right="120" w:hanging="253"/>
        <w:spacing w:after="0" w:line="259"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41" w:right="259" w:bottom="1440" w:gutter="0" w:footer="0" w:header="0"/>
        </w:sectPr>
      </w:pPr>
    </w:p>
    <w:bookmarkStart w:id="43" w:name="page44"/>
    <w:bookmarkEnd w:id="43"/>
    <w:p>
      <w:pPr>
        <w:ind w:right="30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2015 and December 31, 2014.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320" w:type="dxa"/>
            <w:vAlign w:val="bottom"/>
            <w:gridSpan w:val="2"/>
            <w:vMerge w:val="restart"/>
          </w:tcPr>
          <w:p>
            <w:pPr>
              <w:jc w:val="center"/>
              <w:ind w:left="337"/>
              <w:spacing w:after="0"/>
              <w:rPr>
                <w:sz w:val="20"/>
                <w:szCs w:val="20"/>
                <w:color w:val="auto"/>
              </w:rPr>
            </w:pPr>
            <w:r>
              <w:rPr>
                <w:rFonts w:ascii="Arial" w:cs="Arial" w:eastAsia="Arial" w:hAnsi="Arial"/>
                <w:sz w:val="14"/>
                <w:szCs w:val="14"/>
                <w:b w:val="1"/>
                <w:bCs w:val="1"/>
                <w:color w:val="auto"/>
                <w:w w:val="94"/>
              </w:rPr>
              <w:t>Investment</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ind w:left="820"/>
              <w:spacing w:after="0"/>
              <w:rPr>
                <w:sz w:val="20"/>
                <w:szCs w:val="20"/>
                <w:color w:val="auto"/>
              </w:rPr>
            </w:pPr>
            <w:r>
              <w:rPr>
                <w:rFonts w:ascii="Arial" w:cs="Arial" w:eastAsia="Arial" w:hAnsi="Arial"/>
                <w:sz w:val="14"/>
                <w:szCs w:val="14"/>
                <w:b w:val="1"/>
                <w:bCs w:val="1"/>
                <w:color w:val="auto"/>
              </w:rPr>
              <w:t>March 31, 2015</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10"/>
          </w:tcPr>
          <w:p>
            <w:pPr>
              <w:jc w:val="right"/>
              <w:ind w:right="154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tcBorders>
              <w:top w:val="single" w:sz="8" w:color="auto"/>
            </w:tcBorders>
            <w:gridSpan w:val="4"/>
          </w:tcPr>
          <w:p>
            <w:pPr>
              <w:jc w:val="center"/>
              <w:ind w:right="7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320" w:type="dxa"/>
            <w:vAlign w:val="bottom"/>
            <w:gridSpan w:val="2"/>
          </w:tcPr>
          <w:p>
            <w:pPr>
              <w:jc w:val="center"/>
              <w:ind w:left="317"/>
              <w:spacing w:after="0"/>
              <w:rPr>
                <w:sz w:val="20"/>
                <w:szCs w:val="20"/>
                <w:color w:val="auto"/>
              </w:rPr>
            </w:pPr>
            <w:r>
              <w:rPr>
                <w:rFonts w:ascii="Arial" w:cs="Arial" w:eastAsia="Arial" w:hAnsi="Arial"/>
                <w:sz w:val="14"/>
                <w:szCs w:val="14"/>
                <w:b w:val="1"/>
                <w:bCs w:val="1"/>
                <w:color w:val="auto"/>
                <w:w w:val="93"/>
              </w:rPr>
              <w:t>Performance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Percentage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2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4"/>
                <w:szCs w:val="14"/>
                <w:b w:val="1"/>
                <w:bCs w:val="1"/>
                <w:color w:val="auto"/>
                <w:w w:val="96"/>
              </w:rPr>
              <w:t>Rating</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1"/>
              </w:rPr>
              <w:t>in millions)</w:t>
            </w:r>
          </w:p>
        </w:tc>
        <w:tc>
          <w:tcPr>
            <w:tcW w:w="3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4"/>
              </w:rPr>
              <w:t>Total Portfolio</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7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Total Portfolio</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2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786.1</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30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260.7</w:t>
            </w:r>
          </w:p>
        </w:tc>
        <w:tc>
          <w:tcPr>
            <w:tcW w:w="300" w:type="dxa"/>
            <w:vAlign w:val="bottom"/>
          </w:tcPr>
          <w:p>
            <w:pPr>
              <w:spacing w:after="0"/>
              <w:rPr>
                <w:sz w:val="19"/>
                <w:szCs w:val="19"/>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60" w:type="dxa"/>
            <w:vAlign w:val="bottom"/>
            <w:gridSpan w:val="3"/>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5"/>
              </w:rPr>
              <w:t>98.5</w:t>
            </w:r>
          </w:p>
        </w:tc>
        <w:tc>
          <w:tcPr>
            <w:tcW w:w="30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320" w:type="dxa"/>
            <w:vAlign w:val="bottom"/>
            <w:gridSpan w:val="2"/>
          </w:tcPr>
          <w:p>
            <w:pPr>
              <w:jc w:val="center"/>
              <w:ind w:left="337"/>
              <w:spacing w:after="0"/>
              <w:rPr>
                <w:sz w:val="20"/>
                <w:szCs w:val="20"/>
                <w:color w:val="auto"/>
              </w:rPr>
            </w:pPr>
            <w:r>
              <w:rPr>
                <w:rFonts w:ascii="Arial" w:cs="Arial" w:eastAsia="Arial" w:hAnsi="Arial"/>
                <w:sz w:val="18"/>
                <w:szCs w:val="18"/>
                <w:color w:val="auto"/>
                <w:w w:val="94"/>
              </w:rPr>
              <w:t>Total</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42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1,331.0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1,263.5</w:t>
            </w:r>
          </w:p>
        </w:tc>
        <w:tc>
          <w:tcPr>
            <w:tcW w:w="300" w:type="dxa"/>
            <w:vAlign w:val="bottom"/>
          </w:tcPr>
          <w:p>
            <w:pPr>
              <w:spacing w:after="0"/>
              <w:rPr>
                <w:sz w:val="19"/>
                <w:szCs w:val="19"/>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9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20" w:type="dxa"/>
            <w:vAlign w:val="bottom"/>
            <w:gridSpan w:val="11"/>
          </w:tcPr>
          <w:p>
            <w:pPr>
              <w:jc w:val="right"/>
              <w:ind w:right="120"/>
              <w:spacing w:after="0"/>
              <w:rPr>
                <w:sz w:val="20"/>
                <w:szCs w:val="20"/>
                <w:color w:val="auto"/>
              </w:rPr>
            </w:pPr>
            <w:r>
              <w:rPr>
                <w:rFonts w:ascii="Arial" w:cs="Arial" w:eastAsia="Arial" w:hAnsi="Arial"/>
                <w:sz w:val="18"/>
                <w:szCs w:val="18"/>
                <w:color w:val="auto"/>
                <w:w w:val="93"/>
              </w:rPr>
              <w:t>Operating results for the three months ended March 31, 2015 and 2014 were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2640" w:type="dxa"/>
            <w:vAlign w:val="bottom"/>
            <w:gridSpan w:val="5"/>
            <w:vMerge w:val="restart"/>
          </w:tcPr>
          <w:p>
            <w:pPr>
              <w:ind w:left="1140"/>
              <w:spacing w:after="0"/>
              <w:rPr>
                <w:sz w:val="20"/>
                <w:szCs w:val="20"/>
                <w:color w:val="auto"/>
              </w:rPr>
            </w:pPr>
            <w:r>
              <w:rPr>
                <w:rFonts w:ascii="Arial" w:cs="Arial" w:eastAsia="Arial" w:hAnsi="Arial"/>
                <w:sz w:val="14"/>
                <w:szCs w:val="14"/>
                <w:color w:val="auto"/>
              </w:rPr>
              <w:t>($ in millions)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10"/>
          </w:tcPr>
          <w:p>
            <w:pPr>
              <w:jc w:val="right"/>
              <w:ind w:right="14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40" w:type="dxa"/>
            <w:vAlign w:val="bottom"/>
            <w:gridSpan w:val="5"/>
            <w:vMerge w:val="continue"/>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6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1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w w:val="93"/>
              </w:rPr>
              <w:t>Less: Net expenses</w:t>
            </w:r>
          </w:p>
        </w:tc>
        <w:tc>
          <w:tcPr>
            <w:tcW w:w="11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bottom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20" w:type="dxa"/>
            <w:vAlign w:val="bottom"/>
            <w:gridSpan w:val="8"/>
            <w:shd w:val="clear" w:color="auto" w:fill="CFF0FC"/>
          </w:tcPr>
          <w:p>
            <w:pPr>
              <w:ind w:left="60"/>
              <w:spacing w:after="0"/>
              <w:rPr>
                <w:sz w:val="20"/>
                <w:szCs w:val="20"/>
                <w:color w:val="auto"/>
              </w:rPr>
            </w:pPr>
            <w:r>
              <w:rPr>
                <w:rFonts w:ascii="Arial" w:cs="Arial" w:eastAsia="Arial" w:hAnsi="Arial"/>
                <w:sz w:val="18"/>
                <w:szCs w:val="18"/>
                <w:color w:val="auto"/>
              </w:rPr>
              <w:t>Net investment income before income taxes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180" w:type="dxa"/>
            <w:vAlign w:val="bottom"/>
            <w:tcBorders>
              <w:bottom w:val="single" w:sz="8" w:color="CFF0FC"/>
            </w:tcBorders>
            <w:gridSpan w:val="6"/>
          </w:tcPr>
          <w:p>
            <w:pPr>
              <w:ind w:left="60"/>
              <w:spacing w:after="0"/>
              <w:rPr>
                <w:sz w:val="20"/>
                <w:szCs w:val="20"/>
                <w:color w:val="auto"/>
              </w:rPr>
            </w:pPr>
            <w:r>
              <w:rPr>
                <w:rFonts w:ascii="Arial" w:cs="Arial" w:eastAsia="Arial" w:hAnsi="Arial"/>
                <w:sz w:val="18"/>
                <w:szCs w:val="18"/>
                <w:color w:val="auto"/>
                <w:w w:val="91"/>
              </w:rPr>
              <w:t>Less: Income taxes, including excise taxes</w:t>
            </w:r>
          </w:p>
        </w:tc>
        <w:tc>
          <w:tcPr>
            <w:tcW w:w="13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180" w:type="dxa"/>
            <w:vAlign w:val="bottom"/>
            <w:gridSpan w:val="6"/>
            <w:shd w:val="clear" w:color="auto" w:fill="CFF0FC"/>
          </w:tcPr>
          <w:p>
            <w:pPr>
              <w:ind w:left="60"/>
              <w:spacing w:after="0"/>
              <w:rPr>
                <w:sz w:val="20"/>
                <w:szCs w:val="20"/>
                <w:color w:val="auto"/>
              </w:rPr>
            </w:pPr>
            <w:r>
              <w:rPr>
                <w:rFonts w:ascii="Arial" w:cs="Arial" w:eastAsia="Arial" w:hAnsi="Arial"/>
                <w:sz w:val="18"/>
                <w:szCs w:val="18"/>
                <w:color w:val="auto"/>
              </w:rPr>
              <w:t>Net investment income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60" w:type="dxa"/>
            <w:vAlign w:val="bottom"/>
            <w:gridSpan w:val="7"/>
          </w:tcPr>
          <w:p>
            <w:pPr>
              <w:spacing w:after="0"/>
              <w:rPr>
                <w:sz w:val="20"/>
                <w:szCs w:val="20"/>
                <w:color w:val="auto"/>
              </w:rPr>
            </w:pPr>
            <w:r>
              <w:rPr>
                <w:rFonts w:ascii="Arial" w:cs="Arial" w:eastAsia="Arial" w:hAnsi="Arial"/>
                <w:sz w:val="18"/>
                <w:szCs w:val="18"/>
                <w:color w:val="auto"/>
              </w:rPr>
              <w:t>Net realized gains (losses)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gridSpan w:val="8"/>
          </w:tcPr>
          <w:p>
            <w:pPr>
              <w:ind w:left="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2"/>
          </w:tcPr>
          <w:p>
            <w:pPr>
              <w:jc w:val="right"/>
              <w:ind w:right="2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8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$31.1 million for the three months ended March 31, 2014 to $34.3 million for the three months ended March 31, 2015, primarily due to the increase in the size of our investment portfolio. The average size of our investment portfolio increased from $1.1 billion during the three months ended March 31, 2014 to $1.3 billion during the three months ended March 31, 2015. In addition, accelerated amortization of upfront fees primarily from unscheduled paydowns decreased from $1.2 million for the three months ended March 31, 2014 to $0.3 million for the three months ended March 31, 2015. In addition, prepayment fees increased from $1.0 million for the three months ended March 31, 2014 to $1.7 million for the three months ended March 31, 2015. The accelerated amortization and prepayment fees primarily resulted from full paydowns on three portfolio investments during the three months ended March 31, 2014 and full paydowns on two portfolio investments during the three months ended March 31, 2015. Other income increased from $2.4 million for the three months ended March 31, 2014 to $3.4 million for the three months ended March 31, 2015, primarily due to higher syndication, amendment and agency fees earned during 2015.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57"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months ended March 31, 2015 and 2014 were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8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 income</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rPr>
              <w:t>Incentive fees related to realized/unrealized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capital gains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Directors fees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Interest, including other debt financing expenses, increased from $3.8 million for the three months ended March 31, 2014 to $4.2 million for the three months ended March 31, 2015. This increase was primarily due to an increase in the average interest rate on our debt outstanding from 2.5% for the three months ended March 31, 2014 to 2.6% for the three months ended March 31, 2015. The increase in the average interest rate on our debt was offset by a decrease in the weighted average debt outstanding from $471 million for the three months ended March 31, 2014 to $422 million for the three months ended March 31, 2015.</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Management Fees (net of waivers) increased from $1.8 million for the three months ended March 31, 2014 to $5.0 million for the three months ended March 31, 2015. Management Fees increased from $4.2 million for the three months ended March 31, 2014 to $5.0 million for the three months ended March 31, 2015 due to the increase in total assets, which increased from an average of $1.1 billion for the three months ended March 31, 2014 to an average of $1.3 billion for the three months ended March 31, 2015. Management Fees waived were $2.4 million for the three months ended March 31, 2014. There were no management fees waived for the three months ended March 31, 2015.</w:t>
      </w:r>
    </w:p>
    <w:p>
      <w:pPr>
        <w:spacing w:after="0" w:line="173"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our IPO, the Adviser has not waived its right to receive the full Management Fee, and accordingly, we will be required to continue to pay the full amount of the Management Fee.</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Incentive Fees related to pre-Incentive Fee net investment income increased from $3.9 million for the three months ended March 31, 2014 to $4.5 million for the three months ended March 31, 2015. This increase resulted from an increase in the Incentive Fee rate from 15% through March 31, 2014 to 17.5% beginning April 1, 2014 as a result of the consummation of our IPO. Incentive Fees related to capital gains and losses decreased from $0.6 million for the three months ended March 31, 2014 to $0.5 million for the three months ended March 31, 2015 due to changes in unrealized gains and losses on our investments, realized gains on our investments and realized losses on foreign currency transactions.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Professional fees were $1.2 million for each of the three months ended March 31, 2014 and 2015, while other general and administrative fees increased from $0.9 million for the three months ended March 31, 2014 to $1.1 million for the three months ended March 31, 2015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665" w:right="31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months ended March 31, 2015 and 2014 we recorded a net expense of $0.3 million and $9 thousand, respectively, for U.S. federal excise tax.</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2015 and 2014:</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4"/>
                <w:szCs w:val="14"/>
                <w:color w:val="auto"/>
              </w:rPr>
            </w:pPr>
          </w:p>
        </w:tc>
        <w:tc>
          <w:tcPr>
            <w:tcW w:w="23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56"/>
        </w:trPr>
        <w:tc>
          <w:tcPr>
            <w:tcW w:w="554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on foreign currency transactions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gains (losses) on foreign currency forward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contracts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investments</w:t>
            </w:r>
          </w:p>
        </w:tc>
        <w:tc>
          <w:tcPr>
            <w:tcW w:w="14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on foreign currency borrowings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Unrealized appreciation on foreign currency</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on foreign</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140" w:type="dxa"/>
            <w:vAlign w:val="bottom"/>
            <w:shd w:val="clear" w:color="auto" w:fill="CFF0FC"/>
          </w:tcPr>
          <w:p>
            <w:pPr>
              <w:spacing w:after="0"/>
              <w:rPr>
                <w:sz w:val="20"/>
                <w:szCs w:val="20"/>
                <w:color w:val="auto"/>
              </w:rPr>
            </w:pPr>
          </w:p>
        </w:tc>
        <w:tc>
          <w:tcPr>
            <w:tcW w:w="11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Unrealized depreciation on interest rate swaps</w:t>
            </w: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on</w:t>
            </w: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Foreign Currency Transactions and Interest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Rate Swaps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months ended March 31, 2015, we had net realized gains on investments of $0.3 million. For the three months ended March 31, 2014 we had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realized losses on investments of less than $0.1 million. For the three months ended March 31, 2015, we had net realized gains on interest rate swaps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 million. For the three months ended March 31, 2015, we had net realized gains on foreign currency transactions and foreign currency forward contracts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less than $0.1 million, primarily as a result of translating foreign currency related to our non-USD denominated investments.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2014 we had net realized losses on foreign currency forward contracts of $1.6 million primarily as a result of settling our foreign currency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contracts. For the three months ended March 31, 2015, we had net realized losses of $0.1 million on foreign currency investments and net realized gains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on foreign currency borrowings. We did not have realized gains or losses on foreign currency investments or foreign currency borrowings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2014.</w:t>
      </w:r>
    </w:p>
    <w:p>
      <w:pPr>
        <w:spacing w:after="0" w:line="211"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the three months ended March 31, 2015 we had $7.2 million in unrealized appreciation on 22 portfolio company investments, which was offset by $12.5 million in unrealized depreciation on 15 portfolio company investments. Unrealized appreciation resulted from an increase in fair market value, primarily due to a tightening spread environment and positive credit-related adjustments.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Unrealized depreciation resulted from the reversal of prior period unrealized appreciation and in some instances negative credit-related adjustments.</w:t>
      </w:r>
    </w:p>
    <w:p>
      <w:pPr>
        <w:spacing w:after="0" w:line="23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For the three months ended March 31, 2014, we had $8.4 million in unrealized appreciation on 20 portfolio company investments which was partially offset by $4.5 million in unrealized depreciation on 13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For the three months ended March 31, 2015, we had unrealized appreciation on foreign currency borrowings of $7.2 million, primarily as a result of fluctuations in the GBP, SEK and EUR exchange rates. For the three months ended March 31, 2014, we had unrealized appreciation on foreign currency borrowings of $0.5 million, primarily as a result of fluctuations in the GBP and SEK exchange rates. For the three months ended March 31, 2015, we had unrealized depreciation on foreign currency cash and forward contracts of less than $0.1 million. For the three months ended March 31, 2014, we had unrealized appreciation on foreign currency forward contracts of $1.3 million. For the three months ended March 31, 2015, we had unrealized depreciation on interest rate swaps of $0.3 million due to fluctuations in interest rates. For the three months ended March 31, 2014, we did not have unrealized appreciation or depreciation on interest rate swaps.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jc w:val="both"/>
        <w:ind w:right="160" w:firstLine="259"/>
        <w:spacing w:after="0" w:line="286" w:lineRule="auto"/>
        <w:rPr>
          <w:sz w:val="20"/>
          <w:szCs w:val="20"/>
          <w:color w:val="auto"/>
        </w:rPr>
      </w:pPr>
      <w:r>
        <w:rPr>
          <w:rFonts w:ascii="Arial" w:cs="Arial" w:eastAsia="Arial" w:hAnsi="Arial"/>
          <w:sz w:val="17"/>
          <w:szCs w:val="17"/>
          <w:color w:val="auto"/>
        </w:rPr>
        <w:t>Since we began investing in 2011 through March 31, 2015, our exited investments have resulted in an aggregate cash flow realized gross internal rate of return to us of 16.3% (based on cash invested of $904.0 million and total proceeds from these exited investments of $1,073.4 million). Eighty seven percent of these exited investments resulted in an aggregate cash flow realized gross internal rate of return to us of 10% or greater.</w:t>
      </w:r>
    </w:p>
    <w:p>
      <w:pPr>
        <w:spacing w:after="0" w:line="166"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8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jc w:val="both"/>
        <w:ind w:right="20" w:firstLine="259"/>
        <w:spacing w:after="0" w:line="257" w:lineRule="auto"/>
        <w:rPr>
          <w:sz w:val="20"/>
          <w:szCs w:val="20"/>
          <w:color w:val="auto"/>
        </w:rPr>
      </w:pPr>
      <w:r>
        <w:rPr>
          <w:rFonts w:ascii="Arial" w:cs="Arial" w:eastAsia="Arial" w:hAnsi="Arial"/>
          <w:sz w:val="18"/>
          <w:szCs w:val="18"/>
          <w:color w:val="auto"/>
        </w:rPr>
        <w:t>Our current approach to hedging the foreign currency exposure in our non-U.S. dollar denominated investments is primarily to borrow the necessary local currency under our Revolving Credit Facility to fund these investments. For the three months ended March 31, 2015, we had $7.2 million of unrealized gains on the translation of our non-U.S. dollar denominated debt into U.S. dollars; such amount approximates the corresponding unrealized losses on the translation of our non-U.S. dollar denominated investments into U.S. dollars for the three months ended March 31, 2015. See Note 2 for additional disclosure regarding our accounting for foreign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57" w:right="25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currency. See Note 7 for additional disclosure regarding the amounts of outstanding debt denominated in each foreign currency at March 31, 2015.</w:t>
      </w:r>
    </w:p>
    <w:p>
      <w:pPr>
        <w:spacing w:after="0" w:line="129"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During the three months ended March 31, 2015, we entered into foreign currency forward contracts related to our non-USD denominated investments, which in total generated a realized gain of less than $0.1 million. As of March 31, 2015, we did not have any open foreign currency forward contracts. During the three months ended March 31, 2014, we settled our foreign currency forward contracts related to our investments in Jeeves Information Systems AB and Soho House Bond Ltd., which in total generated a realized loss of $1.6 million. We bear the costs incurred in connection with entering into, administering and settling derivative contracts. There can be no assurance any hedging strategy we employ will be successful.</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3"/>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2015 and December 31, 2014, our asset coverage ratio was 273.4% and 311.0%, respectively.</w:t>
      </w:r>
    </w:p>
    <w:p>
      <w:pPr>
        <w:spacing w:after="0" w:line="189"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Cash and cash equivalents as of March 31, 2015, taken together with cash available under our credit facilities, is expected to be sufficient for our investing activities and to conduct our operations in the near term. As of March 31, 2015, we had approximately $445.3 million of availability on our Revolving Credit Facility.</w:t>
      </w:r>
    </w:p>
    <w:p>
      <w:pPr>
        <w:spacing w:after="0" w:line="18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As of March 31, 2015, we had $3.3 million in cash and cash equivalents, an increase of $0.9 million from December 31, 2014. During the three months ended March 31, 2015, we used $77.3 million in cash for operating activities, primarily as a result of funding portfolio investments of $139.3 million and other operating activity of $31.9 million, which was partially offset by proceeds from investments of $5.0 million, repayments on investments of $64.4 million, and an increase in net assets resulting from operations of $24.5 million. Lastly, cash provided by financing activities was $78.2 million during the period, primarily due to net borrowings of $244.4 million, partially offset by net repayments on debt of $147.8 million, debt issuance costs of $0.1 million and dividends paid of $18.3 million.</w:t>
      </w:r>
    </w:p>
    <w:p>
      <w:pPr>
        <w:spacing w:after="0" w:line="19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of March 31, 2015, we had $2.4 million of restricted cash pledged as collateral under our interest rate swap agreements, an increase of $0.1 million from December 31, 2014. As of March 31, 2015, we had $10.3 million of restricted cash in our wholly owned subsidiary TPG SL SPV, an increase of less than $0.1 million from December 31, 2014. The increase was primarily attributable to increased interest payments from additional investments contributed to TPG SL SPV. Proceeds received by TPG SL SPV from interest and principal at the end of a quarterly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760" w:firstLine="259"/>
        <w:spacing w:after="0" w:line="342" w:lineRule="auto"/>
        <w:rPr>
          <w:sz w:val="20"/>
          <w:szCs w:val="20"/>
          <w:color w:val="auto"/>
        </w:rPr>
      </w:pPr>
      <w:r>
        <w:rPr>
          <w:rFonts w:ascii="Arial" w:cs="Arial" w:eastAsia="Arial" w:hAnsi="Arial"/>
          <w:sz w:val="16"/>
          <w:szCs w:val="16"/>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24"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48" w:name="page49"/>
    <w:bookmarkEnd w:id="48"/>
    <w:p>
      <w:pPr>
        <w:jc w:val="both"/>
        <w:ind w:right="100" w:firstLine="259"/>
        <w:spacing w:after="0" w:line="264" w:lineRule="auto"/>
        <w:rPr>
          <w:sz w:val="20"/>
          <w:szCs w:val="20"/>
          <w:color w:val="auto"/>
        </w:rPr>
      </w:pPr>
      <w:r>
        <w:rPr>
          <w:rFonts w:ascii="Arial" w:cs="Arial" w:eastAsia="Arial" w:hAnsi="Arial"/>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81" w:lineRule="exact"/>
        <w:rPr>
          <w:sz w:val="20"/>
          <w:szCs w:val="20"/>
          <w:color w:val="auto"/>
        </w:rPr>
      </w:pPr>
    </w:p>
    <w:p>
      <w:pPr>
        <w:jc w:val="both"/>
        <w:ind w:right="280" w:firstLine="259"/>
        <w:spacing w:after="0" w:line="279" w:lineRule="auto"/>
        <w:rPr>
          <w:sz w:val="20"/>
          <w:szCs w:val="20"/>
          <w:color w:val="auto"/>
        </w:rPr>
      </w:pPr>
      <w:r>
        <w:rPr>
          <w:rFonts w:ascii="Arial" w:cs="Arial" w:eastAsia="Arial" w:hAnsi="Arial"/>
          <w:sz w:val="17"/>
          <w:szCs w:val="17"/>
          <w:color w:val="auto"/>
        </w:rPr>
        <w:t>During the three months ended March 31, 2014, we did not deliver any drawdown notices to our private phase investors. On December 31, 2013, we delivered a capital drawdown notice to our private phase investors relating to the sale of 4,234,501 shares of our common stock for an aggregate offering price of $65.0 million. The sale closed on January 15, 2014. This capital drawdown notice is reflected in the number of shares issued for the three months ended March 31, 2014 below and in the consolidated financial statements for the three months ended March 31, 2014.</w:t>
      </w:r>
    </w:p>
    <w:p>
      <w:pPr>
        <w:spacing w:after="0" w:line="171"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From inception through March 26, 2014, we had drawn down a total of $0.6 billion of capital and issued 38.9 million shares, excluding equity and shares issued through our dividend reinvestment plan. The remaining unfunded commitments under the subscription agreements terminated upon the completion of our IPO in March 2014, and hence as of March 31, 2015 no longer remain in effect.</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During the three months ended March 31, 2015 and 2014, we issued 162,490 and 502,200 shares of our common stock, respectively, to investors who have not opted out of our dividend reinvestment plan for proceeds of $2.7 million and $7.8 million, respectively. On May 1, 2015, we issued 41,441 shares of our common stock through our dividend reinvestment plan for proceeds of $0.7 million, which is not reflected in the number of shares issued for the three months ended March 31, 2015 in this section or the consolidated financial statements for the three months ended March 31, 2015.</w:t>
      </w:r>
    </w:p>
    <w:p>
      <w:pPr>
        <w:spacing w:after="0" w:line="171" w:lineRule="exact"/>
        <w:rPr>
          <w:sz w:val="20"/>
          <w:szCs w:val="20"/>
          <w:color w:val="auto"/>
        </w:rPr>
      </w:pPr>
    </w:p>
    <w:p>
      <w:pPr>
        <w:ind w:right="80" w:firstLine="259"/>
        <w:spacing w:after="0" w:line="308" w:lineRule="auto"/>
        <w:rPr>
          <w:sz w:val="20"/>
          <w:szCs w:val="20"/>
          <w:color w:val="auto"/>
        </w:rPr>
      </w:pPr>
      <w:r>
        <w:rPr>
          <w:rFonts w:ascii="Arial" w:cs="Arial" w:eastAsia="Arial" w:hAnsi="Arial"/>
          <w:sz w:val="17"/>
          <w:szCs w:val="17"/>
          <w:color w:val="auto"/>
        </w:rPr>
        <w:t>On November 3, 2014, the Board approved the Company 10b5-1 Plan to acquire up to $50 million in the aggregate of our common stock at prices below our net asset value over a specified period, in accordance with the guidelines specified in Rule 10b-18 and Rule 10b5-1 of the Exchange Act.</w:t>
      </w:r>
    </w:p>
    <w:p>
      <w:pPr>
        <w:spacing w:after="0" w:line="147"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an agent selected by us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June 30, 2015 or such time as the approved $50 million repurchase amount has been fully utilized, subject to certain conditions. As of March 31, 2015, no shares had been repurchased under the Company 10b5-1 Plan.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consisted of the following as of March 31, 2015 and December 31, 2014:</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March 31, 2015</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46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78"/>
              <w:spacing w:after="0" w:line="147" w:lineRule="exact"/>
              <w:rPr>
                <w:sz w:val="20"/>
                <w:szCs w:val="20"/>
                <w:color w:val="auto"/>
              </w:rPr>
            </w:pPr>
            <w:r>
              <w:rPr>
                <w:rFonts w:ascii="Arial" w:cs="Arial" w:eastAsia="Arial" w:hAnsi="Arial"/>
                <w:sz w:val="14"/>
                <w:szCs w:val="14"/>
                <w:b w:val="1"/>
                <w:bCs w:val="1"/>
                <w:color w:val="auto"/>
                <w:w w:val="99"/>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316"/>
              <w:spacing w:after="0" w:line="147"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6"/>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r>
      <w:tr>
        <w:trPr>
          <w:trHeight w:val="171"/>
        </w:trPr>
        <w:tc>
          <w:tcPr>
            <w:tcW w:w="44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7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76"/>
              <w:spacing w:after="0"/>
              <w:rPr>
                <w:sz w:val="20"/>
                <w:szCs w:val="20"/>
                <w:color w:val="auto"/>
              </w:rPr>
            </w:pPr>
            <w:r>
              <w:rPr>
                <w:rFonts w:ascii="Arial" w:cs="Arial" w:eastAsia="Arial" w:hAnsi="Arial"/>
                <w:sz w:val="14"/>
                <w:szCs w:val="14"/>
                <w:b w:val="1"/>
                <w:bCs w:val="1"/>
                <w:color w:val="auto"/>
              </w:rPr>
              <w:t>Available (1)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(2)</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244,437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445,318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244,437</w:t>
            </w:r>
          </w:p>
        </w:tc>
        <w:tc>
          <w:tcPr>
            <w:tcW w:w="12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112,061</w:t>
            </w:r>
          </w:p>
        </w:tc>
        <w:tc>
          <w:tcPr>
            <w:tcW w:w="12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1,024,975</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488,162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445,318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485,223</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60"/>
          </w:cols>
          <w:pgMar w:left="240" w:top="557" w:right="299" w:bottom="1440" w:gutter="0" w:footer="0" w:header="0"/>
        </w:sectPr>
      </w:pPr>
    </w:p>
    <w:bookmarkStart w:id="49" w:name="page50"/>
    <w:bookmarkEnd w:id="49"/>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46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78"/>
              <w:spacing w:after="0" w:line="147" w:lineRule="exact"/>
              <w:rPr>
                <w:sz w:val="20"/>
                <w:szCs w:val="20"/>
                <w:color w:val="auto"/>
              </w:rPr>
            </w:pPr>
            <w:r>
              <w:rPr>
                <w:rFonts w:ascii="Arial" w:cs="Arial" w:eastAsia="Arial" w:hAnsi="Arial"/>
                <w:sz w:val="14"/>
                <w:szCs w:val="14"/>
                <w:b w:val="1"/>
                <w:bCs w:val="1"/>
                <w:color w:val="auto"/>
                <w:w w:val="99"/>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56"/>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r>
      <w:tr>
        <w:trPr>
          <w:trHeight w:val="171"/>
        </w:trPr>
        <w:tc>
          <w:tcPr>
            <w:tcW w:w="44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7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Available (1)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SPV Asset Facility</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45,279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177,216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177,216</w:t>
            </w:r>
          </w:p>
        </w:tc>
        <w:tc>
          <w:tcPr>
            <w:tcW w:w="12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111,923</w:t>
            </w:r>
          </w:p>
        </w:tc>
        <w:tc>
          <w:tcPr>
            <w:tcW w:w="12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511,468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395,864</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40" w:hanging="532"/>
        <w:spacing w:after="0" w:line="26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8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As of March 31, 2015 and December 31, 2014,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3"/>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500" w:hanging="253"/>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260" w:hanging="254"/>
        <w:spacing w:after="0" w:line="277" w:lineRule="auto"/>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17" w:lineRule="exact"/>
        <w:rPr>
          <w:sz w:val="20"/>
          <w:szCs w:val="20"/>
          <w:color w:val="auto"/>
        </w:rPr>
      </w:pPr>
    </w:p>
    <w:p>
      <w:pPr>
        <w:ind w:left="520" w:right="120" w:hanging="253"/>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3"/>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46" w:right="259" w:bottom="1440" w:gutter="0" w:footer="0" w:header="0"/>
        </w:sectPr>
      </w:pPr>
    </w:p>
    <w:bookmarkStart w:id="50" w:name="page51"/>
    <w:bookmarkEnd w:id="50"/>
    <w:p>
      <w:pPr>
        <w:ind w:left="520" w:hanging="253"/>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120" w:firstLine="259"/>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us, under certain circumstances, to increase the size to a maximum of $956.3 million.</w:t>
      </w:r>
    </w:p>
    <w:p>
      <w:pPr>
        <w:spacing w:after="0" w:line="170"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March 31, 2015, we had outstanding debt denominated in Swedish Krona (SEK) of 203.1 million, Euro (EUR) of 28.1 million and Pound Sterling (GBP) of 21.0 million on our Revolving Credit Facility, included in the Outstanding Principal amount in the table above.</w:t>
      </w:r>
    </w:p>
    <w:p>
      <w:pPr>
        <w:spacing w:after="0" w:line="181" w:lineRule="exact"/>
        <w:rPr>
          <w:sz w:val="20"/>
          <w:szCs w:val="20"/>
          <w:color w:val="auto"/>
        </w:rPr>
      </w:pPr>
    </w:p>
    <w:p>
      <w:pPr>
        <w:jc w:val="both"/>
        <w:ind w:right="20" w:firstLine="259"/>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3"/>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80" w:hanging="253"/>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On May 8, 2012, the Closing Date, our wholly owned subsidiary TPG SL SPV, LLC, a Delaware limited liability company, which we refer to as TPG SL SPV,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92"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49" w:right="299" w:bottom="1440" w:gutter="0" w:footer="0" w:header="0"/>
        </w:sectPr>
      </w:pPr>
    </w:p>
    <w:bookmarkStart w:id="51" w:name="page52"/>
    <w:bookmarkEnd w:id="51"/>
    <w:p>
      <w:pPr>
        <w:ind w:right="160" w:firstLine="259"/>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The amended and restated facility, among other things:</w:t>
      </w:r>
    </w:p>
    <w:p>
      <w:pPr>
        <w:spacing w:after="0" w:line="62" w:lineRule="exact"/>
        <w:rPr>
          <w:sz w:val="20"/>
          <w:szCs w:val="20"/>
          <w:color w:val="auto"/>
        </w:rPr>
      </w:pPr>
    </w:p>
    <w:p>
      <w:pPr>
        <w:ind w:left="520" w:hanging="253"/>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17" w:lineRule="exact"/>
        <w:rPr>
          <w:rFonts w:ascii="Arial" w:cs="Arial" w:eastAsia="Arial" w:hAnsi="Arial"/>
          <w:sz w:val="18"/>
          <w:szCs w:val="18"/>
          <w:color w:val="auto"/>
        </w:rPr>
      </w:pPr>
    </w:p>
    <w:p>
      <w:pPr>
        <w:ind w:left="520" w:right="20" w:hanging="253"/>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73" w:lineRule="exact"/>
        <w:rPr>
          <w:rFonts w:ascii="Arial" w:cs="Arial" w:eastAsia="Arial" w:hAnsi="Arial"/>
          <w:sz w:val="18"/>
          <w:szCs w:val="18"/>
          <w:color w:val="auto"/>
        </w:rPr>
      </w:pPr>
    </w:p>
    <w:p>
      <w:pPr>
        <w:ind w:left="520" w:hanging="253"/>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modified pricing for Natixis to cost of funds + 2.25%; and</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reinvestment period under the amended and restated credit and security agreement terminated on January 21, 2015 and accordingly any undrawn availability under the facility also terminated.</w:t>
      </w:r>
    </w:p>
    <w:p>
      <w:pPr>
        <w:spacing w:after="0" w:line="170"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On March 27, 2015, TPG SL SPV further amended the amended and restated credit and security agreement, which we refer to as the SPV Asset Facility. The second amended and restated credit and security agreement, among other things, reduced the applicable margin with respect to loans from LIBOR lenders from 2.75% to 2.35% and syndicated a portion of the outstanding loan previously held by affiliates of Natixis to two new lenders.</w:t>
      </w:r>
    </w:p>
    <w:p>
      <w:pPr>
        <w:spacing w:after="0" w:line="166"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78"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As of March 31, 2015 and December 31, 2014, TPG SL SPV had $360.8 million and $334.0 million, respectively, in investments at fair value, and $128.8 million and $108.8 million, respectively, in liabilities, including the outstanding borrowings, on its balance sheet. As of March 31, 2015 and December 31, 2014, TPG SL SPV had $10.3 million and $10.2 million, respectively, in restricted cash, a component of prepaid expenses and other assets, in the accompanying consolidated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Borrowings of TPG SL SPV are considered our borrowings for purposes of complying with the asset coverage requirements of the 1940 Act.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two interest rate swaps, each with a $57.5 million notional amount to continue to align the interest rates of our liabilities with our investment portfolio, which consists of predominately floating rate loans. As a result of the swaps, our effective interest rate on the Convertible Senior Notes was three-month LIBOR plus 252.9 basis points. In January 2015, we closed out our existing interest rate swaps and simultaneously entered into new interest rate swaps, realizing a cash payment of $2.0 million and increasing pricing to three-month LIBOR plus 286 basis points.</w:t>
      </w:r>
    </w:p>
    <w:p>
      <w:pPr>
        <w:spacing w:after="0" w:line="169"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57" w:right="239" w:bottom="1440" w:gutter="0" w:footer="0" w:header="0"/>
        </w:sectPr>
      </w:pPr>
    </w:p>
    <w:bookmarkStart w:id="52" w:name="page53"/>
    <w:bookmarkEnd w:id="52"/>
    <w:p>
      <w:pPr>
        <w:ind w:right="20"/>
        <w:spacing w:after="0" w:line="255" w:lineRule="auto"/>
        <w:rPr>
          <w:sz w:val="20"/>
          <w:szCs w:val="20"/>
          <w:color w:val="auto"/>
        </w:rPr>
      </w:pPr>
      <w:r>
        <w:rPr>
          <w:rFonts w:ascii="Arial" w:cs="Arial" w:eastAsia="Arial" w:hAnsi="Arial"/>
          <w:sz w:val="18"/>
          <w:szCs w:val="18"/>
          <w:color w:val="auto"/>
        </w:rPr>
        <w:t>than or equal to 130% of the conversion price on each applicable trading day; (2) 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93"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As of March 31, 2015,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2015, we were in compliance with the terms of the Convertible Senior Notes Indenture.</w:t>
      </w:r>
    </w:p>
    <w:p>
      <w:pPr>
        <w:spacing w:after="0" w:line="17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2015 and December 31, 2014, we had the following commitments to fund investments: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tcPr>
          <w:p>
            <w:pPr>
              <w:spacing w:after="0"/>
              <w:rPr>
                <w:sz w:val="20"/>
                <w:szCs w:val="20"/>
                <w:color w:val="auto"/>
              </w:rPr>
            </w:pPr>
            <w:r>
              <w:rPr>
                <w:rFonts w:ascii="Arial" w:cs="Arial" w:eastAsia="Arial" w:hAnsi="Arial"/>
                <w:sz w:val="14"/>
                <w:szCs w:val="14"/>
                <w:color w:val="auto"/>
              </w:rPr>
              <w:t>($ in millions)</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2015</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2014</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revolving loan commitments</w:t>
            </w: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Senior secured term loan commitments</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00" w:type="dxa"/>
            <w:vAlign w:val="bottom"/>
            <w:tcBorders>
              <w:bottom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2015 and December 31, 2014, we had outstanding commitments to fund investments totaling $34.4 million and $48.0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7" w:right="239" w:bottom="1440" w:gutter="0" w:footer="0" w:header="0"/>
        </w:sectPr>
      </w:pPr>
    </w:p>
    <w:bookmarkStart w:id="53" w:name="page54"/>
    <w:bookmarkEnd w:id="53"/>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March 31, 2015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Payments Due by Period</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SPV Asset Facility</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3"/>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 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3"/>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3"/>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3"/>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7" w:right="239" w:bottom="1440" w:gutter="0" w:footer="0" w:header="0"/>
        </w:sectPr>
      </w:pPr>
    </w:p>
    <w:bookmarkStart w:id="54" w:name="page55"/>
    <w:bookmarkEnd w:id="54"/>
    <w:p>
      <w:pPr>
        <w:ind w:right="8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3"/>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3"/>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3"/>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2014, filed with the SEC on February 24, 2015,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57" w:right="259" w:bottom="1440" w:gutter="0" w:footer="0" w:header="0"/>
        </w:sectPr>
      </w:pPr>
    </w:p>
    <w:bookmarkStart w:id="55" w:name="page56"/>
    <w:bookmarkEnd w:id="55"/>
    <w:p>
      <w:pPr>
        <w:ind w:right="72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As of March 31, 2015, 96.5% of our debt investments in our portfolio bore interest at floating rates,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81"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March 31, 2015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Interest Income</w:t>
            </w:r>
          </w:p>
        </w:tc>
        <w:tc>
          <w:tcPr>
            <w:tcW w:w="16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Interest 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Net Income</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Up 200 basis points</w:t>
            </w: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58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Down 25 basis points</w:t>
            </w: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58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PART II –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Part I, “Item 1A. Risk Factors” in our Annual Report on Form 10-K for the fiscal year ended December 31, 2014,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10060"/>
        <w:spacing w:after="0"/>
        <w:rPr>
          <w:sz w:val="20"/>
          <w:szCs w:val="20"/>
          <w:color w:val="auto"/>
        </w:rPr>
      </w:pPr>
      <w:r>
        <w:rPr>
          <w:rFonts w:ascii="Arial" w:cs="Arial" w:eastAsia="Arial" w:hAnsi="Arial"/>
          <w:sz w:val="16"/>
          <w:szCs w:val="16"/>
          <w:b w:val="1"/>
          <w:bCs w:val="1"/>
          <w:color w:val="auto"/>
        </w:rPr>
        <w:t>Item 6. Exhibits.</w:t>
      </w:r>
    </w:p>
    <w:p>
      <w:pPr>
        <w:spacing w:after="0" w:line="140" w:lineRule="exact"/>
        <w:rPr>
          <w:sz w:val="20"/>
          <w:szCs w:val="20"/>
          <w:color w:val="auto"/>
        </w:rPr>
      </w:pPr>
    </w:p>
    <w:p>
      <w:pPr>
        <w:jc w:val="right"/>
        <w:ind w:right="1010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580" w:right="260" w:hanging="508"/>
        <w:spacing w:after="0" w:line="286" w:lineRule="auto"/>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Second Amended and Restated Credit and Security Agreement, dated as of March 27, 2015, among TPG SL SPV, LLC, as Borrower, the Lenders from time to time parties thereto, Natixis, New York Branch, as Facility Agent and State Street Bank and Trust Company, as Collateral Agent (incorporated by reference to Exhibit 10.1 to the Company’s Current Report on Form 8-K filed on March 30, 2015)</w:t>
      </w:r>
    </w:p>
    <w:p>
      <w:pPr>
        <w:spacing w:after="0" w:line="71"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Co-Chief Executive Officer Pursuant to 18 U.S.C. Section 1350, as Adopted Pursuant to Section 302 of the Sarbanes-Oxley Act of</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Co-Chief Executive Officer Pursuant to 18 U.S.C. Section 1350, as Adopted Pursuant to Section 302 of the Sarbanes-Oxley Act of</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302 of the Sarbanes-Oxley Act of 2002</w:t>
      </w:r>
    </w:p>
    <w:p>
      <w:pPr>
        <w:spacing w:after="0" w:line="131" w:lineRule="exact"/>
        <w:rPr>
          <w:sz w:val="20"/>
          <w:szCs w:val="20"/>
          <w:color w:val="auto"/>
        </w:rPr>
      </w:pPr>
    </w:p>
    <w:p>
      <w:pPr>
        <w:ind w:left="580" w:hanging="432"/>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Certification of Co-CEOs and CFO Pursuant to 18 U.S.C. Section 1350, as Adopted Pursuant to Section 906 of the Sarbanes-Oxley Act of 2002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57</w:t>
      </w:r>
    </w:p>
    <w:p>
      <w:pPr>
        <w:sectPr>
          <w:pgSz w:w="11900" w:h="16838" w:orient="portrait"/>
          <w:cols w:equalWidth="0" w:num="1">
            <w:col w:w="11340"/>
          </w:cols>
          <w:pgMar w:left="240" w:top="337" w:right="31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840" w:type="dxa"/>
            <w:vAlign w:val="bottom"/>
            <w:gridSpan w:val="2"/>
          </w:tcPr>
          <w:p>
            <w:pPr>
              <w:ind w:left="2080"/>
              <w:spacing w:after="0"/>
              <w:rPr>
                <w:sz w:val="20"/>
                <w:szCs w:val="20"/>
                <w:color w:val="auto"/>
              </w:rPr>
            </w:pPr>
            <w:r>
              <w:rPr>
                <w:rFonts w:ascii="Arial" w:cs="Arial" w:eastAsia="Arial" w:hAnsi="Arial"/>
                <w:sz w:val="18"/>
                <w:szCs w:val="18"/>
                <w:color w:val="auto"/>
              </w:rPr>
              <w:t>TPG SPECIALTY LENDING, INC.</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7, 2015</w:t>
            </w:r>
          </w:p>
        </w:tc>
        <w:tc>
          <w:tcPr>
            <w:tcW w:w="7840" w:type="dxa"/>
            <w:vAlign w:val="bottom"/>
            <w:gridSpan w:val="2"/>
          </w:tcPr>
          <w:p>
            <w:pPr>
              <w:ind w:left="2080"/>
              <w:spacing w:after="0"/>
              <w:rPr>
                <w:sz w:val="20"/>
                <w:szCs w:val="20"/>
                <w:color w:val="auto"/>
              </w:rPr>
            </w:pPr>
            <w:r>
              <w:rPr>
                <w:rFonts w:ascii="Arial" w:cs="Arial" w:eastAsia="Arial" w:hAnsi="Arial"/>
                <w:sz w:val="18"/>
                <w:szCs w:val="18"/>
                <w:color w:val="auto"/>
              </w:rPr>
              <w:t>By: /s/ Joshua Easterly</w:t>
            </w:r>
          </w:p>
        </w:tc>
      </w:tr>
      <w:tr>
        <w:trPr>
          <w:trHeight w:val="195"/>
        </w:trPr>
        <w:tc>
          <w:tcPr>
            <w:tcW w:w="34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7, 2015</w:t>
            </w:r>
          </w:p>
        </w:tc>
        <w:tc>
          <w:tcPr>
            <w:tcW w:w="7840" w:type="dxa"/>
            <w:vAlign w:val="bottom"/>
            <w:gridSpan w:val="2"/>
          </w:tcPr>
          <w:p>
            <w:pPr>
              <w:ind w:left="2080"/>
              <w:spacing w:after="0"/>
              <w:rPr>
                <w:sz w:val="20"/>
                <w:szCs w:val="20"/>
                <w:color w:val="auto"/>
              </w:rPr>
            </w:pPr>
            <w:r>
              <w:rPr>
                <w:rFonts w:ascii="Arial" w:cs="Arial" w:eastAsia="Arial" w:hAnsi="Arial"/>
                <w:sz w:val="18"/>
                <w:szCs w:val="18"/>
                <w:color w:val="auto"/>
              </w:rPr>
              <w:t>By: /s/ Michael Fishman</w:t>
            </w:r>
          </w:p>
        </w:tc>
      </w:tr>
      <w:tr>
        <w:trPr>
          <w:trHeight w:val="195"/>
        </w:trPr>
        <w:tc>
          <w:tcPr>
            <w:tcW w:w="34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3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7, 2015</w:t>
            </w:r>
          </w:p>
        </w:tc>
        <w:tc>
          <w:tcPr>
            <w:tcW w:w="7840" w:type="dxa"/>
            <w:vAlign w:val="bottom"/>
            <w:gridSpan w:val="2"/>
          </w:tcPr>
          <w:p>
            <w:pPr>
              <w:ind w:left="2080"/>
              <w:spacing w:after="0"/>
              <w:rPr>
                <w:sz w:val="20"/>
                <w:szCs w:val="20"/>
                <w:color w:val="auto"/>
              </w:rPr>
            </w:pPr>
            <w:r>
              <w:rPr>
                <w:rFonts w:ascii="Arial" w:cs="Arial" w:eastAsia="Arial" w:hAnsi="Arial"/>
                <w:sz w:val="18"/>
                <w:szCs w:val="18"/>
                <w:color w:val="auto"/>
              </w:rPr>
              <w:t>By: /s/ Alan Kirshenbaum</w:t>
            </w:r>
          </w:p>
        </w:tc>
      </w:tr>
      <w:tr>
        <w:trPr>
          <w:trHeight w:val="195"/>
        </w:trPr>
        <w:tc>
          <w:tcPr>
            <w:tcW w:w="34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3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460" w:type="dxa"/>
            <w:vAlign w:val="bottom"/>
          </w:tcPr>
          <w:p>
            <w:pPr>
              <w:spacing w:after="0"/>
              <w:rPr>
                <w:sz w:val="24"/>
                <w:szCs w:val="24"/>
                <w:color w:val="auto"/>
              </w:rPr>
            </w:pPr>
          </w:p>
        </w:tc>
        <w:tc>
          <w:tcPr>
            <w:tcW w:w="2380" w:type="dxa"/>
            <w:vAlign w:val="bottom"/>
          </w:tcPr>
          <w:p>
            <w:pPr>
              <w:ind w:left="2100"/>
              <w:spacing w:after="0"/>
              <w:rPr>
                <w:sz w:val="20"/>
                <w:szCs w:val="20"/>
                <w:color w:val="auto"/>
              </w:rPr>
            </w:pPr>
            <w:r>
              <w:rPr>
                <w:rFonts w:ascii="Arial" w:cs="Arial" w:eastAsia="Arial" w:hAnsi="Arial"/>
                <w:sz w:val="18"/>
                <w:szCs w:val="18"/>
                <w:color w:val="auto"/>
              </w:rPr>
              <w:t>58</w:t>
            </w:r>
          </w:p>
        </w:tc>
        <w:tc>
          <w:tcPr>
            <w:tcW w:w="5460" w:type="dxa"/>
            <w:vAlign w:val="bottom"/>
          </w:tcPr>
          <w:p>
            <w:pPr>
              <w:spacing w:after="0"/>
              <w:rPr>
                <w:sz w:val="24"/>
                <w:szCs w:val="24"/>
                <w:color w:val="auto"/>
              </w:rPr>
            </w:pPr>
          </w:p>
        </w:tc>
      </w:tr>
    </w:tbl>
    <w:p>
      <w:pPr>
        <w:sectPr>
          <w:pgSz w:w="11900" w:h="16838" w:orient="portrait"/>
          <w:cols w:equalWidth="0" w:num="1">
            <w:col w:w="11360"/>
          </w:cols>
          <w:pgMar w:left="240" w:top="337"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3"/>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60" w:hanging="513"/>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3"/>
        <w:spacing w:after="0" w:line="308" w:lineRule="auto"/>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3"/>
        <w:spacing w:after="0" w:line="264"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80" w:right="120" w:hanging="496"/>
        <w:spacing w:after="0" w:line="264" w:lineRule="auto"/>
        <w:tabs>
          <w:tab w:leader="none" w:pos="1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right="260" w:hanging="496"/>
        <w:spacing w:after="0" w:line="264" w:lineRule="auto"/>
        <w:tabs>
          <w:tab w:leader="none" w:pos="1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280" w:right="420" w:hanging="496"/>
        <w:spacing w:after="0" w:line="342" w:lineRule="auto"/>
        <w:tabs>
          <w:tab w:leader="none" w:pos="12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280" w:hanging="496"/>
        <w:spacing w:after="0" w:line="264" w:lineRule="auto"/>
        <w:tabs>
          <w:tab w:leader="none" w:pos="1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3"/>
        <w:spacing w:after="0" w:line="342"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80" w:right="660" w:hanging="496"/>
        <w:spacing w:after="0" w:line="342" w:lineRule="auto"/>
        <w:tabs>
          <w:tab w:leader="none" w:pos="12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360" w:hanging="496"/>
        <w:spacing w:after="0" w:line="277" w:lineRule="auto"/>
        <w:tabs>
          <w:tab w:leader="none" w:pos="1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May 7, 2015</w:t>
            </w:r>
          </w:p>
        </w:tc>
        <w:tc>
          <w:tcPr>
            <w:tcW w:w="7800" w:type="dxa"/>
            <w:vAlign w:val="bottom"/>
            <w:gridSpan w:val="2"/>
          </w:tcPr>
          <w:p>
            <w:pPr>
              <w:ind w:left="2260"/>
              <w:spacing w:after="0"/>
              <w:rPr>
                <w:sz w:val="20"/>
                <w:szCs w:val="20"/>
                <w:color w:val="auto"/>
              </w:rPr>
            </w:pPr>
            <w:r>
              <w:rPr>
                <w:rFonts w:ascii="Arial" w:cs="Arial" w:eastAsia="Arial" w:hAnsi="Arial"/>
                <w:sz w:val="18"/>
                <w:szCs w:val="18"/>
                <w:color w:val="auto"/>
              </w:rPr>
              <w:t>By:  /s/ Joshua Easterly</w:t>
            </w: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17" w:lineRule="exact"/>
        <w:rPr>
          <w:sz w:val="20"/>
          <w:szCs w:val="20"/>
          <w:color w:val="auto"/>
        </w:rPr>
      </w:pPr>
    </w:p>
    <w:p>
      <w:pPr>
        <w:ind w:left="780" w:hanging="513"/>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60" w:hanging="513"/>
        <w:spacing w:after="0" w:line="264"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3"/>
        <w:spacing w:after="0" w:line="308"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3"/>
        <w:spacing w:after="0" w:line="264"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80" w:right="120" w:hanging="496"/>
        <w:spacing w:after="0" w:line="264" w:lineRule="auto"/>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right="260" w:hanging="496"/>
        <w:spacing w:after="0" w:line="264" w:lineRule="auto"/>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280" w:right="420" w:hanging="496"/>
        <w:spacing w:after="0" w:line="342" w:lineRule="auto"/>
        <w:tabs>
          <w:tab w:leader="none" w:pos="12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280" w:hanging="496"/>
        <w:spacing w:after="0" w:line="264" w:lineRule="auto"/>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3"/>
        <w:spacing w:after="0" w:line="342"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80" w:right="660" w:hanging="496"/>
        <w:spacing w:after="0" w:line="342" w:lineRule="auto"/>
        <w:tabs>
          <w:tab w:leader="none" w:pos="12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360" w:hanging="496"/>
        <w:spacing w:after="0" w:line="277" w:lineRule="auto"/>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May 7, 2015</w:t>
            </w:r>
          </w:p>
        </w:tc>
        <w:tc>
          <w:tcPr>
            <w:tcW w:w="7800" w:type="dxa"/>
            <w:vAlign w:val="bottom"/>
            <w:gridSpan w:val="2"/>
          </w:tcPr>
          <w:p>
            <w:pPr>
              <w:ind w:left="2260"/>
              <w:spacing w:after="0"/>
              <w:rPr>
                <w:sz w:val="20"/>
                <w:szCs w:val="20"/>
                <w:color w:val="auto"/>
              </w:rPr>
            </w:pPr>
            <w:r>
              <w:rPr>
                <w:rFonts w:ascii="Arial" w:cs="Arial" w:eastAsia="Arial" w:hAnsi="Arial"/>
                <w:sz w:val="18"/>
                <w:szCs w:val="18"/>
                <w:color w:val="auto"/>
              </w:rPr>
              <w:t>By:  /s/ Michael Fishman</w:t>
            </w: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Kirshenbaum, certify that:</w:t>
      </w:r>
    </w:p>
    <w:p>
      <w:pPr>
        <w:spacing w:after="0" w:line="117" w:lineRule="exact"/>
        <w:rPr>
          <w:sz w:val="20"/>
          <w:szCs w:val="20"/>
          <w:color w:val="auto"/>
        </w:rPr>
      </w:pPr>
    </w:p>
    <w:p>
      <w:pPr>
        <w:ind w:left="780" w:hanging="513"/>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60" w:hanging="513"/>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3"/>
        <w:spacing w:after="0" w:line="308"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3"/>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80" w:right="120" w:hanging="496"/>
        <w:spacing w:after="0" w:line="264" w:lineRule="auto"/>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right="260" w:hanging="496"/>
        <w:spacing w:after="0" w:line="264" w:lineRule="auto"/>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280" w:right="420" w:hanging="496"/>
        <w:spacing w:after="0" w:line="342" w:lineRule="auto"/>
        <w:tabs>
          <w:tab w:leader="none" w:pos="12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80" w:right="280" w:hanging="496"/>
        <w:spacing w:after="0" w:line="264" w:lineRule="auto"/>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3"/>
        <w:spacing w:after="0" w:line="342"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80" w:right="660" w:hanging="496"/>
        <w:spacing w:after="0" w:line="342" w:lineRule="auto"/>
        <w:tabs>
          <w:tab w:leader="none" w:pos="12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80" w:right="360" w:hanging="496"/>
        <w:spacing w:after="0" w:line="277" w:lineRule="auto"/>
        <w:tabs>
          <w:tab w:leader="none" w:pos="1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May 7, 2015</w:t>
            </w:r>
          </w:p>
        </w:tc>
        <w:tc>
          <w:tcPr>
            <w:tcW w:w="7800" w:type="dxa"/>
            <w:vAlign w:val="bottom"/>
            <w:gridSpan w:val="2"/>
          </w:tcPr>
          <w:p>
            <w:pPr>
              <w:ind w:left="226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A</w:t>
            </w:r>
            <w:r>
              <w:rPr>
                <w:rFonts w:ascii="Arial" w:cs="Arial" w:eastAsia="Arial" w:hAnsi="Arial"/>
                <w:sz w:val="13"/>
                <w:szCs w:val="13"/>
                <w:color w:val="auto"/>
              </w:rPr>
              <w:t>LAN</w:t>
            </w:r>
            <w:r>
              <w:rPr>
                <w:rFonts w:ascii="Arial" w:cs="Arial" w:eastAsia="Arial" w:hAnsi="Arial"/>
                <w:sz w:val="18"/>
                <w:szCs w:val="18"/>
                <w:color w:val="auto"/>
              </w:rPr>
              <w:t xml:space="preserve"> K</w:t>
            </w:r>
            <w:r>
              <w:rPr>
                <w:rFonts w:ascii="Arial" w:cs="Arial" w:eastAsia="Arial" w:hAnsi="Arial"/>
                <w:sz w:val="13"/>
                <w:szCs w:val="13"/>
                <w:color w:val="auto"/>
              </w:rPr>
              <w:t>IRSHENBAUM</w:t>
            </w: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2015, as filed with the Securities and Exchange Commission on the date hereof (the “Report”), Joshua Easterly and Michael Fishman, as Co-Chief Executive Officers of the Company, and Alan Kirshenbaum,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7,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Co-Chief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7,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Alan Kirshenbaum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7, 2015</w:t>
      </w:r>
    </w:p>
    <w:p>
      <w:pPr>
        <w:spacing w:after="0" w:line="21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8"/>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lowerRoman"/>
      <w:start w:val="1"/>
    </w:lvl>
  </w:abstractNum>
  <w:abstractNum w:abstractNumId="12">
    <w:nsid w:val="7C3DBD3D"/>
    <w:multiLevelType w:val="hybridMultilevel"/>
    <w:lvl w:ilvl="0">
      <w:lvlJc w:val="left"/>
      <w:lvlText w:val="(%1)"/>
      <w:numFmt w:val="lowerRoman"/>
      <w:start w:val="2"/>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lvl w:ilvl="1">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0"/>
    </w:lvl>
  </w:abstractNum>
  <w:abstractNum w:abstractNumId="24">
    <w:nsid w:val="77465F01"/>
    <w:multiLevelType w:val="hybridMultilevel"/>
    <w:lvl w:ilvl="0">
      <w:lvlJc w:val="left"/>
      <w:lvlText w:val="%1."/>
      <w:numFmt w:val="decimal"/>
      <w:start w:val="11"/>
    </w:lvl>
  </w:abstractNum>
  <w:abstractNum w:abstractNumId="25">
    <w:nsid w:val="7724C67E"/>
    <w:multiLevelType w:val="hybridMultilevel"/>
    <w:lvl w:ilvl="0">
      <w:lvlJc w:val="left"/>
      <w:lvlText w:val="%1."/>
      <w:numFmt w:val="decimal"/>
      <w:start w:val="12"/>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4"/>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
      <w:numFmt w:val="bullet"/>
      <w:start w:val="1"/>
    </w:lvl>
    <w:lvl w:ilvl="1">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32"/>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2019-12-29T16:54:36Z</dcterms:created>
  <dcterms:modified xsi:type="dcterms:W3CDTF">2019-12-29T16:54:36Z</dcterms:modified>
</cp:coreProperties>
</file>