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November 3, 2015, the registrant issued a press release announcing its financial results for the quarter ended September 30, 2015. The text of the press release is included as Exhibit 99.1 to this Form 8-K.</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On November 3, 2015, the registrant issued a press release, included herewith as Exhibit 99.1, announcing the declaration of a fourth fiscal quarter 2015 dividend of $0.39 per share, payable on or about January 29, 2016 to stockholders of record as of December 31, 2015.</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2015</w:t>
      </w:r>
    </w:p>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6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3, 2015</w:t>
      </w:r>
      <w:r>
        <w:rPr>
          <w:sz w:val="20"/>
          <w:szCs w:val="20"/>
          <w:color w:val="auto"/>
        </w:rPr>
        <w:tab/>
      </w:r>
      <w:r>
        <w:rPr>
          <w:rFonts w:ascii="Arial" w:cs="Arial" w:eastAsia="Arial" w:hAnsi="Arial"/>
          <w:sz w:val="17"/>
          <w:szCs w:val="17"/>
          <w:color w:val="auto"/>
        </w:rPr>
        <w:t>By: /s/ Robert Ollwerther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Ollwerther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Operating Officer and 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TPG Specialty Lending, Inc. Announces Quarter Ended September 30, 2015 Financial Results; Board Declares Quarterly Dividend of $0.39 Per Share for the Fourth Fiscal Quarter of 2015</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NEW YORK – (BUSINESS WIRE) – November 3, 2015 – TPG Specialty Lending, Inc. (NYSE: TSLX, or the “Company”) today reported net investment income of $25.8 million, or $0.48 per share, including a one-time charge of $0.06 per share related to the acceleration of deferred financing costs associated with the termination of the Company’s SPV Asset Facility, for the quarter ended September 30, 2015. Third quarter net investment income per share adjusted for this one-time charge was $0.54. Net income was $9.3 million, or $0.17 per share, for the quarter ended September 30, 2015. Net asset value per share was $15.62 at September 30, 2015 as compared to $15.84 at June 30, 2015. The Company’s Board of Directors declared a third quarter dividend of $0.39 per share, payable to stockholders of record as of September 30, 2015 that was paid on October 30, 2015.</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announced that its Board of Directors has declared a quarterly dividend of $0.39 per share for stockholders of record as of December 31, 2015, payable on or about January 29,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Arial" w:cs="Arial" w:eastAsia="Arial" w:hAnsi="Arial"/>
                <w:sz w:val="14"/>
                <w:szCs w:val="14"/>
                <w:color w:val="auto"/>
              </w:rPr>
              <w:t>(amounts in thousands, except per share amounts)</w:t>
            </w:r>
          </w:p>
        </w:tc>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color w:val="auto"/>
              </w:rPr>
              <w:t>(Unaudited)</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2"/>
            <w:vMerge w:val="restart"/>
          </w:tcPr>
          <w:p>
            <w:pPr>
              <w:jc w:val="right"/>
              <w:ind w:right="690"/>
              <w:spacing w:after="0"/>
              <w:rPr>
                <w:sz w:val="20"/>
                <w:szCs w:val="20"/>
                <w:color w:val="auto"/>
              </w:rPr>
            </w:pPr>
            <w:r>
              <w:rPr>
                <w:rFonts w:ascii="Arial" w:cs="Arial" w:eastAsia="Arial" w:hAnsi="Arial"/>
                <w:sz w:val="14"/>
                <w:szCs w:val="14"/>
                <w:b w:val="1"/>
                <w:bCs w:val="1"/>
                <w:color w:val="auto"/>
              </w:rPr>
              <w:t>September 30, 2015</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June 30, 2015</w:t>
            </w:r>
          </w:p>
        </w:tc>
        <w:tc>
          <w:tcPr>
            <w:tcW w:w="4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1,396,426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1,397,560</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90"/>
              <w:spacing w:after="0"/>
              <w:rPr>
                <w:sz w:val="20"/>
                <w:szCs w:val="20"/>
                <w:color w:val="auto"/>
              </w:rPr>
            </w:pPr>
            <w:r>
              <w:rPr>
                <w:rFonts w:ascii="Arial" w:cs="Arial" w:eastAsia="Arial" w:hAnsi="Arial"/>
                <w:sz w:val="18"/>
                <w:szCs w:val="18"/>
                <w:color w:val="auto"/>
              </w:rPr>
              <w:t>1,429,009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1,459,005</w:t>
            </w:r>
          </w:p>
        </w:tc>
        <w:tc>
          <w:tcPr>
            <w:tcW w:w="48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1,280,043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90"/>
              <w:spacing w:after="0"/>
              <w:rPr>
                <w:sz w:val="20"/>
                <w:szCs w:val="20"/>
                <w:color w:val="auto"/>
              </w:rPr>
            </w:pPr>
            <w:r>
              <w:rPr>
                <w:rFonts w:ascii="Arial" w:cs="Arial" w:eastAsia="Arial" w:hAnsi="Arial"/>
                <w:sz w:val="18"/>
                <w:szCs w:val="18"/>
                <w:color w:val="auto"/>
              </w:rPr>
              <w:t>46,774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45,352</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25,849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25,020</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90"/>
              <w:spacing w:after="0"/>
              <w:rPr>
                <w:sz w:val="20"/>
                <w:szCs w:val="20"/>
                <w:color w:val="auto"/>
              </w:rPr>
            </w:pPr>
            <w:r>
              <w:rPr>
                <w:rFonts w:ascii="Arial" w:cs="Arial" w:eastAsia="Arial" w:hAnsi="Arial"/>
                <w:sz w:val="18"/>
                <w:szCs w:val="18"/>
                <w:color w:val="auto"/>
              </w:rPr>
              <w:t>9,337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34,105</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18,603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0.46</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3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0.17</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0.63</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10"/>
        </w:trPr>
        <w:tc>
          <w:tcPr>
            <w:tcW w:w="5600" w:type="dxa"/>
            <w:vAlign w:val="bottom"/>
            <w:gridSpan w:val="2"/>
          </w:tcPr>
          <w:p>
            <w:pPr>
              <w:spacing w:after="0"/>
              <w:rPr>
                <w:sz w:val="20"/>
                <w:szCs w:val="20"/>
                <w:color w:val="auto"/>
              </w:rPr>
            </w:pPr>
            <w:r>
              <w:rPr>
                <w:rFonts w:ascii="Arial" w:cs="Arial" w:eastAsia="Arial" w:hAnsi="Arial"/>
                <w:sz w:val="18"/>
                <w:szCs w:val="18"/>
                <w:color w:val="auto"/>
                <w:w w:val="95"/>
              </w:rPr>
              <w:t>Weighted Average Yield of Debt and Income Producing Securities at Fair</w:t>
            </w: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Value</w:t>
            </w:r>
          </w:p>
        </w:tc>
        <w:tc>
          <w:tcPr>
            <w:tcW w:w="62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 Producing Securities at</w:t>
            </w:r>
          </w:p>
        </w:tc>
        <w:tc>
          <w:tcPr>
            <w:tcW w:w="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6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 Rates</w:t>
            </w:r>
          </w:p>
        </w:tc>
        <w:tc>
          <w:tcPr>
            <w:tcW w:w="62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4"/>
                <w:szCs w:val="2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conference call will be broadcast live at 8 a.m. Eastern Time on November 4, 2015.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51403934</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4</w:t>
      </w:r>
      <w:r>
        <w:rPr>
          <w:rFonts w:ascii="Arial" w:cs="Arial" w:eastAsia="Arial" w:hAnsi="Arial"/>
          <w:sz w:val="13"/>
          <w:szCs w:val="13"/>
          <w:color w:val="auto"/>
        </w:rPr>
        <w:t>th</w:t>
      </w:r>
      <w:r>
        <w:rPr>
          <w:rFonts w:ascii="Arial" w:cs="Arial" w:eastAsia="Arial" w:hAnsi="Arial"/>
          <w:sz w:val="16"/>
          <w:szCs w:val="16"/>
          <w:color w:val="auto"/>
        </w:rPr>
        <w:t xml:space="preserve"> through November 18</w:t>
      </w:r>
      <w:r>
        <w:rPr>
          <w:rFonts w:ascii="Arial" w:cs="Arial" w:eastAsia="Arial" w:hAnsi="Arial"/>
          <w:sz w:val="13"/>
          <w:szCs w:val="13"/>
          <w:color w:val="auto"/>
        </w:rPr>
        <w:t>th</w:t>
      </w:r>
      <w:r>
        <w:rPr>
          <w:rFonts w:ascii="Arial" w:cs="Arial" w:eastAsia="Arial" w:hAnsi="Arial"/>
          <w:sz w:val="16"/>
          <w:szCs w:val="16"/>
          <w:color w:val="auto"/>
        </w:rPr>
        <w:t xml:space="preserve">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the Company’s website, and via the dial-in numbers listed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51403934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three months ended September 30, 2015, gross originations totaled $184.8 million. This compares to $112.3 million for the three months ended June 30, 2015 and $288.6 million for the three months ended September 30, 2014.</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three months ended September 30, 2015, the Company made new investment commitments of $184.8 million, $160.9 million to six new portfolio companies and $23.9 million to five existing portfolio companies. For this period, the Company had $148.4 million aggregate principal amount in exits and repayments, resulting in a net portfolio increase of $15.8 million aggregate principal amount.</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the three months ended September 30, 2014, the Company made new investment commitments of $248.6 million, $216.9 million to four new portfolio companies and $31.7 million to four existing portfolio companies. For this period, the Company had $109.6 million aggregate principal amount in exits and repayments, resulting in a net portfolio increase of $114.4 million aggregate principal amount.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2015 and June 30, 2015, the Company had investments in 44 and 40 portfolio companies, respectively, with an aggregate fair value of $1,396.4 million and $1,397.6 million, respectively.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the portfolio consisted of 87.0% first-lien debt investments, 8.8% second-lien debt investments, 1.9% mezzanine and unsecured debt investments, and 2.3% equity and other investments. As of June 30, 2015, the portfolio consisted of 90.5% first-lien debt investments, 7.5% second-lien debt investments, 1.1% mezzanine and unsecured debt investments, and 0.9% equity and other investments.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2015, 94.9% of debt investments bore interest at floating rates, subject to interest rate floors. The Company’s credit facility also bears interest at floating rates.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September 30, 2015 and June 30, 2015, the weighted average total yield of debt and income producing securities at fair value (which includes interest income and amortization of fees and discounts) was 10.5% and 10.3%, respectively, and the weighted average total yield of debt and income producing securities at amortized cost (which includes interest income and amortization of fees and discounts) was 10.5% and 10.4%, respectively.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 average total yield of new debt and income producing securities made to new portfolio companies during the quarter was 10.7% at amortized cost.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2015, 100.0% of debt investments were meeting all payment requirements and 98.1% of debt investments were meeting all covenant requirements. No investments were on non-accrual status at September 30, 2015.</w:t>
      </w:r>
    </w:p>
    <w:p>
      <w:pPr>
        <w:sectPr>
          <w:pgSz w:w="11900" w:h="16838" w:orient="portrait"/>
          <w:cols w:equalWidth="0" w:num="1">
            <w:col w:w="11360"/>
          </w:cols>
          <w:pgMar w:left="240" w:top="270" w:right="299" w:bottom="1440" w:gutter="0" w:footer="0" w:header="0"/>
        </w:sectPr>
      </w:pPr>
    </w:p>
    <w:bookmarkStart w:id="5" w:name="page6"/>
    <w:bookmarkEnd w:id="5"/>
    <w:p>
      <w:pPr>
        <w:ind w:right="144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Results of Operations for the Three Months Ended September 30, 2015 compared to the Three Months Ended September 30, 2014 </w:t>
      </w:r>
      <w:r>
        <w:rPr>
          <w:rFonts w:ascii="Arial" w:cs="Arial" w:eastAsia="Arial" w:hAnsi="Arial"/>
          <w:sz w:val="18"/>
          <w:szCs w:val="18"/>
          <w:b w:val="1"/>
          <w:bCs w:val="1"/>
          <w:i w:val="1"/>
          <w:iCs w:val="1"/>
          <w:color w:val="auto"/>
        </w:rPr>
        <w:t>Investment Income</w:t>
      </w:r>
    </w:p>
    <w:p>
      <w:pPr>
        <w:ind w:right="20"/>
        <w:spacing w:after="0" w:line="259" w:lineRule="auto"/>
        <w:rPr>
          <w:sz w:val="20"/>
          <w:szCs w:val="20"/>
          <w:color w:val="auto"/>
        </w:rPr>
      </w:pPr>
      <w:r>
        <w:rPr>
          <w:rFonts w:ascii="Arial" w:cs="Arial" w:eastAsia="Arial" w:hAnsi="Arial"/>
          <w:sz w:val="18"/>
          <w:szCs w:val="18"/>
          <w:color w:val="auto"/>
        </w:rPr>
        <w:t>For the three months ended September 30, 2015 and 2014, investment income totaled $46.8 million and $38.4 million, respectively. The increase in investment income for the quarter was primarily driven by an increase in the average size of our investment portfolio, accelerated amortization of upfront fees from unscheduled paydowns, prepayment fees, and dividend income, slightly offset by lower syndication, amendment and agency fees, as compared to the same period in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expenses totaled $20.5 million and $14.9 million for the three months ended September 30, 2015 and 2014, respectively. The increase in net expenses was due to higher interest expense related to an increase in the weighted average debt outstanding and the acceleration of deferred financing cost of $3.2 million related to the termination of the SPV Asset Facility during the quarter, higher general and administrative expenses associated with servicing a growing investment portfolio, partially offset by a decrease in the average interest rate on our debt outstanding and a decrease in net incentive fees.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September 30, 2015, the Company had $3.8 million in cash and cash equivalents, total debt outstanding of $538.6 million, and $355.0 million of undrawn commitments on its revolving credit facility, subject to borrowing base and other limitations. The Company’s weighted average interest rate on debt outstanding was 2.6% for the three months ended September 30, 2015, as compared to 2.7% for the three months ended September 30, 2014.</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rated BBB- by Fitch Ratings and Standard and Poor’s. Both Fitch Ratings and Standard and Poor’s affirmed the Company’s BBB- rating and stable outlook during the first quarter of 2015.</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ind w:left="60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ind w:left="640"/>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rPr>
              <w:t>Investment income from non-controlled, non-affiliated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43,986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33,728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120,040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3,301</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4,714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Total investment income from non-controlled,</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non-affiliated investments</w:t>
            </w:r>
          </w:p>
        </w:tc>
        <w:tc>
          <w:tcPr>
            <w:tcW w:w="24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45,168</w:t>
            </w:r>
          </w:p>
        </w:tc>
        <w:tc>
          <w:tcPr>
            <w:tcW w:w="3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37,029</w:t>
            </w: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125,228</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income from controlled, affiliated</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from investments</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1,532</w:t>
            </w:r>
          </w:p>
        </w:tc>
        <w:tc>
          <w:tcPr>
            <w:tcW w:w="3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1,312</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4,442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Total investment income from controlled,</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affiliated investments</w:t>
            </w:r>
          </w:p>
        </w:tc>
        <w:tc>
          <w:tcPr>
            <w:tcW w:w="24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1,606</w:t>
            </w:r>
          </w:p>
        </w:tc>
        <w:tc>
          <w:tcPr>
            <w:tcW w:w="3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4,628</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46,774</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38,404</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129,856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7,963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16,910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5,460</w:t>
            </w:r>
          </w:p>
        </w:tc>
        <w:tc>
          <w:tcPr>
            <w:tcW w:w="3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4,651</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15,706</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3,045</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4,161</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15,182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2,366</w:t>
            </w:r>
          </w:p>
        </w:tc>
        <w:tc>
          <w:tcPr>
            <w:tcW w:w="3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4,857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1,634</w:t>
            </w:r>
          </w:p>
        </w:tc>
        <w:tc>
          <w:tcPr>
            <w:tcW w:w="3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4,061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20,569</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14,913</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57,004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45,607</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Management and incentive fees waived</w:t>
            </w: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Expenses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20,465</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14,913</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56,900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26,309</w:t>
            </w:r>
          </w:p>
        </w:tc>
        <w:tc>
          <w:tcPr>
            <w:tcW w:w="6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23,491</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72,956</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6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23,116</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71,655</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(10,191)</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(6,251)</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(4,454)</w:t>
            </w:r>
          </w:p>
        </w:tc>
        <w:tc>
          <w:tcPr>
            <w:tcW w:w="3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(3,925)</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Translation of assets and liabilities in foreign</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currencies</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1,227</w:t>
            </w: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4,536</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1,879</w:t>
            </w:r>
          </w:p>
        </w:tc>
        <w:tc>
          <w:tcPr>
            <w:tcW w:w="3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672</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060"/>
              <w:spacing w:after="0"/>
              <w:rPr>
                <w:sz w:val="20"/>
                <w:szCs w:val="20"/>
                <w:color w:val="auto"/>
              </w:rPr>
            </w:pPr>
            <w:r>
              <w:rPr>
                <w:rFonts w:ascii="Arial" w:cs="Arial" w:eastAsia="Arial" w:hAnsi="Arial"/>
                <w:sz w:val="18"/>
                <w:szCs w:val="18"/>
                <w:color w:val="auto"/>
              </w:rPr>
              <w:t>Total net change in unrealized losses</w:t>
            </w: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6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(4,975)</w:t>
            </w:r>
          </w:p>
        </w:tc>
        <w:tc>
          <w:tcPr>
            <w:tcW w:w="3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(5,042)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realized losses</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(4,973)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(3,330)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240"/>
              <w:spacing w:after="0"/>
              <w:rPr>
                <w:sz w:val="20"/>
                <w:szCs w:val="20"/>
                <w:color w:val="auto"/>
              </w:rPr>
            </w:pPr>
            <w:r>
              <w:rPr>
                <w:rFonts w:ascii="Arial" w:cs="Arial" w:eastAsia="Arial" w:hAnsi="Arial"/>
                <w:sz w:val="18"/>
                <w:szCs w:val="18"/>
                <w:b w:val="1"/>
                <w:bCs w:val="1"/>
                <w:color w:val="auto"/>
              </w:rPr>
              <w:t>Total Unrealized and Realized Losses</w:t>
            </w: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(16,512)</w:t>
            </w:r>
          </w:p>
        </w:tc>
        <w:tc>
          <w:tcPr>
            <w:tcW w:w="6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5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ind w:left="1240"/>
              <w:spacing w:after="0" w:line="198" w:lineRule="exact"/>
              <w:rPr>
                <w:sz w:val="20"/>
                <w:szCs w:val="20"/>
                <w:color w:val="auto"/>
              </w:rPr>
            </w:pPr>
            <w:r>
              <w:rPr>
                <w:rFonts w:ascii="Arial" w:cs="Arial" w:eastAsia="Arial" w:hAnsi="Arial"/>
                <w:sz w:val="18"/>
                <w:szCs w:val="18"/>
                <w:b w:val="1"/>
                <w:bCs w:val="1"/>
                <w:color w:val="auto"/>
              </w:rPr>
              <w:t>Increase in Net Assets Resulting from</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9,337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18,603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67,910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71,245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8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 outstanding—</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54,017,302</w:t>
            </w: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53,493,026</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53,969,423</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49,427,943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(amortized cost of $1,332,433 and $1,225,672,</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1,326,937</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1,221,875</w:t>
            </w: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$79,358 and $47,580, respectively)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$1,411,791 and $1,273,252, respectively)</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1,396,426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1,263,511</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3,788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9,185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1,692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17,918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1,429,009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538,619</w:t>
            </w:r>
          </w:p>
        </w:tc>
        <w:tc>
          <w:tcPr>
            <w:tcW w:w="60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4,959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21,070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6,737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585,037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400,000,000 shares authorized, 54,028,546 and 53,798,357 shares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respectively; and 54,025,547 and 53,797,358 shares outstanding, respectively</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811,581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2,999 and 999 shares held, respectively</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15,555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843,972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1,429,009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15.62</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September 30, 2015 and 2014 is presented below (information presented herein is at par value unless otherwise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September 30, 2015</w:t>
            </w: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90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184.8</w:t>
            </w:r>
          </w:p>
        </w:tc>
        <w:tc>
          <w:tcPr>
            <w:tcW w:w="580" w:type="dxa"/>
            <w:vAlign w:val="bottom"/>
          </w:tcPr>
          <w:p>
            <w:pPr>
              <w:spacing w:after="0"/>
              <w:rPr>
                <w:sz w:val="18"/>
                <w:szCs w:val="18"/>
                <w:color w:val="auto"/>
              </w:rPr>
            </w:pPr>
          </w:p>
        </w:tc>
        <w:tc>
          <w:tcPr>
            <w:tcW w:w="9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460" w:type="dxa"/>
            <w:vAlign w:val="bottom"/>
          </w:tcPr>
          <w:p>
            <w:pPr>
              <w:spacing w:after="0"/>
              <w:rPr>
                <w:sz w:val="19"/>
                <w:szCs w:val="19"/>
                <w:color w:val="auto"/>
              </w:rPr>
            </w:pPr>
          </w:p>
        </w:tc>
        <w:tc>
          <w:tcPr>
            <w:tcW w:w="44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90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99.6</w:t>
            </w:r>
          </w:p>
        </w:tc>
        <w:tc>
          <w:tcPr>
            <w:tcW w:w="580" w:type="dxa"/>
            <w:vAlign w:val="bottom"/>
          </w:tcPr>
          <w:p>
            <w:pPr>
              <w:spacing w:after="0"/>
              <w:rPr>
                <w:sz w:val="18"/>
                <w:szCs w:val="18"/>
                <w:color w:val="auto"/>
              </w:rPr>
            </w:pPr>
          </w:p>
        </w:tc>
        <w:tc>
          <w:tcPr>
            <w:tcW w:w="9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44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90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138.4</w:t>
            </w:r>
          </w:p>
        </w:tc>
        <w:tc>
          <w:tcPr>
            <w:tcW w:w="580" w:type="dxa"/>
            <w:vAlign w:val="bottom"/>
          </w:tcPr>
          <w:p>
            <w:pPr>
              <w:spacing w:after="0"/>
              <w:rPr>
                <w:sz w:val="18"/>
                <w:szCs w:val="18"/>
                <w:color w:val="auto"/>
              </w:rPr>
            </w:pPr>
          </w:p>
        </w:tc>
        <w:tc>
          <w:tcPr>
            <w:tcW w:w="9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w:t>
            </w:r>
          </w:p>
        </w:tc>
        <w:tc>
          <w:tcPr>
            <w:tcW w:w="4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portfolio companies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w:t>
            </w:r>
          </w:p>
        </w:tc>
        <w:tc>
          <w:tcPr>
            <w:tcW w:w="90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w w:val="99"/>
              </w:rPr>
              <w:t>commitments in new portfolio companies (in years)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floating rates</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98"/>
        </w:trPr>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fixed rates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8"/>
        </w:trPr>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rate investment commitments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interest rate on investments sold or</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paid down</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2019-12-08T23:10:30Z</dcterms:created>
  <dcterms:modified xsi:type="dcterms:W3CDTF">2019-12-08T23:10:30Z</dcterms:modified>
</cp:coreProperties>
</file>