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Filed Pursuant to Rule 497</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333-231271</w:t>
      </w:r>
    </w:p>
    <w:p>
      <w:pPr>
        <w:spacing w:after="0" w:line="139" w:lineRule="exact"/>
        <w:rPr>
          <w:sz w:val="24"/>
          <w:szCs w:val="24"/>
          <w:color w:val="auto"/>
        </w:rPr>
      </w:pPr>
    </w:p>
    <w:p>
      <w:pPr>
        <w:ind w:left="120" w:right="14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FF4338"/>
        </w:rPr>
        <w:t>Subject to Completion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FF4338"/>
        </w:rPr>
        <w:t>Preliminary Prospectus Supplement dated January 27, 2021</w:t>
      </w:r>
    </w:p>
    <w:p>
      <w:pPr>
        <w:spacing w:after="0" w:line="80"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PROSPECTUS SUPPLEMENT</w:t>
      </w:r>
    </w:p>
    <w:p>
      <w:pPr>
        <w:spacing w:after="0" w:line="42"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(To Prospectus dated May 7, 2019)</w:t>
      </w:r>
    </w:p>
    <w:p>
      <w:pPr>
        <w:spacing w:after="0" w:line="41" w:lineRule="exact"/>
        <w:rPr>
          <w:sz w:val="24"/>
          <w:szCs w:val="24"/>
          <w:color w:val="auto"/>
        </w:rPr>
      </w:pPr>
    </w:p>
    <w:p>
      <w:pPr>
        <w:ind w:left="5060"/>
        <w:spacing w:after="0"/>
        <w:rPr>
          <w:sz w:val="20"/>
          <w:szCs w:val="20"/>
          <w:color w:val="auto"/>
        </w:rPr>
      </w:pPr>
      <w:r>
        <w:rPr>
          <w:rFonts w:ascii="Arial" w:cs="Arial" w:eastAsia="Arial" w:hAnsi="Arial"/>
          <w:sz w:val="25"/>
          <w:szCs w:val="2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63500</wp:posOffset>
            </wp:positionV>
            <wp:extent cx="137160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ind w:left="120" w:right="220" w:firstLine="440"/>
        <w:spacing w:after="0" w:line="230" w:lineRule="auto"/>
        <w:rPr>
          <w:sz w:val="20"/>
          <w:szCs w:val="20"/>
          <w:color w:val="auto"/>
        </w:rPr>
      </w:pPr>
      <w:r>
        <w:rPr>
          <w:rFonts w:ascii="Arial" w:cs="Arial" w:eastAsia="Arial" w:hAnsi="Arial"/>
          <w:sz w:val="14"/>
          <w:szCs w:val="14"/>
          <w:color w:val="auto"/>
        </w:rPr>
        <w:t>We are offering $ in aggregate principal amount of % notes due , which we refer to as the Notes. The Notes will mature on , . We will pay interest on the Notes and of each year, beginning on , 2021. We may redeem the Notes in whole or in part at any time or from time to time at the redemption price discussed</w:t>
      </w:r>
    </w:p>
    <w:p>
      <w:pPr>
        <w:ind w:left="120" w:right="140"/>
        <w:spacing w:after="0" w:line="232" w:lineRule="auto"/>
        <w:rPr>
          <w:sz w:val="20"/>
          <w:szCs w:val="20"/>
          <w:color w:val="auto"/>
        </w:rPr>
      </w:pPr>
      <w:r>
        <w:rPr>
          <w:rFonts w:ascii="Arial" w:cs="Arial" w:eastAsia="Arial" w:hAnsi="Arial"/>
          <w:sz w:val="14"/>
          <w:szCs w:val="14"/>
          <w:color w:val="auto"/>
        </w:rPr>
        <w:t>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21" w:lineRule="exact"/>
        <w:rPr>
          <w:sz w:val="24"/>
          <w:szCs w:val="24"/>
          <w:color w:val="auto"/>
        </w:rPr>
      </w:pPr>
    </w:p>
    <w:p>
      <w:pPr>
        <w:ind w:left="120" w:right="280" w:firstLine="440"/>
        <w:spacing w:after="0" w:line="253" w:lineRule="auto"/>
        <w:rPr>
          <w:sz w:val="20"/>
          <w:szCs w:val="20"/>
          <w:color w:val="auto"/>
        </w:rPr>
      </w:pPr>
      <w:r>
        <w:rPr>
          <w:rFonts w:ascii="Arial" w:cs="Arial" w:eastAsia="Arial" w:hAnsi="Arial"/>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w:t>
      </w:r>
    </w:p>
    <w:p>
      <w:pPr>
        <w:spacing w:after="0" w:line="12" w:lineRule="exact"/>
        <w:rPr>
          <w:sz w:val="24"/>
          <w:szCs w:val="24"/>
          <w:color w:val="auto"/>
        </w:rPr>
      </w:pPr>
    </w:p>
    <w:p>
      <w:pPr>
        <w:jc w:val="both"/>
        <w:ind w:left="120" w:right="340" w:firstLine="440"/>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21" w:lineRule="exact"/>
        <w:rPr>
          <w:sz w:val="24"/>
          <w:szCs w:val="24"/>
          <w:color w:val="auto"/>
        </w:rPr>
      </w:pPr>
    </w:p>
    <w:p>
      <w:pPr>
        <w:ind w:left="120" w:right="360" w:firstLine="440"/>
        <w:spacing w:after="0" w:line="253" w:lineRule="auto"/>
        <w:rPr>
          <w:sz w:val="20"/>
          <w:szCs w:val="20"/>
          <w:color w:val="auto"/>
        </w:rPr>
      </w:pPr>
      <w:r>
        <w:rPr>
          <w:rFonts w:ascii="Arial" w:cs="Arial" w:eastAsia="Arial" w:hAnsi="Arial"/>
          <w:sz w:val="14"/>
          <w:szCs w:val="14"/>
          <w:color w:val="auto"/>
        </w:rPr>
        <w:t>As of September 30, 2020, our investment portfolio consisted of investments in 70 portfolio companies with an aggregate fair value of $2,100.8 million. We intend to continue to pursue an investment strategy focused on direct origination of loans to middle-market companies principally domiciled in the United States.</w:t>
      </w:r>
    </w:p>
    <w:p>
      <w:pPr>
        <w:spacing w:after="0" w:line="12" w:lineRule="exact"/>
        <w:rPr>
          <w:sz w:val="24"/>
          <w:szCs w:val="24"/>
          <w:color w:val="auto"/>
        </w:rPr>
      </w:pPr>
    </w:p>
    <w:p>
      <w:pPr>
        <w:ind w:left="120" w:right="240" w:firstLine="440"/>
        <w:spacing w:after="0" w:line="281" w:lineRule="auto"/>
        <w:rPr>
          <w:sz w:val="20"/>
          <w:szCs w:val="20"/>
          <w:color w:val="auto"/>
        </w:rPr>
      </w:pPr>
      <w:r>
        <w:rPr>
          <w:rFonts w:ascii="Arial" w:cs="Arial" w:eastAsia="Arial" w:hAnsi="Arial"/>
          <w:sz w:val="13"/>
          <w:szCs w:val="13"/>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$50 billion in assets under management and committed capital.</w:t>
      </w:r>
    </w:p>
    <w:p>
      <w:pPr>
        <w:spacing w:after="0" w:line="1" w:lineRule="exact"/>
        <w:rPr>
          <w:sz w:val="24"/>
          <w:szCs w:val="24"/>
          <w:color w:val="auto"/>
        </w:rPr>
      </w:pPr>
    </w:p>
    <w:p>
      <w:pPr>
        <w:ind w:left="120" w:right="40" w:firstLine="440"/>
        <w:spacing w:after="0" w:line="231"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2" w:lineRule="exact"/>
        <w:rPr>
          <w:sz w:val="24"/>
          <w:szCs w:val="24"/>
          <w:color w:val="auto"/>
        </w:rPr>
      </w:pPr>
    </w:p>
    <w:p>
      <w:pPr>
        <w:jc w:val="both"/>
        <w:ind w:left="120" w:right="80" w:firstLine="440"/>
        <w:spacing w:after="0" w:line="264" w:lineRule="auto"/>
        <w:rPr>
          <w:sz w:val="20"/>
          <w:szCs w:val="20"/>
          <w:color w:val="auto"/>
        </w:rPr>
      </w:pPr>
      <w:r>
        <w:rPr>
          <w:rFonts w:ascii="Arial" w:cs="Arial" w:eastAsia="Arial" w:hAnsi="Arial"/>
          <w:sz w:val="13"/>
          <w:szCs w:val="13"/>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58420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p>
      <w:pPr>
        <w:ind w:left="120" w:right="200" w:firstLine="440"/>
        <w:spacing w:after="0" w:line="258"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including the risk of leverage, that are described in the “</w:t>
      </w:r>
      <w:hyperlink w:anchor="page13">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section beginning on page S-10 of this prospectus supplement and page 23 of the accompanying prospectus and in the documents incorporated by reference herein and therein.</w:t>
      </w:r>
    </w:p>
    <w:p>
      <w:pPr>
        <w:spacing w:after="0" w:line="9" w:lineRule="exact"/>
        <w:rPr>
          <w:sz w:val="24"/>
          <w:szCs w:val="24"/>
          <w:color w:val="auto"/>
        </w:rPr>
      </w:pPr>
    </w:p>
    <w:p>
      <w:pPr>
        <w:ind w:left="120" w:right="140" w:firstLine="440"/>
        <w:spacing w:after="0" w:line="247" w:lineRule="auto"/>
        <w:rPr>
          <w:sz w:val="20"/>
          <w:szCs w:val="20"/>
          <w:color w:val="auto"/>
        </w:rPr>
      </w:pPr>
      <w:r>
        <w:rPr>
          <w:rFonts w:ascii="Arial" w:cs="Arial" w:eastAsia="Arial" w:hAnsi="Arial"/>
          <w:sz w:val="13"/>
          <w:szCs w:val="13"/>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35th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65405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4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w w:val="90"/>
              </w:rPr>
              <w:t>Per Note</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r>
      <w:tr>
        <w:trPr>
          <w:trHeight w:val="142"/>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12"/>
                <w:szCs w:val="12"/>
                <w:color w:val="auto"/>
              </w:rPr>
              <w:t>(1)</w:t>
            </w:r>
          </w:p>
        </w:tc>
        <w:tc>
          <w:tcPr>
            <w:tcW w:w="26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jc w:val="right"/>
              <w:ind w:right="50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right w:val="single" w:sz="8" w:color="CCEEFF"/>
            </w:tcBorders>
            <w:shd w:val="clear" w:color="auto" w:fill="CCEEFF"/>
          </w:tcPr>
          <w:p>
            <w:pPr>
              <w:jc w:val="right"/>
              <w:ind w:right="463"/>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3900" w:type="dxa"/>
            <w:vAlign w:val="bottom"/>
            <w:gridSpan w:val="3"/>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463"/>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r>
              <w:rPr>
                <w:rFonts w:ascii="Arial" w:cs="Arial" w:eastAsia="Arial" w:hAnsi="Arial"/>
                <w:sz w:val="12"/>
                <w:szCs w:val="12"/>
                <w:color w:val="auto"/>
              </w:rPr>
              <w:t>(2)</w:t>
            </w:r>
          </w:p>
        </w:tc>
        <w:tc>
          <w:tcPr>
            <w:tcW w:w="3900" w:type="dxa"/>
            <w:vAlign w:val="bottom"/>
            <w:gridSpan w:val="3"/>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ind w:right="463"/>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960" w:type="dxa"/>
            <w:vAlign w:val="bottom"/>
            <w:gridSpan w:val="7"/>
          </w:tcPr>
          <w:p>
            <w:pPr>
              <w:spacing w:after="0"/>
              <w:rPr>
                <w:sz w:val="11"/>
                <w:szCs w:val="11"/>
                <w:color w:val="auto"/>
              </w:rPr>
            </w:pPr>
          </w:p>
        </w:tc>
        <w:tc>
          <w:tcPr>
            <w:tcW w:w="680" w:type="dxa"/>
            <w:vAlign w:val="bottom"/>
          </w:tcPr>
          <w:p>
            <w:pPr>
              <w:spacing w:after="0"/>
              <w:rPr>
                <w:sz w:val="11"/>
                <w:szCs w:val="11"/>
                <w:color w:val="auto"/>
              </w:rPr>
            </w:pPr>
          </w:p>
        </w:tc>
      </w:tr>
      <w:tr>
        <w:trPr>
          <w:trHeight w:val="150"/>
        </w:trPr>
        <w:tc>
          <w:tcPr>
            <w:tcW w:w="300" w:type="dxa"/>
            <w:vAlign w:val="bottom"/>
          </w:tcPr>
          <w:p>
            <w:pPr>
              <w:jc w:val="right"/>
              <w:ind w:right="68"/>
              <w:spacing w:after="0" w:line="151" w:lineRule="exact"/>
              <w:rPr>
                <w:sz w:val="20"/>
                <w:szCs w:val="20"/>
                <w:color w:val="auto"/>
              </w:rPr>
            </w:pPr>
            <w:r>
              <w:rPr>
                <w:rFonts w:ascii="Arial" w:cs="Arial" w:eastAsia="Arial" w:hAnsi="Arial"/>
                <w:sz w:val="14"/>
                <w:szCs w:val="14"/>
                <w:color w:val="auto"/>
                <w:w w:val="81"/>
              </w:rPr>
              <w:t>(1)</w:t>
            </w:r>
          </w:p>
        </w:tc>
        <w:tc>
          <w:tcPr>
            <w:tcW w:w="9880" w:type="dxa"/>
            <w:vAlign w:val="bottom"/>
            <w:gridSpan w:val="8"/>
          </w:tcPr>
          <w:p>
            <w:pPr>
              <w:ind w:left="120"/>
              <w:spacing w:after="0" w:line="151" w:lineRule="exact"/>
              <w:rPr>
                <w:sz w:val="20"/>
                <w:szCs w:val="20"/>
                <w:color w:val="auto"/>
              </w:rPr>
            </w:pPr>
            <w:r>
              <w:rPr>
                <w:rFonts w:ascii="Arial" w:cs="Arial" w:eastAsia="Arial" w:hAnsi="Arial"/>
                <w:sz w:val="14"/>
                <w:szCs w:val="14"/>
                <w:color w:val="auto"/>
                <w:w w:val="95"/>
              </w:rPr>
              <w:t>The public offering price set forth above does not include accrued interest, if any. Interest on the Notes must be paid by the purchaser if the Notes are delivered after</w:t>
            </w: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 2021.</w:t>
            </w:r>
          </w:p>
        </w:tc>
      </w:tr>
      <w:tr>
        <w:trPr>
          <w:trHeight w:val="182"/>
        </w:trPr>
        <w:tc>
          <w:tcPr>
            <w:tcW w:w="300" w:type="dxa"/>
            <w:vAlign w:val="bottom"/>
          </w:tcPr>
          <w:p>
            <w:pPr>
              <w:jc w:val="right"/>
              <w:ind w:right="68"/>
              <w:spacing w:after="0"/>
              <w:rPr>
                <w:sz w:val="20"/>
                <w:szCs w:val="20"/>
                <w:color w:val="auto"/>
              </w:rPr>
            </w:pPr>
            <w:r>
              <w:rPr>
                <w:rFonts w:ascii="Arial" w:cs="Arial" w:eastAsia="Arial" w:hAnsi="Arial"/>
                <w:sz w:val="14"/>
                <w:szCs w:val="14"/>
                <w:color w:val="auto"/>
                <w:w w:val="81"/>
              </w:rPr>
              <w:t>(2)</w:t>
            </w:r>
          </w:p>
        </w:tc>
        <w:tc>
          <w:tcPr>
            <w:tcW w:w="4900" w:type="dxa"/>
            <w:vAlign w:val="bottom"/>
            <w:gridSpan w:val="3"/>
          </w:tcPr>
          <w:p>
            <w:pPr>
              <w:ind w:left="120"/>
              <w:spacing w:after="0"/>
              <w:rPr>
                <w:sz w:val="20"/>
                <w:szCs w:val="20"/>
                <w:color w:val="auto"/>
              </w:rPr>
            </w:pPr>
            <w:r>
              <w:rPr>
                <w:rFonts w:ascii="Arial" w:cs="Arial" w:eastAsia="Arial" w:hAnsi="Arial"/>
                <w:sz w:val="14"/>
                <w:szCs w:val="14"/>
                <w:color w:val="auto"/>
                <w:w w:val="96"/>
              </w:rPr>
              <w:t>Before deducting expenses payable by us related to this offering, estimated at $</w:t>
            </w:r>
          </w:p>
        </w:tc>
        <w:tc>
          <w:tcPr>
            <w:tcW w:w="2660" w:type="dxa"/>
            <w:vAlign w:val="bottom"/>
          </w:tcPr>
          <w:p>
            <w:pPr>
              <w:jc w:val="right"/>
              <w:ind w:right="232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20" w:lineRule="exact"/>
        <w:rPr>
          <w:sz w:val="24"/>
          <w:szCs w:val="24"/>
          <w:color w:val="auto"/>
        </w:rPr>
      </w:pPr>
    </w:p>
    <w:p>
      <w:pPr>
        <w:ind w:left="120" w:right="240" w:firstLine="440"/>
        <w:spacing w:after="0" w:line="253" w:lineRule="auto"/>
        <w:rPr>
          <w:sz w:val="20"/>
          <w:szCs w:val="20"/>
          <w:color w:val="auto"/>
        </w:rPr>
      </w:pPr>
      <w:r>
        <w:rPr>
          <w:rFonts w:ascii="Arial" w:cs="Arial" w:eastAsia="Arial" w:hAnsi="Arial"/>
          <w:sz w:val="14"/>
          <w:szCs w:val="14"/>
          <w:color w:val="auto"/>
        </w:rPr>
        <w:t>THE NOTES ARE NOT DEPOSITS OR OTHER OBLIGATIONS OF A BANK AND ARE NOT INSURED BY THE FEDERAL DEPOSIT INSURANCE CORPORATION OR ANY OTHER GOVERNMENT AGENCY.</w:t>
      </w:r>
    </w:p>
    <w:p>
      <w:pPr>
        <w:spacing w:after="0" w:line="8" w:lineRule="exact"/>
        <w:rPr>
          <w:sz w:val="24"/>
          <w:szCs w:val="24"/>
          <w:color w:val="auto"/>
        </w:rPr>
      </w:pPr>
    </w:p>
    <w:p>
      <w:pPr>
        <w:ind w:left="120" w:right="380" w:firstLine="44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 w:lineRule="exact"/>
        <w:rPr>
          <w:sz w:val="24"/>
          <w:szCs w:val="24"/>
          <w:color w:val="auto"/>
        </w:rPr>
      </w:pPr>
    </w:p>
    <w:tbl>
      <w:tblPr>
        <w:tblLayout w:type="fixed"/>
        <w:tblInd w:w="120" w:type="dxa"/>
        <w:tblCellMar>
          <w:top w:w="0" w:type="dxa"/>
          <w:left w:w="0" w:type="dxa"/>
          <w:bottom w:w="0" w:type="dxa"/>
          <w:right w:w="0" w:type="dxa"/>
        </w:tblCellMar>
      </w:tblPr>
      <w:tr>
        <w:trPr>
          <w:trHeight w:val="182"/>
        </w:trPr>
        <w:tc>
          <w:tcPr>
            <w:tcW w:w="7400" w:type="dxa"/>
            <w:vAlign w:val="bottom"/>
            <w:gridSpan w:val="4"/>
          </w:tcPr>
          <w:p>
            <w:pPr>
              <w:jc w:val="right"/>
              <w:ind w:right="408"/>
              <w:spacing w:after="0"/>
              <w:rPr>
                <w:sz w:val="20"/>
                <w:szCs w:val="20"/>
                <w:color w:val="auto"/>
              </w:rPr>
            </w:pPr>
            <w:r>
              <w:rPr>
                <w:rFonts w:ascii="Arial" w:cs="Arial" w:eastAsia="Arial" w:hAnsi="Arial"/>
                <w:sz w:val="14"/>
                <w:szCs w:val="14"/>
                <w:color w:val="auto"/>
              </w:rPr>
              <w:t>Delivery of the Notes in book-entry form only through The Depository Trust Company will be made on or about</w:t>
            </w:r>
          </w:p>
        </w:tc>
        <w:tc>
          <w:tcPr>
            <w:tcW w:w="3620" w:type="dxa"/>
            <w:vAlign w:val="bottom"/>
          </w:tcPr>
          <w:p>
            <w:pPr>
              <w:jc w:val="right"/>
              <w:ind w:right="3001"/>
              <w:spacing w:after="0"/>
              <w:rPr>
                <w:sz w:val="20"/>
                <w:szCs w:val="20"/>
                <w:color w:val="auto"/>
              </w:rPr>
            </w:pPr>
            <w:r>
              <w:rPr>
                <w:rFonts w:ascii="Arial" w:cs="Arial" w:eastAsia="Arial" w:hAnsi="Arial"/>
                <w:sz w:val="14"/>
                <w:szCs w:val="14"/>
                <w:color w:val="auto"/>
              </w:rPr>
              <w:t>, 2021.</w:t>
            </w:r>
          </w:p>
        </w:tc>
      </w:tr>
      <w:tr>
        <w:trPr>
          <w:trHeight w:val="120"/>
        </w:trPr>
        <w:tc>
          <w:tcPr>
            <w:tcW w:w="2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3620" w:type="dxa"/>
            <w:vAlign w:val="bottom"/>
          </w:tcPr>
          <w:p>
            <w:pPr>
              <w:spacing w:after="0"/>
              <w:rPr>
                <w:sz w:val="10"/>
                <w:szCs w:val="10"/>
                <w:color w:val="auto"/>
              </w:rPr>
            </w:pPr>
          </w:p>
        </w:tc>
      </w:tr>
      <w:tr>
        <w:trPr>
          <w:trHeight w:val="211"/>
        </w:trPr>
        <w:tc>
          <w:tcPr>
            <w:tcW w:w="2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20" w:type="dxa"/>
            <w:vAlign w:val="bottom"/>
          </w:tcPr>
          <w:p>
            <w:pPr>
              <w:ind w:left="240"/>
              <w:spacing w:after="0"/>
              <w:rPr>
                <w:sz w:val="20"/>
                <w:szCs w:val="20"/>
                <w:color w:val="auto"/>
              </w:rPr>
            </w:pPr>
            <w:r>
              <w:rPr>
                <w:rFonts w:ascii="Arial" w:cs="Arial" w:eastAsia="Arial" w:hAnsi="Arial"/>
                <w:sz w:val="14"/>
                <w:szCs w:val="14"/>
                <w:b w:val="1"/>
                <w:bCs w:val="1"/>
                <w:i w:val="1"/>
                <w:iCs w:val="1"/>
                <w:color w:val="auto"/>
              </w:rPr>
              <w:t>Joint Book-Running Managers</w:t>
            </w:r>
          </w:p>
        </w:tc>
        <w:tc>
          <w:tcPr>
            <w:tcW w:w="74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58"/>
        </w:trPr>
        <w:tc>
          <w:tcPr>
            <w:tcW w:w="2700" w:type="dxa"/>
            <w:vAlign w:val="bottom"/>
          </w:tcPr>
          <w:p>
            <w:pPr>
              <w:spacing w:after="0"/>
              <w:rPr>
                <w:sz w:val="20"/>
                <w:szCs w:val="20"/>
                <w:color w:val="auto"/>
              </w:rPr>
            </w:pPr>
            <w:r>
              <w:rPr>
                <w:rFonts w:ascii="Arial" w:cs="Arial" w:eastAsia="Arial" w:hAnsi="Arial"/>
                <w:sz w:val="25"/>
                <w:szCs w:val="25"/>
                <w:b w:val="1"/>
                <w:bCs w:val="1"/>
                <w:color w:val="auto"/>
              </w:rPr>
              <w:t>BofA Securities</w:t>
            </w:r>
          </w:p>
        </w:tc>
        <w:tc>
          <w:tcPr>
            <w:tcW w:w="1640" w:type="dxa"/>
            <w:vAlign w:val="bottom"/>
          </w:tcPr>
          <w:p>
            <w:pPr>
              <w:spacing w:after="0"/>
              <w:rPr>
                <w:sz w:val="24"/>
                <w:szCs w:val="24"/>
                <w:color w:val="auto"/>
              </w:rPr>
            </w:pPr>
          </w:p>
        </w:tc>
        <w:tc>
          <w:tcPr>
            <w:tcW w:w="2320" w:type="dxa"/>
            <w:vAlign w:val="bottom"/>
          </w:tcPr>
          <w:p>
            <w:pPr>
              <w:ind w:left="620"/>
              <w:spacing w:after="0"/>
              <w:rPr>
                <w:sz w:val="20"/>
                <w:szCs w:val="20"/>
                <w:color w:val="auto"/>
              </w:rPr>
            </w:pPr>
            <w:r>
              <w:rPr>
                <w:rFonts w:ascii="Arial" w:cs="Arial" w:eastAsia="Arial" w:hAnsi="Arial"/>
                <w:sz w:val="25"/>
                <w:szCs w:val="25"/>
                <w:b w:val="1"/>
                <w:bCs w:val="1"/>
                <w:color w:val="auto"/>
              </w:rPr>
              <w:t>J.P. Morgan</w:t>
            </w:r>
          </w:p>
        </w:tc>
        <w:tc>
          <w:tcPr>
            <w:tcW w:w="74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25"/>
                <w:szCs w:val="25"/>
                <w:b w:val="1"/>
                <w:bCs w:val="1"/>
                <w:color w:val="auto"/>
              </w:rPr>
              <w:t>SMBC Nikko</w:t>
            </w:r>
          </w:p>
        </w:tc>
      </w:tr>
      <w:tr>
        <w:trPr>
          <w:trHeight w:val="113"/>
        </w:trPr>
        <w:tc>
          <w:tcPr>
            <w:tcW w:w="27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620" w:type="dxa"/>
            <w:vAlign w:val="bottom"/>
          </w:tcPr>
          <w:p>
            <w:pPr>
              <w:spacing w:after="0"/>
              <w:rPr>
                <w:sz w:val="9"/>
                <w:szCs w:val="9"/>
                <w:color w:val="auto"/>
              </w:rPr>
            </w:pPr>
          </w:p>
        </w:tc>
      </w:tr>
      <w:tr>
        <w:trPr>
          <w:trHeight w:val="211"/>
        </w:trPr>
        <w:tc>
          <w:tcPr>
            <w:tcW w:w="2700" w:type="dxa"/>
            <w:vAlign w:val="bottom"/>
          </w:tcPr>
          <w:p>
            <w:pPr>
              <w:spacing w:after="0"/>
              <w:rPr>
                <w:sz w:val="18"/>
                <w:szCs w:val="18"/>
                <w:color w:val="auto"/>
              </w:rPr>
            </w:pPr>
          </w:p>
        </w:tc>
        <w:tc>
          <w:tcPr>
            <w:tcW w:w="3960" w:type="dxa"/>
            <w:vAlign w:val="bottom"/>
            <w:gridSpan w:val="2"/>
          </w:tcPr>
          <w:p>
            <w:pPr>
              <w:ind w:left="1040"/>
              <w:spacing w:after="0"/>
              <w:rPr>
                <w:sz w:val="20"/>
                <w:szCs w:val="20"/>
                <w:color w:val="auto"/>
              </w:rPr>
            </w:pPr>
            <w:r>
              <w:rPr>
                <w:rFonts w:ascii="Arial" w:cs="Arial" w:eastAsia="Arial" w:hAnsi="Arial"/>
                <w:sz w:val="14"/>
                <w:szCs w:val="14"/>
                <w:b w:val="1"/>
                <w:bCs w:val="1"/>
                <w:color w:val="auto"/>
              </w:rPr>
              <w:t>The date of this prospectus supplement is</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 2021.</w:t>
            </w:r>
          </w:p>
        </w:tc>
        <w:tc>
          <w:tcPr>
            <w:tcW w:w="3620" w:type="dxa"/>
            <w:vAlign w:val="bottom"/>
          </w:tcPr>
          <w:p>
            <w:pPr>
              <w:spacing w:after="0"/>
              <w:rPr>
                <w:sz w:val="18"/>
                <w:szCs w:val="18"/>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INFORMATION INCORPORATED BY REFERENCE</w:t>
              </w:r>
            </w:hyperlink>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 REGARDING FORWARD-LOOKING STATEMENTS</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COMPANY</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SPECIFIC TERMS OF THE NOTES AND THE OFFERING</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SENIOR SECURITIES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CAPITALIZATION</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NOTES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MATERIAL U.S. FEDERAL INCOME TAX CONSIDERATIONS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UNDERWRITING</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S-43</w:t>
            </w:r>
          </w:p>
        </w:tc>
        <w:tc>
          <w:tcPr>
            <w:tcW w:w="0" w:type="dxa"/>
            <w:vAlign w:val="bottom"/>
          </w:tcPr>
          <w:p>
            <w:pPr>
              <w:spacing w:after="0"/>
              <w:rPr>
                <w:sz w:val="1"/>
                <w:szCs w:val="1"/>
                <w:color w:val="auto"/>
              </w:rPr>
            </w:pPr>
          </w:p>
        </w:tc>
      </w:tr>
      <w:tr>
        <w:trPr>
          <w:trHeight w:val="540"/>
        </w:trPr>
        <w:tc>
          <w:tcPr>
            <w:tcW w:w="10560" w:type="dxa"/>
            <w:vAlign w:val="bottom"/>
          </w:tcPr>
          <w:p>
            <w:pPr>
              <w:ind w:left="5080"/>
              <w:spacing w:after="0"/>
              <w:rPr>
                <w:sz w:val="20"/>
                <w:szCs w:val="20"/>
                <w:color w:val="auto"/>
              </w:rPr>
            </w:pPr>
            <w:r>
              <w:rPr>
                <w:rFonts w:ascii="Arial" w:cs="Arial" w:eastAsia="Arial" w:hAnsi="Arial"/>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vMerge w:val="restart"/>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SUMMARY</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THE OFFERING</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FEES AND EXPENSES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SELECTED FINANCIAL DATA AND OTHER INFORMATION</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SELECTED QUARTERLY FINANCIAL DATA</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SPECIAL NOTE REGARDING FORWARD-LOOKING STATEMENTS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PRICE RANGE OF COMMON STOCK AND DISTRIBUTIONS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SENIOR SECURITIES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THE COMPANY</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PORTFOLIO COMPANIES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 AND OTHER AGREEMENTS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RELATED-PARTY TRANSACTIONS AND CERTAIN RELATIONSHIPS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vMerge w:val="restart"/>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CONTROL PERSONS AND PRINCIPAL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DETERMINATION OF NET ASSET VALUE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SALES OF COMMON STOCK BELOW NET ASSET VALUE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DIVIDEND REINVESTMENT PLAN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MATERIAL U.S. FEDERAL INCOME TAX CONSIDERATIONS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SECURITIES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CAPITAL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DESCRIPTION OF OUR PREFERRED STOCK</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DESCRIPTION OF OUR SUBSCRIPTION RIGHTS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DESCRIPTION OF OUR WARRANTS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DESCRIPTION OF OUR DEBT SECURITIES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SHARES ELIGIBLE FOR FUTURE SALE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REGULATION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CUSTODIAN, TRANSFER AND DIVIDEND PAYING AGENT AND REGISTRAR</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BROKERAGE ALLOCATION AND OTHER PRACTICES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AVAILABLE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1066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INFORMATION INCORPORATED BY REFERENCE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100" w:lineRule="exact"/>
        <w:rPr>
          <w:sz w:val="20"/>
          <w:szCs w:val="20"/>
          <w:color w:val="auto"/>
        </w:rPr>
      </w:pPr>
    </w:p>
    <w:p>
      <w:pPr>
        <w:ind w:left="10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2019, filed with the SEC on February 19, 2020 (the “2019 Annual Report”), including the information specifically incorporated by reference into the Form 10-K from our </w:t>
      </w:r>
      <w:hyperlink r:id="rId16">
        <w:r>
          <w:rPr>
            <w:rFonts w:ascii="Arial" w:cs="Arial" w:eastAsia="Arial" w:hAnsi="Arial"/>
            <w:sz w:val="18"/>
            <w:szCs w:val="18"/>
            <w:u w:val="single" w:color="auto"/>
            <w:color w:val="0000EE"/>
          </w:rPr>
          <w:t>Definitive Proxy Statement</w:t>
        </w:r>
      </w:hyperlink>
      <w:r>
        <w:rPr>
          <w:rFonts w:ascii="Arial" w:cs="Arial" w:eastAsia="Arial" w:hAnsi="Arial"/>
          <w:sz w:val="18"/>
          <w:szCs w:val="18"/>
          <w:color w:val="auto"/>
        </w:rPr>
        <w:t xml:space="preserve"> on Schedule 14A relating to our 2020 Annual Meeting of Stockholders, filed with the SEC on April 17, 2020;</w:t>
      </w:r>
    </w:p>
    <w:p>
      <w:pPr>
        <w:spacing w:after="0" w:line="89"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three months ended </w:t>
      </w:r>
      <w:hyperlink r:id="rId17">
        <w:r>
          <w:rPr>
            <w:rFonts w:ascii="Arial" w:cs="Arial" w:eastAsia="Arial" w:hAnsi="Arial"/>
            <w:sz w:val="17"/>
            <w:szCs w:val="17"/>
            <w:u w:val="single" w:color="auto"/>
            <w:color w:val="0000EE"/>
          </w:rPr>
          <w:t>March 31, 2020</w:t>
        </w:r>
      </w:hyperlink>
      <w:r>
        <w:rPr>
          <w:rFonts w:ascii="Arial" w:cs="Arial" w:eastAsia="Arial" w:hAnsi="Arial"/>
          <w:sz w:val="17"/>
          <w:szCs w:val="17"/>
          <w:color w:val="auto"/>
        </w:rPr>
        <w:t xml:space="preserve">, filed with the SEC on May 5, 2020 (the “2020 Q1 Quarterly Report”), the three months ended </w:t>
      </w:r>
      <w:hyperlink r:id="rId18">
        <w:r>
          <w:rPr>
            <w:rFonts w:ascii="Arial" w:cs="Arial" w:eastAsia="Arial" w:hAnsi="Arial"/>
            <w:sz w:val="17"/>
            <w:szCs w:val="17"/>
            <w:u w:val="single" w:color="auto"/>
            <w:color w:val="0000EE"/>
          </w:rPr>
          <w:t>June 30, 2020</w:t>
        </w:r>
      </w:hyperlink>
      <w:r>
        <w:rPr>
          <w:rFonts w:ascii="Arial" w:cs="Arial" w:eastAsia="Arial" w:hAnsi="Arial"/>
          <w:sz w:val="17"/>
          <w:szCs w:val="17"/>
          <w:color w:val="auto"/>
        </w:rPr>
        <w:t xml:space="preserve">, filed with the SEC on August 4, 2020 (the “2020 Q2 Quarterly Report”) and the three months ended </w:t>
      </w:r>
      <w:hyperlink r:id="rId19">
        <w:r>
          <w:rPr>
            <w:rFonts w:ascii="Arial" w:cs="Arial" w:eastAsia="Arial" w:hAnsi="Arial"/>
            <w:sz w:val="17"/>
            <w:szCs w:val="17"/>
            <w:u w:val="single" w:color="auto"/>
            <w:color w:val="0000EE"/>
          </w:rPr>
          <w:t>September 30, 2020</w:t>
        </w:r>
      </w:hyperlink>
      <w:r>
        <w:rPr>
          <w:rFonts w:ascii="Arial" w:cs="Arial" w:eastAsia="Arial" w:hAnsi="Arial"/>
          <w:sz w:val="17"/>
          <w:szCs w:val="17"/>
          <w:color w:val="auto"/>
        </w:rPr>
        <w:t>, filed with the SEC on November 4, 2020 (the “2020 Q3 Quarterly Report”); and</w:t>
      </w:r>
    </w:p>
    <w:p>
      <w:pPr>
        <w:spacing w:after="0" w:line="70"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
        </w:numPr>
        <w:rPr>
          <w:rFonts w:ascii="Arial" w:cs="Arial" w:eastAsia="Arial" w:hAnsi="Arial"/>
          <w:sz w:val="18"/>
          <w:szCs w:val="18"/>
          <w:color w:val="0000EE"/>
        </w:rPr>
      </w:pPr>
      <w:hyperlink r:id="rId20">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31,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5,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28,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5,</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 xml:space="preserve">June 19, 2020 </w:t>
        </w:r>
      </w:hyperlink>
      <w:hyperlink r:id="rId20">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 xml:space="preserve">October 14, 2020 </w:t>
        </w:r>
      </w:hyperlink>
      <w:hyperlink r:id="rId20">
        <w:r>
          <w:rPr>
            <w:rFonts w:ascii="Arial" w:cs="Arial" w:eastAsia="Arial" w:hAnsi="Arial"/>
            <w:sz w:val="18"/>
            <w:szCs w:val="18"/>
            <w:color w:val="000000"/>
          </w:rPr>
          <w:t>(but only the Item 8.01 filed therein).</w:t>
        </w:r>
      </w:hyperlink>
    </w:p>
    <w:p>
      <w:pPr>
        <w:spacing w:after="0" w:line="170" w:lineRule="exact"/>
        <w:rPr>
          <w:rFonts w:ascii="Arial" w:cs="Arial" w:eastAsia="Arial" w:hAnsi="Arial"/>
          <w:sz w:val="18"/>
          <w:szCs w:val="18"/>
          <w:color w:val="0000EE"/>
        </w:rPr>
      </w:pPr>
    </w:p>
    <w:p>
      <w:pPr>
        <w:ind w:left="120" w:right="40" w:firstLine="440"/>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4" w:lineRule="exact"/>
        <w:rPr>
          <w:rFonts w:ascii="Arial" w:cs="Arial" w:eastAsia="Arial" w:hAnsi="Arial"/>
          <w:sz w:val="18"/>
          <w:szCs w:val="18"/>
          <w:color w:val="0000EE"/>
        </w:rPr>
      </w:pPr>
    </w:p>
    <w:p>
      <w:pPr>
        <w:ind w:left="12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41"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Attention: TSLXInvestor Relations</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Email: IRTSLX@sixthstreet.com.</w:t>
      </w:r>
    </w:p>
    <w:p>
      <w:pPr>
        <w:spacing w:after="0" w:line="211" w:lineRule="exact"/>
        <w:rPr>
          <w:rFonts w:ascii="Arial" w:cs="Arial" w:eastAsia="Arial" w:hAnsi="Arial"/>
          <w:sz w:val="18"/>
          <w:szCs w:val="18"/>
          <w:color w:val="0000EE"/>
        </w:rPr>
      </w:pPr>
    </w:p>
    <w:p>
      <w:pPr>
        <w:ind w:left="120" w:firstLine="44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9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9" w:lineRule="exact"/>
        <w:rPr>
          <w:sz w:val="20"/>
          <w:szCs w:val="20"/>
          <w:color w:val="auto"/>
        </w:rPr>
      </w:pPr>
    </w:p>
    <w:p>
      <w:pPr>
        <w:ind w:left="1080" w:right="3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29" w:lineRule="exact"/>
        <w:rPr>
          <w:rFonts w:ascii="Arial" w:cs="Arial" w:eastAsia="Arial" w:hAnsi="Arial"/>
          <w:sz w:val="16"/>
          <w:szCs w:val="16"/>
          <w:color w:val="auto"/>
        </w:rPr>
      </w:pPr>
    </w:p>
    <w:p>
      <w:pPr>
        <w:jc w:val="both"/>
        <w:ind w:left="1080" w:right="14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prospectus supplement, the accompanying prospectus and in Part I, Item 1A of our 2019 Annual Report and Part II, Item 1A of our 2020 Q1 Quarterly Report, 2020 Q2 Quarterly Report and 2020 Q3 Quarterly Report, any subsequent Quarterly Reports on Form 10-Q or Current Reports on Form 8-K we file after the date of this prospectus supplement, and those discussed in other documents we file with the SEC.</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2019 Annual Report and Part II, Item 1A of our 2020 Q1 Quarterly Report, 2020 Q2 Quarterly Report and 2020 Q3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As used in the prospectus supplement and the accompanying prospectus, except where the context suggests otherwise, references to:</w:t>
      </w:r>
    </w:p>
    <w:p>
      <w:pPr>
        <w:spacing w:after="0" w:line="142" w:lineRule="exact"/>
        <w:rPr>
          <w:sz w:val="20"/>
          <w:szCs w:val="20"/>
          <w:color w:val="auto"/>
        </w:rPr>
      </w:pPr>
    </w:p>
    <w:p>
      <w:pPr>
        <w:ind w:left="1080" w:right="5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“Adviser” refers to Sixth Street Specialty Lending Advisers, LLC, a Delaware limited liability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“Sixth Street” refers to Sixth Street Partners, LLC together with its affiliates.</w:t>
      </w:r>
    </w:p>
    <w:p>
      <w:pPr>
        <w:spacing w:after="0" w:line="33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Sixth Street Specialty Lending</w:t>
      </w:r>
    </w:p>
    <w:p>
      <w:pPr>
        <w:spacing w:after="0" w:line="121"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September 30, 2020, we have originated more than $14.6 billion aggregate principal amount of investments and retained approximately $6.8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61"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2020, our core portfolio companies, which excludes certain investments that fall outside of our typical borrower profile and represent 82.5% of our total investments based on fair value, had weighted average annual revenue of $116.8 million and weighted average annual EBITDA of $36.0 million.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2020, our portfolio based on fair value consisted of 95.0% first-lien debt investments, 0.4% second-lien debt investments,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mezzanine debt investments, and 4.1% equity and other investments. As of September 30, 2020, 98.9% of our debt investments based on fair value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bore interest at floating rates (when including investment specific hedges), with 98.8% of these subject to interest rate floors, which we believe helps act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portfolio-wide hedge against inflation.</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September 30, 2020 and December 31, 2019, we had investments in 70 and 63 portfolio companies, respectively, with an aggregate fair value of $2,100.8 million and $2,245.9 million, respectively.</w:t>
      </w:r>
    </w:p>
    <w:p>
      <w:pPr>
        <w:spacing w:after="0" w:line="170"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For the three months ended September 30, 2020, the principal amount of new investments funded was $332.3 million in twelve new portfolio companies and four existing portfolio companies. For this period, we had $253.1 million aggregate principal amount in exits and repayments.</w:t>
      </w:r>
    </w:p>
    <w:p>
      <w:pPr>
        <w:spacing w:after="0" w:line="12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For the year ended December 31, 2019, the principal amount of new investments funded was $1,087.6 million in 32 new portfolio companies and 14 existing portfolio companies. For this period, we had $575.2 million aggregate principal amount in exits and repayments.</w:t>
      </w:r>
    </w:p>
    <w:p>
      <w:pPr>
        <w:spacing w:after="0" w:line="146" w:lineRule="exact"/>
        <w:rPr>
          <w:sz w:val="20"/>
          <w:szCs w:val="20"/>
          <w:color w:val="auto"/>
        </w:rPr>
      </w:pPr>
    </w:p>
    <w:p>
      <w:pPr>
        <w:ind w:left="120" w:right="640" w:firstLine="440"/>
        <w:spacing w:after="0" w:line="286" w:lineRule="auto"/>
        <w:rPr>
          <w:sz w:val="20"/>
          <w:szCs w:val="20"/>
          <w:color w:val="auto"/>
        </w:rPr>
      </w:pPr>
      <w:r>
        <w:rPr>
          <w:rFonts w:ascii="Arial" w:cs="Arial" w:eastAsia="Arial" w:hAnsi="Arial"/>
          <w:sz w:val="17"/>
          <w:szCs w:val="17"/>
          <w:color w:val="auto"/>
        </w:rPr>
        <w:t>As of September 30, 2020, the largest single investment based on fair value represented 3.8% of our total investment portfolio. As of September 30, 2020, the average investment size in each of our portfolio companies was approximately $30.0 million based on fair value. As of September 30, 2020, the largest industry represented 22.9% of our total investment portfolio based on fair value.</w:t>
      </w:r>
    </w:p>
    <w:p>
      <w:pPr>
        <w:spacing w:after="0" w:line="16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Since we began investing in 2011 through September 30, 2020, weighted by capital invested, our exited investments have generated an average realized gross internal rate of return to us of 18.7% (based on total capital invested of $4.6 billion and total proceeds from these exited investments of $5.8 billion). Ninety-seven percent of these exited investments resulted in a realized gross internal rate of return to us of 10% or greater. For a description of how we calculate gross internal rates of return, see “Management’s Discussion and Analysis of Financial Condition and Results of Operations—Results of Operations—Realized Gross Internal Rate of Return” in Part I, Item 2 of our 2020 Q3 Quarterly Report, which is incorporated herein by reference.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Sixth Street Specialty Lending, Inc. is a Delaware corporation formed on July 21, 2010. Sixth Street Specialty Advisers, LLC is our external manager.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2019 Annual Report, which is incorporated by reference in the accompanying prospectus, for more information on these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The members of our Investment Review Committee are Joshua Easterly, Michael Fishman, Alan Waxman, Robert “Bo” Stanley and David Stiepleman.</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Sixth Street is a global investment firm with over $50 billion in assets under management and committed capital.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a “public-side” credit investment platform focused on investment opportunities in broadly syndicated leveraged loan markets, and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315 investment and operating professionals. As of September 30, 2020, thirty-two (32) of these personnel are dedicated to our business, including twenty-four (24) investment professionals.</w:t>
      </w:r>
    </w:p>
    <w:p>
      <w:pPr>
        <w:spacing w:after="0" w:line="19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9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38" w:orient="portrait"/>
          <w:cols w:equalWidth="0" w:num="1">
            <w:col w:w="10940"/>
          </w:cols>
          <w:pgMar w:left="320" w:top="459" w:right="639" w:bottom="1440" w:gutter="0" w:footer="0" w:header="0"/>
        </w:sectPr>
      </w:pPr>
    </w:p>
    <w:p>
      <w:pPr>
        <w:spacing w:after="0" w:line="19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Sixth Street Specialty Lending, Inc., a Delaware corporation</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Notes due</w:t>
      </w:r>
    </w:p>
    <w:p>
      <w:pPr>
        <w:spacing w:after="0" w:line="200" w:lineRule="exact"/>
        <w:rPr>
          <w:sz w:val="20"/>
          <w:szCs w:val="20"/>
          <w:color w:val="auto"/>
        </w:rPr>
      </w:pPr>
    </w:p>
    <w:p>
      <w:pPr>
        <w:sectPr>
          <w:pgSz w:w="11900" w:h="16838" w:orient="portrait"/>
          <w:cols w:equalWidth="0" w:num="2">
            <w:col w:w="3800" w:space="720"/>
            <w:col w:w="642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Aggregate Principal Amount Being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2">
            <w:col w:w="3860" w:space="480"/>
            <w:col w:w="660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of the aggregate principal amount of Notes</w:t>
      </w:r>
    </w:p>
    <w:p>
      <w:pPr>
        <w:spacing w:after="0" w:line="211" w:lineRule="exact"/>
        <w:rPr>
          <w:sz w:val="20"/>
          <w:szCs w:val="20"/>
          <w:color w:val="auto"/>
        </w:rPr>
      </w:pPr>
    </w:p>
    <w:p>
      <w:pPr>
        <w:sectPr>
          <w:pgSz w:w="11900" w:h="16838" w:orient="portrait"/>
          <w:cols w:equalWidth="0" w:num="2">
            <w:col w:w="3800" w:space="720"/>
            <w:col w:w="6420"/>
          </w:cols>
          <w:pgMar w:left="320" w:top="459"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11" w:lineRule="exact"/>
        <w:rPr>
          <w:sz w:val="20"/>
          <w:szCs w:val="20"/>
          <w:color w:val="auto"/>
        </w:rPr>
      </w:pPr>
    </w:p>
    <w:p>
      <w:pPr>
        <w:sectPr>
          <w:pgSz w:w="11900" w:h="16838" w:orient="portrait"/>
          <w:cols w:equalWidth="0" w:num="2">
            <w:col w:w="3800" w:space="720"/>
            <w:col w:w="642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22" w:lineRule="exact"/>
        <w:rPr>
          <w:sz w:val="20"/>
          <w:szCs w:val="20"/>
          <w:color w:val="auto"/>
        </w:rPr>
      </w:pPr>
    </w:p>
    <w:p>
      <w:pPr>
        <w:sectPr>
          <w:pgSz w:w="11900" w:h="16838" w:orient="portrait"/>
          <w:cols w:equalWidth="0" w:num="2">
            <w:col w:w="3800" w:space="720"/>
            <w:col w:w="6420"/>
          </w:cols>
          <w:pgMar w:left="320" w:top="459"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 2021</w:t>
      </w:r>
    </w:p>
    <w:p>
      <w:pPr>
        <w:spacing w:after="0" w:line="200" w:lineRule="exact"/>
        <w:rPr>
          <w:sz w:val="20"/>
          <w:szCs w:val="20"/>
          <w:color w:val="auto"/>
        </w:rPr>
      </w:pPr>
    </w:p>
    <w:p>
      <w:pPr>
        <w:sectPr>
          <w:pgSz w:w="11900" w:h="16838" w:orient="portrait"/>
          <w:cols w:equalWidth="0" w:num="2">
            <w:col w:w="4520" w:space="720"/>
            <w:col w:w="5700"/>
          </w:cols>
          <w:pgMar w:left="320" w:top="459" w:right="639" w:bottom="1440" w:gutter="0" w:footer="0" w:header="0"/>
          <w:type w:val="continuous"/>
        </w:sectPr>
      </w:pPr>
    </w:p>
    <w:p>
      <w:pPr>
        <w:spacing w:after="0" w:line="1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 2021</w:t>
      </w:r>
    </w:p>
    <w:p>
      <w:pPr>
        <w:spacing w:after="0" w:line="200" w:lineRule="exact"/>
        <w:rPr>
          <w:sz w:val="20"/>
          <w:szCs w:val="20"/>
          <w:color w:val="auto"/>
        </w:rPr>
      </w:pPr>
    </w:p>
    <w:p>
      <w:pPr>
        <w:sectPr>
          <w:pgSz w:w="11900" w:h="16838" w:orient="portrait"/>
          <w:cols w:equalWidth="0" w:num="2">
            <w:col w:w="4520" w:space="720"/>
            <w:col w:w="5700"/>
          </w:cols>
          <w:pgMar w:left="320" w:top="459" w:right="639" w:bottom="1440" w:gutter="0" w:footer="0" w:header="0"/>
          <w:type w:val="continuous"/>
        </w:sectPr>
      </w:pP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45" w:lineRule="exact"/>
        <w:rPr>
          <w:sz w:val="20"/>
          <w:szCs w:val="20"/>
          <w:color w:val="auto"/>
        </w:rPr>
      </w:pPr>
    </w:p>
    <w:p>
      <w:pPr>
        <w:sectPr>
          <w:pgSz w:w="11900" w:h="16838" w:orient="portrait"/>
          <w:cols w:equalWidth="0" w:num="2">
            <w:col w:w="4520" w:space="720"/>
            <w:col w:w="5700"/>
          </w:cols>
          <w:pgMar w:left="320" w:top="459"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commencing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200" w:lineRule="exact"/>
        <w:rPr>
          <w:sz w:val="20"/>
          <w:szCs w:val="20"/>
          <w:color w:val="auto"/>
        </w:rPr>
      </w:pPr>
    </w:p>
    <w:p>
      <w:pPr>
        <w:sectPr>
          <w:pgSz w:w="11900" w:h="16838" w:orient="portrait"/>
          <w:cols w:equalWidth="0" w:num="4">
            <w:col w:w="4160" w:space="720"/>
            <w:col w:w="260" w:space="580"/>
            <w:col w:w="1060" w:space="720"/>
            <w:col w:w="3440"/>
          </w:cols>
          <w:pgMar w:left="320" w:top="459" w:right="6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Ranking of Notes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 our direct, general unsecured obligations and will rank:</w:t>
      </w:r>
    </w:p>
    <w:p>
      <w:pPr>
        <w:spacing w:after="0" w:line="16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520" w:right="140" w:hanging="153"/>
        <w:spacing w:after="0" w:line="277" w:lineRule="auto"/>
        <w:tabs>
          <w:tab w:leader="none" w:pos="4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4520" w:hanging="153"/>
        <w:spacing w:after="0" w:line="289" w:lineRule="auto"/>
        <w:tabs>
          <w:tab w:leader="none" w:pos="4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Pari passu, or equal, in right of payment with all of our existing and future indebtedness or other obligations that are not so subordinated, or junior, including, without limitation, as of January 22, 2021, approximately $142.8 million aggregate principal amount of outstanding indebtedness under our convertible notes due December 2022, which we refer to as the 2022 Convertible Notes, approximately $150.0 million aggregate principal amount of outstanding indebtedness under our unsecured notes due January 2023, which we refer to as the 2023 Notes and approximately $347.5 million aggregate principal amount of outstanding indebtedness under our unsecured notes due November 2024, which we refer to as the 2024 Notes;</w:t>
      </w:r>
    </w:p>
    <w:p>
      <w:pPr>
        <w:spacing w:after="0" w:line="71" w:lineRule="exact"/>
        <w:rPr>
          <w:rFonts w:ascii="Arial" w:cs="Arial" w:eastAsia="Arial" w:hAnsi="Arial"/>
          <w:sz w:val="16"/>
          <w:szCs w:val="16"/>
          <w:color w:val="auto"/>
        </w:rPr>
      </w:pPr>
    </w:p>
    <w:p>
      <w:pPr>
        <w:ind w:left="4520" w:right="740" w:hanging="153"/>
        <w:spacing w:after="0" w:line="277" w:lineRule="auto"/>
        <w:tabs>
          <w:tab w:leader="none" w:pos="4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subordinated, or junior, to any of our secured indebtedness or other obligations (including unsecured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9" w:right="6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380"/>
        <w:spacing w:after="0" w:line="275" w:lineRule="auto"/>
        <w:rPr>
          <w:sz w:val="20"/>
          <w:szCs w:val="20"/>
          <w:color w:val="auto"/>
        </w:rPr>
      </w:pPr>
      <w:r>
        <w:rPr>
          <w:rFonts w:ascii="Arial" w:cs="Arial" w:eastAsia="Arial" w:hAnsi="Arial"/>
          <w:sz w:val="17"/>
          <w:szCs w:val="17"/>
          <w:color w:val="auto"/>
        </w:rPr>
        <w:t>indebtedness that we later secure) to the extent of the value of the assets securing such indebtedness, including, without limitation, approximately $477.5 million aggregate principal amount of outstanding indebtedness as of January 22, 2021 under our Senior Secured Revolving Credit Agreement, dated August 23, 2012, as amended, which we refer to as the Revolving Credit Facility; and</w:t>
      </w:r>
    </w:p>
    <w:p>
      <w:pPr>
        <w:spacing w:after="0" w:line="82" w:lineRule="exact"/>
        <w:rPr>
          <w:sz w:val="20"/>
          <w:szCs w:val="20"/>
          <w:color w:val="auto"/>
        </w:rPr>
      </w:pPr>
    </w:p>
    <w:p>
      <w:pPr>
        <w:ind w:left="4520" w:right="240" w:hanging="153"/>
        <w:spacing w:after="0" w:line="263" w:lineRule="auto"/>
        <w:tabs>
          <w:tab w:leader="none" w:pos="4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rPr>
              <w:t>As of January 22, 2021, our total consolidated indebtedness was approximately</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rPr>
              <w:t>$1,117.8 million aggregate principal amount outstanding, of which approximately</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rPr>
              <w:t>$477.5 million was secured indebtedness at the TSLX level and none of which was</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rPr>
              <w:t>indebtedness of our subsidiaries. After giving effect to the issuance of the Note, and</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4"/>
              </w:rPr>
              <w:t>assuming the net proceeds therefrom are used to repay outstanding borrowings under the</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rPr>
              <w:t>Revolving Credit Facility, our total consolidated indebtedness would have been</w:t>
            </w:r>
          </w:p>
        </w:tc>
      </w:tr>
      <w:tr>
        <w:trPr>
          <w:trHeight w:val="216"/>
        </w:trPr>
        <w:tc>
          <w:tcPr>
            <w:tcW w:w="3780" w:type="dxa"/>
            <w:vAlign w:val="bottom"/>
          </w:tcPr>
          <w:p>
            <w:pPr>
              <w:spacing w:after="0"/>
              <w:rPr>
                <w:sz w:val="18"/>
                <w:szCs w:val="18"/>
                <w:color w:val="auto"/>
              </w:rPr>
            </w:pPr>
          </w:p>
        </w:tc>
        <w:tc>
          <w:tcPr>
            <w:tcW w:w="2020" w:type="dxa"/>
            <w:vAlign w:val="bottom"/>
          </w:tcPr>
          <w:p>
            <w:pPr>
              <w:ind w:left="440"/>
              <w:spacing w:after="0"/>
              <w:rPr>
                <w:sz w:val="20"/>
                <w:szCs w:val="20"/>
                <w:color w:val="auto"/>
              </w:rPr>
            </w:pPr>
            <w:r>
              <w:rPr>
                <w:rFonts w:ascii="Arial" w:cs="Arial" w:eastAsia="Arial" w:hAnsi="Arial"/>
                <w:sz w:val="18"/>
                <w:szCs w:val="18"/>
                <w:color w:val="auto"/>
              </w:rPr>
              <w:t>approximately $</w:t>
            </w: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w w:val="97"/>
              </w:rPr>
              <w:t>million aggregate principal amount outstanding as of January 22,</w:t>
            </w:r>
          </w:p>
        </w:tc>
      </w:tr>
      <w:tr>
        <w:trPr>
          <w:trHeight w:val="230"/>
        </w:trPr>
        <w:tc>
          <w:tcPr>
            <w:tcW w:w="3780" w:type="dxa"/>
            <w:vAlign w:val="bottom"/>
          </w:tcPr>
          <w:p>
            <w:pPr>
              <w:spacing w:after="0"/>
              <w:rPr>
                <w:sz w:val="20"/>
                <w:szCs w:val="20"/>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rPr>
              <w:t>2021. See “Capitalization”.</w:t>
            </w: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Denominations</w:t>
            </w: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9"/>
              </w:rPr>
              <w:t>We will issue the Notes in denominations of $2,000 and integral multiples of $1,000 in</w:t>
            </w:r>
          </w:p>
        </w:tc>
      </w:tr>
      <w:tr>
        <w:trPr>
          <w:trHeight w:val="230"/>
        </w:trPr>
        <w:tc>
          <w:tcPr>
            <w:tcW w:w="3780" w:type="dxa"/>
            <w:vAlign w:val="bottom"/>
          </w:tcPr>
          <w:p>
            <w:pPr>
              <w:spacing w:after="0"/>
              <w:rPr>
                <w:sz w:val="20"/>
                <w:szCs w:val="20"/>
                <w:color w:val="auto"/>
              </w:rPr>
            </w:pPr>
          </w:p>
        </w:tc>
        <w:tc>
          <w:tcPr>
            <w:tcW w:w="2020" w:type="dxa"/>
            <w:vAlign w:val="bottom"/>
          </w:tcPr>
          <w:p>
            <w:pPr>
              <w:ind w:left="440"/>
              <w:spacing w:after="0"/>
              <w:rPr>
                <w:sz w:val="20"/>
                <w:szCs w:val="20"/>
                <w:color w:val="auto"/>
              </w:rPr>
            </w:pPr>
            <w:r>
              <w:rPr>
                <w:rFonts w:ascii="Arial" w:cs="Arial" w:eastAsia="Arial" w:hAnsi="Arial"/>
                <w:sz w:val="18"/>
                <w:szCs w:val="18"/>
                <w:color w:val="auto"/>
              </w:rPr>
              <w:t>excess thereof.</w:t>
            </w: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4"/>
              </w:rPr>
              <w:t>We may redeem some or all of the Notes at any time, or from time to time, at a redemption</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4"/>
              </w:rPr>
              <w:t>price equal to the greater of (1) 100% of the principal amount of the Notes to be redeemed</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4"/>
              </w:rPr>
              <w:t>or (2) the sum of the present values of the remaining scheduled payments of principal and</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2"/>
              </w:rPr>
              <w:t>interest (exclusive of accrued and unpaid interest to the date of redemption) on the Notes to</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9"/>
              </w:rPr>
              <w:t>be redeemed, discounted to the redemption date on a semi-annual basis (assuming a</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9"/>
              </w:rPr>
              <w:t>360-day year consisting of twelve 30-day months) using the applicable Treasury Rate</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5"/>
              </w:rPr>
              <w:t>plus basis points, plus, in each case, accrued and unpaid interest to the redemption date;</w:t>
            </w:r>
          </w:p>
        </w:tc>
      </w:tr>
      <w:tr>
        <w:trPr>
          <w:trHeight w:val="216"/>
        </w:trPr>
        <w:tc>
          <w:tcPr>
            <w:tcW w:w="3780" w:type="dxa"/>
            <w:vAlign w:val="bottom"/>
          </w:tcPr>
          <w:p>
            <w:pPr>
              <w:spacing w:after="0"/>
              <w:rPr>
                <w:sz w:val="18"/>
                <w:szCs w:val="18"/>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if we redeem any Notes on or after</w:t>
            </w:r>
          </w:p>
        </w:tc>
        <w:tc>
          <w:tcPr>
            <w:tcW w:w="340" w:type="dxa"/>
            <w:vAlign w:val="bottom"/>
          </w:tcPr>
          <w:p>
            <w:pPr>
              <w:jc w:val="right"/>
              <w:ind w:right="249"/>
              <w:spacing w:after="0"/>
              <w:rPr>
                <w:sz w:val="20"/>
                <w:szCs w:val="20"/>
                <w:color w:val="auto"/>
              </w:rPr>
            </w:pPr>
            <w:r>
              <w:rPr>
                <w:rFonts w:ascii="Arial" w:cs="Arial" w:eastAsia="Arial" w:hAnsi="Arial"/>
                <w:sz w:val="10"/>
                <w:szCs w:val="10"/>
                <w:color w:val="auto"/>
                <w:w w:val="70"/>
              </w:rPr>
              <w:t>,</w:t>
            </w:r>
          </w:p>
        </w:tc>
        <w:tc>
          <w:tcPr>
            <w:tcW w:w="1640" w:type="dxa"/>
            <w:vAlign w:val="bottom"/>
          </w:tcPr>
          <w:p>
            <w:pPr>
              <w:ind w:left="300"/>
              <w:spacing w:after="0"/>
              <w:rPr>
                <w:sz w:val="20"/>
                <w:szCs w:val="20"/>
                <w:color w:val="auto"/>
              </w:rPr>
            </w:pPr>
            <w:r>
              <w:rPr>
                <w:rFonts w:ascii="Arial" w:cs="Arial" w:eastAsia="Arial" w:hAnsi="Arial"/>
                <w:sz w:val="18"/>
                <w:szCs w:val="18"/>
                <w:color w:val="auto"/>
              </w:rPr>
              <w:t>(the date falling</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6"/>
              </w:rPr>
              <w:t>one month prior to the maturity date of the Notes), the redemption price for the Notes will</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5"/>
              </w:rPr>
              <w:t>be equal to 100% of the principal amount of the Notes to be redeemed, plus accrued and</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4"/>
              </w:rPr>
              <w:t>unpaid interest, if any, to, but excluding, the date of redemption. Any exercise of our option</w:t>
            </w:r>
          </w:p>
        </w:tc>
      </w:tr>
      <w:tr>
        <w:trPr>
          <w:trHeight w:val="230"/>
        </w:trPr>
        <w:tc>
          <w:tcPr>
            <w:tcW w:w="3780" w:type="dxa"/>
            <w:vAlign w:val="bottom"/>
          </w:tcPr>
          <w:p>
            <w:pPr>
              <w:spacing w:after="0"/>
              <w:rPr>
                <w:sz w:val="20"/>
                <w:szCs w:val="20"/>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w w:val="91"/>
              </w:rPr>
              <w:t>to redeem the Notes will be done in compliance with the 1940 Act.</w:t>
            </w: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Sinking Fund</w:t>
            </w: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rPr>
              <w:t>The Notes will not be subject to any sinking fund. A sinking fund is a reserve fund</w:t>
            </w:r>
          </w:p>
        </w:tc>
      </w:tr>
      <w:tr>
        <w:trPr>
          <w:trHeight w:val="230"/>
        </w:trPr>
        <w:tc>
          <w:tcPr>
            <w:tcW w:w="3780" w:type="dxa"/>
            <w:vAlign w:val="bottom"/>
          </w:tcPr>
          <w:p>
            <w:pPr>
              <w:spacing w:after="0"/>
              <w:rPr>
                <w:sz w:val="20"/>
                <w:szCs w:val="20"/>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rPr>
              <w:t>accumulated over a period of time for the retirement of debt.</w:t>
            </w: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5"/>
        </w:trPr>
        <w:tc>
          <w:tcPr>
            <w:tcW w:w="3780" w:type="dxa"/>
            <w:vAlign w:val="bottom"/>
          </w:tcPr>
          <w:p>
            <w:pPr>
              <w:ind w:left="180"/>
              <w:spacing w:after="0"/>
              <w:rPr>
                <w:sz w:val="20"/>
                <w:szCs w:val="20"/>
                <w:color w:val="auto"/>
              </w:rPr>
            </w:pPr>
            <w:r>
              <w:rPr>
                <w:rFonts w:ascii="Arial" w:cs="Arial" w:eastAsia="Arial" w:hAnsi="Arial"/>
                <w:sz w:val="18"/>
                <w:szCs w:val="18"/>
                <w:color w:val="auto"/>
              </w:rPr>
              <w:t>Offer to Purchase upon a Change of Control</w:t>
            </w: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rPr>
              <w:t>If a Change of Control Repurchase Event occurs prior to maturity, unless we have</w:t>
            </w:r>
          </w:p>
        </w:tc>
      </w:tr>
      <w:tr>
        <w:trPr>
          <w:trHeight w:val="216"/>
        </w:trPr>
        <w:tc>
          <w:tcPr>
            <w:tcW w:w="3780" w:type="dxa"/>
            <w:vAlign w:val="bottom"/>
          </w:tcPr>
          <w:p>
            <w:pPr>
              <w:ind w:left="260"/>
              <w:spacing w:after="0"/>
              <w:rPr>
                <w:sz w:val="20"/>
                <w:szCs w:val="20"/>
                <w:color w:val="auto"/>
              </w:rPr>
            </w:pPr>
            <w:r>
              <w:rPr>
                <w:rFonts w:ascii="Arial" w:cs="Arial" w:eastAsia="Arial" w:hAnsi="Arial"/>
                <w:sz w:val="18"/>
                <w:szCs w:val="18"/>
                <w:color w:val="auto"/>
              </w:rPr>
              <w:t>Repurchase Event</w:t>
            </w: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6"/>
              </w:rPr>
              <w:t>exercised our right to redeem the Notes in full, holders will have the right, at their option,</w:t>
            </w:r>
          </w:p>
        </w:tc>
      </w:tr>
      <w:tr>
        <w:trPr>
          <w:trHeight w:val="216"/>
        </w:trPr>
        <w:tc>
          <w:tcPr>
            <w:tcW w:w="3780" w:type="dxa"/>
            <w:vAlign w:val="bottom"/>
          </w:tcPr>
          <w:p>
            <w:pPr>
              <w:spacing w:after="0"/>
              <w:rPr>
                <w:sz w:val="18"/>
                <w:szCs w:val="18"/>
                <w:color w:val="auto"/>
              </w:rPr>
            </w:pPr>
          </w:p>
        </w:tc>
        <w:tc>
          <w:tcPr>
            <w:tcW w:w="7240" w:type="dxa"/>
            <w:vAlign w:val="bottom"/>
            <w:gridSpan w:val="4"/>
          </w:tcPr>
          <w:p>
            <w:pPr>
              <w:ind w:left="440"/>
              <w:spacing w:after="0"/>
              <w:rPr>
                <w:sz w:val="20"/>
                <w:szCs w:val="20"/>
                <w:color w:val="auto"/>
              </w:rPr>
            </w:pPr>
            <w:r>
              <w:rPr>
                <w:rFonts w:ascii="Arial" w:cs="Arial" w:eastAsia="Arial" w:hAnsi="Arial"/>
                <w:sz w:val="18"/>
                <w:szCs w:val="18"/>
                <w:color w:val="auto"/>
                <w:w w:val="93"/>
              </w:rPr>
              <w:t>to require us to repurchase for cash some or all of the Notes at a repurchase price equal to</w:t>
            </w:r>
          </w:p>
        </w:tc>
      </w:tr>
      <w:tr>
        <w:trPr>
          <w:trHeight w:val="230"/>
        </w:trPr>
        <w:tc>
          <w:tcPr>
            <w:tcW w:w="3780" w:type="dxa"/>
            <w:vAlign w:val="bottom"/>
          </w:tcPr>
          <w:p>
            <w:pPr>
              <w:spacing w:after="0"/>
              <w:rPr>
                <w:sz w:val="20"/>
                <w:szCs w:val="20"/>
                <w:color w:val="auto"/>
              </w:rPr>
            </w:pPr>
          </w:p>
        </w:tc>
        <w:tc>
          <w:tcPr>
            <w:tcW w:w="2020" w:type="dxa"/>
            <w:vAlign w:val="bottom"/>
          </w:tcPr>
          <w:p>
            <w:pPr>
              <w:ind w:left="440"/>
              <w:spacing w:after="0"/>
              <w:rPr>
                <w:sz w:val="20"/>
                <w:szCs w:val="20"/>
                <w:color w:val="auto"/>
              </w:rPr>
            </w:pPr>
            <w:r>
              <w:rPr>
                <w:rFonts w:ascii="Arial" w:cs="Arial" w:eastAsia="Arial" w:hAnsi="Arial"/>
                <w:sz w:val="18"/>
                <w:szCs w:val="18"/>
                <w:color w:val="auto"/>
              </w:rPr>
              <w:t>100%</w:t>
            </w: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0"/>
        </w:trPr>
        <w:tc>
          <w:tcPr>
            <w:tcW w:w="37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2020" w:type="dxa"/>
            <w:vAlign w:val="bottom"/>
          </w:tcPr>
          <w:p>
            <w:pPr>
              <w:ind w:left="1600"/>
              <w:spacing w:after="0"/>
              <w:rPr>
                <w:sz w:val="20"/>
                <w:szCs w:val="20"/>
                <w:color w:val="auto"/>
              </w:rPr>
            </w:pPr>
            <w:r>
              <w:rPr>
                <w:rFonts w:ascii="Arial" w:cs="Arial" w:eastAsia="Arial" w:hAnsi="Arial"/>
                <w:sz w:val="18"/>
                <w:szCs w:val="18"/>
                <w:color w:val="auto"/>
              </w:rPr>
              <w:t>S-7</w:t>
            </w: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50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w w:val="95"/>
              </w:rPr>
              <w:t>of the principal amount of the Notes being repurchased, plus accrued and unpaid interest</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to, but not including, the repurchase date.</w:t>
            </w:r>
          </w:p>
        </w:tc>
      </w:tr>
      <w:tr>
        <w:trPr>
          <w:trHeight w:val="458"/>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Legal Defeasance</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Notes are subject to legal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Satisfaction and Discharge; Defeasance,” we can legally release ourselves from all</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payment and other obligations on the Notes.</w:t>
            </w:r>
          </w:p>
        </w:tc>
      </w:tr>
      <w:tr>
        <w:trPr>
          <w:trHeight w:val="445"/>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Covenant Defeasance</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The Notes are subject to covenant defeasance by us, which means that, subject to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satisfaction of certain conditions, including, but not limited to, (i) depositing in trust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benefit of the holders of the Notes a combination of money and U.S. government or 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government agency notes or bonds that will generate enough cash to make interest,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principal and any other payments on the Notes on their various due dates and (ii) delivering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to the Trustee an opinion of counsel as described herein under “Description of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Satisfaction and Discharge; Defeasance,” we will be released from some of the restrictive</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covenants in the indenture.</w:t>
            </w:r>
          </w:p>
        </w:tc>
      </w:tr>
      <w:tr>
        <w:trPr>
          <w:trHeight w:val="445"/>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of Notes</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The Notes will be represented by global securities that will be deposited and registered in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the name of The Depository Trust Company, or DTC, or its nominee. This means that,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except in limited circumstances, you will not receive certificates for the Notes. Beneficial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interests in the Notes will be represented through book-entry accounts of financial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institutions acting on behalf of beneficial owners as direct and indirect participants in DTC.</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Investors may elect to hold interests in the Notes through either DTC, if they are a</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participant, or indirectly through organizations that are participants in DTC.</w:t>
            </w:r>
          </w:p>
        </w:tc>
      </w:tr>
      <w:tr>
        <w:trPr>
          <w:trHeight w:val="459"/>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Paying Agent and Registrar</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Wells Fargo Bank, National Association</w:t>
            </w:r>
          </w:p>
        </w:tc>
      </w:tr>
      <w:tr>
        <w:trPr>
          <w:trHeight w:val="458"/>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Events of Default</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If an event of default (as described under “Description of Notes”) on the Notes occurs,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principal amount of the Notes, plus accrued and unpaid interest, may be declared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immediately due and payable, subject to conditions set forth in the indenture. These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amounts automatically become due and payable in the case of certain types of bankruptcy</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or insolvency events involving us.</w:t>
            </w:r>
          </w:p>
        </w:tc>
      </w:tr>
      <w:tr>
        <w:trPr>
          <w:trHeight w:val="445"/>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Other Covenants</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In addition to the covenants described in the accompanying prospectus, the following</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covenants shall apply to the Notes:</w:t>
            </w:r>
          </w:p>
        </w:tc>
      </w:tr>
      <w:tr>
        <w:trPr>
          <w:trHeight w:val="323"/>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violate, whether or not we are subject thereto, Section 18(a)(1)(A) as modified by</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Section 61(a) of the</w:t>
            </w:r>
          </w:p>
        </w:tc>
      </w:tr>
      <w:tr>
        <w:trPr>
          <w:trHeight w:val="240"/>
        </w:trPr>
        <w:tc>
          <w:tcPr>
            <w:tcW w:w="350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00" w:type="dxa"/>
            <w:vAlign w:val="bottom"/>
          </w:tcPr>
          <w:p>
            <w:pPr>
              <w:spacing w:after="0"/>
              <w:rPr>
                <w:sz w:val="24"/>
                <w:szCs w:val="24"/>
                <w:color w:val="auto"/>
              </w:rPr>
            </w:pPr>
          </w:p>
        </w:tc>
        <w:tc>
          <w:tcPr>
            <w:tcW w:w="7520" w:type="dxa"/>
            <w:vAlign w:val="bottom"/>
          </w:tcPr>
          <w:p>
            <w:pPr>
              <w:ind w:left="1880"/>
              <w:spacing w:after="0"/>
              <w:rPr>
                <w:sz w:val="20"/>
                <w:szCs w:val="20"/>
                <w:color w:val="auto"/>
              </w:rPr>
            </w:pPr>
            <w:r>
              <w:rPr>
                <w:rFonts w:ascii="Arial" w:cs="Arial" w:eastAsia="Arial" w:hAnsi="Arial"/>
                <w:sz w:val="18"/>
                <w:szCs w:val="18"/>
                <w:color w:val="auto"/>
              </w:rPr>
              <w:t>S-8</w:t>
            </w:r>
          </w:p>
        </w:tc>
      </w:tr>
    </w:tbl>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5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998970" cy="4255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260"/>
        <w:spacing w:after="0" w:line="277" w:lineRule="auto"/>
        <w:rPr>
          <w:sz w:val="20"/>
          <w:szCs w:val="20"/>
          <w:color w:val="auto"/>
        </w:rPr>
      </w:pPr>
      <w:r>
        <w:rPr>
          <w:rFonts w:ascii="Arial" w:cs="Arial" w:eastAsia="Arial" w:hAnsi="Arial"/>
          <w:sz w:val="18"/>
          <w:szCs w:val="18"/>
          <w:color w:val="auto"/>
        </w:rPr>
        <w:t>1940 Act or any successor provisions, but giving effect, in either case, to any exemptive relief granted to us by the SEC.</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w w:val="96"/>
              </w:rPr>
              <w:t>• If, at any time, we are not subject to the reporting requirements of Sections 13 or 15(d)</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9"/>
              </w:rPr>
              <w:t>of the Exchange Act to file any periodic reports with the SEC, we agree to furnish to</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6"/>
              </w:rPr>
              <w:t>holders of the Notes and the Trustee, for the period of time during which the Notes are</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4"/>
              </w:rPr>
              <w:t>outstanding, our audited annual consolidated financial statements, within 90 days of our</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w w:val="95"/>
              </w:rPr>
              <w:t>fiscal year end, and unaudited interim consolidated financial statements, within 45 days</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of our fiscal quarter end (other than our fourth fiscal quarter). All such financial</w:t>
            </w:r>
          </w:p>
        </w:tc>
      </w:tr>
      <w:tr>
        <w:trPr>
          <w:trHeight w:val="216"/>
        </w:trPr>
        <w:tc>
          <w:tcPr>
            <w:tcW w:w="380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statements will be prepared, in all material respects, in accordance with applicable</w:t>
            </w:r>
          </w:p>
        </w:tc>
      </w:tr>
      <w:tr>
        <w:trPr>
          <w:trHeight w:val="230"/>
        </w:trPr>
        <w:tc>
          <w:tcPr>
            <w:tcW w:w="380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United States generally accepted accounting principles, or GAAP.</w:t>
            </w:r>
          </w:p>
        </w:tc>
      </w:tr>
      <w:tr>
        <w:trPr>
          <w:trHeight w:val="445"/>
        </w:trPr>
        <w:tc>
          <w:tcPr>
            <w:tcW w:w="3800" w:type="dxa"/>
            <w:vAlign w:val="bottom"/>
          </w:tcPr>
          <w:p>
            <w:pPr>
              <w:ind w:left="180"/>
              <w:spacing w:after="0"/>
              <w:rPr>
                <w:sz w:val="20"/>
                <w:szCs w:val="20"/>
                <w:color w:val="auto"/>
              </w:rPr>
            </w:pPr>
            <w:r>
              <w:rPr>
                <w:rFonts w:ascii="Arial" w:cs="Arial" w:eastAsia="Arial" w:hAnsi="Arial"/>
                <w:sz w:val="18"/>
                <w:szCs w:val="18"/>
                <w:color w:val="auto"/>
              </w:rPr>
              <w:t>No Established Trading Market</w:t>
            </w: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The Notes are a new issue of securities with no established trading market. The Notes will</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9"/>
              </w:rPr>
              <w:t>not be listed on any securities exchange or quoted on any automated dealer quotation</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system. Although certain of the underwriters have informed us that they currently intend to</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5"/>
              </w:rPr>
              <w:t>make a market in the Notes, as permitted by applicable laws and regulations, they are not</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9"/>
              </w:rPr>
              <w:t>obligated to do so and may discontinue any such market making activities at any time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without notice. See “Underwriting.” Accordingly, we cannot assure you that a liquid</w:t>
            </w:r>
          </w:p>
        </w:tc>
      </w:tr>
      <w:tr>
        <w:trPr>
          <w:trHeight w:val="230"/>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market for the Notes will develop or be maintained.</w:t>
            </w:r>
          </w:p>
        </w:tc>
      </w:tr>
      <w:tr>
        <w:trPr>
          <w:trHeight w:val="445"/>
        </w:trPr>
        <w:tc>
          <w:tcPr>
            <w:tcW w:w="3800" w:type="dxa"/>
            <w:vAlign w:val="bottom"/>
          </w:tcPr>
          <w:p>
            <w:pPr>
              <w:ind w:left="180"/>
              <w:spacing w:after="0"/>
              <w:rPr>
                <w:sz w:val="20"/>
                <w:szCs w:val="20"/>
                <w:color w:val="auto"/>
              </w:rPr>
            </w:pPr>
            <w:r>
              <w:rPr>
                <w:rFonts w:ascii="Arial" w:cs="Arial" w:eastAsia="Arial" w:hAnsi="Arial"/>
                <w:sz w:val="18"/>
                <w:szCs w:val="18"/>
                <w:color w:val="auto"/>
                <w:w w:val="99"/>
              </w:rPr>
              <w:t>Global Clearance and Settlement Procedures</w:t>
            </w:r>
          </w:p>
        </w:tc>
        <w:tc>
          <w:tcPr>
            <w:tcW w:w="7220" w:type="dxa"/>
            <w:vAlign w:val="bottom"/>
          </w:tcPr>
          <w:p>
            <w:pPr>
              <w:ind w:left="42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7"/>
              </w:rPr>
              <w:t>permitted secondary market trading activity in such Notes will, therefore, be required by</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3"/>
              </w:rPr>
              <w:t>DTC to be settled in immediately available funds. None of the Company, the Trustee or the</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paying agent will have any responsibility or liability for the performance by DTC or its</w:t>
            </w:r>
          </w:p>
        </w:tc>
      </w:tr>
      <w:tr>
        <w:trPr>
          <w:trHeight w:val="216"/>
        </w:trPr>
        <w:tc>
          <w:tcPr>
            <w:tcW w:w="380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participants or indirect participants of their respective obligations under the rules and</w:t>
            </w:r>
          </w:p>
        </w:tc>
      </w:tr>
      <w:tr>
        <w:trPr>
          <w:trHeight w:val="230"/>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procedures governing their operations.</w:t>
            </w:r>
          </w:p>
        </w:tc>
      </w:tr>
      <w:tr>
        <w:trPr>
          <w:trHeight w:val="445"/>
        </w:trPr>
        <w:tc>
          <w:tcPr>
            <w:tcW w:w="38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7220" w:type="dxa"/>
            <w:vAlign w:val="bottom"/>
          </w:tcPr>
          <w:p>
            <w:pPr>
              <w:ind w:left="420"/>
              <w:spacing w:after="0"/>
              <w:rPr>
                <w:sz w:val="20"/>
                <w:szCs w:val="20"/>
                <w:color w:val="auto"/>
              </w:rPr>
            </w:pPr>
            <w:r>
              <w:rPr>
                <w:rFonts w:ascii="Arial" w:cs="Arial" w:eastAsia="Arial" w:hAnsi="Arial"/>
                <w:sz w:val="18"/>
                <w:szCs w:val="18"/>
                <w:color w:val="auto"/>
                <w:w w:val="93"/>
              </w:rPr>
              <w:t>The Notes and the indenture are governed by and construed in accordance with the laws of</w:t>
            </w:r>
          </w:p>
        </w:tc>
      </w:tr>
      <w:tr>
        <w:trPr>
          <w:trHeight w:val="230"/>
        </w:trPr>
        <w:tc>
          <w:tcPr>
            <w:tcW w:w="380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the State of New York.</w:t>
            </w:r>
          </w:p>
        </w:tc>
      </w:tr>
      <w:tr>
        <w:trPr>
          <w:trHeight w:val="240"/>
        </w:trPr>
        <w:tc>
          <w:tcPr>
            <w:tcW w:w="380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r>
      <w:tr>
        <w:trPr>
          <w:trHeight w:val="604"/>
        </w:trPr>
        <w:tc>
          <w:tcPr>
            <w:tcW w:w="3800" w:type="dxa"/>
            <w:vAlign w:val="bottom"/>
          </w:tcPr>
          <w:p>
            <w:pPr>
              <w:spacing w:after="0"/>
              <w:rPr>
                <w:sz w:val="24"/>
                <w:szCs w:val="24"/>
                <w:color w:val="auto"/>
              </w:rPr>
            </w:pPr>
          </w:p>
        </w:tc>
        <w:tc>
          <w:tcPr>
            <w:tcW w:w="7220" w:type="dxa"/>
            <w:vAlign w:val="bottom"/>
          </w:tcPr>
          <w:p>
            <w:pPr>
              <w:ind w:left="1580"/>
              <w:spacing w:after="0"/>
              <w:rPr>
                <w:sz w:val="20"/>
                <w:szCs w:val="20"/>
                <w:color w:val="auto"/>
              </w:rPr>
            </w:pPr>
            <w:r>
              <w:rPr>
                <w:rFonts w:ascii="Arial" w:cs="Arial" w:eastAsia="Arial" w:hAnsi="Arial"/>
                <w:sz w:val="18"/>
                <w:szCs w:val="18"/>
                <w:color w:val="auto"/>
              </w:rPr>
              <w:t>S-9</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RISK FACTORS</w:t>
      </w:r>
    </w:p>
    <w:p>
      <w:pPr>
        <w:spacing w:after="0" w:line="21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Investing in our securities involves a number of significant risks. You should carefully consider the risks set out below and the risk factors incorporated by reference in Part I, Item 1A, “Risk Factors,” in our 2019 Annual Report and Part 1, Item IA, “Risk Factors,” in our 2020 Q1 Quarterly Report, our 2020 Q2 Quarterly Report and our 2020 Q3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2019 Annual Report and our 2020 Q1 Quarterly Report, 2020 Q2 Quarterly Report and 2020 Q3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we have currently incurred or may incur in the future.</w:t>
      </w:r>
    </w:p>
    <w:p>
      <w:pPr>
        <w:spacing w:after="0" w:line="62"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January 22, 2021, we had approximately $477.5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Notes are structurally subordinated to the indebtedness and other liabilities of our subsidiaries.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January 22, 2021 our total consolidated indebtedness was approximately $1,117.8 million aggregate principal amount outstanding, of which approximately $477.5 million was secured indebtedness at the TSLX level and none of which was indebtedness of our subsidiaries, and approximately $640.3 million aggregate principal amount was unsecured indebtedness.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92" w:lineRule="exact"/>
        <w:rPr>
          <w:sz w:val="20"/>
          <w:szCs w:val="20"/>
          <w:color w:val="auto"/>
        </w:rPr>
      </w:pPr>
    </w:p>
    <w:p>
      <w:pPr>
        <w:ind w:left="1080" w:right="340" w:hanging="424"/>
        <w:spacing w:after="0" w:line="287"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2" w:lineRule="exact"/>
        <w:rPr>
          <w:rFonts w:ascii="Arial" w:cs="Arial" w:eastAsia="Arial" w:hAnsi="Arial"/>
          <w:sz w:val="16"/>
          <w:szCs w:val="16"/>
          <w:color w:val="auto"/>
        </w:rPr>
      </w:pPr>
    </w:p>
    <w:p>
      <w:pPr>
        <w:ind w:left="108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2022 Convertible Notes, 2023 Notes or 2024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9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2022 Convertible Notes, 2023 Notes and 2024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2022 Convertible Notes, 2023 Notes and 2024 Notes each contain a provision that would require us to offer to purchase the respective 2022 Convertible Notes, 2023 Notes or 2024 Notes upon the occurrence of a fundamental change.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assure that an active trading market will be maintained for the Notes.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estimate that the net proceeds we will receive from the sale of $ million aggregate principal amount of Notes in this offering will be approximately $ million, after deducting the underwriting discounts and commissions and estimated offering expenses payable by us.</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January 22, 2021, we had $477.5 million outstanding under the Revolving Credit Facility. However, through reborrowing under the Revolving Credit Facility, we intend to make new investments in accordance with our investment objective and strategies described in this prospectus supplement and the accompanying prospectus. As of January 22, 2021, amounts outstanding under our Revolving Credit Facility bore interest at a rate of LIBOR, Euribor, CDOR or BBSY plus a margin of 1.875%. The stated maturity date of the Revolving Credit Facility is January 31, 2025. See “Management’s Discussion and Analysis of Financial Condition and Results of Operations—Financial Condition, Liquidity and Capital Resources—Revolving Credit Facility” in our 2020 Q3 Quarterly Report, which is incorporated herein by reference.</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September 30, 2020. The report of our independent registered public accounting firm, KPMG LLP, on the senior securities table as of December 31, 2018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2019 Annual Report and our 2020 Q3 Quarterly Report.</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Involuntary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Coverage</w:t>
            </w: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w:t>
            </w:r>
          </w:p>
        </w:tc>
        <w:tc>
          <w:tcPr>
            <w:tcW w:w="1700" w:type="dxa"/>
            <w:vAlign w:val="bottom"/>
            <w:gridSpan w:val="3"/>
            <w:vMerge w:val="continue"/>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millions)</w:t>
            </w:r>
          </w:p>
        </w:tc>
        <w:tc>
          <w:tcPr>
            <w:tcW w:w="12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Value Per Unit</w:t>
            </w:r>
            <w:r>
              <w:rPr>
                <w:rFonts w:ascii="Arial" w:cs="Arial" w:eastAsia="Arial" w:hAnsi="Arial"/>
                <w:sz w:val="12"/>
                <w:szCs w:val="12"/>
                <w:b w:val="1"/>
                <w:bCs w:val="1"/>
                <w:color w:val="auto"/>
                <w:w w:val="94"/>
              </w:rPr>
              <w:t>(4)</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291.3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495.7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187.5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486.8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2016</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578.7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540.3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2014</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283.9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432.3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2,329.5</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2012</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331.8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2,445.9</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2,116.7</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Convertible Notes due 2019</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114.3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113.7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113.1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2015</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142.5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171.9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171.7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114.7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December 31, 2020 (as of September 30, 2020)</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346.0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2,227.5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297.2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2,004.1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20" w:hanging="424"/>
        <w:spacing w:after="0" w:line="25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following table sets forth our consolidated capitalization at September 30, 2020. You should read this table together with “Use of Proceeds” described in this prospectus supplement and our most recent balance sheet included elsewhere in this prospectus supplement or the accompanying prospectus, or incorporated by reference herein or therein.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As of September 30, 2020</w:t>
            </w:r>
          </w:p>
        </w:tc>
        <w:tc>
          <w:tcPr>
            <w:tcW w:w="0" w:type="dxa"/>
            <w:vAlign w:val="bottom"/>
          </w:tcPr>
          <w:p>
            <w:pPr>
              <w:spacing w:after="0"/>
              <w:rPr>
                <w:sz w:val="1"/>
                <w:szCs w:val="1"/>
                <w:color w:val="auto"/>
              </w:rPr>
            </w:pPr>
          </w:p>
        </w:tc>
      </w:tr>
      <w:tr>
        <w:trPr>
          <w:trHeight w:val="171"/>
        </w:trPr>
        <w:tc>
          <w:tcPr>
            <w:tcW w:w="874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7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15"/>
                <w:szCs w:val="15"/>
                <w:b w:val="1"/>
                <w:bCs w:val="1"/>
                <w:color w:val="auto"/>
              </w:rPr>
              <w:t>(1)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291,315</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2022 Convertible Notes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142,809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2024 Notes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347,500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Notes offered hereby</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931,624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400,000,000 shares authorized; 67,924,184 shares issued and 67,628,140 shares</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1,028,532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shares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Distributable earnings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116,300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1,141,220</w:t>
            </w:r>
          </w:p>
        </w:tc>
        <w:tc>
          <w:tcPr>
            <w:tcW w:w="0" w:type="dxa"/>
            <w:vAlign w:val="bottom"/>
          </w:tcPr>
          <w:p>
            <w:pPr>
              <w:spacing w:after="0"/>
              <w:rPr>
                <w:sz w:val="1"/>
                <w:szCs w:val="1"/>
                <w:color w:val="auto"/>
              </w:rPr>
            </w:pPr>
          </w:p>
        </w:tc>
      </w:tr>
      <w:tr>
        <w:trPr>
          <w:trHeight w:val="234"/>
        </w:trPr>
        <w:tc>
          <w:tcPr>
            <w:tcW w:w="874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2,088,504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right="18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above table reflects the principal amount of indebtedness outstanding as of September 30, 2020. As of January 22, 2021, total debt was $1,117.8 million, and outstanding indebtedness under the Revolving Credit Facility was $477.5 million as of January 22, 2021. The net proceeds from the sale of the Notes are expected to be used to pay down outstanding indebtedness under the Revolving Credit Facility. See “Use of Proceeds.”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description of the particular terms of the % Notes due supplements and, to the extent inconsistent therewith, replaces the description of the general terms and provisions of the debt securities set forth in the accompanying prospectus.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issue the Notes under a base indenture dated as of January 22, 2018, between us and Wells Fargo Bank, National Association, as trustee (the “trustee”), as supplemented by a separate supplemental indenture, dated as of the settlement date for the Notes (the “third supplemental indenture”). As used in this section, all references to the indenture mean the base indenture as supplemented by the third supplemental indenture. The terms of the Notes include those expressly set forth in the indenture and those made part of the indenture by reference to the Trust Indenture Act of 1939, as amended, or the TIA.</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180"/>
              <w:spacing w:after="0"/>
              <w:rPr>
                <w:sz w:val="20"/>
                <w:szCs w:val="20"/>
                <w:color w:val="auto"/>
              </w:rPr>
            </w:pPr>
            <w:r>
              <w:rPr>
                <w:rFonts w:ascii="Arial" w:cs="Arial" w:eastAsia="Arial" w:hAnsi="Arial"/>
                <w:sz w:val="18"/>
                <w:szCs w:val="18"/>
                <w:color w:val="auto"/>
                <w:w w:val="97"/>
              </w:rPr>
              <w:t>will be issued in an aggregate principal amount of $</w:t>
            </w:r>
          </w:p>
        </w:tc>
        <w:tc>
          <w:tcPr>
            <w:tcW w:w="3240" w:type="dxa"/>
            <w:vAlign w:val="bottom"/>
          </w:tcPr>
          <w:p>
            <w:pPr>
              <w:ind w:left="260"/>
              <w:spacing w:after="0"/>
              <w:rPr>
                <w:sz w:val="20"/>
                <w:szCs w:val="20"/>
                <w:color w:val="auto"/>
              </w:rPr>
            </w:pPr>
            <w:r>
              <w:rPr>
                <w:rFonts w:ascii="Arial" w:cs="Arial" w:eastAsia="Arial" w:hAnsi="Arial"/>
                <w:sz w:val="18"/>
                <w:szCs w:val="18"/>
                <w:color w:val="auto"/>
              </w:rPr>
              <w:t>million;</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ind w:left="180"/>
              <w:spacing w:after="0"/>
              <w:rPr>
                <w:sz w:val="20"/>
                <w:szCs w:val="20"/>
                <w:color w:val="auto"/>
              </w:rPr>
            </w:pPr>
            <w:r>
              <w:rPr>
                <w:rFonts w:ascii="Arial" w:cs="Arial" w:eastAsia="Arial" w:hAnsi="Arial"/>
                <w:sz w:val="18"/>
                <w:szCs w:val="18"/>
                <w:color w:val="auto"/>
              </w:rPr>
              <w:t>will mature on</w:t>
            </w: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w w:val="93"/>
              </w:rPr>
              <w:t>, unless earlier redeemed or repurchased, as discussed below;</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180"/>
              <w:spacing w:after="0"/>
              <w:rPr>
                <w:sz w:val="20"/>
                <w:szCs w:val="20"/>
                <w:color w:val="auto"/>
              </w:rPr>
            </w:pPr>
            <w:r>
              <w:rPr>
                <w:rFonts w:ascii="Arial" w:cs="Arial" w:eastAsia="Arial" w:hAnsi="Arial"/>
                <w:sz w:val="18"/>
                <w:szCs w:val="18"/>
                <w:color w:val="auto"/>
              </w:rPr>
              <w:t>will bear cash interest from</w:t>
            </w: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 2021 at an annual rate of   % payable semi-annually on</w:t>
            </w:r>
          </w:p>
        </w:tc>
        <w:tc>
          <w:tcPr>
            <w:tcW w:w="920" w:type="dxa"/>
            <w:vAlign w:val="bottom"/>
          </w:tcPr>
          <w:p>
            <w:pPr>
              <w:ind w:left="300"/>
              <w:spacing w:after="0"/>
              <w:rPr>
                <w:sz w:val="20"/>
                <w:szCs w:val="20"/>
                <w:color w:val="auto"/>
              </w:rPr>
            </w:pPr>
            <w:r>
              <w:rPr>
                <w:rFonts w:ascii="Arial" w:cs="Arial" w:eastAsia="Arial" w:hAnsi="Arial"/>
                <w:sz w:val="18"/>
                <w:szCs w:val="18"/>
                <w:color w:val="auto"/>
              </w:rPr>
              <w:t>and</w:t>
            </w:r>
          </w:p>
        </w:tc>
        <w:tc>
          <w:tcPr>
            <w:tcW w:w="1280" w:type="dxa"/>
            <w:vAlign w:val="bottom"/>
          </w:tcPr>
          <w:p>
            <w:pPr>
              <w:ind w:left="360"/>
              <w:spacing w:after="0"/>
              <w:rPr>
                <w:sz w:val="20"/>
                <w:szCs w:val="20"/>
                <w:color w:val="auto"/>
              </w:rPr>
            </w:pPr>
            <w:r>
              <w:rPr>
                <w:rFonts w:ascii="Arial" w:cs="Arial" w:eastAsia="Arial" w:hAnsi="Arial"/>
                <w:sz w:val="18"/>
                <w:szCs w:val="18"/>
                <w:color w:val="auto"/>
                <w:w w:val="86"/>
              </w:rPr>
              <w:t>of each year,</w:t>
            </w:r>
          </w:p>
        </w:tc>
      </w:tr>
      <w:tr>
        <w:trPr>
          <w:trHeight w:val="230"/>
        </w:trPr>
        <w:tc>
          <w:tcPr>
            <w:tcW w:w="240" w:type="dxa"/>
            <w:vAlign w:val="bottom"/>
          </w:tcPr>
          <w:p>
            <w:pPr>
              <w:spacing w:after="0"/>
              <w:rPr>
                <w:sz w:val="20"/>
                <w:szCs w:val="20"/>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beginning on</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 2021;</w:t>
            </w:r>
          </w:p>
        </w:tc>
        <w:tc>
          <w:tcPr>
            <w:tcW w:w="1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07"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either be issued in a “qualified reopening” for U.S. federal income tax purposes, with no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original issue discount, or otherwise be part of the same issue as the Notes for U.S. federal income tax purposes.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ectPr>
          <w:pgSz w:w="11900" w:h="16838" w:orient="portrait"/>
          <w:cols w:equalWidth="0" w:num="1">
            <w:col w:w="11120"/>
          </w:cols>
          <w:pgMar w:left="320" w:top="459" w:right="459" w:bottom="1440" w:gutter="0" w:footer="0" w:header="0"/>
        </w:sectPr>
      </w:pP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560"/>
        <w:spacing w:after="0"/>
        <w:tabs>
          <w:tab w:leader="none" w:pos="3560" w:val="left"/>
        </w:tabs>
        <w:rPr>
          <w:sz w:val="20"/>
          <w:szCs w:val="20"/>
          <w:color w:val="auto"/>
        </w:rPr>
      </w:pPr>
      <w:r>
        <w:rPr>
          <w:rFonts w:ascii="Arial" w:cs="Arial" w:eastAsia="Arial" w:hAnsi="Arial"/>
          <w:sz w:val="18"/>
          <w:szCs w:val="18"/>
          <w:color w:val="auto"/>
        </w:rPr>
        <w:t>The Notes bear cash interest at a rate of</w:t>
      </w:r>
      <w:r>
        <w:rPr>
          <w:sz w:val="20"/>
          <w:szCs w:val="20"/>
          <w:color w:val="auto"/>
        </w:rPr>
        <w:tab/>
      </w:r>
      <w:r>
        <w:rPr>
          <w:rFonts w:ascii="Arial" w:cs="Arial" w:eastAsia="Arial" w:hAnsi="Arial"/>
          <w:sz w:val="16"/>
          <w:szCs w:val="16"/>
          <w:color w:val="auto"/>
        </w:rPr>
        <w:t>% per year until maturity. Interest on the Notes will accrue from</w:t>
      </w:r>
    </w:p>
    <w:p>
      <w:pPr>
        <w:spacing w:after="0" w:line="23" w:lineRule="exact"/>
        <w:rPr>
          <w:sz w:val="20"/>
          <w:szCs w:val="20"/>
          <w:color w:val="auto"/>
        </w:rPr>
      </w:pPr>
    </w:p>
    <w:p>
      <w:pPr>
        <w:ind w:left="120"/>
        <w:spacing w:after="0"/>
        <w:tabs>
          <w:tab w:leader="none" w:pos="8260" w:val="left"/>
        </w:tabs>
        <w:rPr>
          <w:sz w:val="20"/>
          <w:szCs w:val="20"/>
          <w:color w:val="auto"/>
        </w:rPr>
      </w:pPr>
      <w:r>
        <w:rPr>
          <w:rFonts w:ascii="Arial" w:cs="Arial" w:eastAsia="Arial" w:hAnsi="Arial"/>
          <w:sz w:val="18"/>
          <w:szCs w:val="18"/>
          <w:color w:val="auto"/>
        </w:rPr>
        <w:t>date on which interest has been paid or duly provided for. Interest is payable semiannually in arrears on</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1" w:right="20" w:hanging="341"/>
        <w:spacing w:after="0" w:line="342" w:lineRule="auto"/>
        <w:tabs>
          <w:tab w:leader="none" w:pos="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2021 or from the most recent of each year, beginning</w:t>
      </w:r>
    </w:p>
    <w:p>
      <w:pPr>
        <w:spacing w:after="0" w:line="328" w:lineRule="exact"/>
        <w:rPr>
          <w:sz w:val="20"/>
          <w:szCs w:val="20"/>
          <w:color w:val="auto"/>
        </w:rPr>
      </w:pPr>
    </w:p>
    <w:p>
      <w:pPr>
        <w:sectPr>
          <w:pgSz w:w="11900" w:h="16838" w:orient="portrait"/>
          <w:cols w:equalWidth="0" w:num="2">
            <w:col w:w="8540" w:space="379"/>
            <w:col w:w="2201"/>
          </w:cols>
          <w:pgMar w:left="320" w:top="459" w:right="45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w:t>
      </w:r>
    </w:p>
    <w:p>
      <w:pPr>
        <w:spacing w:after="0" w:line="23"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on or (whether or not a business day), as the case may be, immediately preceding the relevant interest payment date. Interest on the Notes will be computed on the basis of a 360-day year composed of twelve 30-day months.</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our direct, general unsecured obligations that rank:</w:t>
      </w:r>
    </w:p>
    <w:p>
      <w:pPr>
        <w:spacing w:after="0" w:line="131" w:lineRule="exact"/>
        <w:rPr>
          <w:sz w:val="20"/>
          <w:szCs w:val="20"/>
          <w:color w:val="auto"/>
        </w:rPr>
      </w:pPr>
    </w:p>
    <w:p>
      <w:pPr>
        <w:ind w:left="1540" w:right="12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540" w:right="40" w:hanging="331"/>
        <w:spacing w:after="0" w:line="25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January 22, 2021, approximately $142.8 million aggregate principal amount of outstanding indebtedness under our 2022 Convertible Notes, approximately $150.0 million aggregate principal amount of outstanding indebtedness under our 2023 Notes and approximately $347.5 million aggregate principal amount of outstanding indebtedness under our 2024 Notes;</w:t>
      </w:r>
    </w:p>
    <w:p>
      <w:pPr>
        <w:spacing w:after="0" w:line="93" w:lineRule="exact"/>
        <w:rPr>
          <w:rFonts w:ascii="Arial" w:cs="Arial" w:eastAsia="Arial" w:hAnsi="Arial"/>
          <w:sz w:val="18"/>
          <w:szCs w:val="18"/>
          <w:color w:val="auto"/>
        </w:rPr>
      </w:pPr>
    </w:p>
    <w:p>
      <w:pPr>
        <w:ind w:left="1540" w:hanging="331"/>
        <w:spacing w:after="0" w:line="259"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$477.5 million aggregate principal amount of outstanding indebtedness as of January 22, 2021 under the Revolving Credit Facility; and</w:t>
      </w:r>
    </w:p>
    <w:p>
      <w:pPr>
        <w:spacing w:after="0" w:line="92" w:lineRule="exact"/>
        <w:rPr>
          <w:rFonts w:ascii="Arial" w:cs="Arial" w:eastAsia="Arial" w:hAnsi="Arial"/>
          <w:sz w:val="18"/>
          <w:szCs w:val="18"/>
          <w:color w:val="auto"/>
        </w:rPr>
      </w:pPr>
    </w:p>
    <w:p>
      <w:pPr>
        <w:ind w:left="1540" w:right="120" w:hanging="331"/>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January 22, 2021, our total consolidated indebtedness was approximately $1,117.8 million aggregate principal amount outstanding, of which approximately $477.5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 million aggregate principal amount outstanding as of January 22, 2021. See “Capitalization.”</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redeem some or all of the Notes at any time, or from time to time. Any exercise of our option to redeem the Notes will be done in compliance with the 1940 Act. If we choose to redeem any Notes prior to maturity, we will pay a redemption price equal to the greater of the following amounts, plus, in each case, accrued and unpaid interest to the redemption date:</w:t>
      </w:r>
    </w:p>
    <w:p>
      <w:pPr>
        <w:spacing w:after="0" w:line="8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w:t>
      </w:r>
    </w:p>
    <w:p>
      <w:pPr>
        <w:sectPr>
          <w:pgSz w:w="11900" w:h="16838" w:orient="portrait"/>
          <w:cols w:equalWidth="0" w:num="1">
            <w:col w:w="11120"/>
          </w:cols>
          <w:pgMar w:left="320" w:top="459" w:right="459" w:bottom="1440" w:gutter="0" w:footer="0" w:header="0"/>
        </w:sectPr>
      </w:pPr>
    </w:p>
    <w:p>
      <w:pPr>
        <w:ind w:left="1080"/>
        <w:spacing w:after="0"/>
        <w:tabs>
          <w:tab w:leader="none" w:pos="7300" w:val="left"/>
        </w:tabs>
        <w:rPr>
          <w:sz w:val="20"/>
          <w:szCs w:val="20"/>
          <w:color w:val="auto"/>
        </w:rPr>
      </w:pPr>
      <w:r>
        <w:rPr>
          <w:rFonts w:ascii="Arial" w:cs="Arial" w:eastAsia="Arial" w:hAnsi="Arial"/>
          <w:sz w:val="18"/>
          <w:szCs w:val="18"/>
          <w:color w:val="auto"/>
        </w:rPr>
        <w:t>consisting of twelve 30-day months) using the applicable Treasury Rate plus</w:t>
      </w:r>
      <w:r>
        <w:rPr>
          <w:sz w:val="20"/>
          <w:szCs w:val="20"/>
          <w:color w:val="auto"/>
        </w:rPr>
        <w:tab/>
      </w:r>
      <w:r>
        <w:rPr>
          <w:rFonts w:ascii="Arial" w:cs="Arial" w:eastAsia="Arial" w:hAnsi="Arial"/>
          <w:sz w:val="16"/>
          <w:szCs w:val="16"/>
          <w:color w:val="auto"/>
        </w:rPr>
        <w:t>basis points;</w:t>
      </w:r>
    </w:p>
    <w:p>
      <w:pPr>
        <w:sectPr>
          <w:pgSz w:w="11900" w:h="16838" w:orient="portrait"/>
          <w:cols w:equalWidth="0" w:num="1">
            <w:col w:w="11120"/>
          </w:cols>
          <w:pgMar w:left="320" w:top="459" w:right="459" w:bottom="1440" w:gutter="0" w:footer="0" w:header="0"/>
          <w:type w:val="continuous"/>
        </w:sectPr>
      </w:pPr>
    </w:p>
    <w:p>
      <w:pPr>
        <w:spacing w:after="0" w:line="211" w:lineRule="exact"/>
        <w:rPr>
          <w:sz w:val="20"/>
          <w:szCs w:val="20"/>
          <w:color w:val="auto"/>
        </w:rPr>
      </w:pPr>
    </w:p>
    <w:p>
      <w:pPr>
        <w:ind w:left="120"/>
        <w:spacing w:after="0"/>
        <w:tabs>
          <w:tab w:leader="none" w:pos="5060" w:val="left"/>
          <w:tab w:leader="none" w:pos="5820" w:val="left"/>
        </w:tabs>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if we redeem any Notes on or after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date falling one month prior to the maturity date of the Notes), the</w:t>
      </w:r>
    </w:p>
    <w:p>
      <w:pPr>
        <w:sectPr>
          <w:pgSz w:w="11900" w:h="16838" w:orient="portrait"/>
          <w:cols w:equalWidth="0" w:num="1">
            <w:col w:w="11120"/>
          </w:cols>
          <w:pgMar w:left="320" w:top="459" w:right="459" w:bottom="1440" w:gutter="0" w:footer="0" w:header="0"/>
          <w:type w:val="continuous"/>
        </w:sectPr>
      </w:pPr>
    </w:p>
    <w:p>
      <w:pPr>
        <w:spacing w:after="0" w:line="23" w:lineRule="exact"/>
        <w:rPr>
          <w:sz w:val="20"/>
          <w:szCs w:val="20"/>
          <w:color w:val="auto"/>
        </w:rPr>
      </w:pPr>
    </w:p>
    <w:p>
      <w:pPr>
        <w:ind w:left="120" w:right="200"/>
        <w:spacing w:after="0" w:line="277" w:lineRule="auto"/>
        <w:rPr>
          <w:sz w:val="20"/>
          <w:szCs w:val="20"/>
          <w:color w:val="auto"/>
        </w:rPr>
      </w:pPr>
      <w:r>
        <w:rPr>
          <w:rFonts w:ascii="Arial" w:cs="Arial" w:eastAsia="Arial" w:hAnsi="Arial"/>
          <w:sz w:val="17"/>
          <w:szCs w:val="17"/>
          <w:color w:val="auto"/>
        </w:rPr>
        <w:t>redemption price for the Notes will be equal to 100% of the principal amount of the Notes to be redeemed, plus accrued and unpaid interest, if any, to, but excluding, the date of redemption. Calculation of the redemption price will be made by us or on our behalf by such person as we shall designate; provided that such calculation or the correctness thereof shall not be a duty or obligation of the trustee.</w:t>
      </w:r>
    </w:p>
    <w:p>
      <w:pPr>
        <w:spacing w:after="0" w:line="173"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we choose to redeem any Notes, we will deliver a notice of redemption to holders of Notes not less than 30 nor more than 60 days before the redemption date. Any exercise of our option to redeem the Notes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done in compliance with the 1940 Act. If we are redeeming less than all of the Notes, the particular Notes to be redeemed will be selected by the trustee in accordance with the applicable procedures of DTC and in accordance with the 1940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“Reference Treasury Dealer” means each of (1) BofA Securities, Inc., (2) J.P. Morgan Securities LLC and (3) a Primary Treasury Dealer to be selected by SMBC Nikko Securities America, Inc.; or, in the case of each of (1), (2) or (3), its affiliates which are Primary Treasury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foregoing or its affiliates shall cease to be a Primary Treasury Dealer, we shall select another Primary Treasury Dealer.</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2022 Convertible Notes, the 2023 Notes and 2024 Notes each contains a provision that would require us to offer to purchase the respective 2022 Convertible Notes, 2023 Notes or 2024 Notes upon the occurrence of a fundamental change. A failure to purchase any tendered 2022 Convertible Notes, 2023 Notes or 2024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2020 Q3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5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080" w:right="140" w:hanging="532"/>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080" w:right="10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30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by us or any of our significant subsidiaries, as defined in Article 1, Rule 1-02 of Regulation S-X under the Exchange Act (but excluding any subsidiary which is (a) a non-recourse or limited recourse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90" w:lineRule="auto"/>
        <w:rPr>
          <w:sz w:val="20"/>
          <w:szCs w:val="20"/>
          <w:color w:val="auto"/>
        </w:rPr>
      </w:pPr>
      <w:r>
        <w:rPr>
          <w:rFonts w:ascii="Arial" w:cs="Arial" w:eastAsia="Arial" w:hAnsi="Arial"/>
          <w:sz w:val="16"/>
          <w:szCs w:val="16"/>
          <w:color w:val="auto"/>
        </w:rPr>
        <w:t>subsidiary, (b) a bankruptcy remote special purpose vehicle or (c)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71" w:lineRule="exact"/>
        <w:rPr>
          <w:sz w:val="20"/>
          <w:szCs w:val="20"/>
          <w:color w:val="auto"/>
        </w:rPr>
      </w:pPr>
    </w:p>
    <w:p>
      <w:pPr>
        <w:ind w:left="1080" w:right="100" w:hanging="532"/>
        <w:spacing w:after="0" w:line="31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4" w:lineRule="exact"/>
        <w:rPr>
          <w:rFonts w:ascii="Arial" w:cs="Arial" w:eastAsia="Arial" w:hAnsi="Arial"/>
          <w:sz w:val="16"/>
          <w:szCs w:val="16"/>
          <w:color w:val="auto"/>
        </w:rPr>
      </w:pPr>
    </w:p>
    <w:p>
      <w:pPr>
        <w:ind w:left="1080" w:right="4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the Notes are subject to defeasance and covenant defeasance, in each case, in accordance with the terms of the indenture. Defeasance means that, subject to the satisfaction of certain conditions, including, but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Wells Fargo Bank, National Association is the trustee, security registrar and paying agent. Wells Fargo Bank,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“Corporate trust office” means the corporate trust office of the Trustee, at which at any particular time its corporate trust business with respect to this Indenture shall be administered, which office at the date of execution of this Indenture is located at Wells Fargo Bank, National Association, CTSO Mail Operations, MAC N9300-070, 600 South Fourth Street, Seventh Floor, Minneapolis, MN 55415, Attn: Corporate Trust Services, Lynn Steiner, and for Agent services such office shall also mean the office or agency of the Trustee located at the date hereof at Corporate Trust Operations, MAC N9300-070, 600 South Fourth Street, Minneapolis, MN 55415.</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and procedures governing their operations, including maintaining, supervising or reviewing the records relating to, or payments made on account of, beneficial ownership interests in Global Notes.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080" w:right="1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72"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Non-U.S. Holders for whom income from the Notes is deemed to be effectively connected with a trade or business within the United States within the meaning of the Code.</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consequences arising under special timing rules prescribed under section 451(b) of the Code) or any state, local or non-U.S. tax consequences.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is based upon the provisions of the Code,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less than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(within the meaning of the applicable Treasury regulations). If, however, the Notes are issued for an amount less than the principal amount and the difference is not less than such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U.S. Holder will be required to include the difference in income as original issue discount in accordance with a “constant-yield method” before the receipt of cash attributable to such income, regardless of the U.S. Holder’s regular method of accounting for U.S. income tax purposes. A U.S. Holder is urged to consult its own tax advisor in the event the Notes are issued with original issue discount.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080" w:right="2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Form W-8BEN or IRS Form W-8BEN-E (or successor form, in each case)) or the Non-U.S. Holder holds the Notes through certain foreign intermediaries or certain foreign partnerships, and satisfies the certification requirements of applicable Treasury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on the Notes made to, and the proceeds of dispositions of Notes effected by, certain U.S. Holders. In addition, certain U.S. Holders may be subject to backup withholding tax in respect of such payments if they do not provide their taxpayer identification numbers to the person from whom they receive payments. Non-U.S. Holders generally are exempt from information reporting and backup withholding, provided, if necessary, that they demonstrate their qualification for exemption. Any amounts withheld under the backup withholding rules from a payment to a U.S. or Non-U.S. Holder generally would be allowed as a refund or a credit against such Holder’s U.S. federal income tax provided the required information is timely furnished to the IRS.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78"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27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960" w:type="dxa"/>
            <w:vAlign w:val="bottom"/>
            <w:vMerge w:val="restart"/>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7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680" w:type="dxa"/>
            <w:vAlign w:val="bottom"/>
            <w:tcBorders>
              <w:top w:val="single" w:sz="8" w:color="auto"/>
            </w:tcBorders>
            <w:shd w:val="clear" w:color="auto" w:fill="CCEEFF"/>
          </w:tcPr>
          <w:p>
            <w:pPr>
              <w:jc w:val="right"/>
              <w:ind w:right="496"/>
              <w:spacing w:after="0" w:line="203"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86"/>
              </w:rPr>
              <w:t>Per Note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Underwriting discount (sales load)</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w w:val="87"/>
              </w:rPr>
              <w:t>%</w:t>
            </w:r>
          </w:p>
        </w:tc>
        <w:tc>
          <w:tcPr>
            <w:tcW w:w="102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102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underwriters propose to offer some of the Notes to the public at the public offering price set forth on the cover page of this prospectus</w:t>
      </w:r>
    </w:p>
    <w:p>
      <w:pPr>
        <w:spacing w:after="0" w:line="23"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supplement, plus accrued interest of $ in the aggregate from , 2021 up to, but not including, the date of delivery, and some of the Notes to certain other Financial Industry Regulatory Authority, or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ectPr>
          <w:pgSz w:w="11900" w:h="16838" w:orient="portrait"/>
          <w:cols w:equalWidth="0" w:num="1">
            <w:col w:w="11100"/>
          </w:cols>
          <w:pgMar w:left="320" w:top="459" w:right="479" w:bottom="1440" w:gutter="0" w:footer="0" w:header="0"/>
        </w:sectPr>
      </w:pP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expenses of the offering, not including the underwriting discount, are estimated at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million and are payable by us.</w:t>
      </w:r>
    </w:p>
    <w:p>
      <w:pPr>
        <w:spacing w:after="0" w:line="181" w:lineRule="exact"/>
        <w:rPr>
          <w:sz w:val="20"/>
          <w:szCs w:val="20"/>
          <w:color w:val="auto"/>
        </w:rPr>
      </w:pPr>
    </w:p>
    <w:p>
      <w:pPr>
        <w:sectPr>
          <w:pgSz w:w="11900" w:h="16838" w:orient="portrait"/>
          <w:cols w:equalWidth="0" w:num="2">
            <w:col w:w="6900" w:space="720"/>
            <w:col w:w="348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S-35</w:t>
      </w:r>
    </w:p>
    <w:p>
      <w:pPr>
        <w:sectPr>
          <w:pgSz w:w="11900" w:h="16838" w:orient="portrait"/>
          <w:cols w:equalWidth="0" w:num="1">
            <w:col w:w="11100"/>
          </w:cols>
          <w:pgMar w:left="320" w:top="459" w:right="4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us and to persons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560"/>
        <w:spacing w:after="0"/>
        <w:tabs>
          <w:tab w:leader="none" w:pos="6600" w:val="left"/>
          <w:tab w:leader="none" w:pos="9100" w:val="left"/>
        </w:tabs>
        <w:rPr>
          <w:sz w:val="20"/>
          <w:szCs w:val="20"/>
          <w:color w:val="auto"/>
        </w:rPr>
      </w:pPr>
      <w:r>
        <w:rPr>
          <w:rFonts w:ascii="Arial" w:cs="Arial" w:eastAsia="Arial" w:hAnsi="Arial"/>
          <w:sz w:val="18"/>
          <w:szCs w:val="18"/>
          <w:color w:val="auto"/>
        </w:rPr>
        <w:t>We expect that delivery of the Notes will be made to investors on or about</w:t>
      </w:r>
      <w:r>
        <w:rPr>
          <w:sz w:val="20"/>
          <w:szCs w:val="20"/>
          <w:color w:val="auto"/>
        </w:rPr>
        <w:tab/>
      </w:r>
      <w:r>
        <w:rPr>
          <w:rFonts w:ascii="Arial" w:cs="Arial" w:eastAsia="Arial" w:hAnsi="Arial"/>
          <w:sz w:val="18"/>
          <w:szCs w:val="18"/>
          <w:color w:val="auto"/>
        </w:rPr>
        <w:t>, 2021, which will be the</w:t>
      </w:r>
      <w:r>
        <w:rPr>
          <w:sz w:val="20"/>
          <w:szCs w:val="20"/>
          <w:color w:val="auto"/>
        </w:rPr>
        <w:tab/>
      </w:r>
      <w:r>
        <w:rPr>
          <w:rFonts w:ascii="Arial" w:cs="Arial" w:eastAsia="Arial" w:hAnsi="Arial"/>
          <w:sz w:val="16"/>
          <w:szCs w:val="16"/>
          <w:color w:val="auto"/>
        </w:rPr>
        <w:t>business day following the</w:t>
      </w:r>
    </w:p>
    <w:p>
      <w:pPr>
        <w:spacing w:after="0" w:line="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 ,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principal business address of BofA Securities, Inc. is One Bryant Park, New York, NY 10036. The principal business address of J.P. Morgan Securities LLC is 383 Madison Avenue New York, New York 10179. The principal business address of SMBC Nikko Securities America, Inc. is 277 Park Avenue New York, New York 10172.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For the purposes of this provision:</w:t>
      </w:r>
    </w:p>
    <w:p>
      <w:pPr>
        <w:spacing w:after="0" w:line="62" w:lineRule="exact"/>
        <w:rPr>
          <w:sz w:val="20"/>
          <w:szCs w:val="20"/>
          <w:color w:val="auto"/>
        </w:rPr>
      </w:pPr>
    </w:p>
    <w:p>
      <w:pPr>
        <w:ind w:left="800" w:hanging="24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retail client as defined in point (11) of Article 4(1) of Directive 2014/65/EU (as amended, “MiFID II”); or</w:t>
      </w:r>
    </w:p>
    <w:p>
      <w:pPr>
        <w:spacing w:after="0" w:line="117" w:lineRule="exact"/>
        <w:rPr>
          <w:rFonts w:ascii="Arial" w:cs="Arial" w:eastAsia="Arial" w:hAnsi="Arial"/>
          <w:sz w:val="18"/>
          <w:szCs w:val="18"/>
          <w:color w:val="auto"/>
        </w:rPr>
      </w:pPr>
    </w:p>
    <w:p>
      <w:pPr>
        <w:ind w:left="1100" w:right="180" w:firstLine="7"/>
        <w:spacing w:after="0" w:line="277" w:lineRule="auto"/>
        <w:tabs>
          <w:tab w:leader="none" w:pos="136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62" w:lineRule="exact"/>
        <w:rPr>
          <w:rFonts w:ascii="Arial" w:cs="Arial" w:eastAsia="Arial" w:hAnsi="Arial"/>
          <w:sz w:val="18"/>
          <w:szCs w:val="18"/>
          <w:color w:val="auto"/>
        </w:rPr>
      </w:pPr>
    </w:p>
    <w:p>
      <w:pPr>
        <w:ind w:left="1420" w:hanging="313"/>
        <w:spacing w:after="0"/>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 a qualified investor as defined in Regulation (EU) 2017/1129 (as amended, the “Prospectus Regulation”); and</w:t>
      </w:r>
    </w:p>
    <w:p>
      <w:pPr>
        <w:spacing w:after="0" w:line="117" w:lineRule="exact"/>
        <w:rPr>
          <w:rFonts w:ascii="Arial" w:cs="Arial" w:eastAsia="Arial" w:hAnsi="Arial"/>
          <w:sz w:val="18"/>
          <w:szCs w:val="18"/>
          <w:color w:val="auto"/>
        </w:rPr>
      </w:pPr>
    </w:p>
    <w:p>
      <w:pPr>
        <w:ind w:left="560" w:right="260" w:hanging="4"/>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For the purposes of this provision:</w:t>
      </w:r>
    </w:p>
    <w:p>
      <w:pPr>
        <w:spacing w:after="0" w:line="62" w:lineRule="exact"/>
        <w:rPr>
          <w:sz w:val="20"/>
          <w:szCs w:val="20"/>
          <w:color w:val="auto"/>
        </w:rPr>
      </w:pPr>
    </w:p>
    <w:p>
      <w:pPr>
        <w:ind w:left="800" w:hanging="24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expression “retail investor” means a person who is one (or more) of the following:</w:t>
      </w:r>
    </w:p>
    <w:p>
      <w:pPr>
        <w:spacing w:after="0" w:line="117" w:lineRule="exact"/>
        <w:rPr>
          <w:rFonts w:ascii="Arial" w:cs="Arial" w:eastAsia="Arial" w:hAnsi="Arial"/>
          <w:sz w:val="18"/>
          <w:szCs w:val="18"/>
          <w:color w:val="auto"/>
        </w:rPr>
      </w:pPr>
    </w:p>
    <w:p>
      <w:pPr>
        <w:ind w:left="1100" w:right="320" w:firstLine="7"/>
        <w:spacing w:after="0" w:line="277" w:lineRule="auto"/>
        <w:tabs>
          <w:tab w:leader="none" w:pos="14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retail client as defined in point (8) of Article 2 of Regulation (EU) No 2017/565 as it forms part of domestic law by virtue of the European Union (Withdrawal) Act 2018 (“EUWA”); or</w:t>
      </w:r>
    </w:p>
    <w:p>
      <w:pPr>
        <w:spacing w:after="0" w:line="62" w:lineRule="exact"/>
        <w:rPr>
          <w:rFonts w:ascii="Arial" w:cs="Arial" w:eastAsia="Arial" w:hAnsi="Arial"/>
          <w:sz w:val="18"/>
          <w:szCs w:val="18"/>
          <w:color w:val="auto"/>
        </w:rPr>
      </w:pPr>
    </w:p>
    <w:p>
      <w:pPr>
        <w:ind w:left="1100" w:firstLine="7"/>
        <w:spacing w:after="0" w:line="259" w:lineRule="auto"/>
        <w:tabs>
          <w:tab w:leader="none" w:pos="136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78" w:lineRule="exact"/>
        <w:rPr>
          <w:rFonts w:ascii="Arial" w:cs="Arial" w:eastAsia="Arial" w:hAnsi="Arial"/>
          <w:sz w:val="18"/>
          <w:szCs w:val="18"/>
          <w:color w:val="auto"/>
        </w:rPr>
      </w:pPr>
    </w:p>
    <w:p>
      <w:pPr>
        <w:ind w:left="1100" w:right="240" w:firstLine="7"/>
        <w:spacing w:after="0" w:line="277" w:lineRule="auto"/>
        <w:tabs>
          <w:tab w:leader="none" w:pos="1415"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a qualified investor as defined in Article 2 of the Prospectus Regulation as it forms part of domestic law by virtue of the EUWA (the “UK Prospectus Regulation”); and</w:t>
      </w:r>
    </w:p>
    <w:p>
      <w:pPr>
        <w:spacing w:after="0" w:line="62" w:lineRule="exact"/>
        <w:rPr>
          <w:rFonts w:ascii="Arial" w:cs="Arial" w:eastAsia="Arial" w:hAnsi="Arial"/>
          <w:sz w:val="18"/>
          <w:szCs w:val="18"/>
          <w:color w:val="auto"/>
        </w:rPr>
      </w:pPr>
    </w:p>
    <w:p>
      <w:pPr>
        <w:ind w:left="560" w:right="260" w:hanging="4"/>
        <w:spacing w:after="0" w:line="27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spacing w:after="0" w:line="18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This prospectus supplement and the accompanying prospectus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 The Notes are not being offered to the public in the United Kingdom.</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in the United Kingdom, each underwriter has represented and agreed the Notes may not be offered other than by an underwriter that:</w:t>
      </w:r>
    </w:p>
    <w:p>
      <w:pPr>
        <w:spacing w:after="0" w:line="154" w:lineRule="exact"/>
        <w:rPr>
          <w:sz w:val="20"/>
          <w:szCs w:val="20"/>
          <w:color w:val="auto"/>
        </w:rPr>
      </w:pPr>
    </w:p>
    <w:p>
      <w:pPr>
        <w:ind w:left="1080" w:right="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has complied and will comply with all applicable provisions of the FSMA with respect to anything done by it in relation to the Notes in, from or otherwise involving the United Kingdom.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120" w:right="240" w:firstLine="440"/>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8"/>
          <w:szCs w:val="18"/>
          <w:i w:val="1"/>
          <w:iCs w:val="1"/>
          <w:color w:val="auto"/>
        </w:rPr>
        <w:t>Ontario Prospectus and Registration Exemptions</w:t>
      </w:r>
      <w:r>
        <w:rPr>
          <w:rFonts w:ascii="Arial" w:cs="Arial" w:eastAsia="Arial" w:hAnsi="Arial"/>
          <w:sz w:val="18"/>
          <w:szCs w:val="18"/>
          <w:color w:val="auto"/>
        </w:rPr>
        <w:t xml:space="preserve"> and in Multilateral Instrument 45-107 </w:t>
      </w:r>
      <w:r>
        <w:rPr>
          <w:rFonts w:ascii="Arial" w:cs="Arial" w:eastAsia="Arial" w:hAnsi="Arial"/>
          <w:sz w:val="18"/>
          <w:szCs w:val="18"/>
          <w:i w:val="1"/>
          <w:iCs w:val="1"/>
          <w:color w:val="auto"/>
        </w:rPr>
        <w:t>Listing Representation and Statutory</w:t>
      </w:r>
      <w:r>
        <w:rPr>
          <w:rFonts w:ascii="Arial" w:cs="Arial" w:eastAsia="Arial" w:hAnsi="Arial"/>
          <w:sz w:val="18"/>
          <w:szCs w:val="18"/>
          <w:color w:val="auto"/>
        </w:rPr>
        <w:t xml:space="preserve"> </w:t>
      </w:r>
      <w:r>
        <w:rPr>
          <w:rFonts w:ascii="Arial" w:cs="Arial" w:eastAsia="Arial" w:hAnsi="Arial"/>
          <w:sz w:val="18"/>
          <w:szCs w:val="18"/>
          <w:i w:val="1"/>
          <w:iCs w:val="1"/>
          <w:color w:val="auto"/>
        </w:rPr>
        <w:t>Rights of Action Disclosure Exemptions</w:t>
      </w:r>
      <w:r>
        <w:rPr>
          <w:rFonts w:ascii="Arial" w:cs="Arial" w:eastAsia="Arial" w:hAnsi="Arial"/>
          <w:sz w:val="18"/>
          <w:szCs w:val="18"/>
          <w:color w:val="auto"/>
        </w:rPr>
        <w:t>, as applicable, with a remedy for damages or rescission, or both, in addition to any other rights they may have at</w:t>
      </w:r>
      <w:r>
        <w:rPr>
          <w:rFonts w:ascii="Arial" w:cs="Arial" w:eastAsia="Arial" w:hAnsi="Arial"/>
          <w:sz w:val="18"/>
          <w:szCs w:val="18"/>
          <w:i w:val="1"/>
          <w:iCs w:val="1"/>
          <w:color w:val="auto"/>
        </w:rPr>
        <w:t xml:space="preserve"> </w:t>
      </w:r>
      <w:r>
        <w:rPr>
          <w:rFonts w:ascii="Arial" w:cs="Arial" w:eastAsia="Arial" w:hAnsi="Arial"/>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This prospectus supplement does not constitute an issue prospectus pursuant to Article 652a or Article 1156 of the Swiss Code of Obligations and the Notes will not be listed on the SIX Swiss Exchange. Therefore,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Each underwriter, severally and not jointly, has agreed that it has not offered or sold, and will not offer or sell, the Notes to the public in The Netherlands, other than exclusively to qualified investors (gekwalificeerde beleggers) within the meaning of the Financial Supervision Act (Wet op het financieel toezicht).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Neither this prospectus supplement nor the accompanying prospectus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the accompanying prospectus has been or will be:</w:t>
      </w:r>
    </w:p>
    <w:p>
      <w:pPr>
        <w:spacing w:after="0" w:line="9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 Such offers, sales and distributions will be made in France only:</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mon´etaire et financier and article 211-2 of the General Regulations (Règlement Génerál) of the Autorité des Marchés Financiers, does not constitute a public offer (appel public a’ l’épargne).</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prospectus supplement and the accompanying prospectus have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Finanzdienstleistungsaufsicht—BaFin) nor any other German authority has been notified of the intention to distribute the Notes in Germany. Consequently, the Notes may not be distributed in Germany by way of public offering, public advertisement or in any similar manner and this prospectus supplement and the accompanying prospectus and any other document relating to this offering, as well as information or statements contained therein, may not be supplied to the public in Germany or used in connection with any offer for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subscription of the Notes to the public in Germany or any other means of public marketing. The Notes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supplement and the accompanying prospectus is strictly for use of the person who has received it. It may not be forwarded to other persons or published in Germany.</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offering of our Notes does not constitute an offer to buy or the solicitation or an offer to sell the Notes in any circumstances in which such offer or solicitation is unlawful.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040"/>
          </w:cols>
          <w:pgMar w:left="32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PROSPECTUS</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67945</wp:posOffset>
            </wp:positionV>
            <wp:extent cx="1688465" cy="720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6884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TPG Specialty Lending, Inc.</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Preferred Stock</w:t>
      </w:r>
    </w:p>
    <w:p>
      <w:pPr>
        <w:jc w:val="center"/>
        <w:ind w:right="-119"/>
        <w:spacing w:after="0"/>
        <w:rPr>
          <w:sz w:val="20"/>
          <w:szCs w:val="20"/>
          <w:color w:val="auto"/>
        </w:rPr>
      </w:pPr>
      <w:r>
        <w:rPr>
          <w:rFonts w:ascii="Arial" w:cs="Arial" w:eastAsia="Arial" w:hAnsi="Arial"/>
          <w:sz w:val="20"/>
          <w:szCs w:val="20"/>
          <w:b w:val="1"/>
          <w:bCs w:val="1"/>
          <w:color w:val="auto"/>
        </w:rPr>
        <w:t>Subscription Rights</w:t>
      </w:r>
    </w:p>
    <w:p>
      <w:pPr>
        <w:jc w:val="center"/>
        <w:ind w:right="-119"/>
        <w:spacing w:after="0"/>
        <w:rPr>
          <w:sz w:val="20"/>
          <w:szCs w:val="20"/>
          <w:color w:val="auto"/>
        </w:rPr>
      </w:pPr>
      <w:r>
        <w:rPr>
          <w:rFonts w:ascii="Arial" w:cs="Arial" w:eastAsia="Arial" w:hAnsi="Arial"/>
          <w:sz w:val="20"/>
          <w:szCs w:val="20"/>
          <w:b w:val="1"/>
          <w:bCs w:val="1"/>
          <w:color w:val="auto"/>
        </w:rPr>
        <w:t>Warrants</w:t>
      </w:r>
    </w:p>
    <w:p>
      <w:pPr>
        <w:jc w:val="center"/>
        <w:ind w:right="-119"/>
        <w:spacing w:after="0"/>
        <w:rPr>
          <w:sz w:val="20"/>
          <w:szCs w:val="20"/>
          <w:color w:val="auto"/>
        </w:rPr>
      </w:pPr>
      <w:r>
        <w:rPr>
          <w:rFonts w:ascii="Arial" w:cs="Arial" w:eastAsia="Arial" w:hAnsi="Arial"/>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4" w:lineRule="exact"/>
        <w:rPr>
          <w:sz w:val="20"/>
          <w:szCs w:val="20"/>
          <w:color w:val="auto"/>
        </w:rPr>
      </w:pPr>
    </w:p>
    <w:p>
      <w:pPr>
        <w:jc w:val="both"/>
        <w:ind w:left="120" w:right="320" w:firstLine="440"/>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7" w:lineRule="exact"/>
        <w:rPr>
          <w:sz w:val="20"/>
          <w:szCs w:val="20"/>
          <w:color w:val="auto"/>
        </w:rPr>
      </w:pPr>
    </w:p>
    <w:p>
      <w:pPr>
        <w:ind w:left="120" w:firstLine="440"/>
        <w:spacing w:after="0" w:line="251" w:lineRule="auto"/>
        <w:rPr>
          <w:sz w:val="20"/>
          <w:szCs w:val="20"/>
          <w:color w:val="auto"/>
        </w:rPr>
      </w:pPr>
      <w:r>
        <w:rPr>
          <w:rFonts w:ascii="Arial" w:cs="Arial" w:eastAsia="Arial" w:hAnsi="Arial"/>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120" w:right="20" w:firstLine="440"/>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8" w:lineRule="exact"/>
        <w:rPr>
          <w:sz w:val="20"/>
          <w:szCs w:val="20"/>
          <w:color w:val="auto"/>
        </w:rPr>
      </w:pPr>
    </w:p>
    <w:p>
      <w:pPr>
        <w:jc w:val="both"/>
        <w:ind w:left="120" w:right="60" w:firstLine="440"/>
        <w:spacing w:after="0" w:line="260" w:lineRule="auto"/>
        <w:rPr>
          <w:sz w:val="20"/>
          <w:szCs w:val="20"/>
          <w:color w:val="auto"/>
        </w:rPr>
      </w:pPr>
      <w:r>
        <w:rPr>
          <w:rFonts w:ascii="Arial" w:cs="Arial" w:eastAsia="Arial" w:hAnsi="Arial"/>
          <w:sz w:val="13"/>
          <w:szCs w:val="13"/>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ind w:left="120" w:right="40" w:firstLine="440"/>
        <w:spacing w:after="0" w:line="233" w:lineRule="auto"/>
        <w:rPr>
          <w:sz w:val="20"/>
          <w:szCs w:val="20"/>
          <w:color w:val="auto"/>
        </w:rPr>
      </w:pPr>
      <w:r>
        <w:rPr>
          <w:rFonts w:ascii="Arial" w:cs="Arial" w:eastAsia="Arial" w:hAnsi="Arial"/>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3" w:lineRule="exact"/>
        <w:rPr>
          <w:sz w:val="20"/>
          <w:szCs w:val="20"/>
          <w:color w:val="auto"/>
        </w:rPr>
      </w:pPr>
    </w:p>
    <w:p>
      <w:pPr>
        <w:ind w:left="120" w:right="20" w:firstLine="440"/>
        <w:spacing w:after="0" w:line="231" w:lineRule="auto"/>
        <w:rPr>
          <w:sz w:val="20"/>
          <w:szCs w:val="20"/>
          <w:color w:val="auto"/>
        </w:rPr>
      </w:pPr>
      <w:r>
        <w:rPr>
          <w:rFonts w:ascii="Arial" w:cs="Arial" w:eastAsia="Arial" w:hAnsi="Arial"/>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8" w:lineRule="exact"/>
        <w:rPr>
          <w:sz w:val="20"/>
          <w:szCs w:val="20"/>
          <w:color w:val="auto"/>
        </w:rPr>
      </w:pPr>
    </w:p>
    <w:p>
      <w:pPr>
        <w:ind w:left="120" w:right="40" w:firstLine="440"/>
        <w:spacing w:after="0" w:line="231" w:lineRule="auto"/>
        <w:rPr>
          <w:sz w:val="20"/>
          <w:szCs w:val="20"/>
          <w:color w:val="auto"/>
        </w:rPr>
      </w:pPr>
      <w:r>
        <w:rPr>
          <w:rFonts w:ascii="Arial" w:cs="Arial" w:eastAsia="Arial" w:hAnsi="Arial"/>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59055</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05" w:lineRule="exact"/>
        <w:rPr>
          <w:sz w:val="20"/>
          <w:szCs w:val="20"/>
          <w:color w:val="auto"/>
        </w:rPr>
      </w:pPr>
    </w:p>
    <w:p>
      <w:pPr>
        <w:ind w:left="120" w:right="40" w:firstLine="440"/>
        <w:spacing w:after="0" w:line="25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73">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23 of this prospectus and in the documents incorporated by reference herein.</w:t>
      </w:r>
    </w:p>
    <w:p>
      <w:pPr>
        <w:ind w:left="560"/>
        <w:spacing w:after="0"/>
        <w:rPr>
          <w:sz w:val="20"/>
          <w:szCs w:val="20"/>
          <w:color w:val="auto"/>
        </w:rPr>
      </w:pPr>
      <w:r>
        <w:rPr>
          <w:rFonts w:ascii="Arial" w:cs="Arial" w:eastAsia="Arial" w:hAnsi="Arial"/>
          <w:sz w:val="14"/>
          <w:szCs w:val="14"/>
          <w:b w:val="1"/>
          <w:bCs w:val="1"/>
          <w:color w:val="auto"/>
        </w:rPr>
        <w:t>This prospectus may not be used to consummate sales of our securities unless accompanied by a prospectus supplement.</w:t>
      </w:r>
    </w:p>
    <w:p>
      <w:pPr>
        <w:spacing w:after="0" w:line="32"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3"/>
          <w:szCs w:val="13"/>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3" w:lineRule="exact"/>
        <w:rPr>
          <w:sz w:val="20"/>
          <w:szCs w:val="20"/>
          <w:color w:val="auto"/>
        </w:rPr>
      </w:pPr>
    </w:p>
    <w:p>
      <w:pPr>
        <w:ind w:left="120" w:firstLine="440"/>
        <w:spacing w:after="0" w:line="258" w:lineRule="auto"/>
        <w:rPr>
          <w:sz w:val="20"/>
          <w:szCs w:val="20"/>
          <w:color w:val="auto"/>
        </w:rPr>
      </w:pPr>
      <w:r>
        <w:rPr>
          <w:rFonts w:ascii="Arial" w:cs="Arial" w:eastAsia="Arial" w:hAnsi="Arial"/>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52070</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date of this prospectus is May 7, 2019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80" w:type="dxa"/>
            <w:vAlign w:val="bottom"/>
          </w:tcPr>
          <w:p>
            <w:pPr>
              <w:jc w:val="center"/>
              <w:ind w:right="251"/>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71"/>
        </w:trPr>
        <w:tc>
          <w:tcPr>
            <w:tcW w:w="980" w:type="dxa"/>
            <w:vAlign w:val="bottom"/>
          </w:tcPr>
          <w:p>
            <w:pPr>
              <w:jc w:val="center"/>
              <w:ind w:right="251"/>
              <w:spacing w:after="0"/>
              <w:rPr>
                <w:sz w:val="20"/>
                <w:szCs w:val="20"/>
                <w:color w:val="auto"/>
              </w:rPr>
            </w:pPr>
            <w:r>
              <w:rPr>
                <w:rFonts w:ascii="Arial" w:cs="Arial" w:eastAsia="Arial" w:hAnsi="Arial"/>
                <w:sz w:val="14"/>
                <w:szCs w:val="14"/>
                <w:b w:val="1"/>
                <w:bCs w:val="1"/>
                <w:color w:val="auto"/>
              </w:rPr>
              <w:t>NUMBER</w:t>
            </w:r>
          </w:p>
        </w:tc>
        <w:tc>
          <w:tcPr>
            <w:tcW w:w="5060" w:type="dxa"/>
            <w:vAlign w:val="bottom"/>
            <w:gridSpan w:val="2"/>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80" w:type="dxa"/>
            <w:vAlign w:val="bottom"/>
          </w:tcPr>
          <w:p>
            <w:pPr>
              <w:jc w:val="center"/>
              <w:ind w:right="251"/>
              <w:spacing w:after="0" w:line="195" w:lineRule="exact"/>
              <w:rPr>
                <w:sz w:val="20"/>
                <w:szCs w:val="20"/>
                <w:color w:val="auto"/>
              </w:rPr>
            </w:pPr>
            <w:r>
              <w:rPr>
                <w:rFonts w:ascii="Arial" w:cs="Arial" w:eastAsia="Arial" w:hAnsi="Arial"/>
                <w:sz w:val="18"/>
                <w:szCs w:val="18"/>
                <w:color w:val="auto"/>
                <w:w w:val="79"/>
              </w:rPr>
              <w:t>1</w:t>
            </w:r>
          </w:p>
        </w:tc>
        <w:tc>
          <w:tcPr>
            <w:tcW w:w="4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Outside Front Cover Page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2</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Cover Pages; Other Offering Information</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3</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Fee Table and Synopsis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Financial Highlights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Selected Financial Data and Other Information; Selected Quarterly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Data;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Condition 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5</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Plan of Distribution</w:t>
            </w: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Plan of Distribution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6</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Selling Shareholders</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7</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Use of Proceeds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Use of Proceeds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8</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General Description of the Registrant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Outside Front Cover Page; Prospectus Summary; Risk Factors;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and Results of Operations; The Company; Portfolio Companies;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Regulation; Shares Eligible for Future Sale; Price Range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Common Stock and Distributions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9</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Transfer and Dividend Paying Agent and Registrar</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Capital Stock, Long-Term Debt, and Other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Our Capital Stock; Description of Our Preferred Stock;</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Warrants; Description of Our Debt Securities; Dividend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Arial" w:cs="Arial" w:eastAsia="Arial" w:hAnsi="Arial"/>
                <w:sz w:val="18"/>
                <w:szCs w:val="18"/>
                <w:color w:val="auto"/>
                <w:w w:val="79"/>
              </w:rPr>
              <w:t>11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Defaults and Arrears on Senior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12</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Legal Proceedings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The Company</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13</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Table of Contents of the Statement of Additional Information, or</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Cover Page of SAI</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Table of Contents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Table of Contents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16</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General Information and History</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17</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Investment Objective and Policies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18</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Regulation;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19</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Control Persons and Principal Holders of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20</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Investment Advisory and Other Services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and Other Agreements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Portfolio Managers</w:t>
            </w: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22</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Brokerage Allocation and Other Practices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Brokerage Allocation and Other Practices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23</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Tax Status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0"/>
        </w:trPr>
        <w:tc>
          <w:tcPr>
            <w:tcW w:w="980" w:type="dxa"/>
            <w:vAlign w:val="bottom"/>
          </w:tcPr>
          <w:p>
            <w:pPr>
              <w:jc w:val="center"/>
              <w:ind w:right="231"/>
              <w:spacing w:after="0"/>
              <w:rPr>
                <w:sz w:val="20"/>
                <w:szCs w:val="20"/>
                <w:color w:val="auto"/>
              </w:rPr>
            </w:pPr>
            <w:r>
              <w:rPr>
                <w:rFonts w:ascii="Arial" w:cs="Arial" w:eastAsia="Arial" w:hAnsi="Arial"/>
                <w:sz w:val="18"/>
                <w:szCs w:val="18"/>
                <w:color w:val="auto"/>
                <w:w w:val="89"/>
              </w:rPr>
              <w:t>24</w:t>
            </w:r>
          </w:p>
        </w:tc>
        <w:tc>
          <w:tcPr>
            <w:tcW w:w="5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Financial Statements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4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45"/>
        </w:trPr>
        <w:tc>
          <w:tcPr>
            <w:tcW w:w="98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ABOUT THIS PROSPECTUS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SUMMARY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THE OFFERING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FEES AND EXPENSES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SELECTED FINANCIAL DATA AND OTHER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SELECTED QUARTERLY FINANCIAL DATA</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SPECIAL NOTE REGARDING FORWARD-LOOKING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USE OF PROCEEDS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PRICE RANGE OF COMMON STOCK AND DISTRIBUTIONS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SENIOR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THE COMPANY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PORTFOLIO COMPANIES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MANAGEMENT AND OTHER AGREEMENTS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RELATED-PARTY TRANSACTIONS AND CERTAIN RELATIONSHIPS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CONTROL PERSONS AND PRINCIPAL STOCKHOLDERS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DETERMINATION OF NET ASSET VALUE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SALES OF COMMON STOCK BELOW NET ASSET VALUE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DIVIDEND REINVESTMENT PLAN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MATERIAL U.S. FEDERAL INCOME TAX CONSIDERATIONS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DESCRIPTION OF OUR CAPITAL STOCK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DESCRIPTION OF OUR PREFERRED STOCK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DESCRIPTION OF OUR SUBSCRIPTION RIGHTS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DESCRIPTION OF OUR WARRANTS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DESCRIPTION OF OUR DEBT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SHARES ELIGIBLE FOR FUTURE SALE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REGULATION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CUSTODIAN, TRANSFER AND DIVIDEND PAYING AGENT AND REGISTRAR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BROKERAGE ALLOCATION AND OTHER PRACTICES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PLAN OF DISTRIBUTION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LEGAL MATTERS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EXPERTS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8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AVAILABLE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984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INFORMATION INCORPORATED BY REFERENCE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07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240" w:right="100" w:hanging="415"/>
        <w:spacing w:after="0" w:line="277"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00" w:right="40"/>
        <w:spacing w:after="0" w:line="251" w:lineRule="auto"/>
        <w:rPr>
          <w:sz w:val="20"/>
          <w:szCs w:val="20"/>
          <w:color w:val="auto"/>
        </w:rPr>
      </w:pPr>
      <w:r>
        <w:rPr>
          <w:rFonts w:ascii="Arial" w:cs="Arial" w:eastAsia="Arial" w:hAnsi="Arial"/>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8" w:lineRule="exact"/>
        <w:rPr>
          <w:sz w:val="20"/>
          <w:szCs w:val="20"/>
          <w:color w:val="auto"/>
        </w:rPr>
      </w:pPr>
    </w:p>
    <w:p>
      <w:pPr>
        <w:ind w:left="300" w:right="38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6" w:lineRule="exact"/>
        <w:rPr>
          <w:sz w:val="20"/>
          <w:szCs w:val="20"/>
          <w:color w:val="auto"/>
        </w:rPr>
      </w:pPr>
    </w:p>
    <w:p>
      <w:pPr>
        <w:ind w:left="300" w:right="10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7" w:lineRule="exact"/>
        <w:rPr>
          <w:sz w:val="20"/>
          <w:szCs w:val="20"/>
          <w:color w:val="auto"/>
        </w:rPr>
      </w:pPr>
    </w:p>
    <w:p>
      <w:pPr>
        <w:ind w:left="300" w:right="140" w:firstLine="426"/>
        <w:spacing w:after="0" w:line="286" w:lineRule="auto"/>
        <w:rPr>
          <w:sz w:val="20"/>
          <w:szCs w:val="20"/>
          <w:color w:val="auto"/>
        </w:rPr>
      </w:pPr>
      <w:r>
        <w:rPr>
          <w:rFonts w:ascii="Arial" w:cs="Arial" w:eastAsia="Arial" w:hAnsi="Arial"/>
          <w:sz w:val="17"/>
          <w:szCs w:val="17"/>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65"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5"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84"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2"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85"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84"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80" w:firstLine="426"/>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38" w:lineRule="exact"/>
        <w:rPr>
          <w:sz w:val="20"/>
          <w:szCs w:val="20"/>
          <w:color w:val="auto"/>
        </w:rPr>
      </w:pPr>
    </w:p>
    <w:p>
      <w:pPr>
        <w:ind w:left="300" w:right="200" w:firstLine="426"/>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4"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6"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71" w:lineRule="exact"/>
        <w:rPr>
          <w:sz w:val="20"/>
          <w:szCs w:val="20"/>
          <w:color w:val="auto"/>
        </w:rPr>
      </w:pPr>
    </w:p>
    <w:p>
      <w:pPr>
        <w:ind w:left="300" w:right="300" w:firstLine="426"/>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76"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84" w:lineRule="exact"/>
        <w:rPr>
          <w:sz w:val="20"/>
          <w:szCs w:val="20"/>
          <w:color w:val="auto"/>
        </w:rPr>
      </w:pPr>
    </w:p>
    <w:p>
      <w:pPr>
        <w:jc w:val="both"/>
        <w:ind w:left="300" w:right="220" w:firstLine="426"/>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1240" w:right="80" w:hanging="415"/>
        <w:spacing w:after="0" w:line="277" w:lineRule="auto"/>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240" w:right="40" w:hanging="415"/>
        <w:spacing w:after="0" w:line="275" w:lineRule="auto"/>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Risk pricing</w:t>
      </w:r>
      <w:r>
        <w:rPr>
          <w:rFonts w:ascii="Arial" w:cs="Arial" w:eastAsia="Arial" w:hAnsi="Arial"/>
          <w:sz w:val="17"/>
          <w:szCs w:val="17"/>
          <w:color w:val="auto"/>
        </w:rPr>
        <w:t>. The risk profile of our portfolio evolves across credit cycles as credit tightens and loosens. During periods when risk</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1" w:lineRule="exact"/>
        <w:rPr>
          <w:rFonts w:ascii="Arial" w:cs="Arial" w:eastAsia="Arial" w:hAnsi="Arial"/>
          <w:sz w:val="17"/>
          <w:szCs w:val="17"/>
          <w:color w:val="auto"/>
        </w:rPr>
      </w:pPr>
    </w:p>
    <w:p>
      <w:pPr>
        <w:ind w:left="1240" w:right="180" w:hanging="415"/>
        <w:spacing w:after="0" w:line="277" w:lineRule="auto"/>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640" w:hanging="289"/>
        <w:spacing w:after="0" w:line="255" w:lineRule="auto"/>
        <w:tabs>
          <w:tab w:leader="none" w:pos="164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320" w:top="459" w:right="7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120" w:hanging="289"/>
        <w:spacing w:after="0" w:line="273" w:lineRule="auto"/>
        <w:tabs>
          <w:tab w:leader="none" w:pos="164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Investment structuring</w:t>
      </w:r>
      <w:r>
        <w:rPr>
          <w:rFonts w:ascii="Arial" w:cs="Arial" w:eastAsia="Arial" w:hAnsi="Arial"/>
          <w:sz w:val="17"/>
          <w:szCs w:val="17"/>
          <w:color w:val="auto"/>
        </w:rPr>
        <w:t>. We focus on investing at the top of the capital structure and protecting that position. We carefully</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3" w:lineRule="exact"/>
        <w:rPr>
          <w:rFonts w:ascii="Arial" w:cs="Arial" w:eastAsia="Arial" w:hAnsi="Arial"/>
          <w:sz w:val="17"/>
          <w:szCs w:val="17"/>
          <w:color w:val="auto"/>
        </w:rPr>
      </w:pPr>
    </w:p>
    <w:p>
      <w:pPr>
        <w:ind w:left="1640" w:right="160" w:hanging="289"/>
        <w:spacing w:after="0" w:line="259" w:lineRule="auto"/>
        <w:tabs>
          <w:tab w:leader="none" w:pos="164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ind w:left="1640" w:right="100" w:hanging="289"/>
        <w:spacing w:after="0" w:line="263" w:lineRule="auto"/>
        <w:tabs>
          <w:tab w:leader="none" w:pos="164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future payment income. In addition, most of our investments are floating rate in nature, which we believe helps act as a portfolio-wide hedge against inflation.</w:t>
      </w:r>
    </w:p>
    <w:p>
      <w:pPr>
        <w:spacing w:after="0" w:line="89" w:lineRule="exact"/>
        <w:rPr>
          <w:rFonts w:ascii="Arial" w:cs="Arial" w:eastAsia="Arial" w:hAnsi="Arial"/>
          <w:sz w:val="18"/>
          <w:szCs w:val="18"/>
          <w:color w:val="auto"/>
        </w:rPr>
      </w:pPr>
    </w:p>
    <w:p>
      <w:pPr>
        <w:ind w:left="1240" w:right="180" w:hanging="415"/>
        <w:spacing w:after="0" w:line="263"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w:t>
      </w:r>
      <w:r>
        <w:rPr>
          <w:rFonts w:ascii="Arial" w:cs="Arial" w:eastAsia="Arial" w:hAnsi="Arial"/>
          <w:sz w:val="18"/>
          <w:szCs w:val="18"/>
          <w:i w:val="1"/>
          <w:iCs w:val="1"/>
          <w:color w:val="auto"/>
        </w:rPr>
        <w:t xml:space="preserve"> </w:t>
      </w:r>
      <w:r>
        <w:rPr>
          <w:rFonts w:ascii="Arial" w:cs="Arial" w:eastAsia="Arial" w:hAnsi="Arial"/>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84" w:lineRule="exact"/>
        <w:rPr>
          <w:sz w:val="20"/>
          <w:szCs w:val="20"/>
          <w:color w:val="auto"/>
        </w:rPr>
      </w:pPr>
    </w:p>
    <w:p>
      <w:pPr>
        <w:ind w:left="300" w:right="540" w:firstLine="42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70"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$9.7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95"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Adviser has a highly experienced management team consisting of seven TSSP Partners and four TSSP</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60" w:firstLine="426"/>
        <w:spacing w:after="0" w:line="263"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00" w:firstLine="426"/>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240" w:right="40" w:hanging="415"/>
        <w:spacing w:after="0" w:line="293" w:lineRule="auto"/>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Leverage</w:t>
      </w:r>
      <w:r>
        <w:rPr>
          <w:rFonts w:ascii="Arial" w:cs="Arial" w:eastAsia="Arial" w:hAnsi="Arial"/>
          <w:sz w:val="16"/>
          <w:szCs w:val="16"/>
          <w:color w:val="auto"/>
        </w:rPr>
        <w:t>. Regulations under the 1940 Act limit our ability to use borrowing, also known as leverage, in significant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69" w:lineRule="exact"/>
        <w:rPr>
          <w:rFonts w:ascii="Arial" w:cs="Arial" w:eastAsia="Arial" w:hAnsi="Arial"/>
          <w:sz w:val="16"/>
          <w:szCs w:val="16"/>
          <w:color w:val="auto"/>
        </w:rPr>
      </w:pPr>
    </w:p>
    <w:p>
      <w:pPr>
        <w:ind w:left="1240" w:right="100" w:hanging="415"/>
        <w:spacing w:after="0" w:line="311" w:lineRule="auto"/>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As a BDC, we are required to invest at least 70% of our total assets in qualifying assets,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4" w:lineRule="exact"/>
        <w:rPr>
          <w:rFonts w:ascii="Arial" w:cs="Arial" w:eastAsia="Arial" w:hAnsi="Arial"/>
          <w:sz w:val="16"/>
          <w:szCs w:val="16"/>
          <w:color w:val="auto"/>
        </w:rPr>
      </w:pPr>
    </w:p>
    <w:p>
      <w:pPr>
        <w:ind w:left="1640" w:hanging="289"/>
        <w:spacing w:after="0"/>
        <w:tabs>
          <w:tab w:leader="none" w:pos="1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40" w:right="200" w:hanging="289"/>
        <w:spacing w:after="0" w:line="263" w:lineRule="auto"/>
        <w:tabs>
          <w:tab w:leader="none" w:pos="1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9" w:lineRule="exact"/>
        <w:rPr>
          <w:rFonts w:ascii="Arial" w:cs="Arial" w:eastAsia="Arial" w:hAnsi="Arial"/>
          <w:sz w:val="18"/>
          <w:szCs w:val="18"/>
          <w:color w:val="auto"/>
        </w:rPr>
      </w:pPr>
    </w:p>
    <w:p>
      <w:pPr>
        <w:ind w:left="1640" w:hanging="289"/>
        <w:spacing w:after="0"/>
        <w:tabs>
          <w:tab w:leader="none" w:pos="1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240" w:hanging="415"/>
        <w:spacing w:after="0" w:line="263"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9" w:right="7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w:t>
      </w:r>
    </w:p>
    <w:p>
      <w:pPr>
        <w:spacing w:after="0" w:line="35" w:lineRule="exact"/>
        <w:rPr>
          <w:sz w:val="20"/>
          <w:szCs w:val="20"/>
          <w:color w:val="auto"/>
        </w:rPr>
      </w:pPr>
    </w:p>
    <w:p>
      <w:pPr>
        <w:ind w:left="300"/>
        <w:spacing w:after="0" w:line="302" w:lineRule="auto"/>
        <w:rPr>
          <w:sz w:val="20"/>
          <w:szCs w:val="20"/>
          <w:color w:val="auto"/>
        </w:rPr>
      </w:pPr>
      <w:r>
        <w:rPr>
          <w:rFonts w:ascii="Arial" w:cs="Arial" w:eastAsia="Arial" w:hAnsi="Arial"/>
          <w:sz w:val="16"/>
          <w:szCs w:val="16"/>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92" w:lineRule="exact"/>
        <w:rPr>
          <w:sz w:val="20"/>
          <w:szCs w:val="20"/>
          <w:color w:val="auto"/>
        </w:rPr>
      </w:pPr>
    </w:p>
    <w:p>
      <w:pPr>
        <w:jc w:val="both"/>
        <w:ind w:left="300" w:right="40" w:firstLine="426"/>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jc w:val="both"/>
        <w:ind w:left="300" w:right="80" w:firstLine="426"/>
        <w:spacing w:after="0" w:line="301" w:lineRule="auto"/>
        <w:rPr>
          <w:sz w:val="20"/>
          <w:szCs w:val="20"/>
          <w:color w:val="auto"/>
        </w:rPr>
      </w:pPr>
      <w:r>
        <w:rPr>
          <w:rFonts w:ascii="Arial" w:cs="Arial" w:eastAsia="Arial" w:hAnsi="Arial"/>
          <w:sz w:val="16"/>
          <w:szCs w:val="16"/>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2"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1" w:lineRule="auto"/>
        <w:rPr>
          <w:sz w:val="20"/>
          <w:szCs w:val="20"/>
          <w:color w:val="auto"/>
        </w:rPr>
      </w:pPr>
      <w:r>
        <w:rPr>
          <w:rFonts w:ascii="Arial" w:cs="Arial" w:eastAsia="Arial" w:hAnsi="Arial"/>
          <w:sz w:val="17"/>
          <w:szCs w:val="17"/>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78" w:lineRule="exact"/>
        <w:rPr>
          <w:sz w:val="20"/>
          <w:szCs w:val="20"/>
          <w:color w:val="auto"/>
        </w:rPr>
      </w:pPr>
    </w:p>
    <w:p>
      <w:pPr>
        <w:ind w:left="300" w:right="120" w:firstLine="426"/>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7" w:lineRule="exact"/>
        <w:rPr>
          <w:sz w:val="20"/>
          <w:szCs w:val="20"/>
          <w:color w:val="auto"/>
        </w:rPr>
      </w:pPr>
    </w:p>
    <w:p>
      <w:pPr>
        <w:ind w:left="300" w:right="100" w:firstLine="426"/>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left="300" w:right="160" w:firstLine="426"/>
        <w:spacing w:after="0" w:line="279" w:lineRule="auto"/>
        <w:rPr>
          <w:sz w:val="20"/>
          <w:szCs w:val="20"/>
          <w:color w:val="auto"/>
        </w:rPr>
      </w:pPr>
      <w:r>
        <w:rPr>
          <w:rFonts w:ascii="Arial" w:cs="Arial" w:eastAsia="Arial" w:hAnsi="Arial"/>
          <w:sz w:val="17"/>
          <w:szCs w:val="17"/>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“Certain Relationships and Related Party Transactions—Exemptive Order” in our 2019 Annual Proxy.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7" w:lineRule="exact"/>
        <w:rPr>
          <w:sz w:val="20"/>
          <w:szCs w:val="20"/>
          <w:color w:val="auto"/>
        </w:rPr>
      </w:pPr>
    </w:p>
    <w:p>
      <w:pPr>
        <w:ind w:left="300" w:right="20" w:firstLine="426"/>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57" w:lineRule="exact"/>
        <w:rPr>
          <w:sz w:val="20"/>
          <w:szCs w:val="20"/>
          <w:color w:val="auto"/>
        </w:rPr>
      </w:pPr>
    </w:p>
    <w:p>
      <w:pPr>
        <w:ind w:left="300" w:right="100" w:firstLine="426"/>
        <w:spacing w:after="0" w:line="342" w:lineRule="auto"/>
        <w:rPr>
          <w:sz w:val="20"/>
          <w:szCs w:val="20"/>
          <w:color w:val="auto"/>
        </w:rPr>
      </w:pPr>
      <w:r>
        <w:rPr>
          <w:rFonts w:ascii="Arial" w:cs="Arial" w:eastAsia="Arial" w:hAnsi="Arial"/>
          <w:sz w:val="16"/>
          <w:szCs w:val="16"/>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93" w:lineRule="exact"/>
        <w:rPr>
          <w:sz w:val="20"/>
          <w:szCs w:val="20"/>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and their affiliates for our future success;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legislation allows us to incur additional leverage;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93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240" w:right="160" w:hanging="415"/>
        <w:spacing w:after="0" w:line="263"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240" w:hanging="415"/>
        <w:spacing w:after="0" w:line="311" w:lineRule="auto"/>
        <w:tabs>
          <w:tab w:leader="none" w:pos="1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54" w:lineRule="exact"/>
        <w:rPr>
          <w:rFonts w:ascii="Arial" w:cs="Arial" w:eastAsia="Arial" w:hAnsi="Arial"/>
          <w:sz w:val="16"/>
          <w:szCs w:val="16"/>
          <w:color w:val="auto"/>
        </w:rPr>
      </w:pPr>
    </w:p>
    <w:p>
      <w:pPr>
        <w:ind w:left="1240" w:right="300" w:hanging="415"/>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7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6998970" cy="2575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7"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93" w:lineRule="exact"/>
        <w:rPr>
          <w:rFonts w:ascii="Arial" w:cs="Arial" w:eastAsia="Arial" w:hAnsi="Arial"/>
          <w:sz w:val="18"/>
          <w:szCs w:val="18"/>
          <w:color w:val="auto"/>
        </w:rPr>
      </w:pPr>
    </w:p>
    <w:p>
      <w:pPr>
        <w:ind w:left="1240" w:hanging="415"/>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principal executive offices are located at 301 Commerce Street, Suite 3300, Fort Worth, TX 76102 and our telephone number is</w:t>
      </w:r>
    </w:p>
    <w:p>
      <w:pPr>
        <w:spacing w:after="0" w:line="35" w:lineRule="exact"/>
        <w:rPr>
          <w:sz w:val="20"/>
          <w:szCs w:val="20"/>
          <w:color w:val="auto"/>
        </w:rPr>
      </w:pPr>
    </w:p>
    <w:p>
      <w:pPr>
        <w:ind w:left="300" w:right="160" w:hanging="2"/>
        <w:spacing w:after="0" w:line="260"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559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00" w:right="200" w:firstLine="426"/>
        <w:spacing w:after="0" w:line="289"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66" w:lineRule="exact"/>
        <w:rPr>
          <w:sz w:val="20"/>
          <w:szCs w:val="20"/>
          <w:color w:val="auto"/>
        </w:rPr>
      </w:pPr>
    </w:p>
    <w:p>
      <w:pPr>
        <w:ind w:left="300" w:right="280" w:firstLine="426"/>
        <w:spacing w:after="0" w:line="296" w:lineRule="auto"/>
        <w:rPr>
          <w:sz w:val="20"/>
          <w:szCs w:val="20"/>
          <w:color w:val="auto"/>
        </w:rPr>
      </w:pPr>
      <w:r>
        <w:rPr>
          <w:rFonts w:ascii="Arial" w:cs="Arial" w:eastAsia="Arial" w:hAnsi="Arial"/>
          <w:sz w:val="16"/>
          <w:szCs w:val="16"/>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61" w:lineRule="exact"/>
        <w:rPr>
          <w:sz w:val="20"/>
          <w:szCs w:val="20"/>
          <w:color w:val="auto"/>
        </w:rPr>
      </w:pPr>
    </w:p>
    <w:p>
      <w:pPr>
        <w:ind w:left="300" w:right="300" w:firstLine="426"/>
        <w:spacing w:after="0" w:line="293" w:lineRule="auto"/>
        <w:rPr>
          <w:sz w:val="20"/>
          <w:szCs w:val="20"/>
          <w:color w:val="auto"/>
        </w:rPr>
      </w:pPr>
      <w:r>
        <w:rPr>
          <w:rFonts w:ascii="Arial" w:cs="Arial" w:eastAsia="Arial" w:hAnsi="Arial"/>
          <w:sz w:val="16"/>
          <w:szCs w:val="16"/>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20" w:type="dxa"/>
            <w:vAlign w:val="bottom"/>
          </w:tcPr>
          <w:p>
            <w:pPr>
              <w:ind w:left="1220"/>
              <w:spacing w:after="0"/>
              <w:rPr>
                <w:sz w:val="20"/>
                <w:szCs w:val="20"/>
                <w:color w:val="auto"/>
              </w:rPr>
            </w:pPr>
            <w:r>
              <w:rPr>
                <w:rFonts w:ascii="Arial" w:cs="Arial" w:eastAsia="Arial" w:hAnsi="Arial"/>
                <w:sz w:val="18"/>
                <w:szCs w:val="18"/>
                <w:color w:val="auto"/>
                <w:w w:val="94"/>
              </w:rPr>
              <w:t>Unless otherwise specified in a prospectus supplement, we intend to use the net proceeds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from the sale of our securities for general corporate purposes, which may include, among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5"/>
              </w:rPr>
              <w:t>other things, investing in portfolio companies in accordance with our investment objective</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of the proceeds from such offering. See “Use of Proceeds.”</w:t>
            </w:r>
          </w:p>
        </w:tc>
      </w:tr>
      <w:tr>
        <w:trPr>
          <w:trHeight w:val="459"/>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Symbol on the NYSE</w:t>
            </w:r>
          </w:p>
        </w:tc>
        <w:tc>
          <w:tcPr>
            <w:tcW w:w="8020" w:type="dxa"/>
            <w:vAlign w:val="bottom"/>
          </w:tcPr>
          <w:p>
            <w:pPr>
              <w:ind w:left="1220"/>
              <w:spacing w:after="0"/>
              <w:rPr>
                <w:sz w:val="20"/>
                <w:szCs w:val="20"/>
                <w:color w:val="auto"/>
              </w:rPr>
            </w:pPr>
            <w:r>
              <w:rPr>
                <w:rFonts w:ascii="Arial" w:cs="Arial" w:eastAsia="Arial" w:hAnsi="Arial"/>
                <w:sz w:val="18"/>
                <w:szCs w:val="18"/>
                <w:color w:val="auto"/>
              </w:rPr>
              <w:t>“TSLX”</w:t>
            </w:r>
          </w:p>
        </w:tc>
      </w:tr>
      <w:tr>
        <w:trPr>
          <w:trHeight w:val="458"/>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Distributions</w:t>
            </w:r>
          </w:p>
        </w:tc>
        <w:tc>
          <w:tcPr>
            <w:tcW w:w="8020" w:type="dxa"/>
            <w:vAlign w:val="bottom"/>
          </w:tcPr>
          <w:p>
            <w:pPr>
              <w:ind w:left="1220"/>
              <w:spacing w:after="0"/>
              <w:rPr>
                <w:sz w:val="20"/>
                <w:szCs w:val="20"/>
                <w:color w:val="auto"/>
              </w:rPr>
            </w:pPr>
            <w:r>
              <w:rPr>
                <w:rFonts w:ascii="Arial" w:cs="Arial" w:eastAsia="Arial" w:hAnsi="Arial"/>
                <w:sz w:val="18"/>
                <w:szCs w:val="18"/>
                <w:color w:val="auto"/>
                <w:w w:val="93"/>
              </w:rPr>
              <w:t>To the extent we have earnings available for distribution, we expect to continue distributing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4"/>
              </w:rPr>
              <w:t>quarterly dividends to our stockholders. The specific tax characteristics of our distributions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will be reported to stockholders after the end of the calendar year. Future quarterly</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w w:val="97"/>
              </w:rPr>
              <w:t>dividends, if any, will be determined by our Board. See “Price Range of Common Stock</w:t>
            </w:r>
          </w:p>
        </w:tc>
      </w:tr>
      <w:tr>
        <w:trPr>
          <w:trHeight w:val="230"/>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Arial" w:cs="Arial" w:eastAsia="Arial" w:hAnsi="Arial"/>
                <w:sz w:val="18"/>
                <w:szCs w:val="18"/>
                <w:color w:val="auto"/>
              </w:rPr>
              <w:t>and Distributions.”</w:t>
            </w:r>
          </w:p>
        </w:tc>
      </w:tr>
      <w:tr>
        <w:trPr>
          <w:trHeight w:val="240"/>
        </w:trPr>
        <w:tc>
          <w:tcPr>
            <w:tcW w:w="30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00" w:type="dxa"/>
            <w:vAlign w:val="bottom"/>
          </w:tcPr>
          <w:p>
            <w:pPr>
              <w:spacing w:after="0"/>
              <w:rPr>
                <w:sz w:val="24"/>
                <w:szCs w:val="24"/>
                <w:color w:val="auto"/>
              </w:rPr>
            </w:pPr>
          </w:p>
        </w:tc>
        <w:tc>
          <w:tcPr>
            <w:tcW w:w="8020" w:type="dxa"/>
            <w:vAlign w:val="bottom"/>
          </w:tcPr>
          <w:p>
            <w:pPr>
              <w:ind w:left="24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4"/>
              </w:rPr>
              <w:t>To maintain our tax treatment as a RIC, we must make certain distributions. See “Material</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U.S. Federal Income Tax Considerations—Regulated Investment Company Classification.”</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Anti-Takeover Provisions</w:t>
            </w: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7"/>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9"/>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certain other measures adopted by us. See “Description of Our Capital Stock—Anti-</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Takeover Provisions.”</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Leverage</w:t>
            </w: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to finance a portion of our investments. As a result, we are exposed to the risks of leverage,</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perceived risks of such leverage. See “Regulation as a Business Development Company” in</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Part I, Item 1 of our 2018 Annual Report.</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Taxation</w:t>
            </w: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be subject to corporate-level U.S. federal income taxation only in respect of earnings that</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we retain and do not distribute.</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status as a RIC and to avoid being subject to corporate-level U.S. federal</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7"/>
              </w:rPr>
              <w:t>interest, gains from the sale or other disposition of stock or securities and other</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for tax purposes equal to at least 90% of our investment company taxable income and net</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7"/>
              </w:rPr>
              <w:t>As a RIC, we generally will not be subject to corporate-level U.S. federal income tax on</w:t>
            </w:r>
          </w:p>
        </w:tc>
      </w:tr>
      <w:tr>
        <w:trPr>
          <w:trHeight w:val="230"/>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4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40" w:type="dxa"/>
            <w:vAlign w:val="bottom"/>
          </w:tcPr>
          <w:p>
            <w:pPr>
              <w:ind w:left="22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30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7"/>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or gains were earned. See “Price Range of Common Stock and Distributions” and</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“Material U.S. Federal Income Tax Considerations.”</w:t>
            </w:r>
          </w:p>
        </w:tc>
      </w:tr>
      <w:tr>
        <w:trPr>
          <w:trHeight w:val="458"/>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Reinvestment Plan</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shares of our common stock, rather than receiving the cash distribution. If a stockholder</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elects to “opt out,” that stockholder will receive cash dividends or other distributions.</w:t>
            </w:r>
          </w:p>
        </w:tc>
      </w:tr>
      <w:tr>
        <w:trPr>
          <w:trHeight w:val="445"/>
        </w:trPr>
        <w:tc>
          <w:tcPr>
            <w:tcW w:w="3300" w:type="dxa"/>
            <w:vAlign w:val="bottom"/>
            <w:tcBorders>
              <w:left w:val="single" w:sz="8" w:color="auto"/>
            </w:tcBorders>
          </w:tcPr>
          <w:p>
            <w:pPr>
              <w:spacing w:after="0"/>
              <w:rPr>
                <w:sz w:val="24"/>
                <w:szCs w:val="24"/>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dividends will be reinvested, those stockholders will not receive cash with which to pay</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any applicable taxes on reinvested dividends. See “Dividend Reinvestment Plan.”</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Management Arrangements</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companies, see “Management Agreements” in Part I, Item 1 of our 2018 Annual Report</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and Note 3 to our consolidated financial statements in our 2019 Q1 Quarterly Report.</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Trading at a Discount</w:t>
            </w: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that our shares may trade at a discount to our net asset value is separate and distinct from</w:t>
            </w:r>
          </w:p>
        </w:tc>
      </w:tr>
      <w:tr>
        <w:trPr>
          <w:trHeight w:val="230"/>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20" w:type="dxa"/>
            <w:vAlign w:val="bottom"/>
          </w:tcPr>
          <w:p>
            <w:pPr>
              <w:ind w:left="21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91"/>
              </w:rPr>
              <w:t>cannot predict whether our shares will trade at a price per share above, at or below net asset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value per share. See “Risk Factors—Risks Related to Offerings Pursuant to This</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Prospectus.”</w:t>
            </w:r>
          </w:p>
        </w:tc>
      </w:tr>
      <w:tr>
        <w:trPr>
          <w:trHeight w:val="458"/>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Available Information</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is a part, under the Securities Act. This registration statement contains additional</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information about us and the securities being offered by this prospectus. We are also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required to file periodic reports, current reports, proxy statements and other information</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7"/>
              </w:rPr>
              <w:t>with the SEC. This information is available on the SEC’s website at http://www.sec.gov.</w:t>
            </w:r>
          </w:p>
        </w:tc>
      </w:tr>
      <w:tr>
        <w:trPr>
          <w:trHeight w:val="445"/>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We maintain a website at http://www.tpgspecialtylending.com and make all of our periodic</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3"/>
              </w:rPr>
              <w:t>and current reports, proxy statements and other information available, free of charge, on or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through our website. Information on our website is not incorporated into or part of this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prospectus. You may also obtain such information free of charge by contacting us in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9"/>
              </w:rPr>
              <w:t>writing at 888 7th Avenue, 35th Floor, New York, NY 10106, Attention: TSLX Investor</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Relations, or by emailing us at IRTSL@tpg.com.</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 Incorporated by Reference</w:t>
            </w: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4"/>
              </w:rPr>
              <w:t>The rules of the SEC allow us to incorporate by reference information into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2"/>
              </w:rPr>
              <w:t>The information incorporated by reference is considered to be a part of this prospectus,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w w:val="98"/>
              </w:rPr>
              <w:t>information that we file later with the SEC will automatically update and supersede this</w:t>
            </w:r>
          </w:p>
        </w:tc>
      </w:tr>
      <w:tr>
        <w:trPr>
          <w:trHeight w:val="230"/>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2"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Sales load</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r>
      <w:tr>
        <w:trPr>
          <w:trHeight w:val="202"/>
        </w:trPr>
        <w:tc>
          <w:tcPr>
            <w:tcW w:w="79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5"/>
                <w:szCs w:val="15"/>
                <w:color w:val="auto"/>
              </w:rPr>
              <w:t>(5)</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r>
              <w:rPr>
                <w:rFonts w:ascii="Arial" w:cs="Arial" w:eastAsia="Arial" w:hAnsi="Arial"/>
                <w:sz w:val="15"/>
                <w:szCs w:val="15"/>
                <w:color w:val="auto"/>
              </w:rPr>
              <w:t>(6)</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Interest payments on borrowed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3.68%</w:t>
            </w:r>
            <w:r>
              <w:rPr>
                <w:rFonts w:ascii="Arial" w:cs="Arial" w:eastAsia="Arial" w:hAnsi="Arial"/>
                <w:sz w:val="15"/>
                <w:szCs w:val="15"/>
                <w:color w:val="auto"/>
              </w:rPr>
              <w:t>(7)</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 annual expenses</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10.76%</w:t>
            </w:r>
          </w:p>
        </w:tc>
      </w:tr>
    </w:tbl>
    <w:p>
      <w:pPr>
        <w:spacing w:after="0" w:line="214" w:lineRule="exact"/>
        <w:rPr>
          <w:sz w:val="20"/>
          <w:szCs w:val="20"/>
          <w:color w:val="auto"/>
        </w:rPr>
      </w:pPr>
    </w:p>
    <w:p>
      <w:pPr>
        <w:ind w:left="720" w:right="240" w:hanging="422"/>
        <w:spacing w:after="0" w:line="25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720" w:right="420" w:hanging="422"/>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720" w:right="140" w:hanging="422"/>
        <w:spacing w:after="0" w:line="281" w:lineRule="auto"/>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2" w:lineRule="exact"/>
        <w:rPr>
          <w:rFonts w:ascii="Arial" w:cs="Arial" w:eastAsia="Arial" w:hAnsi="Arial"/>
          <w:sz w:val="16"/>
          <w:szCs w:val="16"/>
          <w:color w:val="auto"/>
        </w:rPr>
      </w:pPr>
    </w:p>
    <w:p>
      <w:pPr>
        <w:ind w:left="720" w:right="400" w:hanging="422"/>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$1,063.2 million as of December 31, 2018.</w:t>
      </w:r>
    </w:p>
    <w:p>
      <w:pPr>
        <w:ind w:left="720" w:hanging="422"/>
        <w:spacing w:after="0" w:line="252"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9" w:right="6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62" w:lineRule="exact"/>
        <w:rPr>
          <w:sz w:val="20"/>
          <w:szCs w:val="20"/>
          <w:color w:val="auto"/>
        </w:rPr>
      </w:pPr>
    </w:p>
    <w:p>
      <w:pPr>
        <w:ind w:left="720" w:right="60"/>
        <w:spacing w:after="0" w:line="279" w:lineRule="auto"/>
        <w:rPr>
          <w:sz w:val="20"/>
          <w:szCs w:val="20"/>
          <w:color w:val="auto"/>
        </w:rPr>
      </w:pPr>
      <w:r>
        <w:rPr>
          <w:rFonts w:ascii="Arial" w:cs="Arial" w:eastAsia="Arial" w:hAnsi="Arial"/>
          <w:sz w:val="17"/>
          <w:szCs w:val="17"/>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63" w:lineRule="exact"/>
        <w:rPr>
          <w:sz w:val="20"/>
          <w:szCs w:val="20"/>
          <w:color w:val="auto"/>
        </w:rPr>
      </w:pPr>
    </w:p>
    <w:p>
      <w:pPr>
        <w:ind w:left="720" w:right="200"/>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70" w:lineRule="exact"/>
        <w:rPr>
          <w:sz w:val="20"/>
          <w:szCs w:val="20"/>
          <w:color w:val="auto"/>
        </w:rPr>
      </w:pPr>
    </w:p>
    <w:p>
      <w:pPr>
        <w:jc w:val="both"/>
        <w:ind w:left="720" w:right="60" w:hanging="422"/>
        <w:spacing w:after="0" w:line="259"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720" w:right="4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7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69" w:lineRule="exact"/>
        <w:rPr>
          <w:rFonts w:ascii="Arial" w:cs="Arial" w:eastAsia="Arial" w:hAnsi="Arial"/>
          <w:sz w:val="18"/>
          <w:szCs w:val="18"/>
          <w:color w:val="auto"/>
        </w:rPr>
      </w:pPr>
    </w:p>
    <w:p>
      <w:pPr>
        <w:ind w:left="720" w:right="20"/>
        <w:spacing w:after="0" w:line="263"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75" w:lineRule="exact"/>
        <w:rPr>
          <w:rFonts w:ascii="Arial" w:cs="Arial" w:eastAsia="Arial" w:hAnsi="Arial"/>
          <w:sz w:val="18"/>
          <w:szCs w:val="18"/>
          <w:color w:val="auto"/>
        </w:rPr>
      </w:pPr>
    </w:p>
    <w:p>
      <w:pPr>
        <w:ind w:left="720" w:right="340"/>
        <w:spacing w:after="0" w:line="286" w:lineRule="auto"/>
        <w:rPr>
          <w:rFonts w:ascii="Arial" w:cs="Arial" w:eastAsia="Arial" w:hAnsi="Arial"/>
          <w:sz w:val="18"/>
          <w:szCs w:val="18"/>
          <w:color w:val="auto"/>
        </w:rPr>
      </w:pPr>
      <w:r>
        <w:rPr>
          <w:rFonts w:ascii="Arial" w:cs="Arial" w:eastAsia="Arial" w:hAnsi="Arial"/>
          <w:sz w:val="17"/>
          <w:szCs w:val="17"/>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70" w:lineRule="exact"/>
        <w:rPr>
          <w:rFonts w:ascii="Arial" w:cs="Arial" w:eastAsia="Arial" w:hAnsi="Arial"/>
          <w:sz w:val="18"/>
          <w:szCs w:val="18"/>
          <w:color w:val="auto"/>
        </w:rPr>
      </w:pPr>
    </w:p>
    <w:p>
      <w:pPr>
        <w:ind w:left="720" w:right="540" w:hanging="422"/>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spacing w:after="0" w:line="284" w:lineRule="auto"/>
        <w:rPr>
          <w:sz w:val="20"/>
          <w:szCs w:val="20"/>
          <w:color w:val="auto"/>
        </w:rPr>
      </w:pPr>
      <w:r>
        <w:rPr>
          <w:rFonts w:ascii="Arial" w:cs="Arial" w:eastAsia="Arial" w:hAnsi="Arial"/>
          <w:sz w:val="16"/>
          <w:szCs w:val="16"/>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720" w:right="60" w:hanging="422"/>
        <w:spacing w:after="0" w:line="273" w:lineRule="auto"/>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300" w:right="180" w:firstLine="426"/>
        <w:spacing w:after="0" w:line="273"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3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3 years</w:t>
            </w:r>
          </w:p>
        </w:tc>
        <w:tc>
          <w:tcPr>
            <w:tcW w:w="3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6"/>
              </w:rPr>
              <w:t>10 years</w:t>
            </w:r>
          </w:p>
        </w:tc>
      </w:tr>
      <w:tr>
        <w:trPr>
          <w:trHeight w:val="182"/>
        </w:trPr>
        <w:tc>
          <w:tcPr>
            <w:tcW w:w="7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  88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$ 253</w:t>
            </w: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$ 407</w:t>
            </w: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8" w:lineRule="exact"/>
        <w:rPr>
          <w:sz w:val="20"/>
          <w:szCs w:val="20"/>
          <w:color w:val="auto"/>
        </w:rPr>
      </w:pPr>
    </w:p>
    <w:p>
      <w:pPr>
        <w:ind w:left="300" w:right="580" w:firstLine="426"/>
        <w:spacing w:after="0" w:line="312"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501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6998970" cy="4650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300" w:right="220" w:firstLine="426"/>
        <w:spacing w:after="0" w:line="273"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78" w:lineRule="exact"/>
        <w:rPr>
          <w:sz w:val="20"/>
          <w:szCs w:val="20"/>
          <w:color w:val="auto"/>
        </w:rPr>
      </w:pPr>
    </w:p>
    <w:p>
      <w:pPr>
        <w:ind w:left="300" w:right="380" w:firstLine="426"/>
        <w:spacing w:after="0" w:line="293" w:lineRule="auto"/>
        <w:rPr>
          <w:sz w:val="20"/>
          <w:szCs w:val="20"/>
          <w:color w:val="auto"/>
        </w:rPr>
      </w:pPr>
      <w:r>
        <w:rPr>
          <w:rFonts w:ascii="Arial" w:cs="Arial" w:eastAsia="Arial" w:hAnsi="Arial"/>
          <w:sz w:val="16"/>
          <w:szCs w:val="16"/>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10"/>
            <w:vMerge w:val="restart"/>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in millions, except per share amounts)</w:t>
            </w:r>
          </w:p>
        </w:tc>
        <w:tc>
          <w:tcPr>
            <w:tcW w:w="900" w:type="dxa"/>
            <w:vAlign w:val="bottom"/>
          </w:tcPr>
          <w:p>
            <w:pPr>
              <w:spacing w:after="0"/>
              <w:rPr>
                <w:sz w:val="14"/>
                <w:szCs w:val="14"/>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$52.5</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$57.8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261.9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210.9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Expenses</w:t>
            </w:r>
          </w:p>
        </w:tc>
        <w:tc>
          <w:tcPr>
            <w:tcW w:w="9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26.6</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 (Loss)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Net Realized Gain (Loss)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$0.59</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gridSpan w:val="2"/>
          </w:tcPr>
          <w:p>
            <w:pPr>
              <w:jc w:val="right"/>
              <w:ind w:right="30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10"/>
            <w:vMerge w:val="restart"/>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1,824.9</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1,706.0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1,693.7</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1,657.4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1,485.7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1,263.5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1,720.2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1,506.5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debt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724.5</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608.0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703.4</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680.7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642.4</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net assets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1,074.1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1,063.2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969.3</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952.2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820.7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5"/>
              </w:rPr>
              <w:t>Fair value of debt investments as a percentage of principal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call price</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hanging="42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720" w:right="140" w:hanging="422"/>
        <w:spacing w:after="0" w:line="281"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4" w:lineRule="exact"/>
        <w:rPr>
          <w:rFonts w:ascii="Arial" w:cs="Arial" w:eastAsia="Arial" w:hAnsi="Arial"/>
          <w:sz w:val="16"/>
          <w:szCs w:val="16"/>
          <w:color w:val="auto"/>
        </w:rPr>
      </w:pPr>
    </w:p>
    <w:p>
      <w:pPr>
        <w:ind w:left="720" w:right="160"/>
        <w:spacing w:after="0" w:line="250" w:lineRule="auto"/>
        <w:rPr>
          <w:rFonts w:ascii="Arial" w:cs="Arial" w:eastAsia="Arial" w:hAnsi="Arial"/>
          <w:sz w:val="16"/>
          <w:szCs w:val="16"/>
          <w:color w:val="auto"/>
        </w:rPr>
      </w:pPr>
      <w:r>
        <w:rPr>
          <w:rFonts w:ascii="Arial" w:cs="Arial" w:eastAsia="Arial" w:hAnsi="Arial"/>
          <w:sz w:val="18"/>
          <w:szCs w:val="18"/>
          <w:color w:val="auto"/>
        </w:rPr>
        <w:t>$17.8 million for the three months ended March 31, 2019 and the years ended December 31, 2018, 2017, 2016, 2015 and 2014 respectively. The corresponding impact on the total return calculation is not material.</w:t>
      </w:r>
    </w:p>
    <w:p>
      <w:pPr>
        <w:ind w:left="720" w:right="20" w:hanging="422"/>
        <w:spacing w:after="0" w:line="269" w:lineRule="auto"/>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76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QUARTERLY FINANCIAL DATA</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2"/>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$52,487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$25,849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$26,638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$12,107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$38,745</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16.34</w:t>
            </w:r>
          </w:p>
        </w:tc>
        <w:tc>
          <w:tcPr>
            <w:tcW w:w="60" w:type="dxa"/>
            <w:vAlign w:val="bottom"/>
          </w:tcPr>
          <w:p>
            <w:pPr>
              <w:spacing w:after="0"/>
              <w:rPr>
                <w:sz w:val="20"/>
                <w:szCs w:val="20"/>
                <w:color w:val="auto"/>
              </w:rPr>
            </w:pPr>
          </w:p>
        </w:tc>
      </w:tr>
      <w:tr>
        <w:trPr>
          <w:trHeight w:val="377"/>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$ 74,741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92"/>
              </w:rPr>
              <w:t>$63,004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$66,401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$57,767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2340" w:type="dxa"/>
            <w:vAlign w:val="bottom"/>
            <w:gridSpan w:val="7"/>
          </w:tcPr>
          <w:p>
            <w:pPr>
              <w:ind w:left="1680"/>
              <w:spacing w:after="0"/>
              <w:rPr>
                <w:sz w:val="20"/>
                <w:szCs w:val="20"/>
                <w:color w:val="auto"/>
              </w:rPr>
            </w:pPr>
            <w:r>
              <w:rPr>
                <w:rFonts w:ascii="Arial" w:cs="Arial" w:eastAsia="Arial" w:hAnsi="Arial"/>
                <w:sz w:val="18"/>
                <w:szCs w:val="18"/>
                <w:color w:val="auto"/>
                <w:w w:val="91"/>
              </w:rPr>
              <w:t>$ 30,634</w:t>
            </w:r>
          </w:p>
        </w:tc>
        <w:tc>
          <w:tcPr>
            <w:tcW w:w="140" w:type="dxa"/>
            <w:vAlign w:val="bottom"/>
          </w:tcPr>
          <w:p>
            <w:pPr>
              <w:spacing w:after="0"/>
              <w:rPr>
                <w:sz w:val="18"/>
                <w:szCs w:val="18"/>
                <w:color w:val="auto"/>
              </w:rPr>
            </w:pPr>
          </w:p>
        </w:tc>
        <w:tc>
          <w:tcPr>
            <w:tcW w:w="780" w:type="dxa"/>
            <w:vAlign w:val="bottom"/>
            <w:gridSpan w:val="6"/>
          </w:tcPr>
          <w:p>
            <w:pPr>
              <w:jc w:val="center"/>
              <w:ind w:left="93"/>
              <w:spacing w:after="0"/>
              <w:rPr>
                <w:sz w:val="20"/>
                <w:szCs w:val="20"/>
                <w:color w:val="auto"/>
              </w:rPr>
            </w:pPr>
            <w:r>
              <w:rPr>
                <w:rFonts w:ascii="Arial" w:cs="Arial" w:eastAsia="Arial" w:hAnsi="Arial"/>
                <w:sz w:val="18"/>
                <w:szCs w:val="18"/>
                <w:color w:val="auto"/>
                <w:w w:val="92"/>
              </w:rPr>
              <w:t>$30,711</w:t>
            </w:r>
          </w:p>
        </w:tc>
        <w:tc>
          <w:tcPr>
            <w:tcW w:w="2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$30,099</w:t>
            </w:r>
          </w:p>
        </w:tc>
        <w:tc>
          <w:tcPr>
            <w:tcW w:w="16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$26,581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40" w:type="dxa"/>
            <w:vAlign w:val="bottom"/>
            <w:gridSpan w:val="7"/>
            <w:shd w:val="clear" w:color="auto" w:fill="CCEEFF"/>
          </w:tcPr>
          <w:p>
            <w:pPr>
              <w:ind w:left="1680"/>
              <w:spacing w:after="0"/>
              <w:rPr>
                <w:sz w:val="20"/>
                <w:szCs w:val="20"/>
                <w:color w:val="auto"/>
              </w:rPr>
            </w:pPr>
            <w:r>
              <w:rPr>
                <w:rFonts w:ascii="Arial" w:cs="Arial" w:eastAsia="Arial" w:hAnsi="Arial"/>
                <w:sz w:val="18"/>
                <w:szCs w:val="18"/>
                <w:color w:val="auto"/>
                <w:w w:val="91"/>
              </w:rPr>
              <w:t>$ 44,107</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Arial" w:cs="Arial" w:eastAsia="Arial" w:hAnsi="Arial"/>
                <w:sz w:val="18"/>
                <w:szCs w:val="18"/>
                <w:color w:val="auto"/>
                <w:w w:val="92"/>
              </w:rPr>
              <w:t>$32,293</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$36,302</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$31,186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480" w:type="dxa"/>
            <w:vAlign w:val="bottom"/>
            <w:gridSpan w:val="8"/>
          </w:tcPr>
          <w:p>
            <w:pPr>
              <w:ind w:left="1680"/>
              <w:spacing w:after="0"/>
              <w:rPr>
                <w:sz w:val="20"/>
                <w:szCs w:val="20"/>
                <w:color w:val="auto"/>
              </w:rPr>
            </w:pPr>
            <w:r>
              <w:rPr>
                <w:rFonts w:ascii="Arial" w:cs="Arial" w:eastAsia="Arial" w:hAnsi="Arial"/>
                <w:sz w:val="18"/>
                <w:szCs w:val="18"/>
                <w:color w:val="auto"/>
              </w:rPr>
              <w:t>$(29,875)</w:t>
            </w:r>
          </w:p>
        </w:tc>
        <w:tc>
          <w:tcPr>
            <w:tcW w:w="780" w:type="dxa"/>
            <w:vAlign w:val="bottom"/>
            <w:gridSpan w:val="6"/>
          </w:tcPr>
          <w:p>
            <w:pPr>
              <w:jc w:val="center"/>
              <w:ind w:left="93"/>
              <w:spacing w:after="0"/>
              <w:rPr>
                <w:sz w:val="20"/>
                <w:szCs w:val="20"/>
                <w:color w:val="auto"/>
              </w:rPr>
            </w:pPr>
            <w:r>
              <w:rPr>
                <w:rFonts w:ascii="Arial" w:cs="Arial" w:eastAsia="Arial" w:hAnsi="Arial"/>
                <w:sz w:val="18"/>
                <w:szCs w:val="18"/>
                <w:color w:val="auto"/>
                <w:w w:val="99"/>
              </w:rPr>
              <w:t>$ 5,087</w:t>
            </w:r>
          </w:p>
        </w:tc>
        <w:tc>
          <w:tcPr>
            <w:tcW w:w="20" w:type="dxa"/>
            <w:vAlign w:val="bottom"/>
          </w:tcPr>
          <w:p>
            <w:pPr>
              <w:spacing w:after="0"/>
              <w:rPr>
                <w:sz w:val="18"/>
                <w:szCs w:val="18"/>
                <w:color w:val="auto"/>
              </w:rPr>
            </w:pPr>
          </w:p>
        </w:tc>
        <w:tc>
          <w:tcPr>
            <w:tcW w:w="980" w:type="dxa"/>
            <w:vAlign w:val="bottom"/>
            <w:gridSpan w:val="7"/>
          </w:tcPr>
          <w:p>
            <w:pPr>
              <w:jc w:val="right"/>
              <w:ind w:right="100"/>
              <w:spacing w:after="0"/>
              <w:rPr>
                <w:sz w:val="20"/>
                <w:szCs w:val="20"/>
                <w:color w:val="auto"/>
              </w:rPr>
            </w:pPr>
            <w:r>
              <w:rPr>
                <w:rFonts w:ascii="Arial" w:cs="Arial" w:eastAsia="Arial" w:hAnsi="Arial"/>
                <w:sz w:val="18"/>
                <w:szCs w:val="18"/>
                <w:color w:val="auto"/>
              </w:rPr>
              <w:t>$ (2,733)</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2,650</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40" w:type="dxa"/>
            <w:vAlign w:val="bottom"/>
            <w:gridSpan w:val="7"/>
            <w:shd w:val="clear" w:color="auto" w:fill="CCEEFF"/>
          </w:tcPr>
          <w:p>
            <w:pPr>
              <w:ind w:left="1680"/>
              <w:spacing w:after="0"/>
              <w:rPr>
                <w:sz w:val="20"/>
                <w:szCs w:val="20"/>
                <w:color w:val="auto"/>
              </w:rPr>
            </w:pPr>
            <w:r>
              <w:rPr>
                <w:rFonts w:ascii="Arial" w:cs="Arial" w:eastAsia="Arial" w:hAnsi="Arial"/>
                <w:sz w:val="18"/>
                <w:szCs w:val="18"/>
                <w:color w:val="auto"/>
                <w:w w:val="91"/>
              </w:rPr>
              <w:t>$ 14,232</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Arial" w:cs="Arial" w:eastAsia="Arial" w:hAnsi="Arial"/>
                <w:sz w:val="18"/>
                <w:szCs w:val="18"/>
                <w:color w:val="auto"/>
                <w:w w:val="92"/>
              </w:rPr>
              <w:t>$37,380</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$33,569</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$33,836</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800" w:type="dxa"/>
            <w:vAlign w:val="bottom"/>
            <w:gridSpan w:val="3"/>
          </w:tcPr>
          <w:p>
            <w:pPr>
              <w:ind w:left="1680"/>
              <w:spacing w:after="0"/>
              <w:rPr>
                <w:sz w:val="20"/>
                <w:szCs w:val="20"/>
                <w:color w:val="auto"/>
              </w:rPr>
            </w:pPr>
            <w:r>
              <w:rPr>
                <w:rFonts w:ascii="Arial" w:cs="Arial" w:eastAsia="Arial" w:hAnsi="Arial"/>
                <w:sz w:val="18"/>
                <w:szCs w:val="18"/>
                <w:color w:val="auto"/>
                <w:w w:val="99"/>
              </w:rPr>
              <w:t>$</w:t>
            </w:r>
          </w:p>
        </w:tc>
        <w:tc>
          <w:tcPr>
            <w:tcW w:w="540" w:type="dxa"/>
            <w:vAlign w:val="bottom"/>
            <w:gridSpan w:val="4"/>
          </w:tcPr>
          <w:p>
            <w:pPr>
              <w:ind w:left="140"/>
              <w:spacing w:after="0"/>
              <w:rPr>
                <w:sz w:val="20"/>
                <w:szCs w:val="20"/>
                <w:color w:val="auto"/>
              </w:rPr>
            </w:pPr>
            <w:r>
              <w:rPr>
                <w:rFonts w:ascii="Arial" w:cs="Arial" w:eastAsia="Arial" w:hAnsi="Arial"/>
                <w:sz w:val="18"/>
                <w:szCs w:val="18"/>
                <w:color w:val="auto"/>
                <w:w w:val="84"/>
              </w:rPr>
              <w:t>16.25</w:t>
            </w:r>
          </w:p>
        </w:tc>
        <w:tc>
          <w:tcPr>
            <w:tcW w:w="140" w:type="dxa"/>
            <w:vAlign w:val="bottom"/>
          </w:tcPr>
          <w:p>
            <w:pPr>
              <w:spacing w:after="0"/>
              <w:rPr>
                <w:sz w:val="20"/>
                <w:szCs w:val="20"/>
                <w:color w:val="auto"/>
              </w:rPr>
            </w:pPr>
          </w:p>
        </w:tc>
        <w:tc>
          <w:tcPr>
            <w:tcW w:w="780" w:type="dxa"/>
            <w:vAlign w:val="bottom"/>
            <w:gridSpan w:val="6"/>
          </w:tcPr>
          <w:p>
            <w:pPr>
              <w:jc w:val="center"/>
              <w:ind w:left="93"/>
              <w:spacing w:after="0"/>
              <w:rPr>
                <w:sz w:val="20"/>
                <w:szCs w:val="20"/>
                <w:color w:val="auto"/>
              </w:rPr>
            </w:pPr>
            <w:r>
              <w:rPr>
                <w:rFonts w:ascii="Arial" w:cs="Arial" w:eastAsia="Arial" w:hAnsi="Arial"/>
                <w:sz w:val="18"/>
                <w:szCs w:val="18"/>
                <w:color w:val="auto"/>
                <w:w w:val="99"/>
              </w:rPr>
              <w:t>$ 16.47</w:t>
            </w:r>
          </w:p>
        </w:tc>
        <w:tc>
          <w:tcPr>
            <w:tcW w:w="20" w:type="dxa"/>
            <w:vAlign w:val="bottom"/>
          </w:tcPr>
          <w:p>
            <w:pPr>
              <w:spacing w:after="0"/>
              <w:rPr>
                <w:sz w:val="20"/>
                <w:szCs w:val="20"/>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$ 16.36</w:t>
            </w:r>
          </w:p>
        </w:tc>
        <w:tc>
          <w:tcPr>
            <w:tcW w:w="160" w:type="dxa"/>
            <w:vAlign w:val="bottom"/>
          </w:tcPr>
          <w:p>
            <w:pPr>
              <w:spacing w:after="0"/>
              <w:rPr>
                <w:sz w:val="20"/>
                <w:szCs w:val="20"/>
                <w:color w:val="auto"/>
              </w:rPr>
            </w:pP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w w:val="84"/>
              </w:rPr>
              <w:t>16.27</w:t>
            </w:r>
          </w:p>
        </w:tc>
        <w:tc>
          <w:tcPr>
            <w:tcW w:w="60" w:type="dxa"/>
            <w:vAlign w:val="bottom"/>
          </w:tcPr>
          <w:p>
            <w:pPr>
              <w:spacing w:after="0"/>
              <w:rPr>
                <w:sz w:val="20"/>
                <w:szCs w:val="20"/>
                <w:color w:val="auto"/>
              </w:rPr>
            </w:pPr>
          </w:p>
        </w:tc>
      </w:tr>
      <w:tr>
        <w:trPr>
          <w:trHeight w:val="377"/>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$48,825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$52,305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$58,819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$50,948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2240" w:type="dxa"/>
            <w:vAlign w:val="bottom"/>
            <w:gridSpan w:val="5"/>
          </w:tcPr>
          <w:p>
            <w:pPr>
              <w:jc w:val="right"/>
              <w:spacing w:after="0"/>
              <w:rPr>
                <w:sz w:val="20"/>
                <w:szCs w:val="20"/>
                <w:color w:val="auto"/>
              </w:rPr>
            </w:pPr>
            <w:r>
              <w:rPr>
                <w:rFonts w:ascii="Arial" w:cs="Arial" w:eastAsia="Arial" w:hAnsi="Arial"/>
                <w:sz w:val="18"/>
                <w:szCs w:val="18"/>
                <w:color w:val="auto"/>
              </w:rPr>
              <w:t>$21,946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6"/>
          </w:tcPr>
          <w:p>
            <w:pPr>
              <w:jc w:val="right"/>
              <w:ind w:right="120"/>
              <w:spacing w:after="0"/>
              <w:rPr>
                <w:sz w:val="20"/>
                <w:szCs w:val="20"/>
                <w:color w:val="auto"/>
              </w:rPr>
            </w:pPr>
            <w:r>
              <w:rPr>
                <w:rFonts w:ascii="Arial" w:cs="Arial" w:eastAsia="Arial" w:hAnsi="Arial"/>
                <w:sz w:val="18"/>
                <w:szCs w:val="18"/>
                <w:color w:val="auto"/>
                <w:w w:val="98"/>
              </w:rPr>
              <w:t>$21,376</w:t>
            </w:r>
          </w:p>
        </w:tc>
        <w:tc>
          <w:tcPr>
            <w:tcW w:w="2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$24,887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$22,429</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8"/>
              </w:rPr>
              <w:t>$30,929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$28,519</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780" w:type="dxa"/>
            <w:vAlign w:val="bottom"/>
            <w:gridSpan w:val="6"/>
          </w:tcPr>
          <w:p>
            <w:pPr>
              <w:jc w:val="right"/>
              <w:ind w:right="60"/>
              <w:spacing w:after="0"/>
              <w:rPr>
                <w:sz w:val="20"/>
                <w:szCs w:val="20"/>
                <w:color w:val="auto"/>
              </w:rPr>
            </w:pPr>
            <w:r>
              <w:rPr>
                <w:rFonts w:ascii="Arial" w:cs="Arial" w:eastAsia="Arial" w:hAnsi="Arial"/>
                <w:sz w:val="18"/>
                <w:szCs w:val="18"/>
                <w:color w:val="auto"/>
                <w:w w:val="97"/>
              </w:rPr>
              <w:t>$ (6,170)</w:t>
            </w:r>
          </w:p>
        </w:tc>
        <w:tc>
          <w:tcPr>
            <w:tcW w:w="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 (2,106)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$26,746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8"/>
              </w:rPr>
              <w:t>$24,759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$31,826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$28,278</w:t>
            </w:r>
          </w:p>
        </w:tc>
        <w:tc>
          <w:tcPr>
            <w:tcW w:w="60" w:type="dxa"/>
            <w:vAlign w:val="bottom"/>
            <w:shd w:val="clear" w:color="auto" w:fill="CCEEFF"/>
          </w:tcPr>
          <w:p>
            <w:pPr>
              <w:spacing w:after="0"/>
              <w:rPr>
                <w:sz w:val="18"/>
                <w:szCs w:val="18"/>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16.09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$ 16.09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$ 16.15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720" w:hanging="42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65"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6"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080" w:right="8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Convertible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uncertainty between the U.S. and other countries with respect to trade policies, treaties and tariffs;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fluctuations in base interest rates, such as LIBOR, CDOR, BBSY, EURIBOR, the Federal Funds Effective Rate or the Prime Rate;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2019 Convertible Notes and the 2022 Convertible Notes.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76"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Rules 10b5-1 and 10b-18 under the Exchange Act, under which Goldman Sachs &amp; Co. LLC, as agent for us, will buy up to $50 million of our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in the aggregate during the period ending on the earlier of the date on which all the capital committed to the plan has been exhausted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30, 2019.</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57"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7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7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the board of directors and class voting rights on certain matters.</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1080" w:right="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Price Range</w:t>
            </w:r>
          </w:p>
        </w:tc>
        <w:tc>
          <w:tcPr>
            <w:tcW w:w="260" w:type="dxa"/>
            <w:vAlign w:val="bottom"/>
            <w:vMerge w:val="restart"/>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High Sales</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63"/>
        </w:trPr>
        <w:tc>
          <w:tcPr>
            <w:tcW w:w="5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Price to Net</w:t>
            </w:r>
          </w:p>
        </w:tc>
        <w:tc>
          <w:tcPr>
            <w:tcW w:w="10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340" w:type="dxa"/>
            <w:vAlign w:val="bottom"/>
          </w:tcPr>
          <w:p>
            <w:pPr>
              <w:spacing w:after="0"/>
              <w:rPr>
                <w:sz w:val="10"/>
                <w:szCs w:val="10"/>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Low</w:t>
            </w: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0"/>
              </w:rPr>
              <w:t>Asset</w:t>
            </w:r>
          </w:p>
        </w:tc>
        <w:tc>
          <w:tcPr>
            <w:tcW w:w="10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(2)</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$16.04</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$20.39</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$18.27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$16.15</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$20.99</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$20.31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$16.09</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$21.61</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$19.94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$16.09</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$21.12</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$19.80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$17.47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$16.36</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$19.19</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$17.51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$16.47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$18.04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$16.25</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$21.00</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$18.09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$16.34</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$20.99</w:t>
            </w: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$18.44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6, 2019)</w:t>
            </w: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$20.29</w:t>
            </w: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$20.01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9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40" w:right="5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dividends declared during the three months ended March 31, 2019 and years ended December 31, 2018 and 2017:</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w w:val="97"/>
              </w:rPr>
              <w:t>Dividend</w:t>
            </w:r>
            <w:r>
              <w:rPr>
                <w:rFonts w:ascii="Arial" w:cs="Arial" w:eastAsia="Arial" w:hAnsi="Arial"/>
                <w:sz w:val="12"/>
                <w:szCs w:val="12"/>
                <w:b w:val="1"/>
                <w:bCs w:val="1"/>
                <w:color w:val="auto"/>
                <w:w w:val="97"/>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6"/>
            <w:shd w:val="clear" w:color="auto" w:fill="CCEEFF"/>
          </w:tcPr>
          <w:p>
            <w:pPr>
              <w:jc w:val="center"/>
              <w:ind w:left="36"/>
              <w:spacing w:after="0" w:line="203" w:lineRule="exact"/>
              <w:rPr>
                <w:sz w:val="20"/>
                <w:szCs w:val="20"/>
                <w:color w:val="auto"/>
              </w:rPr>
            </w:pPr>
            <w:r>
              <w:rPr>
                <w:rFonts w:ascii="Arial" w:cs="Arial" w:eastAsia="Arial" w:hAnsi="Arial"/>
                <w:sz w:val="18"/>
                <w:szCs w:val="18"/>
                <w:color w:val="auto"/>
                <w:w w:val="90"/>
              </w:rPr>
              <w:t>Supplemental</w:t>
            </w: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gridSpan w:val="5"/>
            <w:shd w:val="clear" w:color="auto" w:fill="CCEEFF"/>
          </w:tcPr>
          <w:p>
            <w:pPr>
              <w:ind w:left="140"/>
              <w:spacing w:after="0" w:line="203" w:lineRule="exact"/>
              <w:rPr>
                <w:sz w:val="20"/>
                <w:szCs w:val="20"/>
                <w:color w:val="auto"/>
              </w:rPr>
            </w:pPr>
            <w:r>
              <w:rPr>
                <w:rFonts w:ascii="Arial" w:cs="Arial" w:eastAsia="Arial" w:hAnsi="Arial"/>
                <w:sz w:val="18"/>
                <w:szCs w:val="18"/>
                <w:color w:val="auto"/>
                <w:w w:val="96"/>
              </w:rPr>
              <w:t>February 28, 2019</w:t>
            </w: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29, 2019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76"/>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auto"/>
              </w:rPr>
              <w:t>March 15, 2019</w:t>
            </w:r>
          </w:p>
        </w:tc>
        <w:tc>
          <w:tcPr>
            <w:tcW w:w="26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3"/>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21, 2018</w:t>
            </w: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Supplemental</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4"/>
            <w:shd w:val="clear" w:color="auto" w:fill="CCEEFF"/>
          </w:tcPr>
          <w:p>
            <w:pPr>
              <w:ind w:left="100"/>
              <w:spacing w:after="0" w:line="203" w:lineRule="exact"/>
              <w:rPr>
                <w:sz w:val="20"/>
                <w:szCs w:val="20"/>
                <w:color w:val="auto"/>
              </w:rPr>
            </w:pPr>
            <w:r>
              <w:rPr>
                <w:rFonts w:ascii="Arial" w:cs="Arial" w:eastAsia="Arial" w:hAnsi="Arial"/>
                <w:sz w:val="18"/>
                <w:szCs w:val="18"/>
                <w:color w:val="auto"/>
              </w:rPr>
              <w:t>February 28, 2018</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jc w:val="center"/>
              <w:ind w:right="38"/>
              <w:spacing w:after="0" w:line="203" w:lineRule="exact"/>
              <w:rPr>
                <w:sz w:val="20"/>
                <w:szCs w:val="20"/>
                <w:color w:val="auto"/>
              </w:rPr>
            </w:pPr>
            <w:r>
              <w:rPr>
                <w:rFonts w:ascii="Arial" w:cs="Arial" w:eastAsia="Arial" w:hAnsi="Arial"/>
                <w:sz w:val="18"/>
                <w:szCs w:val="18"/>
                <w:color w:val="auto"/>
                <w:w w:val="91"/>
              </w:rPr>
              <w:t>March 30, 2018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3"/>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8"/>
                <w:szCs w:val="18"/>
                <w:color w:val="auto"/>
              </w:rPr>
            </w:pPr>
          </w:p>
        </w:tc>
        <w:tc>
          <w:tcPr>
            <w:tcW w:w="1920" w:type="dxa"/>
            <w:vAlign w:val="bottom"/>
            <w:gridSpan w:val="7"/>
          </w:tcPr>
          <w:p>
            <w:pPr>
              <w:jc w:val="center"/>
              <w:ind w:right="660"/>
              <w:spacing w:after="0"/>
              <w:rPr>
                <w:sz w:val="20"/>
                <w:szCs w:val="20"/>
                <w:color w:val="auto"/>
              </w:rPr>
            </w:pPr>
            <w:r>
              <w:rPr>
                <w:rFonts w:ascii="Arial" w:cs="Arial" w:eastAsia="Arial" w:hAnsi="Arial"/>
                <w:sz w:val="18"/>
                <w:szCs w:val="18"/>
                <w:color w:val="auto"/>
                <w:w w:val="91"/>
              </w:rPr>
              <w:t>March 15,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95"/>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Arial" w:cs="Arial" w:eastAsia="Arial" w:hAnsi="Arial"/>
                <w:sz w:val="18"/>
                <w:szCs w:val="18"/>
                <w:color w:val="auto"/>
                <w:w w:val="89"/>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740"/>
              <w:spacing w:after="0"/>
              <w:rPr>
                <w:sz w:val="20"/>
                <w:szCs w:val="20"/>
                <w:color w:val="auto"/>
              </w:rPr>
            </w:pPr>
            <w:r>
              <w:rPr>
                <w:rFonts w:ascii="Arial" w:cs="Arial" w:eastAsia="Arial" w:hAnsi="Arial"/>
                <w:sz w:val="18"/>
                <w:szCs w:val="18"/>
                <w:color w:val="auto"/>
                <w:w w:val="91"/>
              </w:rPr>
              <w:t>May 31, 2018</w:t>
            </w:r>
          </w:p>
        </w:tc>
        <w:tc>
          <w:tcPr>
            <w:tcW w:w="16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740"/>
              <w:spacing w:after="0"/>
              <w:rPr>
                <w:sz w:val="20"/>
                <w:szCs w:val="20"/>
                <w:color w:val="auto"/>
              </w:rPr>
            </w:pPr>
            <w:r>
              <w:rPr>
                <w:rFonts w:ascii="Arial" w:cs="Arial" w:eastAsia="Arial" w:hAnsi="Arial"/>
                <w:sz w:val="18"/>
                <w:szCs w:val="18"/>
                <w:color w:val="auto"/>
                <w:w w:val="87"/>
              </w:rPr>
              <w:t>June 15,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91"/>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Arial" w:cs="Arial" w:eastAsia="Arial" w:hAnsi="Arial"/>
                <w:sz w:val="18"/>
                <w:szCs w:val="18"/>
                <w:color w:val="auto"/>
                <w:w w:val="89"/>
              </w:rPr>
              <w:t>Supplemental</w:t>
            </w:r>
          </w:p>
        </w:tc>
        <w:tc>
          <w:tcPr>
            <w:tcW w:w="140" w:type="dxa"/>
            <w:vAlign w:val="bottom"/>
            <w:shd w:val="clear" w:color="auto" w:fill="CCEEFF"/>
          </w:tcPr>
          <w:p>
            <w:pPr>
              <w:spacing w:after="0"/>
              <w:rPr>
                <w:sz w:val="18"/>
                <w:szCs w:val="18"/>
                <w:color w:val="auto"/>
              </w:rPr>
            </w:pPr>
          </w:p>
        </w:tc>
        <w:tc>
          <w:tcPr>
            <w:tcW w:w="1920" w:type="dxa"/>
            <w:vAlign w:val="bottom"/>
            <w:gridSpan w:val="7"/>
            <w:shd w:val="clear" w:color="auto" w:fill="CCEEFF"/>
          </w:tcPr>
          <w:p>
            <w:pPr>
              <w:jc w:val="center"/>
              <w:ind w:right="680"/>
              <w:spacing w:after="0"/>
              <w:rPr>
                <w:sz w:val="20"/>
                <w:szCs w:val="20"/>
                <w:color w:val="auto"/>
              </w:rPr>
            </w:pPr>
            <w:r>
              <w:rPr>
                <w:rFonts w:ascii="Arial" w:cs="Arial" w:eastAsia="Arial" w:hAnsi="Arial"/>
                <w:sz w:val="18"/>
                <w:szCs w:val="18"/>
                <w:color w:val="auto"/>
                <w:w w:val="91"/>
              </w:rPr>
              <w:t>August 31, 2018</w:t>
            </w:r>
          </w:p>
        </w:tc>
        <w:tc>
          <w:tcPr>
            <w:tcW w:w="16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tcPr>
          <w:p>
            <w:pPr>
              <w:jc w:val="center"/>
              <w:ind w:right="540"/>
              <w:spacing w:after="0"/>
              <w:rPr>
                <w:sz w:val="20"/>
                <w:szCs w:val="20"/>
                <w:color w:val="auto"/>
              </w:rPr>
            </w:pPr>
            <w:r>
              <w:rPr>
                <w:rFonts w:ascii="Arial" w:cs="Arial" w:eastAsia="Arial" w:hAnsi="Arial"/>
                <w:sz w:val="18"/>
                <w:szCs w:val="18"/>
                <w:color w:val="auto"/>
                <w:w w:val="88"/>
              </w:rPr>
              <w:t>September 14,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6,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Arial" w:cs="Arial" w:eastAsia="Arial" w:hAnsi="Arial"/>
                <w:sz w:val="18"/>
                <w:szCs w:val="18"/>
                <w:color w:val="auto"/>
                <w:w w:val="89"/>
              </w:rPr>
              <w:t>Supplemental</w:t>
            </w:r>
          </w:p>
        </w:tc>
        <w:tc>
          <w:tcPr>
            <w:tcW w:w="2060" w:type="dxa"/>
            <w:vAlign w:val="bottom"/>
            <w:gridSpan w:val="8"/>
            <w:shd w:val="clear" w:color="auto" w:fill="CCEEFF"/>
          </w:tcPr>
          <w:p>
            <w:pPr>
              <w:jc w:val="center"/>
              <w:ind w:right="540"/>
              <w:spacing w:after="0"/>
              <w:rPr>
                <w:sz w:val="20"/>
                <w:szCs w:val="20"/>
                <w:color w:val="auto"/>
              </w:rPr>
            </w:pPr>
            <w:r>
              <w:rPr>
                <w:rFonts w:ascii="Arial" w:cs="Arial" w:eastAsia="Arial" w:hAnsi="Arial"/>
                <w:sz w:val="18"/>
                <w:szCs w:val="18"/>
                <w:color w:val="auto"/>
                <w:w w:val="91"/>
              </w:rPr>
              <w:t>November 30, 2018</w:t>
            </w:r>
          </w:p>
        </w:tc>
        <w:tc>
          <w:tcPr>
            <w:tcW w:w="16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100" w:type="dxa"/>
            <w:vAlign w:val="bottom"/>
          </w:tcPr>
          <w:p>
            <w:pPr>
              <w:spacing w:after="0"/>
              <w:rPr>
                <w:sz w:val="19"/>
                <w:szCs w:val="19"/>
                <w:color w:val="auto"/>
              </w:rPr>
            </w:pPr>
          </w:p>
        </w:tc>
        <w:tc>
          <w:tcPr>
            <w:tcW w:w="1540" w:type="dxa"/>
            <w:vAlign w:val="bottom"/>
            <w:gridSpan w:val="6"/>
          </w:tcPr>
          <w:p>
            <w:pPr>
              <w:jc w:val="center"/>
              <w:ind w:right="4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tcPr>
          <w:p>
            <w:pPr>
              <w:jc w:val="center"/>
              <w:ind w:right="540"/>
              <w:spacing w:after="0"/>
              <w:rPr>
                <w:sz w:val="20"/>
                <w:szCs w:val="20"/>
                <w:color w:val="auto"/>
              </w:rPr>
            </w:pPr>
            <w:r>
              <w:rPr>
                <w:rFonts w:ascii="Arial" w:cs="Arial" w:eastAsia="Arial" w:hAnsi="Arial"/>
                <w:sz w:val="18"/>
                <w:szCs w:val="18"/>
                <w:color w:val="auto"/>
                <w:w w:val="88"/>
              </w:rPr>
              <w:t>December 14, 2018</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22, 2017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2"/>
              </w:rPr>
              <w:t>Base</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3"/>
            <w:shd w:val="clear" w:color="auto" w:fill="CCEEFF"/>
          </w:tcPr>
          <w:p>
            <w:pPr>
              <w:jc w:val="center"/>
              <w:ind w:right="200"/>
              <w:spacing w:after="0" w:line="203" w:lineRule="exact"/>
              <w:rPr>
                <w:sz w:val="20"/>
                <w:szCs w:val="20"/>
                <w:color w:val="auto"/>
              </w:rPr>
            </w:pPr>
            <w:r>
              <w:rPr>
                <w:rFonts w:ascii="Arial" w:cs="Arial" w:eastAsia="Arial" w:hAnsi="Arial"/>
                <w:sz w:val="18"/>
                <w:szCs w:val="18"/>
                <w:color w:val="auto"/>
                <w:w w:val="95"/>
              </w:rPr>
              <w:t>April 7, 2017</w:t>
            </w:r>
            <w:r>
              <w:rPr>
                <w:rFonts w:ascii="Arial" w:cs="Arial" w:eastAsia="Arial" w:hAnsi="Arial"/>
                <w:sz w:val="15"/>
                <w:szCs w:val="15"/>
                <w:color w:val="auto"/>
                <w:w w:val="95"/>
              </w:rPr>
              <w:t>(2)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gridSpan w:val="3"/>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5"/>
              </w:rPr>
              <w:t>April 28, 2017</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Arial" w:cs="Arial" w:eastAsia="Arial" w:hAnsi="Arial"/>
                <w:sz w:val="18"/>
                <w:szCs w:val="18"/>
                <w:color w:val="auto"/>
                <w:w w:val="91"/>
              </w:rPr>
              <w:t>May 31, 2017</w:t>
            </w:r>
          </w:p>
        </w:tc>
        <w:tc>
          <w:tcPr>
            <w:tcW w:w="260" w:type="dxa"/>
            <w:vAlign w:val="bottom"/>
          </w:tcPr>
          <w:p>
            <w:pPr>
              <w:spacing w:after="0"/>
              <w:rPr>
                <w:sz w:val="18"/>
                <w:szCs w:val="18"/>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Arial" w:cs="Arial" w:eastAsia="Arial" w:hAnsi="Arial"/>
                <w:sz w:val="18"/>
                <w:szCs w:val="18"/>
                <w:color w:val="auto"/>
                <w:w w:val="82"/>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620"/>
              <w:spacing w:after="0"/>
              <w:rPr>
                <w:sz w:val="20"/>
                <w:szCs w:val="20"/>
                <w:color w:val="auto"/>
              </w:rPr>
            </w:pPr>
            <w:r>
              <w:rPr>
                <w:rFonts w:ascii="Arial" w:cs="Arial" w:eastAsia="Arial" w:hAnsi="Arial"/>
                <w:sz w:val="18"/>
                <w:szCs w:val="18"/>
                <w:color w:val="auto"/>
                <w:w w:val="87"/>
              </w:rPr>
              <w:t>June 15, 2017</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Arial" w:cs="Arial" w:eastAsia="Arial" w:hAnsi="Arial"/>
                <w:sz w:val="18"/>
                <w:szCs w:val="18"/>
                <w:color w:val="auto"/>
                <w:w w:val="91"/>
              </w:rPr>
              <w:t>August 31, 2017</w:t>
            </w:r>
          </w:p>
        </w:tc>
        <w:tc>
          <w:tcPr>
            <w:tcW w:w="16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88"/>
              </w:rPr>
              <w:t>September 15, 2017</w:t>
            </w:r>
          </w:p>
        </w:tc>
        <w:tc>
          <w:tcPr>
            <w:tcW w:w="16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November 7,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Supplemental</w:t>
            </w:r>
          </w:p>
        </w:tc>
        <w:tc>
          <w:tcPr>
            <w:tcW w:w="2060" w:type="dxa"/>
            <w:vAlign w:val="bottom"/>
            <w:gridSpan w:val="8"/>
          </w:tcPr>
          <w:p>
            <w:pPr>
              <w:jc w:val="center"/>
              <w:ind w:right="420"/>
              <w:spacing w:after="0"/>
              <w:rPr>
                <w:sz w:val="20"/>
                <w:szCs w:val="20"/>
                <w:color w:val="auto"/>
              </w:rPr>
            </w:pPr>
            <w:r>
              <w:rPr>
                <w:rFonts w:ascii="Arial" w:cs="Arial" w:eastAsia="Arial" w:hAnsi="Arial"/>
                <w:sz w:val="18"/>
                <w:szCs w:val="18"/>
                <w:color w:val="auto"/>
                <w:w w:val="91"/>
              </w:rPr>
              <w:t>November 30, 2017</w:t>
            </w:r>
          </w:p>
        </w:tc>
        <w:tc>
          <w:tcPr>
            <w:tcW w:w="166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Arial" w:cs="Arial" w:eastAsia="Arial" w:hAnsi="Arial"/>
                <w:sz w:val="18"/>
                <w:szCs w:val="18"/>
                <w:color w:val="auto"/>
                <w:w w:val="82"/>
              </w:rPr>
              <w:t>Base</w:t>
            </w:r>
          </w:p>
        </w:tc>
        <w:tc>
          <w:tcPr>
            <w:tcW w:w="2060" w:type="dxa"/>
            <w:vAlign w:val="bottom"/>
            <w:gridSpan w:val="8"/>
            <w:shd w:val="clear" w:color="auto" w:fill="CCEEFF"/>
          </w:tcPr>
          <w:p>
            <w:pPr>
              <w:jc w:val="center"/>
              <w:ind w:right="400"/>
              <w:spacing w:after="0"/>
              <w:rPr>
                <w:sz w:val="20"/>
                <w:szCs w:val="20"/>
                <w:color w:val="auto"/>
              </w:rPr>
            </w:pPr>
            <w:r>
              <w:rPr>
                <w:rFonts w:ascii="Arial" w:cs="Arial" w:eastAsia="Arial" w:hAnsi="Arial"/>
                <w:sz w:val="18"/>
                <w:szCs w:val="18"/>
                <w:color w:val="auto"/>
                <w:w w:val="89"/>
              </w:rPr>
              <w:t>December 15, 2017</w:t>
            </w:r>
          </w:p>
        </w:tc>
        <w:tc>
          <w:tcPr>
            <w:tcW w:w="16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20" w:hanging="424"/>
        <w:spacing w:after="0" w:line="274"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540" w:right="120" w:hanging="424"/>
        <w:spacing w:after="0" w:line="253"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93"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3"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00"/>
          </w:cols>
          <w:pgMar w:left="320" w:top="459" w:right="7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Involuntary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Treasury</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Coverage</w:t>
            </w: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5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700" w:type="dxa"/>
            <w:vAlign w:val="bottom"/>
            <w:gridSpan w:val="3"/>
            <w:vMerge w:val="continue"/>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vMerge w:val="continue"/>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9"/>
              </w:rPr>
              <w:t>Per Unit</w:t>
            </w:r>
            <w:r>
              <w:rPr>
                <w:rFonts w:ascii="Arial" w:cs="Arial" w:eastAsia="Arial" w:hAnsi="Arial"/>
                <w:sz w:val="12"/>
                <w:szCs w:val="12"/>
                <w:b w:val="1"/>
                <w:bCs w:val="1"/>
                <w:color w:val="auto"/>
                <w:w w:val="99"/>
              </w:rPr>
              <w:t>(2)</w:t>
            </w: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Value Per Unit</w:t>
            </w:r>
            <w:r>
              <w:rPr>
                <w:rFonts w:ascii="Arial" w:cs="Arial" w:eastAsia="Arial" w:hAnsi="Arial"/>
                <w:sz w:val="12"/>
                <w:szCs w:val="12"/>
                <w:b w:val="1"/>
                <w:bCs w:val="1"/>
                <w:color w:val="auto"/>
                <w:w w:val="94"/>
              </w:rPr>
              <w:t>(4)</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2,329.5</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2,445.9</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2,116.7</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2,257.3</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2,355.3</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2,705.2</w:t>
            </w: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320" w:hanging="424"/>
        <w:spacing w:after="0" w:line="25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ind w:left="120" w:right="440"/>
        <w:spacing w:after="0" w:line="245" w:lineRule="auto"/>
        <w:rPr>
          <w:sz w:val="20"/>
          <w:szCs w:val="20"/>
          <w:color w:val="auto"/>
        </w:rPr>
      </w:pPr>
      <w:r>
        <w:rPr>
          <w:rFonts w:ascii="Arial" w:cs="Arial" w:eastAsia="Arial" w:hAnsi="Arial"/>
          <w:sz w:val="13"/>
          <w:szCs w:val="13"/>
          <w:b w:val="1"/>
          <w:bCs w:val="1"/>
          <w:color w:val="auto"/>
        </w:rPr>
        <w:t xml:space="preserve">Debt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(3)(5)(6)</w:t>
      </w:r>
    </w:p>
    <w:p>
      <w:pPr>
        <w:ind w:left="120"/>
        <w:spacing w:after="0" w:line="223" w:lineRule="auto"/>
        <w:rPr>
          <w:sz w:val="20"/>
          <w:szCs w:val="20"/>
          <w:color w:val="auto"/>
        </w:rPr>
      </w:pPr>
      <w:r>
        <w:rPr>
          <w:rFonts w:ascii="Arial" w:cs="Arial" w:eastAsia="Arial" w:hAnsi="Arial"/>
          <w:sz w:val="14"/>
          <w:szCs w:val="14"/>
          <w:b w:val="1"/>
          <w:bCs w:val="1"/>
          <w:color w:val="auto"/>
        </w:rPr>
        <w:t>Business services</w:t>
      </w:r>
    </w:p>
    <w:p>
      <w:pPr>
        <w:ind w:left="120"/>
        <w:spacing w:after="0"/>
        <w:rPr>
          <w:sz w:val="20"/>
          <w:szCs w:val="20"/>
          <w:color w:val="auto"/>
        </w:rPr>
      </w:pPr>
      <w:r>
        <w:rPr>
          <w:rFonts w:ascii="Arial" w:cs="Arial" w:eastAsia="Arial" w:hAnsi="Arial"/>
          <w:sz w:val="14"/>
          <w:szCs w:val="14"/>
          <w:color w:val="auto"/>
        </w:rPr>
        <w:t xml:space="preserve">Acceo Solutions, Inc. </w:t>
      </w:r>
      <w:r>
        <w:rPr>
          <w:rFonts w:ascii="Arial" w:cs="Arial" w:eastAsia="Arial" w:hAnsi="Arial"/>
          <w:sz w:val="12"/>
          <w:szCs w:val="12"/>
          <w:color w:val="auto"/>
        </w:rPr>
        <w:t>(3)(4)(5)</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12"/>
          <w:szCs w:val="12"/>
          <w:color w:val="auto"/>
        </w:rPr>
        <w:t>(3)</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Jive Software, Inc. </w:t>
      </w:r>
      <w:r>
        <w:rPr>
          <w:rFonts w:ascii="Arial" w:cs="Arial" w:eastAsia="Arial" w:hAnsi="Arial"/>
          <w:sz w:val="12"/>
          <w:szCs w:val="12"/>
          <w:color w:val="auto"/>
        </w:rPr>
        <w:t>(3)(5)</w:t>
      </w:r>
    </w:p>
    <w:p>
      <w:pPr>
        <w:ind w:left="120"/>
        <w:spacing w:after="0" w:line="221" w:lineRule="auto"/>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(3)</w:t>
      </w:r>
    </w:p>
    <w:p>
      <w:pPr>
        <w:ind w:left="120"/>
        <w:spacing w:after="0" w:line="221" w:lineRule="auto"/>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(3)(5)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12"/>
          <w:szCs w:val="12"/>
          <w:color w:val="auto"/>
        </w:rPr>
        <w:t>(3)</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Chemicals</w:t>
      </w:r>
    </w:p>
    <w:p>
      <w:pPr>
        <w:ind w:left="120"/>
        <w:spacing w:after="0" w:line="226" w:lineRule="auto"/>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(3)</w:t>
      </w:r>
    </w:p>
    <w:p>
      <w:pPr>
        <w:ind w:left="120"/>
        <w:spacing w:after="0" w:line="221" w:lineRule="auto"/>
        <w:rPr>
          <w:sz w:val="20"/>
          <w:szCs w:val="20"/>
          <w:color w:val="auto"/>
        </w:rPr>
      </w:pPr>
      <w:r>
        <w:rPr>
          <w:rFonts w:ascii="Arial" w:cs="Arial" w:eastAsia="Arial" w:hAnsi="Arial"/>
          <w:sz w:val="14"/>
          <w:szCs w:val="14"/>
          <w:b w:val="1"/>
          <w:bCs w:val="1"/>
          <w:color w:val="auto"/>
        </w:rPr>
        <w:t>Education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Curriculum Associates, LLC </w:t>
      </w:r>
      <w:r>
        <w:rPr>
          <w:rFonts w:ascii="Arial" w:cs="Arial" w:eastAsia="Arial" w:hAnsi="Arial"/>
          <w:sz w:val="12"/>
          <w:szCs w:val="12"/>
          <w:color w:val="auto"/>
        </w:rPr>
        <w:t>(3)(5)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Frontline Technologies Group, LLC </w:t>
      </w:r>
      <w:r>
        <w:rPr>
          <w:rFonts w:ascii="Arial" w:cs="Arial" w:eastAsia="Arial" w:hAnsi="Arial"/>
          <w:sz w:val="11"/>
          <w:szCs w:val="11"/>
          <w:color w:val="auto"/>
        </w:rPr>
        <w:t>(3)</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Illuminate Education, Inc.</w:t>
      </w:r>
      <w:r>
        <w:rPr>
          <w:rFonts w:ascii="Arial" w:cs="Arial" w:eastAsia="Arial" w:hAnsi="Arial"/>
          <w:sz w:val="12"/>
          <w:szCs w:val="12"/>
          <w:color w:val="auto"/>
        </w:rPr>
        <w:t>(3)(5)</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Electronics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Monitronics International, Inc. </w:t>
      </w:r>
      <w:r>
        <w:rPr>
          <w:rFonts w:ascii="Arial" w:cs="Arial" w:eastAsia="Arial" w:hAnsi="Arial"/>
          <w:sz w:val="12"/>
          <w:szCs w:val="12"/>
          <w:color w:val="auto"/>
        </w:rPr>
        <w:t>(3)(11)</w:t>
      </w:r>
    </w:p>
    <w:p>
      <w:pPr>
        <w:spacing w:after="0" w:line="1" w:lineRule="exact"/>
        <w:rPr>
          <w:sz w:val="20"/>
          <w:szCs w:val="20"/>
          <w:color w:val="auto"/>
        </w:rPr>
      </w:pPr>
    </w:p>
    <w:p>
      <w:pPr>
        <w:ind w:left="120" w:right="700"/>
        <w:spacing w:after="0" w:line="229" w:lineRule="auto"/>
        <w:rPr>
          <w:sz w:val="20"/>
          <w:szCs w:val="20"/>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 xml:space="preserve">AppStar Financial, LLC </w:t>
      </w:r>
      <w:r>
        <w:rPr>
          <w:rFonts w:ascii="Arial" w:cs="Arial" w:eastAsia="Arial" w:hAnsi="Arial"/>
          <w:sz w:val="12"/>
          <w:szCs w:val="12"/>
          <w:color w:val="auto"/>
        </w:rPr>
        <w:t>(3)</w:t>
      </w:r>
      <w:r>
        <w:rPr>
          <w:rFonts w:ascii="Arial" w:cs="Arial" w:eastAsia="Arial" w:hAnsi="Arial"/>
          <w:sz w:val="14"/>
          <w:szCs w:val="14"/>
          <w:color w:val="auto"/>
        </w:rPr>
        <w:t xml:space="preserve"> AvidXchange, Inc. </w:t>
      </w:r>
      <w:r>
        <w:rPr>
          <w:rFonts w:ascii="Arial" w:cs="Arial" w:eastAsia="Arial" w:hAnsi="Arial"/>
          <w:sz w:val="12"/>
          <w:szCs w:val="12"/>
          <w:color w:val="auto"/>
        </w:rPr>
        <w:t>(3)</w:t>
      </w:r>
      <w:r>
        <w:rPr>
          <w:rFonts w:ascii="Arial" w:cs="Arial" w:eastAsia="Arial" w:hAnsi="Arial"/>
          <w:sz w:val="14"/>
          <w:szCs w:val="14"/>
          <w:color w:val="auto"/>
        </w:rPr>
        <w:t xml:space="preserve"> G Treasury SS, LLC </w:t>
      </w:r>
      <w:r>
        <w:rPr>
          <w:rFonts w:ascii="Arial" w:cs="Arial" w:eastAsia="Arial" w:hAnsi="Arial"/>
          <w:sz w:val="12"/>
          <w:szCs w:val="12"/>
          <w:color w:val="auto"/>
        </w:rPr>
        <w:t>(3)</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GC Agile Holdings Limited </w:t>
      </w:r>
      <w:r>
        <w:rPr>
          <w:rFonts w:ascii="Arial" w:cs="Arial" w:eastAsia="Arial" w:hAnsi="Arial"/>
          <w:sz w:val="12"/>
          <w:szCs w:val="12"/>
          <w:color w:val="auto"/>
        </w:rPr>
        <w:t>(3)(4)</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Government Brands, LLC </w:t>
      </w:r>
      <w:r>
        <w:rPr>
          <w:rFonts w:ascii="Arial" w:cs="Arial" w:eastAsia="Arial" w:hAnsi="Arial"/>
          <w:sz w:val="12"/>
          <w:szCs w:val="12"/>
          <w:color w:val="auto"/>
        </w:rPr>
        <w:t>(3)</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PayLease, LLC </w:t>
      </w:r>
      <w:r>
        <w:rPr>
          <w:rFonts w:ascii="Arial" w:cs="Arial" w:eastAsia="Arial" w:hAnsi="Arial"/>
          <w:sz w:val="12"/>
          <w:szCs w:val="12"/>
          <w:color w:val="auto"/>
        </w:rPr>
        <w:t>(3)</w:t>
      </w:r>
    </w:p>
    <w:p>
      <w:pPr>
        <w:ind w:left="120"/>
        <w:spacing w:after="0"/>
        <w:rPr>
          <w:sz w:val="20"/>
          <w:szCs w:val="20"/>
          <w:color w:val="auto"/>
        </w:rPr>
      </w:pPr>
      <w:r>
        <w:rPr>
          <w:rFonts w:ascii="Arial" w:cs="Arial" w:eastAsia="Arial" w:hAnsi="Arial"/>
          <w:sz w:val="14"/>
          <w:szCs w:val="14"/>
          <w:color w:val="auto"/>
        </w:rPr>
        <w:t xml:space="preserve">PaySimple, Inc. </w:t>
      </w:r>
      <w:r>
        <w:rPr>
          <w:rFonts w:ascii="Arial" w:cs="Arial" w:eastAsia="Arial" w:hAnsi="Arial"/>
          <w:sz w:val="12"/>
          <w:szCs w:val="12"/>
          <w:color w:val="auto"/>
        </w:rPr>
        <w:t>(3)(5)</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PrimeRevenue, Inc.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Initial</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Reference</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2"/>
        </w:trPr>
        <w:tc>
          <w:tcPr>
            <w:tcW w:w="25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Investment</w:t>
            </w:r>
          </w:p>
        </w:tc>
        <w:tc>
          <w:tcPr>
            <w:tcW w:w="200" w:type="dxa"/>
            <w:vAlign w:val="bottom"/>
            <w:vMerge w:val="restart"/>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Acquisition</w:t>
            </w: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Rate and</w:t>
            </w: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Spread</w:t>
            </w:r>
          </w:p>
        </w:tc>
        <w:tc>
          <w:tcPr>
            <w:tcW w:w="26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40" w:type="dxa"/>
            <w:vAlign w:val="bottom"/>
          </w:tcPr>
          <w:p>
            <w:pPr>
              <w:spacing w:after="0"/>
              <w:rPr>
                <w:sz w:val="14"/>
                <w:szCs w:val="14"/>
                <w:color w:val="auto"/>
              </w:rPr>
            </w:pPr>
          </w:p>
        </w:tc>
        <w:tc>
          <w:tcPr>
            <w:tcW w:w="540" w:type="dxa"/>
            <w:vAlign w:val="bottom"/>
          </w:tcPr>
          <w:p>
            <w:pPr>
              <w:jc w:val="right"/>
              <w:ind w:right="89"/>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520" w:type="dxa"/>
            <w:vAlign w:val="bottom"/>
          </w:tcPr>
          <w:p>
            <w:pPr>
              <w:spacing w:after="0"/>
              <w:rPr>
                <w:sz w:val="20"/>
                <w:szCs w:val="20"/>
                <w:color w:val="auto"/>
              </w:rPr>
            </w:pPr>
            <w:r>
              <w:rPr>
                <w:rFonts w:ascii="Arial" w:cs="Arial" w:eastAsia="Arial" w:hAnsi="Arial"/>
                <w:sz w:val="14"/>
                <w:szCs w:val="14"/>
                <w:color w:val="auto"/>
                <w:w w:val="97"/>
              </w:rPr>
              <w:t>First-lien loan ($46,441 par, due 10/2023)</w:t>
            </w:r>
          </w:p>
        </w:tc>
        <w:tc>
          <w:tcPr>
            <w:tcW w:w="2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10/16/2018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45,781</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$ 45,628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(CAD 64,513 par, due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7/6/2018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C + 5.25%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7.23%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48,205</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47,444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7/2023)</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(CAD)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63,384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($52,381 par, due 8/2023)</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8/13/2018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51,676</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51,595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revolving loan ($2,095 par, due</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8/13/2018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+ 7.25%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2,061</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2,056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Arial" w:cs="Arial" w:eastAsia="Arial" w:hAnsi="Arial"/>
                <w:sz w:val="14"/>
                <w:szCs w:val="14"/>
                <w:color w:val="auto"/>
              </w:rPr>
              <w:t>8/2023)</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($51,435 par, due 6/2022)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6/12/2017</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+ 9.25%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50,085</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53,621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($68,880 par, due 1/2024)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+ 6.75%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67,328</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69,811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($74,789 par, due 4/2024)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3/30/2018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+ 6.75%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73,200</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75,163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($36,360 par, due 3/2022)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7/1/2016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35,970</w:t>
            </w:r>
          </w:p>
        </w:tc>
        <w:tc>
          <w:tcPr>
            <w:tcW w:w="2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36,457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328,525</w:t>
            </w:r>
          </w:p>
        </w:tc>
        <w:tc>
          <w:tcPr>
            <w:tcW w:w="240" w:type="dxa"/>
            <w:vAlign w:val="bottom"/>
            <w:vMerge w:val="continue"/>
          </w:tcPr>
          <w:p>
            <w:pPr>
              <w:spacing w:after="0"/>
              <w:rPr>
                <w:sz w:val="13"/>
                <w:szCs w:val="13"/>
                <w:color w:val="auto"/>
              </w:rPr>
            </w:pPr>
          </w:p>
        </w:tc>
        <w:tc>
          <w:tcPr>
            <w:tcW w:w="540" w:type="dxa"/>
            <w:vAlign w:val="bottom"/>
          </w:tcPr>
          <w:p>
            <w:pPr>
              <w:ind w:left="80"/>
              <w:spacing w:after="0" w:line="155" w:lineRule="exact"/>
              <w:rPr>
                <w:sz w:val="20"/>
                <w:szCs w:val="20"/>
                <w:color w:val="auto"/>
              </w:rPr>
            </w:pPr>
            <w:r>
              <w:rPr>
                <w:rFonts w:ascii="Arial" w:cs="Arial" w:eastAsia="Arial" w:hAnsi="Arial"/>
                <w:sz w:val="14"/>
                <w:szCs w:val="14"/>
                <w:color w:val="auto"/>
                <w:w w:val="86"/>
              </w:rPr>
              <w:t>336,147</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gridSpan w:val="2"/>
          </w:tcPr>
          <w:p>
            <w:pPr>
              <w:spacing w:after="0"/>
              <w:rPr>
                <w:sz w:val="20"/>
                <w:szCs w:val="20"/>
                <w:color w:val="auto"/>
              </w:rPr>
            </w:pPr>
            <w:r>
              <w:rPr>
                <w:rFonts w:ascii="Arial" w:cs="Arial" w:eastAsia="Arial" w:hAnsi="Arial"/>
                <w:sz w:val="14"/>
                <w:szCs w:val="14"/>
                <w:color w:val="auto"/>
                <w:w w:val="99"/>
              </w:rPr>
              <w:t>Second-lien loan ($3,341 par, due 10/2021)</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10/31/2016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+ 12.00%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3,341</w:t>
            </w:r>
          </w:p>
        </w:tc>
        <w:tc>
          <w:tcPr>
            <w:tcW w:w="24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3,341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($49,625 par, due 2/2024)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2/28/2018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48,307</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50,617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($49,192 par, due 9/2023)</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9/18/2017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+ 6.50%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48,716</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49,192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($64,513 par, due 8/2022)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8/25/2017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+ 7.25%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63,512</w:t>
            </w:r>
          </w:p>
        </w:tc>
        <w:tc>
          <w:tcPr>
            <w:tcW w:w="24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63,706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160,535</w:t>
            </w:r>
          </w:p>
        </w:tc>
        <w:tc>
          <w:tcPr>
            <w:tcW w:w="240" w:type="dxa"/>
            <w:vAlign w:val="bottom"/>
            <w:vMerge w:val="continue"/>
          </w:tcPr>
          <w:p>
            <w:pPr>
              <w:spacing w:after="0"/>
              <w:rPr>
                <w:sz w:val="13"/>
                <w:szCs w:val="13"/>
                <w:color w:val="auto"/>
              </w:rPr>
            </w:pPr>
          </w:p>
        </w:tc>
        <w:tc>
          <w:tcPr>
            <w:tcW w:w="540" w:type="dxa"/>
            <w:vAlign w:val="bottom"/>
          </w:tcPr>
          <w:p>
            <w:pPr>
              <w:ind w:left="80"/>
              <w:spacing w:after="0" w:line="155" w:lineRule="exact"/>
              <w:rPr>
                <w:sz w:val="20"/>
                <w:szCs w:val="20"/>
                <w:color w:val="auto"/>
              </w:rPr>
            </w:pPr>
            <w:r>
              <w:rPr>
                <w:rFonts w:ascii="Arial" w:cs="Arial" w:eastAsia="Arial" w:hAnsi="Arial"/>
                <w:sz w:val="14"/>
                <w:szCs w:val="14"/>
                <w:color w:val="auto"/>
                <w:w w:val="86"/>
              </w:rPr>
              <w:t>163,515</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($1,164 par, due 9/2022)</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1/2/2019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+ 5.50%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c>
          <w:tcPr>
            <w:tcW w:w="24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969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7"/>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($18,056 par, due 8/2020)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8/18/2015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+ 7.50%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17,912</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18,207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($54,449 par, due 8/2020)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8/7/2015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54,133</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55,130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($30,749 par, due 4/2022)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+ 9.25%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30,196</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30,277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rPr>
                <w:sz w:val="20"/>
                <w:szCs w:val="20"/>
                <w:color w:val="auto"/>
              </w:rPr>
            </w:pPr>
            <w:r>
              <w:rPr>
                <w:rFonts w:ascii="Arial" w:cs="Arial" w:eastAsia="Arial" w:hAnsi="Arial"/>
                <w:sz w:val="14"/>
                <w:szCs w:val="14"/>
                <w:color w:val="auto"/>
              </w:rPr>
              <w:t>First-lien loan ($32,910 par, due 6/2025)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1/31/2019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L + 7.00%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32,198</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32,310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($46,151 par, due 3/2023)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3/15/2018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+ 9.25%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45,325</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45,512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($59,807 par, due 7/2022)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7/28/2017</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+ 7.00%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58,892</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59,649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($59,621 par, due 3/2022)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4/17/2018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+ 8.25%</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59,365</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59,173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($20,270 par, due 12/2023)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12/31/2018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 + 8.50%</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19,957</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20,204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PIK)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-4389120</wp:posOffset>
            </wp:positionV>
            <wp:extent cx="6995160" cy="94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-4200525</wp:posOffset>
            </wp:positionV>
            <wp:extent cx="699516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-4003675</wp:posOffset>
            </wp:positionV>
            <wp:extent cx="699516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6995160" cy="29146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-3609340</wp:posOffset>
            </wp:positionV>
            <wp:extent cx="699516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-3326130</wp:posOffset>
            </wp:positionV>
            <wp:extent cx="6995160"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-3138170</wp:posOffset>
            </wp:positionV>
            <wp:extent cx="699516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-2914650</wp:posOffset>
            </wp:positionV>
            <wp:extent cx="6995160"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-2726055</wp:posOffset>
            </wp:positionV>
            <wp:extent cx="699516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-2529205</wp:posOffset>
            </wp:positionV>
            <wp:extent cx="699516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-2306320</wp:posOffset>
            </wp:positionV>
            <wp:extent cx="6995160"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-2100580</wp:posOffset>
            </wp:positionV>
            <wp:extent cx="699516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-1903095</wp:posOffset>
            </wp:positionV>
            <wp:extent cx="699516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-1714500</wp:posOffset>
            </wp:positionV>
            <wp:extent cx="6995160" cy="377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-1234440</wp:posOffset>
            </wp:positionV>
            <wp:extent cx="6995160" cy="377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-763270</wp:posOffset>
            </wp:positionV>
            <wp:extent cx="699516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380" w:space="680"/>
            <w:col w:w="802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80"/>
          </w:cols>
          <w:pgMar w:left="320" w:top="459" w:right="49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8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1"/>
              </w:rPr>
              <w:t>Reference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Company </w:t>
            </w:r>
            <w:r>
              <w:rPr>
                <w:rFonts w:ascii="Arial" w:cs="Arial" w:eastAsia="Arial" w:hAnsi="Arial"/>
                <w:sz w:val="12"/>
                <w:szCs w:val="12"/>
                <w:b w:val="1"/>
                <w:bCs w:val="1"/>
                <w:color w:val="auto"/>
                <w:w w:val="92"/>
              </w:rPr>
              <w:t>(1)</w:t>
            </w:r>
          </w:p>
        </w:tc>
        <w:tc>
          <w:tcPr>
            <w:tcW w:w="184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center"/>
              <w:ind w:right="140"/>
              <w:spacing w:after="0" w:line="151" w:lineRule="exact"/>
              <w:rPr>
                <w:sz w:val="20"/>
                <w:szCs w:val="20"/>
                <w:color w:val="auto"/>
              </w:rPr>
            </w:pPr>
            <w:r>
              <w:rPr>
                <w:rFonts w:ascii="Arial" w:cs="Arial" w:eastAsia="Arial" w:hAnsi="Arial"/>
                <w:sz w:val="14"/>
                <w:szCs w:val="14"/>
                <w:b w:val="1"/>
                <w:bCs w:val="1"/>
                <w:color w:val="auto"/>
                <w:w w:val="94"/>
              </w:rPr>
              <w:t>Acquisition</w:t>
            </w:r>
          </w:p>
        </w:tc>
        <w:tc>
          <w:tcPr>
            <w:tcW w:w="820" w:type="dxa"/>
            <w:vAlign w:val="bottom"/>
            <w:gridSpan w:val="2"/>
          </w:tcPr>
          <w:p>
            <w:pPr>
              <w:jc w:val="center"/>
              <w:ind w:right="108"/>
              <w:spacing w:after="0" w:line="151" w:lineRule="exact"/>
              <w:rPr>
                <w:sz w:val="20"/>
                <w:szCs w:val="20"/>
                <w:color w:val="auto"/>
              </w:rPr>
            </w:pPr>
            <w:r>
              <w:rPr>
                <w:rFonts w:ascii="Arial" w:cs="Arial" w:eastAsia="Arial" w:hAnsi="Arial"/>
                <w:sz w:val="14"/>
                <w:szCs w:val="14"/>
                <w:b w:val="1"/>
                <w:bCs w:val="1"/>
                <w:color w:val="auto"/>
                <w:w w:val="94"/>
              </w:rPr>
              <w:t>Rate and</w:t>
            </w:r>
          </w:p>
        </w:tc>
        <w:tc>
          <w:tcPr>
            <w:tcW w:w="760" w:type="dxa"/>
            <w:vAlign w:val="bottom"/>
            <w:gridSpan w:val="2"/>
          </w:tcPr>
          <w:p>
            <w:pPr>
              <w:jc w:val="right"/>
              <w:ind w:right="208"/>
              <w:spacing w:after="0" w:line="151" w:lineRule="exact"/>
              <w:rPr>
                <w:sz w:val="20"/>
                <w:szCs w:val="20"/>
                <w:color w:val="auto"/>
              </w:rPr>
            </w:pPr>
            <w:r>
              <w:rPr>
                <w:rFonts w:ascii="Arial" w:cs="Arial" w:eastAsia="Arial" w:hAnsi="Arial"/>
                <w:sz w:val="14"/>
                <w:szCs w:val="14"/>
                <w:b w:val="1"/>
                <w:bCs w:val="1"/>
                <w:color w:val="auto"/>
                <w:w w:val="90"/>
              </w:rPr>
              <w:t>Interest</w:t>
            </w:r>
          </w:p>
        </w:tc>
        <w:tc>
          <w:tcPr>
            <w:tcW w:w="820" w:type="dxa"/>
            <w:vAlign w:val="bottom"/>
            <w:gridSpan w:val="2"/>
          </w:tcPr>
          <w:p>
            <w:pPr>
              <w:jc w:val="right"/>
              <w:ind w:right="160"/>
              <w:spacing w:after="0" w:line="151" w:lineRule="exact"/>
              <w:rPr>
                <w:sz w:val="20"/>
                <w:szCs w:val="20"/>
                <w:color w:val="auto"/>
              </w:rPr>
            </w:pPr>
            <w:r>
              <w:rPr>
                <w:rFonts w:ascii="Arial" w:cs="Arial" w:eastAsia="Arial" w:hAnsi="Arial"/>
                <w:sz w:val="14"/>
                <w:szCs w:val="14"/>
                <w:b w:val="1"/>
                <w:bCs w:val="1"/>
                <w:color w:val="auto"/>
                <w:w w:val="93"/>
              </w:rPr>
              <w:t>Amortized</w:t>
            </w:r>
          </w:p>
        </w:tc>
        <w:tc>
          <w:tcPr>
            <w:tcW w:w="104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Fair Value</w:t>
            </w:r>
          </w:p>
        </w:tc>
        <w:tc>
          <w:tcPr>
            <w:tcW w:w="960" w:type="dxa"/>
            <w:vAlign w:val="bottom"/>
            <w:gridSpan w:val="2"/>
          </w:tcPr>
          <w:p>
            <w:pPr>
              <w:jc w:val="right"/>
              <w:ind w:right="148"/>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5"/>
        </w:trPr>
        <w:tc>
          <w:tcPr>
            <w:tcW w:w="78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8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center"/>
              <w:ind w:right="108"/>
              <w:spacing w:after="0" w:line="155" w:lineRule="exact"/>
              <w:rPr>
                <w:sz w:val="20"/>
                <w:szCs w:val="20"/>
                <w:color w:val="auto"/>
              </w:rPr>
            </w:pPr>
            <w:r>
              <w:rPr>
                <w:rFonts w:ascii="Arial" w:cs="Arial" w:eastAsia="Arial" w:hAnsi="Arial"/>
                <w:sz w:val="14"/>
                <w:szCs w:val="14"/>
                <w:b w:val="1"/>
                <w:bCs w:val="1"/>
                <w:color w:val="auto"/>
                <w:w w:val="92"/>
              </w:rPr>
              <w:t>Spread</w:t>
            </w:r>
          </w:p>
        </w:tc>
        <w:tc>
          <w:tcPr>
            <w:tcW w:w="760" w:type="dxa"/>
            <w:vAlign w:val="bottom"/>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840" w:type="dxa"/>
            <w:vAlign w:val="bottom"/>
          </w:tcPr>
          <w:p>
            <w:pPr>
              <w:jc w:val="right"/>
              <w:ind w:right="248"/>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96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35"/>
        </w:trPr>
        <w:tc>
          <w:tcPr>
            <w:tcW w:w="26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(3)(5)</w:t>
            </w:r>
          </w:p>
        </w:tc>
        <w:tc>
          <w:tcPr>
            <w:tcW w:w="360" w:type="dxa"/>
            <w:vAlign w:val="bottom"/>
            <w:tcBorders>
              <w:top w:val="single" w:sz="8" w:color="CCEEFF"/>
            </w:tcBorders>
            <w:shd w:val="clear" w:color="auto" w:fill="CCEEFF"/>
          </w:tcPr>
          <w:p>
            <w:pPr>
              <w:spacing w:after="0"/>
              <w:rPr>
                <w:sz w:val="11"/>
                <w:szCs w:val="11"/>
                <w:color w:val="auto"/>
              </w:rPr>
            </w:pPr>
          </w:p>
        </w:tc>
        <w:tc>
          <w:tcPr>
            <w:tcW w:w="26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First-lien loan ($28,693 par, due 1/2022)</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7/31/2017</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w w:val="90"/>
              </w:rPr>
              <w:t>L + 6.50</w:t>
            </w:r>
          </w:p>
        </w:tc>
        <w:tc>
          <w:tcPr>
            <w:tcW w:w="200" w:type="dxa"/>
            <w:vAlign w:val="bottom"/>
            <w:tcBorders>
              <w:top w:val="single" w:sz="8" w:color="CCEEFF"/>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9.00</w:t>
            </w:r>
          </w:p>
        </w:tc>
        <w:tc>
          <w:tcPr>
            <w:tcW w:w="260" w:type="dxa"/>
            <w:vAlign w:val="bottom"/>
            <w:tcBorders>
              <w:top w:val="single" w:sz="8" w:color="CCEEFF"/>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w w:val="79"/>
              </w:rPr>
              <w:t>%</w:t>
            </w:r>
          </w:p>
        </w:tc>
        <w:tc>
          <w:tcPr>
            <w:tcW w:w="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28,195</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29,984</w:t>
            </w: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w:t>
            </w:r>
          </w:p>
        </w:tc>
        <w:tc>
          <w:tcPr>
            <w:tcW w:w="18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346,173</w:t>
            </w:r>
          </w:p>
        </w:tc>
        <w:tc>
          <w:tcPr>
            <w:tcW w:w="16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350,446</w:t>
            </w:r>
          </w:p>
        </w:tc>
        <w:tc>
          <w:tcPr>
            <w:tcW w:w="20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Ltd.</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($2,500 par, due 9/2023)</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9/21/2018</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11.30%</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11.30%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Convertible note ($2,500 par, due 9/2023)</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9/21/2018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8.00%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2,531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12"/>
                <w:szCs w:val="12"/>
                <w:color w:val="auto"/>
              </w:rPr>
              <w:t>(3)(5)</w:t>
            </w:r>
          </w:p>
        </w:tc>
        <w:tc>
          <w:tcPr>
            <w:tcW w:w="3140" w:type="dxa"/>
            <w:vAlign w:val="bottom"/>
            <w:gridSpan w:val="3"/>
          </w:tcPr>
          <w:p>
            <w:pPr>
              <w:ind w:left="360"/>
              <w:spacing w:after="0"/>
              <w:rPr>
                <w:sz w:val="20"/>
                <w:szCs w:val="20"/>
                <w:color w:val="auto"/>
              </w:rPr>
            </w:pPr>
            <w:r>
              <w:rPr>
                <w:rFonts w:ascii="Arial" w:cs="Arial" w:eastAsia="Arial" w:hAnsi="Arial"/>
                <w:sz w:val="14"/>
                <w:szCs w:val="14"/>
                <w:color w:val="auto"/>
              </w:rPr>
              <w:t>First-lien loan ($36,409 par, due 6/2022)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6/30/2017</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L + 8.00%</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10.50%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35,655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36,227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First-lien loan ($29,925 par, due 10/2023)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10/30/2018</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+ 7.00%</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9.50%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28,778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28,952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12"/>
                <w:szCs w:val="12"/>
                <w:color w:val="auto"/>
              </w:rPr>
              <w:t>(3)(5)</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($41,606 par, due 9/2020)</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9/30/2015</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+ 7.50%</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41,176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41,815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($27,590 par, due 9/2019)</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2/29/2016</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10.35%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26,712</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27,314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12"/>
                <w:szCs w:val="12"/>
                <w:color w:val="auto"/>
              </w:rPr>
              <w:t>(3)(5)</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($21,938 par, due 2/2024)</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2/11/2019</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21,317</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21,390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158,456</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160,535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12"/>
                <w:szCs w:val="12"/>
                <w:color w:val="auto"/>
              </w:rPr>
              <w:t>(3)(7)</w:t>
            </w:r>
          </w:p>
        </w:tc>
        <w:tc>
          <w:tcPr>
            <w:tcW w:w="314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rPr>
              <w:t>First-lien loan ($30,410 par, due 9/2019)</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9/29/2015</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+ 9.50%</w:t>
            </w:r>
          </w:p>
        </w:tc>
        <w:tc>
          <w:tcPr>
            <w:tcW w:w="760" w:type="dxa"/>
            <w:vAlign w:val="bottom"/>
            <w:gridSpan w:val="2"/>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12.10%</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28,556</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30,333</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4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First-lien revolving loan ($894 par, due</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9/29/2015</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L + 9.50%</w:t>
            </w:r>
          </w:p>
        </w:tc>
        <w:tc>
          <w:tcPr>
            <w:tcW w:w="760" w:type="dxa"/>
            <w:vAlign w:val="bottom"/>
            <w:gridSpan w:val="2"/>
          </w:tcPr>
          <w:p>
            <w:pPr>
              <w:jc w:val="right"/>
              <w:ind w:right="188"/>
              <w:spacing w:after="0" w:line="130" w:lineRule="exact"/>
              <w:rPr>
                <w:sz w:val="20"/>
                <w:szCs w:val="20"/>
                <w:color w:val="auto"/>
              </w:rPr>
            </w:pPr>
            <w:r>
              <w:rPr>
                <w:rFonts w:ascii="Arial" w:cs="Arial" w:eastAsia="Arial" w:hAnsi="Arial"/>
                <w:sz w:val="14"/>
                <w:szCs w:val="14"/>
                <w:color w:val="auto"/>
              </w:rPr>
              <w:t>12.00%</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894</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886</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9/2019)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29,450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31,219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(3)</w:t>
            </w:r>
          </w:p>
        </w:tc>
        <w:tc>
          <w:tcPr>
            <w:tcW w:w="314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rPr>
              <w:t>First-lien loan ($17,261 par, due 7/2023)</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7/23/2018</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+ 8.50%</w:t>
            </w:r>
          </w:p>
        </w:tc>
        <w:tc>
          <w:tcPr>
            <w:tcW w:w="760" w:type="dxa"/>
            <w:vAlign w:val="bottom"/>
            <w:gridSpan w:val="2"/>
            <w:shd w:val="clear" w:color="auto" w:fill="CCEEFF"/>
          </w:tcPr>
          <w:p>
            <w:pPr>
              <w:jc w:val="right"/>
              <w:ind w:right="188"/>
              <w:spacing w:after="0" w:line="130" w:lineRule="exact"/>
              <w:rPr>
                <w:sz w:val="20"/>
                <w:szCs w:val="20"/>
                <w:color w:val="auto"/>
              </w:rPr>
            </w:pPr>
            <w:r>
              <w:rPr>
                <w:rFonts w:ascii="Arial" w:cs="Arial" w:eastAsia="Arial" w:hAnsi="Arial"/>
                <w:sz w:val="14"/>
                <w:szCs w:val="14"/>
                <w:color w:val="auto"/>
              </w:rPr>
              <w:t>11.13%</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17,011</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17,008</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2.50%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PageUp People Limited </w:t>
            </w:r>
            <w:r>
              <w:rPr>
                <w:rFonts w:ascii="Arial" w:cs="Arial" w:eastAsia="Arial" w:hAnsi="Arial"/>
                <w:sz w:val="12"/>
                <w:szCs w:val="12"/>
                <w:color w:val="auto"/>
              </w:rPr>
              <w:t>(3)(4)</w:t>
            </w:r>
          </w:p>
        </w:tc>
        <w:tc>
          <w:tcPr>
            <w:tcW w:w="314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First-lien loan (AUD 47,078 par, due</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1/11/2018</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B + 7.25%</w:t>
            </w:r>
          </w:p>
        </w:tc>
        <w:tc>
          <w:tcPr>
            <w:tcW w:w="760" w:type="dxa"/>
            <w:vAlign w:val="bottom"/>
            <w:gridSpan w:val="2"/>
          </w:tcPr>
          <w:p>
            <w:pPr>
              <w:jc w:val="right"/>
              <w:ind w:right="188"/>
              <w:spacing w:after="0" w:line="130" w:lineRule="exact"/>
              <w:rPr>
                <w:sz w:val="20"/>
                <w:szCs w:val="20"/>
                <w:color w:val="auto"/>
              </w:rPr>
            </w:pPr>
            <w:r>
              <w:rPr>
                <w:rFonts w:ascii="Arial" w:cs="Arial" w:eastAsia="Arial" w:hAnsi="Arial"/>
                <w:sz w:val="14"/>
                <w:szCs w:val="14"/>
                <w:color w:val="auto"/>
              </w:rPr>
              <w:t>9.27%</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36,372</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33,164</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12/2022)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(incl.</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(AUD 46,688)</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1.25%</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PIK)</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53,383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50,172</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Insurity,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($60,837 par, due 10/2020)</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10/31/2014</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9.18%</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60,593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61,293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(3)(5)</w:t>
            </w:r>
          </w:p>
        </w:tc>
        <w:tc>
          <w:tcPr>
            <w:tcW w:w="31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First-lien loan ($50,000 par, due 10/2023)</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6/30/2017</w:t>
            </w:r>
          </w:p>
        </w:tc>
        <w:tc>
          <w:tcPr>
            <w:tcW w:w="8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L + 7.75%</w:t>
            </w: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10.36%</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49,455</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49,250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110,048</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110,543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($37,715 par, due 1/2022)</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6/18/2018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+ 6.00%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37,184</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37,149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12"/>
                <w:szCs w:val="12"/>
                <w:color w:val="auto"/>
              </w:rPr>
              <w:t>(3)</w:t>
            </w:r>
          </w:p>
        </w:tc>
        <w:tc>
          <w:tcPr>
            <w:tcW w:w="3140" w:type="dxa"/>
            <w:vAlign w:val="bottom"/>
            <w:gridSpan w:val="3"/>
          </w:tcPr>
          <w:p>
            <w:pPr>
              <w:ind w:left="360"/>
              <w:spacing w:after="0"/>
              <w:rPr>
                <w:sz w:val="20"/>
                <w:szCs w:val="20"/>
                <w:color w:val="auto"/>
              </w:rPr>
            </w:pPr>
            <w:r>
              <w:rPr>
                <w:rFonts w:ascii="Arial" w:cs="Arial" w:eastAsia="Arial" w:hAnsi="Arial"/>
                <w:sz w:val="14"/>
                <w:szCs w:val="14"/>
                <w:color w:val="auto"/>
              </w:rPr>
              <w:t>First-lien loan ($54,700 par, due 10/2022)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10/3/2017</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L + 8.00%</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10.49%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53,699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54,260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90,883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91,409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5"/>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ScentAir Technologies, Inc. </w:t>
            </w:r>
            <w:r>
              <w:rPr>
                <w:rFonts w:ascii="Arial" w:cs="Arial" w:eastAsia="Arial" w:hAnsi="Arial"/>
                <w:sz w:val="12"/>
                <w:szCs w:val="12"/>
                <w:color w:val="auto"/>
              </w:rPr>
              <w:t>(3)</w:t>
            </w:r>
          </w:p>
        </w:tc>
        <w:tc>
          <w:tcPr>
            <w:tcW w:w="31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First-lien loan ($19,986 par, due 12/2019)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12/30/2014</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+ 7.25%</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19,918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14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First-lien revolving loan ($1,393 par, due</w:t>
            </w:r>
          </w:p>
        </w:tc>
        <w:tc>
          <w:tcPr>
            <w:tcW w:w="8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w w:val="99"/>
              </w:rPr>
              <w:t>12/30/2014</w:t>
            </w:r>
          </w:p>
        </w:tc>
        <w:tc>
          <w:tcPr>
            <w:tcW w:w="82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L + 7.25%</w:t>
            </w:r>
          </w:p>
        </w:tc>
        <w:tc>
          <w:tcPr>
            <w:tcW w:w="76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9.75%</w:t>
            </w: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1,387</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1,393</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40" w:type="dxa"/>
            <w:vAlign w:val="bottom"/>
            <w:gridSpan w:val="2"/>
          </w:tcPr>
          <w:p>
            <w:pPr>
              <w:ind w:left="360"/>
              <w:spacing w:after="0"/>
              <w:rPr>
                <w:sz w:val="20"/>
                <w:szCs w:val="20"/>
                <w:color w:val="auto"/>
              </w:rPr>
            </w:pPr>
            <w:r>
              <w:rPr>
                <w:rFonts w:ascii="Arial" w:cs="Arial" w:eastAsia="Arial" w:hAnsi="Arial"/>
                <w:sz w:val="14"/>
                <w:szCs w:val="14"/>
                <w:color w:val="auto"/>
              </w:rPr>
              <w:t>12/2019)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21,305</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21,379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Marketing services</w:t>
            </w: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(3)(5)(6)</w:t>
            </w:r>
          </w:p>
        </w:tc>
        <w:tc>
          <w:tcPr>
            <w:tcW w:w="31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First-lien loan ($36,797 par, due 5/2023)</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5/31/2018</w:t>
            </w:r>
          </w:p>
        </w:tc>
        <w:tc>
          <w:tcPr>
            <w:tcW w:w="8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L + 6.50%</w:t>
            </w: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36,243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36,153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12"/>
                <w:szCs w:val="12"/>
                <w:color w:val="auto"/>
              </w:rPr>
              <w:t>(3)(5)</w:t>
            </w:r>
          </w:p>
        </w:tc>
        <w:tc>
          <w:tcPr>
            <w:tcW w:w="314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rPr>
              <w:t>ABL FILO term loan ($13,000 par, due</w:t>
            </w:r>
          </w:p>
        </w:tc>
        <w:tc>
          <w:tcPr>
            <w:tcW w:w="8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9/12/2017</w:t>
            </w:r>
          </w:p>
        </w:tc>
        <w:tc>
          <w:tcPr>
            <w:tcW w:w="82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10.23%</w:t>
            </w:r>
          </w:p>
        </w:tc>
        <w:tc>
          <w:tcPr>
            <w:tcW w:w="82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12,773</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12,967</w:t>
            </w:r>
          </w:p>
        </w:tc>
        <w:tc>
          <w:tcPr>
            <w:tcW w:w="9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9/2022)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3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ind w:left="140"/>
              <w:spacing w:after="0"/>
              <w:rPr>
                <w:sz w:val="20"/>
                <w:szCs w:val="20"/>
                <w:color w:val="auto"/>
              </w:rPr>
            </w:pPr>
            <w:r>
              <w:rPr>
                <w:rFonts w:ascii="Arial" w:cs="Arial" w:eastAsia="Arial" w:hAnsi="Arial"/>
                <w:sz w:val="14"/>
                <w:szCs w:val="14"/>
                <w:b w:val="1"/>
                <w:bCs w:val="1"/>
                <w:color w:val="auto"/>
              </w:rPr>
              <w:t>fuels</w:t>
            </w: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12"/>
                <w:szCs w:val="12"/>
                <w:color w:val="auto"/>
              </w:rPr>
              <w:t>(3)</w:t>
            </w:r>
          </w:p>
        </w:tc>
        <w:tc>
          <w:tcPr>
            <w:tcW w:w="31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First-lien loan ($14,906 par, due 11/2023)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11/14/2018</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L + 7.75%</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10.44%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14,512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14,383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Reference</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Company </w:t>
            </w:r>
            <w:r>
              <w:rPr>
                <w:rFonts w:ascii="Arial" w:cs="Arial" w:eastAsia="Arial" w:hAnsi="Arial"/>
                <w:sz w:val="12"/>
                <w:szCs w:val="12"/>
                <w:b w:val="1"/>
                <w:bCs w:val="1"/>
                <w:color w:val="auto"/>
                <w:w w:val="92"/>
              </w:rPr>
              <w:t>(1)</w:t>
            </w:r>
          </w:p>
        </w:tc>
        <w:tc>
          <w:tcPr>
            <w:tcW w:w="19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Rate and</w:t>
            </w:r>
          </w:p>
        </w:tc>
        <w:tc>
          <w:tcPr>
            <w:tcW w:w="7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8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8"/>
              </w:rPr>
              <w:t>Date</w:t>
            </w: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Spread</w:t>
            </w:r>
          </w:p>
        </w:tc>
        <w:tc>
          <w:tcPr>
            <w:tcW w:w="7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Rate</w:t>
            </w: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78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9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0"/>
        </w:trPr>
        <w:tc>
          <w:tcPr>
            <w:tcW w:w="27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(3)(7)</w:t>
            </w:r>
          </w:p>
        </w:tc>
        <w:tc>
          <w:tcPr>
            <w:tcW w:w="420" w:type="dxa"/>
            <w:vAlign w:val="bottom"/>
            <w:vMerge w:val="restart"/>
            <w:shd w:val="clear" w:color="auto" w:fill="CCEEFF"/>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700" w:type="dxa"/>
            <w:vAlign w:val="bottom"/>
            <w:gridSpan w:val="2"/>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First-lien loan ($17,429 par, due 6/2020)</w:t>
            </w:r>
          </w:p>
        </w:tc>
        <w:tc>
          <w:tcPr>
            <w:tcW w:w="1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6/29/2018</w:t>
            </w:r>
          </w:p>
        </w:tc>
        <w:tc>
          <w:tcPr>
            <w:tcW w:w="16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17,428</w:t>
            </w:r>
          </w:p>
        </w:tc>
        <w:tc>
          <w:tcPr>
            <w:tcW w:w="14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160" w:type="dxa"/>
            <w:vAlign w:val="bottom"/>
            <w:vMerge w:val="continue"/>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31,940</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31,595</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4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Ironwood Pharmaceuticals, Inc. </w:t>
            </w:r>
            <w:r>
              <w:rPr>
                <w:rFonts w:ascii="Arial" w:cs="Arial" w:eastAsia="Arial" w:hAnsi="Arial"/>
                <w:sz w:val="12"/>
                <w:szCs w:val="12"/>
                <w:color w:val="auto"/>
              </w:rPr>
              <w:t>(4)(5)(9)</w:t>
            </w:r>
          </w:p>
        </w:tc>
        <w:tc>
          <w:tcPr>
            <w:tcW w:w="3340" w:type="dxa"/>
            <w:vAlign w:val="bottom"/>
            <w:gridSpan w:val="3"/>
          </w:tcPr>
          <w:p>
            <w:pPr>
              <w:ind w:left="420"/>
              <w:spacing w:after="0"/>
              <w:rPr>
                <w:sz w:val="20"/>
                <w:szCs w:val="20"/>
                <w:color w:val="auto"/>
              </w:rPr>
            </w:pPr>
            <w:r>
              <w:rPr>
                <w:rFonts w:ascii="Arial" w:cs="Arial" w:eastAsia="Arial" w:hAnsi="Arial"/>
                <w:sz w:val="14"/>
                <w:szCs w:val="14"/>
                <w:color w:val="auto"/>
              </w:rPr>
              <w:t>Secured note ($30,610 par, due 9/2026)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1/5/2017</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8.38%</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8.38%</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30,493</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31,529</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12"/>
                <w:szCs w:val="12"/>
                <w:color w:val="auto"/>
              </w:rPr>
              <w:t>(4)(5)(9)</w:t>
            </w:r>
          </w:p>
        </w:tc>
        <w:tc>
          <w:tcPr>
            <w:tcW w:w="33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Secured note ($74,950 par, due 10/2020)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10/5/2015</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76,824</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105,104</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108,353</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Retail and consumer products</w:t>
            </w:r>
          </w:p>
        </w:tc>
        <w:tc>
          <w:tcPr>
            <w:tcW w:w="4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12"/>
                <w:szCs w:val="12"/>
                <w:color w:val="auto"/>
              </w:rPr>
              <w:t>(3)</w:t>
            </w:r>
          </w:p>
        </w:tc>
        <w:tc>
          <w:tcPr>
            <w:tcW w:w="3340" w:type="dxa"/>
            <w:vAlign w:val="bottom"/>
            <w:gridSpan w:val="3"/>
          </w:tcPr>
          <w:p>
            <w:pPr>
              <w:ind w:left="420"/>
              <w:spacing w:after="0"/>
              <w:rPr>
                <w:sz w:val="20"/>
                <w:szCs w:val="20"/>
                <w:color w:val="auto"/>
              </w:rPr>
            </w:pPr>
            <w:r>
              <w:rPr>
                <w:rFonts w:ascii="Arial" w:cs="Arial" w:eastAsia="Arial" w:hAnsi="Arial"/>
                <w:sz w:val="14"/>
                <w:szCs w:val="14"/>
                <w:color w:val="auto"/>
              </w:rPr>
              <w:t>ABL FILO term loan ($32,500 par, due 4/2021)</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9/6/2017</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L + 7.75%</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10.36%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32,197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32,825</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American Achievement Corporation </w:t>
            </w:r>
            <w:r>
              <w:rPr>
                <w:rFonts w:ascii="Arial" w:cs="Arial" w:eastAsia="Arial" w:hAnsi="Arial"/>
                <w:sz w:val="12"/>
                <w:szCs w:val="12"/>
                <w:color w:val="auto"/>
              </w:rPr>
              <w:t>(3)</w:t>
            </w:r>
          </w:p>
        </w:tc>
        <w:tc>
          <w:tcPr>
            <w:tcW w:w="334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First-lien loan ($22,214 par, due 9/2020)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9/30/2015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L + 8.25%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22,105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21,992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340" w:type="dxa"/>
            <w:vAlign w:val="bottom"/>
            <w:gridSpan w:val="3"/>
          </w:tcPr>
          <w:p>
            <w:pPr>
              <w:ind w:left="420"/>
              <w:spacing w:after="0" w:line="130" w:lineRule="exact"/>
              <w:rPr>
                <w:sz w:val="20"/>
                <w:szCs w:val="20"/>
                <w:color w:val="auto"/>
              </w:rPr>
            </w:pPr>
            <w:r>
              <w:rPr>
                <w:rFonts w:ascii="Arial" w:cs="Arial" w:eastAsia="Arial" w:hAnsi="Arial"/>
                <w:sz w:val="14"/>
                <w:szCs w:val="14"/>
                <w:color w:val="auto"/>
              </w:rPr>
              <w:t>Secured Promissory Note ($795 par, due</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12/19/2018</w:t>
            </w: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L + 8.25%</w:t>
            </w: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10.74%</w:t>
            </w:r>
          </w:p>
        </w:tc>
        <w:tc>
          <w:tcPr>
            <w:tcW w:w="80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789</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795</w:t>
            </w:r>
          </w:p>
        </w:tc>
        <w:tc>
          <w:tcPr>
            <w:tcW w:w="9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20" w:type="dxa"/>
            <w:vAlign w:val="bottom"/>
            <w:gridSpan w:val="2"/>
          </w:tcPr>
          <w:p>
            <w:pPr>
              <w:ind w:left="420"/>
              <w:spacing w:after="0"/>
              <w:rPr>
                <w:sz w:val="20"/>
                <w:szCs w:val="20"/>
                <w:color w:val="auto"/>
              </w:rPr>
            </w:pPr>
            <w:r>
              <w:rPr>
                <w:rFonts w:ascii="Arial" w:cs="Arial" w:eastAsia="Arial" w:hAnsi="Arial"/>
                <w:sz w:val="14"/>
                <w:szCs w:val="14"/>
                <w:color w:val="auto"/>
              </w:rPr>
              <w:t>12/2020)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PayLess Inc. </w:t>
            </w:r>
            <w:r>
              <w:rPr>
                <w:rFonts w:ascii="Arial" w:cs="Arial" w:eastAsia="Arial" w:hAnsi="Arial"/>
                <w:sz w:val="12"/>
                <w:szCs w:val="12"/>
                <w:color w:val="auto"/>
              </w:rPr>
              <w:t>(3)(5)</w:t>
            </w:r>
          </w:p>
        </w:tc>
        <w:tc>
          <w:tcPr>
            <w:tcW w:w="33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ABL FILO term loan ($14,235 par, due 8/2022)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3/1/2018</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+ 10.00%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14,000</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14,235</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12"/>
                <w:szCs w:val="12"/>
                <w:color w:val="auto"/>
              </w:rPr>
              <w:t>(3)</w:t>
            </w:r>
          </w:p>
        </w:tc>
        <w:tc>
          <w:tcPr>
            <w:tcW w:w="3340" w:type="dxa"/>
            <w:vAlign w:val="bottom"/>
            <w:gridSpan w:val="3"/>
          </w:tcPr>
          <w:p>
            <w:pPr>
              <w:ind w:left="420"/>
              <w:spacing w:after="0"/>
              <w:rPr>
                <w:sz w:val="20"/>
                <w:szCs w:val="20"/>
                <w:color w:val="auto"/>
              </w:rPr>
            </w:pPr>
            <w:r>
              <w:rPr>
                <w:rFonts w:ascii="Arial" w:cs="Arial" w:eastAsia="Arial" w:hAnsi="Arial"/>
                <w:sz w:val="14"/>
                <w:szCs w:val="14"/>
                <w:color w:val="auto"/>
              </w:rPr>
              <w:t>ABL FILO term loan ($75,000 par, due 2/2024)</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2/11/2019</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9.74%</w:t>
            </w:r>
          </w:p>
        </w:tc>
        <w:tc>
          <w:tcPr>
            <w:tcW w:w="660" w:type="dxa"/>
            <w:vAlign w:val="bottom"/>
          </w:tcPr>
          <w:p>
            <w:pPr>
              <w:jc w:val="right"/>
              <w:spacing w:after="0"/>
              <w:rPr>
                <w:sz w:val="20"/>
                <w:szCs w:val="20"/>
                <w:color w:val="auto"/>
              </w:rPr>
            </w:pPr>
            <w:r>
              <w:rPr>
                <w:rFonts w:ascii="Arial" w:cs="Arial" w:eastAsia="Arial" w:hAnsi="Arial"/>
                <w:sz w:val="14"/>
                <w:szCs w:val="14"/>
                <w:color w:val="auto"/>
              </w:rPr>
              <w:t>74,265</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75,000</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143,356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144,847</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5"/>
        </w:trPr>
        <w:tc>
          <w:tcPr>
            <w:tcW w:w="2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Transportation</w:t>
            </w:r>
          </w:p>
        </w:tc>
        <w:tc>
          <w:tcPr>
            <w:tcW w:w="4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12"/>
                <w:szCs w:val="12"/>
                <w:color w:val="auto"/>
              </w:rPr>
              <w:t>(3)(4)(5)</w:t>
            </w:r>
          </w:p>
        </w:tc>
        <w:tc>
          <w:tcPr>
            <w:tcW w:w="33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First-lien loan ($82,500 par, due 5/2023)</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5/4/2018</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+ 5.75%</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84,188</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Debt Investments</w:t>
            </w: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rPr>
              <w:t>1,759,407</w:t>
            </w:r>
          </w:p>
        </w:tc>
        <w:tc>
          <w:tcPr>
            <w:tcW w:w="14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u w:val="single" w:color="auto"/>
                <w:color w:val="auto"/>
                <w:w w:val="96"/>
              </w:rPr>
              <w:t>1,783,406</w:t>
            </w:r>
          </w:p>
        </w:tc>
        <w:tc>
          <w:tcPr>
            <w:tcW w:w="160" w:type="dxa"/>
            <w:vAlign w:val="bottom"/>
            <w:vMerge w:val="continue"/>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-12065</wp:posOffset>
            </wp:positionV>
            <wp:extent cx="506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120" w:right="460"/>
        <w:spacing w:after="0" w:line="245" w:lineRule="auto"/>
        <w:rPr>
          <w:sz w:val="20"/>
          <w:szCs w:val="20"/>
          <w:color w:val="auto"/>
        </w:rPr>
      </w:pPr>
      <w:r>
        <w:rPr>
          <w:rFonts w:ascii="Arial" w:cs="Arial" w:eastAsia="Arial" w:hAnsi="Arial"/>
          <w:sz w:val="13"/>
          <w:szCs w:val="13"/>
          <w:b w:val="1"/>
          <w:bCs w:val="1"/>
          <w:color w:val="auto"/>
        </w:rPr>
        <w:t xml:space="preserve">Equity and Other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(6)(13)(14)</w:t>
      </w:r>
    </w:p>
    <w:p>
      <w:pPr>
        <w:ind w:left="120"/>
        <w:spacing w:after="0" w:line="223" w:lineRule="auto"/>
        <w:rPr>
          <w:sz w:val="20"/>
          <w:szCs w:val="20"/>
          <w:color w:val="auto"/>
        </w:rPr>
      </w:pPr>
      <w:r>
        <w:rPr>
          <w:rFonts w:ascii="Arial" w:cs="Arial" w:eastAsia="Arial" w:hAnsi="Arial"/>
          <w:sz w:val="14"/>
          <w:szCs w:val="14"/>
          <w:b w:val="1"/>
          <w:bCs w:val="1"/>
          <w:color w:val="auto"/>
        </w:rPr>
        <w:t>Business Services</w:t>
      </w:r>
    </w:p>
    <w:p>
      <w:pPr>
        <w:ind w:left="120"/>
        <w:spacing w:after="0"/>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(13)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(13)</w:t>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Chemicals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(13)</w:t>
      </w:r>
    </w:p>
    <w:p>
      <w:pPr>
        <w:ind w:left="120"/>
        <w:spacing w:after="0" w:line="222" w:lineRule="auto"/>
        <w:rPr>
          <w:sz w:val="20"/>
          <w:szCs w:val="20"/>
          <w:color w:val="auto"/>
        </w:rPr>
      </w:pPr>
      <w:r>
        <w:rPr>
          <w:rFonts w:ascii="Arial" w:cs="Arial" w:eastAsia="Arial" w:hAnsi="Arial"/>
          <w:sz w:val="14"/>
          <w:szCs w:val="14"/>
          <w:b w:val="1"/>
          <w:bCs w:val="1"/>
          <w:color w:val="auto"/>
        </w:rPr>
        <w:t>Financial services</w:t>
      </w:r>
    </w:p>
    <w:p>
      <w:pPr>
        <w:ind w:left="120"/>
        <w:spacing w:after="0" w:line="222" w:lineRule="auto"/>
        <w:rPr>
          <w:sz w:val="20"/>
          <w:szCs w:val="20"/>
          <w:color w:val="auto"/>
        </w:rPr>
      </w:pPr>
      <w:r>
        <w:rPr>
          <w:rFonts w:ascii="Arial" w:cs="Arial" w:eastAsia="Arial" w:hAnsi="Arial"/>
          <w:sz w:val="14"/>
          <w:szCs w:val="14"/>
          <w:color w:val="auto"/>
        </w:rPr>
        <w:t xml:space="preserve">AvidXchange, Inc. </w:t>
      </w:r>
      <w:r>
        <w:rPr>
          <w:rFonts w:ascii="Arial" w:cs="Arial" w:eastAsia="Arial" w:hAnsi="Arial"/>
          <w:sz w:val="12"/>
          <w:szCs w:val="12"/>
          <w:color w:val="auto"/>
        </w:rPr>
        <w:t>(13)</w:t>
      </w:r>
    </w:p>
    <w:p>
      <w:pPr>
        <w:ind w:left="120"/>
        <w:spacing w:after="0"/>
        <w:rPr>
          <w:sz w:val="20"/>
          <w:szCs w:val="20"/>
          <w:color w:val="auto"/>
        </w:rPr>
      </w:pPr>
      <w:r>
        <w:rPr>
          <w:rFonts w:ascii="Arial" w:cs="Arial" w:eastAsia="Arial" w:hAnsi="Arial"/>
          <w:sz w:val="13"/>
          <w:szCs w:val="13"/>
          <w:color w:val="auto"/>
        </w:rPr>
        <w:t xml:space="preserve">Oxford Square Capital Corp. </w:t>
      </w:r>
      <w:r>
        <w:rPr>
          <w:rFonts w:ascii="Arial" w:cs="Arial" w:eastAsia="Arial" w:hAnsi="Arial"/>
          <w:sz w:val="11"/>
          <w:szCs w:val="11"/>
          <w:color w:val="auto"/>
        </w:rPr>
        <w:t>(4)(12)</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(13)</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Healthcare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Caris Life Sciences, Ltd. </w:t>
      </w:r>
      <w:r>
        <w:rPr>
          <w:rFonts w:ascii="Arial" w:cs="Arial" w:eastAsia="Arial" w:hAnsi="Arial"/>
          <w:sz w:val="12"/>
          <w:szCs w:val="12"/>
          <w:color w:val="auto"/>
        </w:rPr>
        <w:t>(13)(14)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Vita Topco, Inc. </w:t>
      </w:r>
      <w:r>
        <w:rPr>
          <w:rFonts w:ascii="Arial" w:cs="Arial" w:eastAsia="Arial" w:hAnsi="Arial"/>
          <w:sz w:val="12"/>
          <w:szCs w:val="12"/>
          <w:color w:val="auto"/>
        </w:rPr>
        <w:t>(13)(14)(15)</w:t>
      </w:r>
    </w:p>
    <w:p>
      <w:pPr>
        <w:spacing w:after="0" w:line="174" w:lineRule="exact"/>
        <w:rPr>
          <w:sz w:val="20"/>
          <w:szCs w:val="20"/>
          <w:color w:val="auto"/>
        </w:rPr>
      </w:pPr>
    </w:p>
    <w:p>
      <w:pPr>
        <w:ind w:left="120" w:right="740"/>
        <w:spacing w:after="0" w:line="297" w:lineRule="auto"/>
        <w:rPr>
          <w:sz w:val="20"/>
          <w:szCs w:val="20"/>
          <w:color w:val="auto"/>
        </w:rPr>
      </w:pPr>
      <w:r>
        <w:rPr>
          <w:rFonts w:ascii="Arial" w:cs="Arial" w:eastAsia="Arial" w:hAnsi="Arial"/>
          <w:sz w:val="13"/>
          <w:szCs w:val="13"/>
          <w:b w:val="1"/>
          <w:bCs w:val="1"/>
          <w:color w:val="auto"/>
        </w:rPr>
        <w:t xml:space="preserve">Hotel, gaming, and leisure </w:t>
      </w:r>
      <w:r>
        <w:rPr>
          <w:rFonts w:ascii="Arial" w:cs="Arial" w:eastAsia="Arial" w:hAnsi="Arial"/>
          <w:sz w:val="13"/>
          <w:szCs w:val="13"/>
          <w:color w:val="auto"/>
        </w:rPr>
        <w:t xml:space="preserve">IRGSE Holding Corp. </w:t>
      </w:r>
      <w:r>
        <w:rPr>
          <w:rFonts w:ascii="Arial" w:cs="Arial" w:eastAsia="Arial" w:hAnsi="Arial"/>
          <w:sz w:val="11"/>
          <w:szCs w:val="11"/>
          <w:color w:val="auto"/>
        </w:rPr>
        <w:t>(7)(13)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Preferred Units (4,441,090 units)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10/16/2018</w:t>
            </w:r>
          </w:p>
        </w:tc>
        <w:tc>
          <w:tcPr>
            <w:tcW w:w="660" w:type="dxa"/>
            <w:vAlign w:val="bottom"/>
          </w:tcPr>
          <w:p>
            <w:pPr>
              <w:jc w:val="right"/>
              <w:spacing w:after="0"/>
              <w:rPr>
                <w:sz w:val="20"/>
                <w:szCs w:val="20"/>
                <w:color w:val="auto"/>
              </w:rPr>
            </w:pPr>
            <w:r>
              <w:rPr>
                <w:rFonts w:ascii="Arial" w:cs="Arial" w:eastAsia="Arial" w:hAnsi="Arial"/>
                <w:sz w:val="14"/>
                <w:szCs w:val="14"/>
                <w:color w:val="auto"/>
              </w:rPr>
              <w:t>4,441</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4,441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Class A Units (1,262 units)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rPr>
                <w:sz w:val="20"/>
                <w:szCs w:val="20"/>
                <w:color w:val="auto"/>
              </w:rPr>
            </w:pPr>
            <w:r>
              <w:rPr>
                <w:rFonts w:ascii="Arial" w:cs="Arial" w:eastAsia="Arial" w:hAnsi="Arial"/>
                <w:sz w:val="14"/>
                <w:szCs w:val="14"/>
                <w:color w:val="auto"/>
              </w:rPr>
              <w:t>1,262</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1,325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B Units (517,020 units)</w:t>
            </w:r>
          </w:p>
        </w:tc>
        <w:tc>
          <w:tcPr>
            <w:tcW w:w="264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A Shares (1,197 shares)</w:t>
            </w:r>
          </w:p>
        </w:tc>
        <w:tc>
          <w:tcPr>
            <w:tcW w:w="264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1,532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Class B Shares (398,557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2,471</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tcPr>
          <w:p>
            <w:pPr>
              <w:spacing w:after="0"/>
              <w:rPr>
                <w:sz w:val="20"/>
                <w:szCs w:val="20"/>
                <w:color w:val="auto"/>
              </w:rPr>
            </w:pPr>
            <w:r>
              <w:rPr>
                <w:rFonts w:ascii="Arial" w:cs="Arial" w:eastAsia="Arial" w:hAnsi="Arial"/>
                <w:sz w:val="14"/>
                <w:szCs w:val="14"/>
                <w:color w:val="auto"/>
              </w:rPr>
              <w:t>Common Units (2,672,990 units)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rPr>
                <w:sz w:val="20"/>
                <w:szCs w:val="20"/>
                <w:color w:val="auto"/>
              </w:rPr>
            </w:pPr>
            <w:r>
              <w:rPr>
                <w:rFonts w:ascii="Arial" w:cs="Arial" w:eastAsia="Arial" w:hAnsi="Arial"/>
                <w:sz w:val="14"/>
                <w:szCs w:val="14"/>
                <w:color w:val="auto"/>
              </w:rPr>
              <w:t>3,828</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3,560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Series E Preferred Equity (214,132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8/7/2015</w:t>
            </w:r>
          </w:p>
        </w:tc>
        <w:tc>
          <w:tcPr>
            <w:tcW w:w="660" w:type="dxa"/>
            <w:vAlign w:val="bottom"/>
          </w:tcPr>
          <w:p>
            <w:pPr>
              <w:jc w:val="right"/>
              <w:spacing w:after="0"/>
              <w:rPr>
                <w:sz w:val="20"/>
                <w:szCs w:val="20"/>
                <w:color w:val="auto"/>
              </w:rPr>
            </w:pPr>
            <w:r>
              <w:rPr>
                <w:rFonts w:ascii="Arial" w:cs="Arial" w:eastAsia="Arial" w:hAnsi="Arial"/>
                <w:sz w:val="14"/>
                <w:szCs w:val="14"/>
                <w:color w:val="auto"/>
              </w:rPr>
              <w:t>3,846</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7,481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Common Shares (1,059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8/5/2015</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(35,000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7/31/2017</w:t>
            </w:r>
          </w:p>
        </w:tc>
        <w:tc>
          <w:tcPr>
            <w:tcW w:w="660" w:type="dxa"/>
            <w:vAlign w:val="bottom"/>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7,997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7,353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720" w:type="dxa"/>
            <w:vAlign w:val="bottom"/>
          </w:tcPr>
          <w:p>
            <w:pPr>
              <w:spacing w:after="0"/>
              <w:rPr>
                <w:sz w:val="20"/>
                <w:szCs w:val="20"/>
                <w:color w:val="auto"/>
              </w:rPr>
            </w:pPr>
            <w:r>
              <w:rPr>
                <w:rFonts w:ascii="Arial" w:cs="Arial" w:eastAsia="Arial" w:hAnsi="Arial"/>
                <w:sz w:val="14"/>
                <w:szCs w:val="14"/>
                <w:color w:val="auto"/>
              </w:rPr>
              <w:t>Common Shares Class A (1,980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9/21/2018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(1,000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2/11/2019</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0"/>
                <w:szCs w:val="20"/>
                <w:color w:val="auto"/>
              </w:rPr>
            </w:pPr>
            <w:r>
              <w:rPr>
                <w:rFonts w:ascii="Arial" w:cs="Arial" w:eastAsia="Arial" w:hAnsi="Arial"/>
                <w:sz w:val="14"/>
                <w:szCs w:val="14"/>
                <w:color w:val="auto"/>
              </w:rPr>
              <w:t xml:space="preserve">Class A Units (27,690,171 units) </w:t>
            </w:r>
            <w:r>
              <w:rPr>
                <w:rFonts w:ascii="Arial" w:cs="Arial" w:eastAsia="Arial" w:hAnsi="Arial"/>
                <w:sz w:val="12"/>
                <w:szCs w:val="12"/>
                <w:color w:val="auto"/>
              </w:rPr>
              <w:t>(14)</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20,063</w:t>
            </w: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(8,800,000 shares)</w:t>
            </w:r>
          </w:p>
        </w:tc>
        <w:tc>
          <w:tcPr>
            <w:tcW w:w="264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20,163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-2425065</wp:posOffset>
            </wp:positionV>
            <wp:extent cx="699516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-2236470</wp:posOffset>
            </wp:positionV>
            <wp:extent cx="699516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-2039620</wp:posOffset>
            </wp:positionV>
            <wp:extent cx="699516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-1851025</wp:posOffset>
            </wp:positionV>
            <wp:extent cx="6995160" cy="939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-1645285</wp:posOffset>
            </wp:positionV>
            <wp:extent cx="699516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-1439545</wp:posOffset>
            </wp:positionV>
            <wp:extent cx="6995160"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-1242060</wp:posOffset>
            </wp:positionV>
            <wp:extent cx="6995160"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-1045210</wp:posOffset>
            </wp:positionV>
            <wp:extent cx="699516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-822325</wp:posOffset>
            </wp:positionV>
            <wp:extent cx="699516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-624840</wp:posOffset>
            </wp:positionV>
            <wp:extent cx="699516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-401955</wp:posOffset>
            </wp:positionV>
            <wp:extent cx="699516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-213995</wp:posOffset>
            </wp:positionV>
            <wp:extent cx="699516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520" w:space="720"/>
            <w:col w:w="79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9"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Reference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Company </w:t>
            </w:r>
            <w:r>
              <w:rPr>
                <w:rFonts w:ascii="Arial" w:cs="Arial" w:eastAsia="Arial" w:hAnsi="Arial"/>
                <w:sz w:val="12"/>
                <w:szCs w:val="12"/>
                <w:b w:val="1"/>
                <w:bCs w:val="1"/>
                <w:color w:val="auto"/>
                <w:w w:val="92"/>
              </w:rPr>
              <w:t>(1)</w:t>
            </w:r>
          </w:p>
        </w:tc>
        <w:tc>
          <w:tcPr>
            <w:tcW w:w="192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298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1"/>
              </w:rPr>
              <w:t>Acquisition</w:t>
            </w:r>
          </w:p>
        </w:tc>
        <w:tc>
          <w:tcPr>
            <w:tcW w:w="70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94"/>
              </w:rPr>
              <w:t>Rate and</w:t>
            </w:r>
          </w:p>
        </w:tc>
        <w:tc>
          <w:tcPr>
            <w:tcW w:w="5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740" w:type="dxa"/>
            <w:vAlign w:val="bottom"/>
            <w:gridSpan w:val="2"/>
          </w:tcPr>
          <w:p>
            <w:pPr>
              <w:jc w:val="right"/>
              <w:ind w:right="80"/>
              <w:spacing w:after="0" w:line="151" w:lineRule="exact"/>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3"/>
                <w:szCs w:val="13"/>
                <w:color w:val="auto"/>
              </w:rPr>
            </w:pPr>
          </w:p>
        </w:tc>
        <w:tc>
          <w:tcPr>
            <w:tcW w:w="8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75"/>
        </w:trPr>
        <w:tc>
          <w:tcPr>
            <w:tcW w:w="78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8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Date</w:t>
            </w:r>
          </w:p>
        </w:tc>
        <w:tc>
          <w:tcPr>
            <w:tcW w:w="70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Spread</w:t>
            </w:r>
          </w:p>
        </w:tc>
        <w:tc>
          <w:tcPr>
            <w:tcW w:w="5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5"/>
                <w:szCs w:val="15"/>
                <w:color w:val="auto"/>
              </w:rPr>
            </w:pP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74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10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2"/>
        </w:trPr>
        <w:tc>
          <w:tcPr>
            <w:tcW w:w="27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Human resource support services</w:t>
            </w:r>
          </w:p>
        </w:tc>
        <w:tc>
          <w:tcPr>
            <w:tcW w:w="46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(13)(14)(15)</w:t>
            </w:r>
          </w:p>
        </w:tc>
        <w:tc>
          <w:tcPr>
            <w:tcW w:w="3440" w:type="dxa"/>
            <w:vAlign w:val="bottom"/>
            <w:gridSpan w:val="3"/>
          </w:tcPr>
          <w:p>
            <w:pPr>
              <w:ind w:left="460"/>
              <w:spacing w:after="0"/>
              <w:rPr>
                <w:sz w:val="20"/>
                <w:szCs w:val="20"/>
                <w:color w:val="auto"/>
              </w:rPr>
            </w:pPr>
            <w:r>
              <w:rPr>
                <w:rFonts w:ascii="Arial" w:cs="Arial" w:eastAsia="Arial" w:hAnsi="Arial"/>
                <w:sz w:val="14"/>
                <w:szCs w:val="14"/>
                <w:color w:val="auto"/>
              </w:rPr>
              <w:t>Class A Units (44,944 units)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8/24/2018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2,014</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2,014</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(13)(14)</w:t>
            </w:r>
          </w:p>
        </w:tc>
        <w:tc>
          <w:tcPr>
            <w:tcW w:w="344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Common Shares Class A (1,020 units)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6/30/2017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1,020</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Common Shares Class B (987,929 units)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6/30/2017</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(6)(13)(14)</w:t>
            </w:r>
          </w:p>
        </w:tc>
        <w:tc>
          <w:tcPr>
            <w:tcW w:w="344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Series A Preferred Shares (3,840,000 shares)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5/31/2018</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3,840</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3,840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6"/>
        </w:trPr>
        <w:tc>
          <w:tcPr>
            <w:tcW w:w="27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6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fuels</w:t>
            </w:r>
          </w:p>
        </w:tc>
        <w:tc>
          <w:tcPr>
            <w:tcW w:w="4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(7)(13)(14)</w:t>
            </w:r>
          </w:p>
        </w:tc>
        <w:tc>
          <w:tcPr>
            <w:tcW w:w="3440" w:type="dxa"/>
            <w:vAlign w:val="bottom"/>
            <w:gridSpan w:val="3"/>
          </w:tcPr>
          <w:p>
            <w:pPr>
              <w:ind w:left="460"/>
              <w:spacing w:after="0"/>
              <w:rPr>
                <w:sz w:val="20"/>
                <w:szCs w:val="20"/>
                <w:color w:val="auto"/>
              </w:rPr>
            </w:pPr>
            <w:r>
              <w:rPr>
                <w:rFonts w:ascii="Arial" w:cs="Arial" w:eastAsia="Arial" w:hAnsi="Arial"/>
                <w:sz w:val="14"/>
                <w:szCs w:val="14"/>
                <w:color w:val="auto"/>
              </w:rPr>
              <w:t>Class A-1 Member Units (1,360 units)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5/3/2017</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10,366</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2,021</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Class A-2 Member Units (933 units)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6/4/2014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8,874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 xml:space="preserve">Northern Oil and Gas, Inc. </w:t>
            </w:r>
            <w:r>
              <w:rPr>
                <w:rFonts w:ascii="Arial" w:cs="Arial" w:eastAsia="Arial" w:hAnsi="Arial"/>
                <w:sz w:val="12"/>
                <w:szCs w:val="12"/>
                <w:color w:val="auto"/>
              </w:rPr>
              <w:t>(12)(13)</w:t>
            </w:r>
          </w:p>
        </w:tc>
        <w:tc>
          <w:tcPr>
            <w:tcW w:w="3440" w:type="dxa"/>
            <w:vAlign w:val="bottom"/>
            <w:gridSpan w:val="3"/>
          </w:tcPr>
          <w:p>
            <w:pPr>
              <w:ind w:left="460"/>
              <w:spacing w:after="0"/>
              <w:rPr>
                <w:sz w:val="20"/>
                <w:szCs w:val="20"/>
                <w:color w:val="auto"/>
              </w:rPr>
            </w:pPr>
            <w:r>
              <w:rPr>
                <w:rFonts w:ascii="Arial" w:cs="Arial" w:eastAsia="Arial" w:hAnsi="Arial"/>
                <w:sz w:val="14"/>
                <w:szCs w:val="14"/>
                <w:color w:val="auto"/>
              </w:rPr>
              <w:t>Common Shares (493,316 shares)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5/15/2018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740</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1,352</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19,980</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3,373</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Equity and Other Investments</w:t>
            </w: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66,312</w:t>
            </w: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46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1,825,719</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1,824,861</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169.6%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Certain portfolio company investments are subject to contractual restrictions on sales.</w:t>
      </w:r>
    </w:p>
    <w:p>
      <w:pPr>
        <w:ind w:left="540" w:hanging="424"/>
        <w:spacing w:after="0"/>
        <w:tabs>
          <w:tab w:leader="none" w:pos="5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ind w:left="540" w:right="180" w:hanging="424"/>
        <w:spacing w:after="0" w:line="238" w:lineRule="auto"/>
        <w:tabs>
          <w:tab w:leader="none" w:pos="5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3"/>
          <w:szCs w:val="13"/>
          <w:color w:val="auto"/>
        </w:rPr>
      </w:pPr>
    </w:p>
    <w:p>
      <w:pPr>
        <w:jc w:val="both"/>
        <w:ind w:left="540" w:right="220" w:hanging="424"/>
        <w:spacing w:after="0" w:line="221"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540" w:right="140" w:hanging="424"/>
        <w:spacing w:after="0" w:line="238" w:lineRule="auto"/>
        <w:tabs>
          <w:tab w:leader="none" w:pos="5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540" w:right="160" w:hanging="424"/>
        <w:spacing w:after="0" w:line="232"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160" w:type="dxa"/>
            <w:vAlign w:val="bottom"/>
            <w:gridSpan w:val="18"/>
          </w:tcPr>
          <w:p>
            <w:pPr>
              <w:ind w:left="760"/>
              <w:spacing w:after="0"/>
              <w:rPr>
                <w:sz w:val="20"/>
                <w:szCs w:val="20"/>
                <w:color w:val="auto"/>
              </w:rPr>
            </w:pPr>
            <w:r>
              <w:rPr>
                <w:rFonts w:ascii="Arial" w:cs="Arial" w:eastAsia="Arial" w:hAnsi="Arial"/>
                <w:sz w:val="14"/>
                <w:szCs w:val="14"/>
                <w:b w:val="1"/>
                <w:bCs w:val="1"/>
                <w:color w:val="auto"/>
                <w:w w:val="94"/>
              </w:rPr>
              <w:t>Non-controlled, Affiliated Investments during the three months ended March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150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w w:val="93"/>
              </w:rPr>
              <w:t>Additions (a)</w:t>
            </w: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5"/>
                <w:szCs w:val="15"/>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(Loss)</w:t>
            </w: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86"/>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35"/>
        </w:trPr>
        <w:tc>
          <w:tcPr>
            <w:tcW w:w="21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AFS Technologies, Inc.</w:t>
            </w: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45,342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4,742</w:t>
            </w:r>
          </w:p>
        </w:tc>
        <w:tc>
          <w:tcPr>
            <w:tcW w:w="3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60"/>
              <w:spacing w:after="0" w:line="135" w:lineRule="exact"/>
              <w:rPr>
                <w:sz w:val="20"/>
                <w:szCs w:val="20"/>
                <w:color w:val="auto"/>
              </w:rPr>
            </w:pPr>
            <w:r>
              <w:rPr>
                <w:rFonts w:ascii="Arial" w:cs="Arial" w:eastAsia="Arial" w:hAnsi="Arial"/>
                <w:sz w:val="14"/>
                <w:szCs w:val="14"/>
                <w:color w:val="auto"/>
                <w:w w:val="73"/>
              </w:rPr>
              <w:t>(294)</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279</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gridSpan w:val="2"/>
            <w:shd w:val="clear" w:color="auto" w:fill="CCEEFF"/>
          </w:tcPr>
          <w:p>
            <w:pPr>
              <w:ind w:left="240"/>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50,069</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120"/>
              <w:spacing w:after="0" w:line="135" w:lineRule="exact"/>
              <w:rPr>
                <w:sz w:val="20"/>
                <w:szCs w:val="20"/>
                <w:color w:val="auto"/>
              </w:rPr>
            </w:pPr>
            <w:r>
              <w:rPr>
                <w:rFonts w:ascii="Arial" w:cs="Arial" w:eastAsia="Arial" w:hAnsi="Arial"/>
                <w:sz w:val="14"/>
                <w:szCs w:val="14"/>
                <w:color w:val="auto"/>
                <w:w w:val="76"/>
              </w:rPr>
              <w:t>19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1,248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38,590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1,489</w:t>
            </w:r>
          </w:p>
        </w:tc>
        <w:tc>
          <w:tcPr>
            <w:tcW w:w="180" w:type="dxa"/>
            <w:vAlign w:val="bottom"/>
          </w:tcPr>
          <w:p>
            <w:pPr>
              <w:spacing w:after="0"/>
              <w:rPr>
                <w:sz w:val="12"/>
                <w:szCs w:val="12"/>
                <w:color w:val="auto"/>
              </w:rPr>
            </w:pPr>
          </w:p>
        </w:tc>
        <w:tc>
          <w:tcPr>
            <w:tcW w:w="11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39,993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8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83,932</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6,231</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(528)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427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90,062</w:t>
            </w:r>
          </w:p>
        </w:tc>
        <w:tc>
          <w:tcPr>
            <w:tcW w:w="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31</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2,411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80" w:right="440" w:hanging="332"/>
        <w:spacing w:after="0" w:line="253" w:lineRule="auto"/>
        <w:tabs>
          <w:tab w:leader="none" w:pos="8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right="300" w:hanging="332"/>
        <w:spacing w:after="0" w:line="238" w:lineRule="auto"/>
        <w:tabs>
          <w:tab w:leader="none" w:pos="88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540" w:right="80" w:hanging="424"/>
        <w:spacing w:after="0" w:line="233"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60" w:type="dxa"/>
            <w:vAlign w:val="bottom"/>
            <w:gridSpan w:val="16"/>
          </w:tcPr>
          <w:p>
            <w:pPr>
              <w:spacing w:after="0"/>
              <w:rPr>
                <w:sz w:val="20"/>
                <w:szCs w:val="20"/>
                <w:color w:val="auto"/>
              </w:rPr>
            </w:pPr>
            <w:r>
              <w:rPr>
                <w:rFonts w:ascii="Arial" w:cs="Arial" w:eastAsia="Arial" w:hAnsi="Arial"/>
                <w:sz w:val="14"/>
                <w:szCs w:val="14"/>
                <w:b w:val="1"/>
                <w:bCs w:val="1"/>
                <w:color w:val="auto"/>
                <w:w w:val="97"/>
              </w:rPr>
              <w:t>Controlled, Affiliated Investments during the three months ended March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168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Additions (a)</w:t>
            </w:r>
          </w:p>
        </w:tc>
        <w:tc>
          <w:tcPr>
            <w:tcW w:w="180" w:type="dxa"/>
            <w:vAlign w:val="bottom"/>
          </w:tcPr>
          <w:p>
            <w:pPr>
              <w:spacing w:after="0"/>
              <w:rPr>
                <w:sz w:val="15"/>
                <w:szCs w:val="15"/>
                <w:color w:val="auto"/>
              </w:rPr>
            </w:pPr>
          </w:p>
        </w:tc>
        <w:tc>
          <w:tcPr>
            <w:tcW w:w="9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89"/>
              </w:rPr>
              <w:t>Reductions (b)</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0"/>
              </w:rPr>
              <w:t>(Loss)</w:t>
            </w: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86"/>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36"/>
        </w:trPr>
        <w:tc>
          <w:tcPr>
            <w:tcW w:w="22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IRGSE Holding Corp.</w:t>
            </w: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34,527</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center"/>
              <w:ind w:left="268"/>
              <w:spacing w:after="0" w:line="135" w:lineRule="exact"/>
              <w:rPr>
                <w:sz w:val="20"/>
                <w:szCs w:val="20"/>
                <w:color w:val="auto"/>
              </w:rPr>
            </w:pPr>
            <w:r>
              <w:rPr>
                <w:rFonts w:ascii="Arial" w:cs="Arial" w:eastAsia="Arial" w:hAnsi="Arial"/>
                <w:sz w:val="14"/>
                <w:szCs w:val="14"/>
                <w:color w:val="auto"/>
                <w:w w:val="96"/>
              </w:rPr>
              <w:t>1,262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(922)</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40"/>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34,867</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0"/>
                <w:szCs w:val="10"/>
                <w:color w:val="auto"/>
                <w:w w:val="71"/>
              </w:rPr>
              <w:t>5</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937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21,978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(2,745)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19,233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56,505</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1,262</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(3,667)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54,100</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5</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1,439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880" w:right="440" w:hanging="332"/>
        <w:spacing w:after="0" w:line="230" w:lineRule="auto"/>
        <w:tabs>
          <w:tab w:leader="none" w:pos="880" w:val="left"/>
        </w:tabs>
        <w:numPr>
          <w:ilvl w:val="1"/>
          <w:numId w:val="61"/>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880" w:right="300" w:hanging="332"/>
        <w:spacing w:after="0" w:line="232" w:lineRule="auto"/>
        <w:tabs>
          <w:tab w:leader="none" w:pos="880" w:val="left"/>
        </w:tabs>
        <w:numPr>
          <w:ilvl w:val="1"/>
          <w:numId w:val="61"/>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540" w:right="240" w:hanging="424"/>
        <w:spacing w:after="0" w:line="230"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March 31, 2019, the estimated cost basis of investments for U.S. federal tax purposes was $1,825,595, resulting in estimated gross unrealized gains and losses of $86,883 and $82,732, respectively.</w:t>
      </w:r>
    </w:p>
    <w:p>
      <w:pPr>
        <w:ind w:left="540" w:right="28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540" w:right="10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In accordance with Financial Accounting Standards Board Accounting Standards Codification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54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equity investment is non-income producing.</w:t>
      </w:r>
    </w:p>
    <w:p>
      <w:pPr>
        <w:ind w:left="540" w:right="14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Ownership of equity investments may occur through a holding company or partnership.</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in the section entitled “Certain Relationships and Related Party Transactions” in our 2019 Annual Proxy is incorporated herein by reference.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information in the sections entitled “Election of Directors” and “Security Ownership of Certain Beneficial Owners and Management” in our 2019 Annual Proxy is incorporated herein by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4"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77"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4"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9" w:lineRule="exact"/>
        <w:rPr>
          <w:sz w:val="20"/>
          <w:szCs w:val="20"/>
          <w:color w:val="auto"/>
        </w:rPr>
      </w:pPr>
    </w:p>
    <w:p>
      <w:pPr>
        <w:ind w:left="120" w:right="240" w:firstLine="440"/>
        <w:spacing w:after="0" w:line="269" w:lineRule="auto"/>
        <w:rPr>
          <w:sz w:val="20"/>
          <w:szCs w:val="20"/>
          <w:color w:val="auto"/>
        </w:rPr>
      </w:pPr>
      <w:r>
        <w:rPr>
          <w:rFonts w:ascii="Arial" w:cs="Arial" w:eastAsia="Arial" w:hAnsi="Arial"/>
          <w:sz w:val="17"/>
          <w:szCs w:val="17"/>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8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76"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20"/>
          </w:cols>
          <w:pgMar w:left="320" w:top="459" w:right="6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Example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20%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2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9"/>
        </w:trPr>
        <w:tc>
          <w:tcPr>
            <w:tcW w:w="2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16.25</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13.68</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15.44</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65,412,817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68,683,458</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78,495,380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16.11</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Arial" w:cs="Arial" w:eastAsia="Arial" w:hAnsi="Arial"/>
                <w:sz w:val="14"/>
                <w:szCs w:val="14"/>
                <w:color w:val="auto"/>
              </w:rPr>
              <w:t>Shares Held by Stockholder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65,413</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65,413</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Percentage Held by Stockholder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Total Net Asset Value Held by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1,063,202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1,060,662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1,053,519</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1,027,732</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1,010,008</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Total Investment by Stockholder A</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(Assumed to be $16.25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1,063,202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1,063,202</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1,063,202</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1,063,202</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1,063,202</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Total Dilution to Stockholder A (Total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420"/>
              <w:spacing w:after="0" w:line="149" w:lineRule="exact"/>
              <w:rPr>
                <w:sz w:val="20"/>
                <w:szCs w:val="20"/>
                <w:color w:val="auto"/>
              </w:rPr>
            </w:pPr>
            <w:r>
              <w:rPr>
                <w:rFonts w:ascii="Arial" w:cs="Arial" w:eastAsia="Arial" w:hAnsi="Arial"/>
                <w:sz w:val="14"/>
                <w:szCs w:val="14"/>
                <w:color w:val="auto"/>
              </w:rPr>
              <w:t>Net Asset Value Less Total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420"/>
              <w:spacing w:after="0"/>
              <w:rPr>
                <w:sz w:val="20"/>
                <w:szCs w:val="20"/>
                <w:color w:val="auto"/>
              </w:rPr>
            </w:pPr>
            <w:r>
              <w:rPr>
                <w:rFonts w:ascii="Arial" w:cs="Arial" w:eastAsia="Arial" w:hAnsi="Arial"/>
                <w:sz w:val="14"/>
                <w:szCs w:val="14"/>
                <w:color w:val="auto"/>
              </w:rPr>
              <w:t>Investment)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(2,539)</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(9,682)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(35,470)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(53,194)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Investment per Share Held by</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Stockholder A (Assumed to be $16.25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per Share on Shares Held Prior to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16.25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Net Asset Value per Share Held by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16.21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16.11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15.71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15.44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 per Share Held by Stockholder</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 (Net Asset Value per Share Less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(0.14)</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(0.81)</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 to Stockholder A</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420"/>
              <w:spacing w:after="0" w:line="149" w:lineRule="exact"/>
              <w:rPr>
                <w:sz w:val="20"/>
                <w:szCs w:val="20"/>
                <w:color w:val="auto"/>
              </w:rPr>
            </w:pPr>
            <w:r>
              <w:rPr>
                <w:rFonts w:ascii="Arial" w:cs="Arial" w:eastAsia="Arial" w:hAnsi="Arial"/>
                <w:sz w:val="14"/>
                <w:szCs w:val="14"/>
                <w:color w:val="auto"/>
              </w:rPr>
              <w:t>(Dilution per Share Divided by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(0.89%)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9"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9"/>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Following Sale</w:t>
            </w:r>
          </w:p>
        </w:tc>
        <w:tc>
          <w:tcPr>
            <w:tcW w:w="4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Following Sale</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13.68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65,412,817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78,495,380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78,495,380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16.25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Held by Stockholder A</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65,413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71,954</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85,037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Total Net Asset Value Held by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Stockholder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1,063,202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1,130,505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6.33%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1,336,051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25.66%</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$16.25 per Share on Shares Held Prior to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1,063,202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1,152,714</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1,331,739</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Asset Value Less Total Investment)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(22,209)</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4,312</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Investment per Share Held by Stockholder A (Assumed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 be $16.25 per Share on Shares Held Prior to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16.02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15.71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 Value per Share Less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(0.31)</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 (Dilution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540"/>
              <w:spacing w:after="0"/>
              <w:rPr>
                <w:sz w:val="20"/>
                <w:szCs w:val="20"/>
                <w:color w:val="auto"/>
              </w:rPr>
            </w:pPr>
            <w:r>
              <w:rPr>
                <w:rFonts w:ascii="Arial" w:cs="Arial" w:eastAsia="Arial" w:hAnsi="Arial"/>
                <w:sz w:val="18"/>
                <w:szCs w:val="18"/>
                <w:color w:val="auto"/>
              </w:rPr>
              <w:t>per Share Divided by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Example 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Example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28"/>
        </w:trPr>
        <w:tc>
          <w:tcPr>
            <w:tcW w:w="2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Arial" w:cs="Arial" w:eastAsia="Arial" w:hAnsi="Arial"/>
                <w:sz w:val="14"/>
                <w:szCs w:val="14"/>
                <w:b w:val="1"/>
                <w:bCs w:val="1"/>
                <w:color w:val="auto"/>
                <w:w w:val="99"/>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7"/>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Arial" w:cs="Arial" w:eastAsia="Arial" w:hAnsi="Arial"/>
                <w:sz w:val="14"/>
                <w:szCs w:val="14"/>
                <w:b w:val="1"/>
                <w:bCs w:val="1"/>
                <w:color w:val="auto"/>
                <w:w w:val="99"/>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Sale</w:t>
            </w:r>
          </w:p>
        </w:tc>
        <w:tc>
          <w:tcPr>
            <w:tcW w:w="80" w:type="dxa"/>
            <w:vAlign w:val="bottom"/>
          </w:tcPr>
          <w:p>
            <w:pPr>
              <w:spacing w:after="0"/>
              <w:rPr>
                <w:sz w:val="14"/>
                <w:szCs w:val="14"/>
                <w:color w:val="auto"/>
              </w:rPr>
            </w:pPr>
          </w:p>
        </w:tc>
        <w:tc>
          <w:tcPr>
            <w:tcW w:w="96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3"/>
              </w:rPr>
              <w:t>Discount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3"/>
              </w:rPr>
              <w:t>Below</w:t>
            </w:r>
          </w:p>
        </w:tc>
        <w:tc>
          <w:tcPr>
            <w:tcW w:w="104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9"/>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8"/>
        </w:trPr>
        <w:tc>
          <w:tcPr>
            <w:tcW w:w="2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Arial" w:cs="Arial" w:eastAsia="Arial" w:hAnsi="Arial"/>
                <w:sz w:val="14"/>
                <w:szCs w:val="14"/>
                <w:b w:val="1"/>
                <w:bCs w:val="1"/>
                <w:color w:val="auto"/>
              </w:rPr>
              <w:t>Decrease/Increase to Net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Arial" w:cs="Arial" w:eastAsia="Arial" w:hAnsi="Arial"/>
                <w:sz w:val="14"/>
                <w:szCs w:val="14"/>
                <w:b w:val="1"/>
                <w:bCs w:val="1"/>
                <w:color w:val="auto"/>
              </w:rPr>
              <w:t>Asset 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65,412,817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68,683,458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78,495,380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Shares Offered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3,270,641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6,541,282</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13,082,563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16,353,204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16.21</w:t>
            </w:r>
          </w:p>
        </w:tc>
        <w:tc>
          <w:tcPr>
            <w:tcW w:w="7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16.11</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15.71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15.44</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Investor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3,271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6,541</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13,083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16,353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53,033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105,352</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205,546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252,501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Public)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53,148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100,701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179,025</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209,794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Total Dilution/Accretion to Investor A (Total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Asset Value Less Total Investment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4,650</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26,521</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42,707</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Net Asset Value per Share Held by Investor</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16.21</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16.11</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15.71</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15.44</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Dilution/Accretion per Share Held by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40"/>
              <w:spacing w:after="0" w:line="149" w:lineRule="exact"/>
              <w:rPr>
                <w:sz w:val="20"/>
                <w:szCs w:val="20"/>
                <w:color w:val="auto"/>
              </w:rPr>
            </w:pPr>
            <w:r>
              <w:rPr>
                <w:rFonts w:ascii="Arial" w:cs="Arial" w:eastAsia="Arial" w:hAnsi="Arial"/>
                <w:sz w:val="14"/>
                <w:szCs w:val="14"/>
                <w:color w:val="auto"/>
              </w:rPr>
              <w:t>Investor A (Net Asset Value per Share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40"/>
              <w:spacing w:after="0"/>
              <w:rPr>
                <w:sz w:val="20"/>
                <w:szCs w:val="20"/>
                <w:color w:val="auto"/>
              </w:rPr>
            </w:pPr>
            <w:r>
              <w:rPr>
                <w:rFonts w:ascii="Arial" w:cs="Arial" w:eastAsia="Arial" w:hAnsi="Arial"/>
                <w:sz w:val="14"/>
                <w:szCs w:val="14"/>
                <w:color w:val="auto"/>
              </w:rPr>
              <w:t>Less Investment per Share)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(0.04)</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0.71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2.03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2.61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Percentage Dilution/Accretion to Investor A</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(Dilution per Share Divided by Investment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information under the heading “Dividend Reinvestment Plan” in Part I, Item I of our 2018 Annual Report is incorporated herein by reference.</w:t>
      </w:r>
    </w:p>
    <w:p>
      <w:pPr>
        <w:spacing w:after="0" w:line="24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2"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9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540" w:right="60" w:hanging="331"/>
        <w:spacing w:after="0" w:line="259" w:lineRule="auto"/>
        <w:tabs>
          <w:tab w:leader="none" w:pos="15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540" w:hanging="331"/>
        <w:spacing w:after="0" w:line="286" w:lineRule="auto"/>
        <w:tabs>
          <w:tab w:leader="none" w:pos="15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5"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spacing w:after="0" w:line="2"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1"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1080" w:right="16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92"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4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5"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1080" w:right="4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0"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Under applicable U.S. Treasury regulations, if a U.S. stockholder recognizes a loss with respect to our common stock or preferred stock of</w:t>
      </w:r>
    </w:p>
    <w:p>
      <w:pPr>
        <w:spacing w:after="0" w:line="23"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320" w:top="459" w:right="5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presents our outstanding classes of securities as of May 6,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w w:val="94"/>
              </w:rPr>
              <w:t>Amount Held by Us or for Our</w:t>
            </w:r>
          </w:p>
        </w:tc>
        <w:tc>
          <w:tcPr>
            <w:tcW w:w="2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1860" w:type="dxa"/>
            <w:vAlign w:val="bottom"/>
            <w:vMerge w:val="restart"/>
          </w:tcPr>
          <w:p>
            <w:pPr>
              <w:spacing w:after="0"/>
              <w:rPr>
                <w:sz w:val="12"/>
                <w:szCs w:val="12"/>
                <w:color w:val="auto"/>
              </w:rPr>
            </w:pPr>
          </w:p>
        </w:tc>
        <w:tc>
          <w:tcPr>
            <w:tcW w:w="2320" w:type="dxa"/>
            <w:vAlign w:val="bottom"/>
            <w:gridSpan w:val="2"/>
            <w:vMerge w:val="restart"/>
          </w:tcPr>
          <w:p>
            <w:pPr>
              <w:jc w:val="right"/>
              <w:ind w:right="1080"/>
              <w:spacing w:after="0"/>
              <w:rPr>
                <w:sz w:val="20"/>
                <w:szCs w:val="20"/>
                <w:color w:val="auto"/>
              </w:rPr>
            </w:pPr>
            <w:r>
              <w:rPr>
                <w:rFonts w:ascii="Arial" w:cs="Arial" w:eastAsia="Arial" w:hAnsi="Arial"/>
                <w:sz w:val="14"/>
                <w:szCs w:val="14"/>
                <w:b w:val="1"/>
                <w:bCs w:val="1"/>
                <w:color w:val="auto"/>
                <w:w w:val="93"/>
              </w:rPr>
              <w:t>Amount Authorized</w:t>
            </w:r>
          </w:p>
        </w:tc>
        <w:tc>
          <w:tcPr>
            <w:tcW w:w="2980" w:type="dxa"/>
            <w:vAlign w:val="bottom"/>
            <w:gridSpan w:val="2"/>
            <w:vMerge w:val="continue"/>
          </w:tcPr>
          <w:p>
            <w:pPr>
              <w:spacing w:after="0"/>
              <w:rPr>
                <w:sz w:val="12"/>
                <w:szCs w:val="12"/>
                <w:color w:val="auto"/>
              </w:rPr>
            </w:pPr>
          </w:p>
        </w:tc>
        <w:tc>
          <w:tcPr>
            <w:tcW w:w="21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980" w:type="dxa"/>
            <w:vAlign w:val="bottom"/>
            <w:gridSpan w:val="2"/>
          </w:tcPr>
          <w:p>
            <w:pPr>
              <w:ind w:left="700"/>
              <w:spacing w:after="0" w:line="158" w:lineRule="exact"/>
              <w:rPr>
                <w:sz w:val="20"/>
                <w:szCs w:val="20"/>
                <w:color w:val="auto"/>
              </w:rPr>
            </w:pPr>
            <w:r>
              <w:rPr>
                <w:rFonts w:ascii="Arial" w:cs="Arial" w:eastAsia="Arial" w:hAnsi="Arial"/>
                <w:sz w:val="14"/>
                <w:szCs w:val="14"/>
                <w:b w:val="1"/>
                <w:bCs w:val="1"/>
                <w:color w:val="auto"/>
              </w:rPr>
              <w:t>Account</w:t>
            </w:r>
          </w:p>
        </w:tc>
        <w:tc>
          <w:tcPr>
            <w:tcW w:w="21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Account</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w:t>
            </w:r>
          </w:p>
        </w:tc>
        <w:tc>
          <w:tcPr>
            <w:tcW w:w="10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89,080</w:t>
            </w:r>
          </w:p>
        </w:tc>
        <w:tc>
          <w:tcPr>
            <w:tcW w:w="10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66,031,076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65"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70"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1080" w:right="26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10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4"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6"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1080" w:right="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4"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7" w:lineRule="exact"/>
        <w:rPr>
          <w:sz w:val="20"/>
          <w:szCs w:val="20"/>
          <w:color w:val="auto"/>
        </w:rPr>
      </w:pPr>
    </w:p>
    <w:p>
      <w:pPr>
        <w:ind w:left="108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jc w:val="both"/>
        <w:ind w:left="1080" w:right="140" w:hanging="424"/>
        <w:spacing w:after="0" w:line="34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60"/>
          </w:cols>
          <w:pgMar w:left="320" w:top="459" w:right="7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right="1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6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4"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1080" w:right="3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57" w:lineRule="auto"/>
        <w:rPr>
          <w:sz w:val="20"/>
          <w:szCs w:val="20"/>
          <w:color w:val="auto"/>
        </w:rPr>
      </w:pPr>
      <w:r>
        <w:rPr>
          <w:rFonts w:ascii="Arial" w:cs="Arial" w:eastAsia="Arial" w:hAnsi="Arial"/>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sz w:val="20"/>
          <w:szCs w:val="20"/>
          <w:color w:val="auto"/>
        </w:rPr>
      </w:pPr>
    </w:p>
    <w:p>
      <w:pPr>
        <w:ind w:left="1080" w:hanging="424"/>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applicable prospectus supplement occurs.</w:t>
      </w:r>
    </w:p>
    <w:p>
      <w:pPr>
        <w:spacing w:after="0" w:line="23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9" w:lineRule="exact"/>
        <w:rPr>
          <w:sz w:val="20"/>
          <w:szCs w:val="20"/>
          <w:color w:val="auto"/>
        </w:rPr>
      </w:pPr>
    </w:p>
    <w:p>
      <w:pPr>
        <w:ind w:left="1080" w:right="80" w:hanging="424"/>
        <w:spacing w:after="0" w:line="308"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1"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1080" w:right="60" w:hanging="424"/>
        <w:spacing w:after="0" w:line="275"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40" w:right="4620" w:hanging="4884"/>
        <w:spacing w:after="0" w:line="490" w:lineRule="auto"/>
        <w:tabs>
          <w:tab w:leader="none" w:pos="1094" w:val="left"/>
        </w:tabs>
        <w:numPr>
          <w:ilvl w:val="0"/>
          <w:numId w:val="93"/>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76</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1080" w:hanging="424"/>
        <w:spacing w:after="0" w:line="34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10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3" w:lineRule="exact"/>
        <w:rPr>
          <w:sz w:val="20"/>
          <w:szCs w:val="20"/>
          <w:color w:val="auto"/>
        </w:rPr>
      </w:pPr>
    </w:p>
    <w:p>
      <w:pPr>
        <w:ind w:left="1080" w:right="160" w:hanging="424"/>
        <w:spacing w:after="0" w:line="286"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1080" w:right="20" w:hanging="424"/>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60" w:hanging="424"/>
        <w:spacing w:after="0" w:line="286"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hanging="424"/>
        <w:spacing w:after="0" w:line="296"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66"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6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information in the section entitled “Regulation as a Business Development Company” in Part I, Item 1 of our 2018 Annual Report is incorporated herein by reference.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“Available Information” below for more information regarding where you can obtain a copy of our codes of ethics and the Proxy Voting Policies and Procedures of our Advisor.</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660"/>
          </w:cols>
          <w:pgMar w:left="320" w:top="459" w:right="9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$118,545.27.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8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3" w:lineRule="exact"/>
        <w:rPr>
          <w:sz w:val="20"/>
          <w:szCs w:val="20"/>
          <w:color w:val="auto"/>
        </w:rPr>
      </w:pPr>
    </w:p>
    <w:p>
      <w:pPr>
        <w:jc w:val="both"/>
        <w:ind w:left="1080" w:right="200" w:hanging="424"/>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1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2018, filed with the SEC on </w:t>
      </w:r>
      <w:hyperlink r:id="rId213">
        <w:r>
          <w:rPr>
            <w:rFonts w:ascii="Arial" w:cs="Arial" w:eastAsia="Arial" w:hAnsi="Arial"/>
            <w:sz w:val="18"/>
            <w:szCs w:val="18"/>
            <w:u w:val="single" w:color="auto"/>
            <w:color w:val="0000EE"/>
          </w:rPr>
          <w:t>February 20, 2019</w:t>
        </w:r>
      </w:hyperlink>
      <w:r>
        <w:rPr>
          <w:rFonts w:ascii="Arial" w:cs="Arial" w:eastAsia="Arial" w:hAnsi="Arial"/>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214">
        <w:r>
          <w:rPr>
            <w:rFonts w:ascii="Arial" w:cs="Arial" w:eastAsia="Arial" w:hAnsi="Arial"/>
            <w:sz w:val="18"/>
            <w:szCs w:val="18"/>
            <w:u w:val="single" w:color="auto"/>
            <w:color w:val="0000EE"/>
          </w:rPr>
          <w:t>April 5, 2019</w:t>
        </w:r>
      </w:hyperlink>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1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2019, filed with the SEC on May 2, 2019;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16">
        <w:r>
          <w:rPr>
            <w:rFonts w:ascii="Arial" w:cs="Arial" w:eastAsia="Arial" w:hAnsi="Arial"/>
            <w:sz w:val="18"/>
            <w:szCs w:val="18"/>
            <w:u w:val="single" w:color="auto"/>
            <w:color w:val="0000EE"/>
          </w:rPr>
          <w:t>February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7">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8" w:lineRule="exact"/>
        <w:rPr>
          <w:rFonts w:ascii="Arial" w:cs="Arial" w:eastAsia="Arial" w:hAnsi="Arial"/>
          <w:sz w:val="18"/>
          <w:szCs w:val="18"/>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4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IRTSL@tpg.com.</w:t>
      </w:r>
    </w:p>
    <w:p>
      <w:pPr>
        <w:spacing w:after="0" w:line="211" w:lineRule="exact"/>
        <w:rPr>
          <w:rFonts w:ascii="Arial" w:cs="Arial" w:eastAsia="Arial" w:hAnsi="Arial"/>
          <w:sz w:val="18"/>
          <w:szCs w:val="18"/>
          <w:color w:val="auto"/>
        </w:rPr>
      </w:pPr>
    </w:p>
    <w:p>
      <w:pPr>
        <w:ind w:left="120" w:firstLine="44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8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1077595</wp:posOffset>
            </wp:positionV>
            <wp:extent cx="1602740" cy="522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16027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1143635</wp:posOffset>
            </wp:positionV>
            <wp:extent cx="1474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22" w:lineRule="exact"/>
        <w:rPr>
          <w:sz w:val="20"/>
          <w:szCs w:val="20"/>
          <w:color w:val="auto"/>
        </w:rPr>
      </w:pPr>
    </w:p>
    <w:p>
      <w:pPr>
        <w:ind w:left="120"/>
        <w:spacing w:after="0"/>
        <w:tabs>
          <w:tab w:leader="none" w:pos="5200" w:val="left"/>
          <w:tab w:leader="none" w:pos="9460" w:val="left"/>
        </w:tabs>
        <w:rPr>
          <w:sz w:val="20"/>
          <w:szCs w:val="20"/>
          <w:color w:val="auto"/>
        </w:rPr>
      </w:pP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7"/>
          <w:szCs w:val="27"/>
          <w:b w:val="1"/>
          <w:bCs w:val="1"/>
          <w:color w:val="auto"/>
        </w:rPr>
        <w:t>SMBC Nikko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1146175</wp:posOffset>
            </wp:positionV>
            <wp:extent cx="1474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5"/>
    </w:lvl>
  </w:abstractNum>
  <w:abstractNum w:abstractNumId="22">
    <w:nsid w:val="61574095"/>
    <w:multiLevelType w:val="hybridMultilevel"/>
    <w:lvl w:ilvl="0">
      <w:lvlJc w:val="left"/>
      <w:lvlText w:val="(%1)"/>
      <w:numFmt w:val="lowerRoman"/>
      <w:start w:val="1"/>
    </w:lvl>
  </w:abstractNum>
  <w:abstractNum w:abstractNumId="23">
    <w:nsid w:val="7E0C57B1"/>
    <w:multiLevelType w:val="hybridMultilevel"/>
    <w:lvl w:ilvl="0">
      <w:lvlJc w:val="left"/>
      <w:lvlText w:val="(%1)"/>
      <w:numFmt w:val="lowerRoman"/>
      <w:start w:val="5"/>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lowerLetter"/>
      <w:start w:val="1"/>
    </w:lvl>
    <w:lvl w:ilvl="1">
      <w:lvlJc w:val="left"/>
      <w:lvlText w:val="(%2)"/>
      <w:numFmt w:val="lowerRoman"/>
      <w:start w:val="1"/>
    </w:lvl>
  </w:abstractNum>
  <w:abstractNum w:abstractNumId="31">
    <w:nsid w:val="4AD084E9"/>
    <w:multiLevelType w:val="hybridMultilevel"/>
    <w:lvl w:ilvl="0">
      <w:lvlJc w:val="left"/>
      <w:lvlText w:val="(%1)"/>
      <w:numFmt w:val="lowerLetter"/>
      <w:start w:val="1"/>
    </w:lvl>
    <w:lvl w:ilvl="1">
      <w:lvlJc w:val="left"/>
      <w:lvlText w:val="(%2)"/>
      <w:numFmt w:val="lowerRoman"/>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lvl w:ilvl="1">
      <w:lvlJc w:val="left"/>
      <w:lvlText w:val="•"/>
      <w:numFmt w:val="bullet"/>
      <w:start w:val="1"/>
    </w:lvl>
  </w:abstractNum>
  <w:abstractNum w:abstractNumId="36">
    <w:nsid w:val="6590700B"/>
    <w:multiLevelType w:val="hybridMultilevel"/>
    <w:lvl w:ilvl="0">
      <w:lvlJc w:val="left"/>
      <w:lvlText w:val="•"/>
      <w:numFmt w:val="bullet"/>
      <w:start w:val="1"/>
    </w:lvl>
    <w:lvl w:ilvl="1">
      <w:lvlJc w:val="left"/>
      <w:lvlText w:val="•"/>
      <w:numFmt w:val="bullet"/>
      <w:start w:val="1"/>
    </w:lvl>
  </w:abstractNum>
  <w:abstractNum w:abstractNumId="37">
    <w:nsid w:val="15014ACB"/>
    <w:multiLevelType w:val="hybridMultilevel"/>
    <w:lvl w:ilvl="0">
      <w:lvlJc w:val="left"/>
      <w:lvlText w:val="•"/>
      <w:numFmt w:val="bullet"/>
      <w:start w:val="1"/>
    </w:lvl>
    <w:lvl w:ilvl="1">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1)"/>
      <w:numFmt w:val="decimal"/>
      <w:start w:val="817"/>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6"/>
    </w:lvl>
  </w:abstractNum>
  <w:abstractNum w:abstractNumId="45">
    <w:nsid w:val="661E3F1E"/>
    <w:multiLevelType w:val="hybridMultilevel"/>
    <w:lvl w:ilvl="0">
      <w:lvlJc w:val="left"/>
      <w:lvlText w:val="(%1)"/>
      <w:numFmt w:val="decimal"/>
      <w:start w:val="8"/>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1)"/>
      <w:numFmt w:val="decimal"/>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decimal"/>
      <w:start w:val="1"/>
    </w:lvl>
    <w:lvl w:ilvl="1">
      <w:lvlJc w:val="left"/>
      <w:lvlText w:val="(%2)"/>
      <w:numFmt w:val="lowerLetter"/>
      <w:start w:val="2"/>
    </w:lvl>
  </w:abstractNum>
  <w:abstractNum w:abstractNumId="59">
    <w:nsid w:val="4962813B"/>
    <w:multiLevelType w:val="hybridMultilevel"/>
    <w:lvl w:ilvl="0">
      <w:lvlJc w:val="left"/>
      <w:lvlText w:val="(%1)"/>
      <w:numFmt w:val="decimal"/>
      <w:start w:val="7"/>
    </w:lvl>
    <w:lvl w:ilvl="1">
      <w:lvlJc w:val="left"/>
      <w:lvlText w:val="%2"/>
      <w:numFmt w:val="lowerLetter"/>
      <w:start w:val="1"/>
    </w:lvl>
  </w:abstractNum>
  <w:abstractNum w:abstractNumId="60">
    <w:nsid w:val="60B6DF70"/>
    <w:multiLevelType w:val="hybridMultilevel"/>
    <w:lvl w:ilvl="0">
      <w:lvlJc w:val="left"/>
      <w:lvlText w:val="%1"/>
      <w:numFmt w:val="decimal"/>
      <w:start w:val="1"/>
    </w:lvl>
    <w:lvl w:ilvl="1">
      <w:lvlJc w:val="left"/>
      <w:lvlText w:val="(%2)"/>
      <w:numFmt w:val="lowerLetter"/>
      <w:start w:val="1"/>
    </w:lvl>
  </w:abstractNum>
  <w:abstractNum w:abstractNumId="61">
    <w:nsid w:val="6A5EE64"/>
    <w:multiLevelType w:val="hybridMultilevel"/>
    <w:lvl w:ilvl="0">
      <w:lvlJc w:val="left"/>
      <w:lvlText w:val="(%1)"/>
      <w:numFmt w:val="decimal"/>
      <w:start w:val="8"/>
    </w:lvl>
    <w:lvl w:ilvl="1">
      <w:lvlJc w:val="left"/>
      <w:lvlText w:val="%2"/>
      <w:numFmt w:val="lowerLetter"/>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lvl w:ilvl="1">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1)"/>
      <w:numFmt w:val="lowerRoman"/>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jpe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jpe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15" Type="http://schemas.openxmlformats.org/officeDocument/2006/relationships/hyperlink" Target="http://www.sec.gov/Archives/edgar/data/1508655/000156459020005268/tslx-10k_20191231.htm" TargetMode="External"/><Relationship Id="rId16" Type="http://schemas.openxmlformats.org/officeDocument/2006/relationships/hyperlink" Target="http://www.sec.gov/Archives/edgar/data/1508655/000119312520110610/d917340ddef14a.htm" TargetMode="External"/><Relationship Id="rId17" Type="http://schemas.openxmlformats.org/officeDocument/2006/relationships/hyperlink" Target="http://www.sec.gov/Archives/edgar/data/1508655/000156459020021239/tslx-10q_20200331.htm" TargetMode="External"/><Relationship Id="rId18" Type="http://schemas.openxmlformats.org/officeDocument/2006/relationships/hyperlink" Target="http://www.sec.gov/Archives/edgar/data/1508655/000156459020036104/tslx-10q_20200630.htm" TargetMode="External"/><Relationship Id="rId19" Type="http://schemas.openxmlformats.org/officeDocument/2006/relationships/hyperlink" Target="http://www.sec.gov/Archives/edgar/data/1508655/000156459020050467/tslx-10q_20200930.htm" TargetMode="External"/><Relationship Id="rId20" Type="http://schemas.openxmlformats.org/officeDocument/2006/relationships/hyperlink" Target="http://www.sec.gov/Archives/edgar/data/1508655/000119312520162177/d927002d8k.htm" TargetMode="External"/><Relationship Id="rId21" Type="http://schemas.openxmlformats.org/officeDocument/2006/relationships/hyperlink" Target="http://www.sec.gov/Archives/edgar/data/1508655/000119312520174009/d936084d8k.htm" TargetMode="External"/><Relationship Id="rId22" Type="http://schemas.openxmlformats.org/officeDocument/2006/relationships/hyperlink" Target="http://www.sec.gov/Archives/edgar/data/1508655/000119312520269413/d21454d8k.htm" TargetMode="External"/><Relationship Id="rId213" Type="http://schemas.openxmlformats.org/officeDocument/2006/relationships/hyperlink" Target="http://www.sec.gov/Archives/edgar/data/1508655/000156459019003442/tslx-10k_20181231.htm" TargetMode="External"/><Relationship Id="rId214" Type="http://schemas.openxmlformats.org/officeDocument/2006/relationships/hyperlink" Target="http://www.sec.gov/Archives/edgar/data/1508655/000119312519099195/d928549ddef14a.htm" TargetMode="External"/><Relationship Id="rId215" Type="http://schemas.openxmlformats.org/officeDocument/2006/relationships/hyperlink" Target="http://www.sec.gov/Archives/edgar/data/1508655/000156459019015321/tslx-10q_20190331.htm" TargetMode="External"/><Relationship Id="rId216" Type="http://schemas.openxmlformats.org/officeDocument/2006/relationships/hyperlink" Target="http://www.sec.gov/Archives/edgar/data/1508655/000119312519025867/d642257d8k.htm" TargetMode="External"/><Relationship Id="rId217"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2021-01-27T07:49:05Z</dcterms:created>
  <dcterms:modified xsi:type="dcterms:W3CDTF">2021-01-27T07:49:05Z</dcterms:modified>
</cp:coreProperties>
</file>