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83"/>
        </w:trPr>
        <w:tc>
          <w:tcPr>
            <w:tcW w:w="2080" w:type="dxa"/>
            <w:vAlign w:val="bottom"/>
          </w:tcPr>
          <w:p>
            <w:pPr>
              <w:spacing w:after="0"/>
              <w:rPr>
                <w:sz w:val="20"/>
                <w:szCs w:val="20"/>
                <w:color w:val="auto"/>
              </w:rPr>
            </w:pPr>
            <w:r>
              <w:rPr>
                <w:rFonts w:ascii="Times New Roman" w:cs="Times New Roman" w:eastAsia="Times New Roman" w:hAnsi="Times New Roman"/>
                <w:sz w:val="22"/>
                <w:szCs w:val="22"/>
                <w:color w:val="auto"/>
              </w:rPr>
              <w:t>SEC Form 3</w:t>
            </w:r>
          </w:p>
        </w:tc>
        <w:tc>
          <w:tcPr>
            <w:tcW w:w="7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80" w:type="dxa"/>
            <w:vAlign w:val="bottom"/>
          </w:tcPr>
          <w:p>
            <w:pPr>
              <w:ind w:left="700"/>
              <w:spacing w:after="0" w:line="268" w:lineRule="exact"/>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7120" w:type="dxa"/>
            <w:vAlign w:val="bottom"/>
            <w:vMerge w:val="restart"/>
          </w:tcPr>
          <w:p>
            <w:pPr>
              <w:jc w:val="center"/>
              <w:ind w:left="4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7"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193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19354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20" w:type="dxa"/>
            <w:vAlign w:val="bottom"/>
            <w:gridSpan w:val="2"/>
            <w:vMerge w:val="restart"/>
          </w:tcPr>
          <w:p>
            <w:pPr>
              <w:spacing w:after="0"/>
              <w:rPr>
                <w:rFonts w:ascii="Times New Roman" w:cs="Times New Roman" w:eastAsia="Times New Roman" w:hAnsi="Times New Roman"/>
                <w:sz w:val="22"/>
                <w:szCs w:val="22"/>
                <w:color w:val="0000EE"/>
              </w:rPr>
            </w:pPr>
            <w:hyperlink r:id="rId11">
              <w:r>
                <w:rPr>
                  <w:rFonts w:ascii="Times New Roman" w:cs="Times New Roman" w:eastAsia="Times New Roman" w:hAnsi="Times New Roman"/>
                  <w:sz w:val="22"/>
                  <w:szCs w:val="22"/>
                  <w:color w:val="0000EE"/>
                </w:rPr>
                <w:t>Reintjes David</w:t>
              </w:r>
            </w:hyperlink>
          </w:p>
        </w:tc>
        <w:tc>
          <w:tcPr>
            <w:tcW w:w="1380" w:type="dxa"/>
            <w:vAlign w:val="bottom"/>
          </w:tcPr>
          <w:p>
            <w:pPr>
              <w:ind w:left="160"/>
              <w:spacing w:after="0" w:line="118" w:lineRule="exact"/>
              <w:rPr>
                <w:sz w:val="20"/>
                <w:szCs w:val="20"/>
                <w:color w:val="auto"/>
              </w:rPr>
            </w:pPr>
            <w:r>
              <w:rPr>
                <w:rFonts w:ascii="Arial" w:cs="Arial" w:eastAsia="Arial" w:hAnsi="Arial"/>
                <w:sz w:val="12"/>
                <w:szCs w:val="12"/>
                <w:color w:val="auto"/>
              </w:rPr>
              <w:t>Requiring Statement</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20" w:type="dxa"/>
            <w:vAlign w:val="bottom"/>
            <w:gridSpan w:val="2"/>
            <w:vMerge w:val="continue"/>
          </w:tcPr>
          <w:p>
            <w:pPr>
              <w:spacing w:after="0"/>
              <w:rPr>
                <w:sz w:val="13"/>
                <w:szCs w:val="13"/>
                <w:color w:val="auto"/>
              </w:rPr>
            </w:pPr>
          </w:p>
        </w:tc>
        <w:tc>
          <w:tcPr>
            <w:tcW w:w="1380" w:type="dxa"/>
            <w:vAlign w:val="bottom"/>
          </w:tcPr>
          <w:p>
            <w:pPr>
              <w:ind w:left="160"/>
              <w:spacing w:after="0" w:line="152"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00" w:type="dxa"/>
            <w:vAlign w:val="bottom"/>
            <w:tcBorders>
              <w:top w:val="single" w:sz="8" w:color="0000EE"/>
              <w:bottom w:val="single" w:sz="8" w:color="9A9A9A"/>
            </w:tcBorders>
          </w:tcPr>
          <w:p>
            <w:pPr>
              <w:spacing w:after="0"/>
              <w:rPr>
                <w:sz w:val="15"/>
                <w:szCs w:val="15"/>
                <w:color w:val="auto"/>
              </w:rPr>
            </w:pPr>
          </w:p>
        </w:tc>
        <w:tc>
          <w:tcPr>
            <w:tcW w:w="19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Times New Roman" w:cs="Times New Roman" w:eastAsia="Times New Roman" w:hAnsi="Times New Roman"/>
                <w:sz w:val="18"/>
                <w:szCs w:val="18"/>
                <w:color w:val="0000FF"/>
              </w:rPr>
              <w:t>03/15/2011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u w:val="single" w:color="auto"/>
            <w:color w:val="0000EE"/>
          </w:rPr>
          <w:t>TPG Specialty Lending,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N/A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9" w:lineRule="exact"/>
        <w:rPr>
          <w:sz w:val="24"/>
          <w:szCs w:val="24"/>
          <w:color w:val="auto"/>
        </w:rPr>
      </w:pPr>
    </w:p>
    <w:p>
      <w:pPr>
        <w:sectPr>
          <w:pgSz w:w="11900" w:h="16838" w:orient="portrait"/>
          <w:cols w:equalWidth="0" w:num="2">
            <w:col w:w="4720" w:space="480"/>
            <w:col w:w="6220"/>
          </w:cols>
          <w:pgMar w:left="240" w:top="220" w:right="23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C/O TPG CAPITAL, L.P.</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301 COMMERCE ST., SUITE 3300</w:t>
      </w:r>
    </w:p>
    <w:p>
      <w:pPr>
        <w:spacing w:after="0" w:line="290"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900" w:type="dxa"/>
            <w:vAlign w:val="bottom"/>
          </w:tcPr>
          <w:p>
            <w:pPr>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FORT</w:t>
            </w:r>
          </w:p>
        </w:tc>
        <w:tc>
          <w:tcPr>
            <w:tcW w:w="88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0000FF"/>
              </w:rPr>
              <w:t>TX</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rPr>
              <w:t>76102</w:t>
            </w:r>
          </w:p>
        </w:tc>
        <w:tc>
          <w:tcPr>
            <w:tcW w:w="0" w:type="dxa"/>
            <w:vAlign w:val="bottom"/>
          </w:tcPr>
          <w:p>
            <w:pPr>
              <w:spacing w:after="0"/>
              <w:rPr>
                <w:sz w:val="1"/>
                <w:szCs w:val="1"/>
                <w:color w:val="auto"/>
              </w:rPr>
            </w:pPr>
          </w:p>
        </w:tc>
      </w:tr>
      <w:tr>
        <w:trPr>
          <w:trHeight w:val="120"/>
        </w:trPr>
        <w:tc>
          <w:tcPr>
            <w:tcW w:w="9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0000FF"/>
              </w:rPr>
              <w:t>WORTH</w:t>
            </w:r>
          </w:p>
        </w:tc>
        <w:tc>
          <w:tcPr>
            <w:tcW w:w="88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90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50"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 w:lineRule="exact"/>
        <w:rPr>
          <w:sz w:val="24"/>
          <w:szCs w:val="24"/>
          <w:color w:val="auto"/>
        </w:rPr>
      </w:pPr>
    </w:p>
    <w:tbl>
      <w:tblPr>
        <w:tblLayout w:type="fixed"/>
        <w:tblInd w:w="206" w:type="dxa"/>
        <w:tblCellMar>
          <w:top w:w="0" w:type="dxa"/>
          <w:left w:w="0" w:type="dxa"/>
          <w:bottom w:w="0" w:type="dxa"/>
          <w:right w:w="0" w:type="dxa"/>
        </w:tblCellMar>
      </w:tblPr>
      <w:tr>
        <w:trPr>
          <w:trHeight w:val="180"/>
        </w:trPr>
        <w:tc>
          <w:tcPr>
            <w:tcW w:w="220" w:type="dxa"/>
            <w:vAlign w:val="bottom"/>
          </w:tcPr>
          <w:p>
            <w:pPr>
              <w:spacing w:after="0"/>
              <w:rPr>
                <w:sz w:val="15"/>
                <w:szCs w:val="15"/>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71"/>
        </w:trPr>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23"/>
        </w:trPr>
        <w:tc>
          <w:tcPr>
            <w:tcW w:w="220" w:type="dxa"/>
            <w:vAlign w:val="bottom"/>
            <w:vMerge w:val="continue"/>
          </w:tcPr>
          <w:p>
            <w:pPr>
              <w:spacing w:after="0"/>
              <w:rPr>
                <w:sz w:val="10"/>
                <w:szCs w:val="10"/>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8"/>
        </w:trPr>
        <w:tc>
          <w:tcPr>
            <w:tcW w:w="22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1086"/>
        <w:spacing w:after="0"/>
        <w:rPr>
          <w:sz w:val="20"/>
          <w:szCs w:val="20"/>
          <w:color w:val="auto"/>
        </w:rPr>
      </w:pPr>
      <w:r>
        <w:rPr>
          <w:rFonts w:ascii="Times New Roman" w:cs="Times New Roman" w:eastAsia="Times New Roman" w:hAnsi="Times New Roman"/>
          <w:sz w:val="18"/>
          <w:szCs w:val="18"/>
          <w:color w:val="0000FF"/>
        </w:rPr>
        <w:t>See Remark (4)</w:t>
      </w:r>
    </w:p>
    <w:p>
      <w:pPr>
        <w:spacing w:after="0" w:line="20" w:lineRule="exact"/>
        <w:rPr>
          <w:sz w:val="24"/>
          <w:szCs w:val="24"/>
          <w:color w:val="auto"/>
        </w:rPr>
      </w:pPr>
      <w:r>
        <w:rPr>
          <w:sz w:val="24"/>
          <w:szCs w:val="24"/>
          <w:color w:val="auto"/>
        </w:rPr>
        <w:br w:type="column"/>
      </w:r>
    </w:p>
    <w:p>
      <w:pPr>
        <w:ind w:left="3" w:right="480" w:hanging="3"/>
        <w:spacing w:after="0" w:line="250"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12" w:lineRule="exact"/>
        <w:rPr>
          <w:rFonts w:ascii="Arial" w:cs="Arial" w:eastAsia="Arial" w:hAnsi="Arial"/>
          <w:sz w:val="14"/>
          <w:szCs w:val="14"/>
          <w:color w:val="auto"/>
        </w:rPr>
      </w:pPr>
    </w:p>
    <w:p>
      <w:pPr>
        <w:ind w:left="3" w:right="380" w:hanging="3"/>
        <w:spacing w:after="0" w:line="250"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25" w:lineRule="exact"/>
        <w:rPr>
          <w:sz w:val="24"/>
          <w:szCs w:val="24"/>
          <w:color w:val="auto"/>
        </w:rPr>
      </w:pPr>
    </w:p>
    <w:p>
      <w:pPr>
        <w:ind w:left="483" w:hanging="316"/>
        <w:spacing w:after="0"/>
        <w:tabs>
          <w:tab w:leader="none" w:pos="483" w:val="left"/>
        </w:tabs>
        <w:numPr>
          <w:ilvl w:val="0"/>
          <w:numId w:val="3"/>
        </w:numPr>
        <w:rPr>
          <w:rFonts w:ascii="Times New Roman" w:cs="Times New Roman" w:eastAsia="Times New Roman" w:hAnsi="Times New Roman"/>
          <w:sz w:val="16"/>
          <w:szCs w:val="16"/>
          <w:color w:val="0000FF"/>
        </w:rPr>
      </w:pPr>
      <w:r>
        <w:rPr>
          <w:rFonts w:ascii="Arial" w:cs="Arial" w:eastAsia="Arial" w:hAnsi="Arial"/>
          <w:sz w:val="13"/>
          <w:szCs w:val="13"/>
          <w:color w:val="auto"/>
        </w:rPr>
        <w:t>Form filed by One Reporting Person</w:t>
      </w:r>
    </w:p>
    <w:p>
      <w:pPr>
        <w:spacing w:after="0" w:line="62" w:lineRule="exact"/>
        <w:rPr>
          <w:rFonts w:ascii="Times New Roman" w:cs="Times New Roman" w:eastAsia="Times New Roman" w:hAnsi="Times New Roman"/>
          <w:sz w:val="16"/>
          <w:szCs w:val="16"/>
          <w:color w:val="0000FF"/>
        </w:rPr>
      </w:pPr>
    </w:p>
    <w:p>
      <w:pPr>
        <w:ind w:left="483" w:right="640"/>
        <w:spacing w:after="0" w:line="250" w:lineRule="auto"/>
        <w:rPr>
          <w:rFonts w:ascii="Times New Roman" w:cs="Times New Roman" w:eastAsia="Times New Roman" w:hAnsi="Times New Roman"/>
          <w:sz w:val="16"/>
          <w:szCs w:val="16"/>
          <w:color w:val="0000FF"/>
        </w:rPr>
      </w:pPr>
      <w:r>
        <w:rPr>
          <w:rFonts w:ascii="Arial" w:cs="Arial" w:eastAsia="Arial" w:hAnsi="Arial"/>
          <w:sz w:val="14"/>
          <w:szCs w:val="14"/>
          <w:color w:val="auto"/>
        </w:rPr>
        <w:t>Form filed by More than One Reporting Person</w:t>
      </w:r>
    </w:p>
    <w:p>
      <w:pPr>
        <w:spacing w:after="0" w:line="257" w:lineRule="exact"/>
        <w:rPr>
          <w:sz w:val="24"/>
          <w:szCs w:val="24"/>
          <w:color w:val="auto"/>
        </w:rPr>
      </w:pPr>
    </w:p>
    <w:p>
      <w:pPr>
        <w:sectPr>
          <w:pgSz w:w="11900" w:h="16838" w:orient="portrait"/>
          <w:cols w:equalWidth="0" w:num="3">
            <w:col w:w="4474" w:space="720"/>
            <w:col w:w="3006" w:space="397"/>
            <w:col w:w="2823"/>
          </w:cols>
          <w:pgMar w:left="240" w:top="220" w:right="239" w:bottom="1440" w:gutter="0" w:footer="0" w:header="0"/>
          <w:type w:val="continuous"/>
        </w:sectPr>
      </w:pPr>
    </w:p>
    <w:p>
      <w:pPr>
        <w:spacing w:after="0" w:line="109"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90"/>
        </w:trPr>
        <w:tc>
          <w:tcPr>
            <w:tcW w:w="344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6"/>
                <w:szCs w:val="16"/>
                <w:color w:val="auto"/>
              </w:rPr>
            </w:pPr>
          </w:p>
        </w:tc>
      </w:tr>
      <w:tr>
        <w:trPr>
          <w:trHeight w:val="38"/>
        </w:trPr>
        <w:tc>
          <w:tcPr>
            <w:tcW w:w="3440" w:type="dxa"/>
            <w:vAlign w:val="bottom"/>
            <w:tcBorders>
              <w:bottom w:val="single" w:sz="8" w:color="2C2C2C"/>
            </w:tcBorders>
          </w:tcPr>
          <w:p>
            <w:pPr>
              <w:spacing w:after="0"/>
              <w:rPr>
                <w:sz w:val="3"/>
                <w:szCs w:val="3"/>
                <w:color w:val="auto"/>
              </w:rPr>
            </w:pPr>
          </w:p>
        </w:tc>
        <w:tc>
          <w:tcPr>
            <w:tcW w:w="36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tcPr>
          <w:p>
            <w:pPr>
              <w:spacing w:after="0"/>
              <w:rPr>
                <w:sz w:val="3"/>
                <w:szCs w:val="3"/>
                <w:color w:val="auto"/>
              </w:rPr>
            </w:pPr>
          </w:p>
        </w:tc>
        <w:tc>
          <w:tcPr>
            <w:tcW w:w="3000" w:type="dxa"/>
            <w:vAlign w:val="bottom"/>
            <w:tcBorders>
              <w:bottom w:val="single" w:sz="8" w:color="2C2C2C"/>
            </w:tcBorders>
          </w:tcPr>
          <w:p>
            <w:pPr>
              <w:spacing w:after="0"/>
              <w:rPr>
                <w:sz w:val="3"/>
                <w:szCs w:val="3"/>
                <w:color w:val="auto"/>
              </w:rPr>
            </w:pPr>
          </w:p>
        </w:tc>
      </w:tr>
    </w:tbl>
    <w:p>
      <w:pPr>
        <w:spacing w:after="0" w:line="40" w:lineRule="exact"/>
        <w:rPr>
          <w:sz w:val="24"/>
          <w:szCs w:val="24"/>
          <w:color w:val="auto"/>
        </w:rPr>
      </w:pPr>
    </w:p>
    <w:tbl>
      <w:tblPr>
        <w:tblLayout w:type="fixed"/>
        <w:tblInd w:w="0" w:type="dxa"/>
        <w:tblCellMar>
          <w:top w:w="0" w:type="dxa"/>
          <w:left w:w="0" w:type="dxa"/>
          <w:bottom w:w="0" w:type="dxa"/>
          <w:right w:w="0" w:type="dxa"/>
        </w:tblCellMar>
      </w:tblPr>
      <w:tr>
        <w:trPr>
          <w:trHeight w:val="336"/>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rPr>
              <w:t>No securities are beneficially owned</w:t>
            </w:r>
            <w:r>
              <w:rPr>
                <w:rFonts w:ascii="Times New Roman" w:cs="Times New Roman" w:eastAsia="Times New Roman" w:hAnsi="Times New Roman"/>
                <w:sz w:val="22"/>
                <w:szCs w:val="22"/>
                <w:color w:val="008000"/>
                <w:vertAlign w:val="superscript"/>
              </w:rPr>
              <w:t>(1)(2)</w:t>
            </w:r>
          </w:p>
        </w:tc>
        <w:tc>
          <w:tcPr>
            <w:tcW w:w="5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tcPr>
          <w:p>
            <w:pPr>
              <w:jc w:val="right"/>
              <w:ind w:right="547"/>
              <w:spacing w:after="0"/>
              <w:rPr>
                <w:sz w:val="20"/>
                <w:szCs w:val="20"/>
                <w:color w:val="auto"/>
              </w:rPr>
            </w:pPr>
            <w:r>
              <w:rPr>
                <w:rFonts w:ascii="Times New Roman" w:cs="Times New Roman" w:eastAsia="Times New Roman" w:hAnsi="Times New Roman"/>
                <w:sz w:val="18"/>
                <w:szCs w:val="18"/>
                <w:color w:val="0000FF"/>
              </w:rPr>
              <w:t>0</w:t>
            </w:r>
          </w:p>
        </w:tc>
        <w:tc>
          <w:tcPr>
            <w:tcW w:w="1220" w:type="dxa"/>
            <w:vAlign w:val="bottom"/>
            <w:tcBorders>
              <w:bottom w:val="single" w:sz="8" w:color="2C2C2C"/>
            </w:tcBorders>
          </w:tcPr>
          <w:p>
            <w:pPr>
              <w:ind w:left="980"/>
              <w:spacing w:after="0"/>
              <w:rPr>
                <w:sz w:val="20"/>
                <w:szCs w:val="20"/>
                <w:color w:val="auto"/>
              </w:rPr>
            </w:pPr>
            <w:r>
              <w:rPr>
                <w:rFonts w:ascii="Times New Roman" w:cs="Times New Roman" w:eastAsia="Times New Roman" w:hAnsi="Times New Roman"/>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308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5780" w:type="dxa"/>
            <w:vAlign w:val="bottom"/>
            <w:gridSpan w:val="6"/>
          </w:tcPr>
          <w:p>
            <w:pPr>
              <w:ind w:left="2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0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2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0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500" w:type="dxa"/>
            <w:vAlign w:val="bottom"/>
          </w:tcPr>
          <w:p>
            <w:pPr>
              <w:spacing w:after="0"/>
              <w:rPr>
                <w:sz w:val="15"/>
                <w:szCs w:val="15"/>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3080" w:type="dxa"/>
            <w:vAlign w:val="bottom"/>
          </w:tcPr>
          <w:p>
            <w:pPr>
              <w:spacing w:after="0"/>
              <w:rPr>
                <w:sz w:val="6"/>
                <w:szCs w:val="6"/>
                <w:color w:val="auto"/>
              </w:rPr>
            </w:pPr>
          </w:p>
        </w:tc>
        <w:tc>
          <w:tcPr>
            <w:tcW w:w="5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3080" w:type="dxa"/>
            <w:vAlign w:val="bottom"/>
          </w:tcPr>
          <w:p>
            <w:pPr>
              <w:spacing w:after="0"/>
              <w:rPr>
                <w:sz w:val="4"/>
                <w:szCs w:val="4"/>
                <w:color w:val="auto"/>
              </w:rPr>
            </w:pPr>
          </w:p>
        </w:tc>
        <w:tc>
          <w:tcPr>
            <w:tcW w:w="5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2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880" w:type="dxa"/>
            <w:vAlign w:val="bottom"/>
          </w:tcPr>
          <w:p>
            <w:pPr>
              <w:ind w:left="80"/>
              <w:spacing w:after="0" w:line="141"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41"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Date</w:t>
            </w:r>
          </w:p>
        </w:tc>
        <w:tc>
          <w:tcPr>
            <w:tcW w:w="8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Expiration</w:t>
            </w:r>
          </w:p>
        </w:tc>
        <w:tc>
          <w:tcPr>
            <w:tcW w:w="1500" w:type="dxa"/>
            <w:vAlign w:val="bottom"/>
          </w:tcPr>
          <w:p>
            <w:pPr>
              <w:spacing w:after="0"/>
              <w:rPr>
                <w:sz w:val="12"/>
                <w:szCs w:val="12"/>
                <w:color w:val="auto"/>
              </w:rPr>
            </w:pPr>
          </w:p>
        </w:tc>
        <w:tc>
          <w:tcPr>
            <w:tcW w:w="1220" w:type="dxa"/>
            <w:vAlign w:val="bottom"/>
          </w:tcPr>
          <w:p>
            <w:pPr>
              <w:ind w:left="620"/>
              <w:spacing w:after="0" w:line="143"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5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Title</w:t>
            </w:r>
          </w:p>
        </w:tc>
        <w:tc>
          <w:tcPr>
            <w:tcW w:w="12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00" w:type="dxa"/>
            <w:vAlign w:val="bottom"/>
            <w:vMerge w:val="continue"/>
          </w:tcPr>
          <w:p>
            <w:pPr>
              <w:spacing w:after="0"/>
              <w:rPr>
                <w:sz w:val="16"/>
                <w:szCs w:val="16"/>
                <w:color w:val="auto"/>
              </w:rPr>
            </w:pPr>
          </w:p>
        </w:tc>
        <w:tc>
          <w:tcPr>
            <w:tcW w:w="1220" w:type="dxa"/>
            <w:vAlign w:val="bottom"/>
          </w:tcPr>
          <w:p>
            <w:pPr>
              <w:ind w:left="6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80"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4"/>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David Reintjes does not directly own any securities of TPG Specialty Lending, Inc. (the "Issuer").</w:t>
      </w:r>
    </w:p>
    <w:p>
      <w:pPr>
        <w:spacing w:after="0" w:line="41" w:lineRule="exact"/>
        <w:rPr>
          <w:rFonts w:ascii="Times New Roman" w:cs="Times New Roman" w:eastAsia="Times New Roman" w:hAnsi="Times New Roman"/>
          <w:sz w:val="14"/>
          <w:szCs w:val="14"/>
          <w:color w:val="008000"/>
        </w:rPr>
      </w:pPr>
    </w:p>
    <w:p>
      <w:pPr>
        <w:jc w:val="both"/>
        <w:ind w:left="40" w:right="100" w:firstLine="9"/>
        <w:spacing w:after="0" w:line="278" w:lineRule="auto"/>
        <w:tabs>
          <w:tab w:leader="none" w:pos="175" w:val="left"/>
        </w:tabs>
        <w:numPr>
          <w:ilvl w:val="0"/>
          <w:numId w:val="4"/>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Mr. Reintjes is the Chief Compliance Officer of TPG Capital, L.P., which is affiliated with Tarrant Advisors, Inc., a Texas corporation ("Tarrant"), which, as of the date hereof, directly holds 1,000 shares of Common Stock (the "Tarrant Stock") of the Issuer. Mr. Reintjes disclaims beneficial ownership of the shares of Tarrant Stock that are or may be beneficially owned by Tarrant or any of its affiliates, including Tarrant Capital Advisors, Inc. and TPG Group Holdings (SBS) Advisors, Inc. Pursuant to Rule 16a-1(a)(4) under the Securities Exchange Act of 1934, as amended (the "Exchange Act"), this filing shall not be deemed an admission that Mr. Reintjes is, for purposes of Section 16 of the Exchange Act or otherwise, the beneficial owner of any securities of the Issuer directly held by Tarrant or any of its affiliates.</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2"/>
          <w:szCs w:val="12"/>
          <w:color w:val="008000"/>
        </w:rPr>
        <w:t>(3) Ronald Cami is signing on behalf of Mr. Reintjes pursuant to an authorization and designation letter dated March 10, 2011, which is filed herewith as Exhibit A. (4) Chief Compliance Officer and Secretary</w:t>
      </w:r>
    </w:p>
    <w:p>
      <w:pPr>
        <w:ind w:left="6860"/>
        <w:spacing w:after="0" w:line="194" w:lineRule="auto"/>
        <w:rPr>
          <w:sz w:val="20"/>
          <w:szCs w:val="20"/>
          <w:color w:val="auto"/>
        </w:rPr>
      </w:pPr>
      <w:r>
        <w:rPr>
          <w:rFonts w:ascii="Times New Roman" w:cs="Times New Roman" w:eastAsia="Times New Roman" w:hAnsi="Times New Roman"/>
          <w:sz w:val="18"/>
          <w:szCs w:val="18"/>
          <w:color w:val="0000FF"/>
        </w:rPr>
        <w:t xml:space="preserve">/s/ By: Ronald Cami, on behalf </w:t>
      </w:r>
      <w:r>
        <w:rPr>
          <w:rFonts w:ascii="Times New Roman" w:cs="Times New Roman" w:eastAsia="Times New Roman" w:hAnsi="Times New Roman"/>
          <w:sz w:val="35"/>
          <w:szCs w:val="35"/>
          <w:color w:val="0000FF"/>
          <w:vertAlign w:val="subscript"/>
        </w:rPr>
        <w:t>03/15/2011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868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386840" cy="8890"/>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8"/>
          <w:szCs w:val="18"/>
          <w:color w:val="0000FF"/>
        </w:rPr>
        <w:t>of David Reintjes (3)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9442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4424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21"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0" w:right="239" w:bottom="144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363220</wp:posOffset>
            </wp:positionH>
            <wp:positionV relativeFrom="page">
              <wp:posOffset>88900</wp:posOffset>
            </wp:positionV>
            <wp:extent cx="1517650" cy="7118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517650" cy="711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March 10, 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Securities and Exchange Commission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450 Fifth Street, NW</w:t>
      </w:r>
    </w:p>
    <w:p>
      <w:pP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right="159" w:firstLine="2187"/>
        <w:spacing w:after="0" w:line="262" w:lineRule="auto"/>
        <w:rPr>
          <w:sz w:val="20"/>
          <w:szCs w:val="20"/>
          <w:color w:val="auto"/>
        </w:rPr>
      </w:pPr>
      <w:r>
        <w:rPr>
          <w:rFonts w:ascii="Times New Roman" w:cs="Times New Roman" w:eastAsia="Times New Roman" w:hAnsi="Times New Roman"/>
          <w:sz w:val="21"/>
          <w:szCs w:val="21"/>
          <w:color w:val="auto"/>
        </w:rPr>
        <w:t>This letter confirms that Ronald Cami and John E. Viola are authorized and designated to sign all securities related filings with the Securities and Exchange Commission, including Forms 3, 4 and 5, on my behalf. This authorization and designation shall be valid for three years from the date of this letter.</w:t>
      </w:r>
    </w:p>
    <w:p>
      <w:pPr>
        <w:spacing w:after="0" w:line="155"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0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2"/>
          <w:szCs w:val="22"/>
          <w:color w:val="auto"/>
        </w:rPr>
        <w:t>/s/ David Reintjes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3843655</wp:posOffset>
            </wp:positionH>
            <wp:positionV relativeFrom="paragraph">
              <wp:posOffset>-13970</wp:posOffset>
            </wp:positionV>
            <wp:extent cx="12579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57935" cy="8890"/>
                    </a:xfrm>
                    <a:prstGeom prst="rect">
                      <a:avLst/>
                    </a:prstGeom>
                    <a:noFill/>
                  </pic:spPr>
                </pic:pic>
              </a:graphicData>
            </a:graphic>
          </wp:anchor>
        </w:drawing>
      </w:r>
    </w:p>
    <w:p>
      <w:pPr>
        <w:ind w:left="6040"/>
        <w:spacing w:after="0"/>
        <w:rPr>
          <w:sz w:val="20"/>
          <w:szCs w:val="20"/>
          <w:color w:val="auto"/>
        </w:rPr>
      </w:pPr>
      <w:r>
        <w:rPr>
          <w:rFonts w:ascii="Times New Roman" w:cs="Times New Roman" w:eastAsia="Times New Roman" w:hAnsi="Times New Roman"/>
          <w:sz w:val="22"/>
          <w:szCs w:val="22"/>
          <w:color w:val="auto"/>
        </w:rPr>
        <w:t>David Reintjes</w:t>
      </w:r>
    </w:p>
    <w:sectPr>
      <w:pgSz w:w="11900" w:h="16838" w:orient="portrait"/>
      <w:cols w:equalWidth="0" w:num="1">
        <w:col w:w="9879"/>
      </w:cols>
      <w:pgMar w:left="58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jpeg"/><Relationship Id="rId17" Type="http://schemas.openxmlformats.org/officeDocument/2006/relationships/image" Target="media/image8.png"/><Relationship Id="rId11" Type="http://schemas.openxmlformats.org/officeDocument/2006/relationships/hyperlink" Target="http://www.sec.gov/cgi-bin/browse-edgar?action=getcompany&amp;CIK=0001515133" TargetMode="External"/><Relationship Id="rId12"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2019-12-18T01:36:01Z</dcterms:created>
  <dcterms:modified xsi:type="dcterms:W3CDTF">2019-12-18T01:36:01Z</dcterms:modified>
</cp:coreProperties>
</file>