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80" w:right="30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-3980815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-3535045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-2951480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-2505710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-2059940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-584835</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517" w:right="259" w:bottom="0" w:gutter="0" w:footer="0" w:header="0"/>
        </w:sectPr>
      </w:pPr>
    </w:p>
    <w:bookmarkStart w:id="1" w:name="page2"/>
    <w:bookmarkEnd w:id="1"/>
    <w:p>
      <w:pPr>
        <w:ind w:left="571" w:hanging="571"/>
        <w:spacing w:after="0"/>
        <w:tabs>
          <w:tab w:leader="none" w:pos="571"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886460</wp:posOffset>
            </wp:positionH>
            <wp:positionV relativeFrom="page">
              <wp:posOffset>226060</wp:posOffset>
            </wp:positionV>
            <wp:extent cx="65176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321310</wp:posOffset>
            </wp:positionV>
            <wp:extent cx="65176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19, 2015, TPG Specialty Lending, Inc. issued the following press release:</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TPG Specialty Lending, Inc. Reiterates Importance of Protecting Stockholder Value by Voting AGAINST All Proposals at Upcoming TICC Capital Corp. Special Meeting</w:t>
      </w:r>
    </w:p>
    <w:p>
      <w:pPr>
        <w:spacing w:after="0" w:line="166" w:lineRule="exact"/>
        <w:rPr>
          <w:sz w:val="20"/>
          <w:szCs w:val="20"/>
          <w:color w:val="auto"/>
        </w:rPr>
      </w:pPr>
    </w:p>
    <w:p>
      <w:pPr>
        <w:ind w:right="260"/>
        <w:spacing w:after="0" w:line="563" w:lineRule="auto"/>
        <w:rPr>
          <w:sz w:val="20"/>
          <w:szCs w:val="20"/>
          <w:color w:val="auto"/>
        </w:rPr>
      </w:pPr>
      <w:r>
        <w:rPr>
          <w:rFonts w:ascii="Arial" w:cs="Arial" w:eastAsia="Arial" w:hAnsi="Arial"/>
          <w:sz w:val="16"/>
          <w:szCs w:val="16"/>
          <w:b w:val="1"/>
          <w:bCs w:val="1"/>
          <w:i w:val="1"/>
          <w:iCs w:val="1"/>
          <w:color w:val="auto"/>
        </w:rPr>
        <w:t>The Benefit Street Partners Proposal Is Flawed Because It Rewards a Failed External Manager and Risks Further Destruction of Stockholder Value All Leading Proxy Advisory Firms and Five Out of Six of TICC’s Own Independent Analysts Oppose the Benefit Street Partners Proposal</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Only the TSLX Proposal Offers Stockholders an Immediate, Upfront Premium and the Opportunity to Participate in an Outperforming Platform</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NEW YORK—(BUSINESS WIRE)—TPG Specialty Lending, Inc. (“TSLX”; NYSE: TSLX), a specialty finance company focused on lending to middle-</w:t>
      </w:r>
    </w:p>
    <w:p>
      <w:pPr>
        <w:spacing w:after="0" w:line="35"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market companies, today sent a letter to all stockholders of TICC Capital Corp. (“TICC”; Nasdaq: TICC) urging them to vote the GOLD proxy card AGAINST management’s proposals at the upcoming special meeting of stockholders on October 27,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TICC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IS SHORT - PROTECT YOUR INVESTMENT AND VOTE THE ENCLOSED GOLD PROXY CARD TODAY</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behalf of TPG Specialty Lending, Inc. (“TSLX”), a publicly traded specialty finance company focused on lending to middle-market companies and a fellow stockholder of TICC Capital Corp. (“TICC”), we are writing to urge you to vote against the value-destroying transaction with Benefit Street Partners, LLC (“BSP”).</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 xml:space="preserve">Next week, </w:t>
      </w:r>
      <w:r>
        <w:rPr>
          <w:rFonts w:ascii="Arial" w:cs="Arial" w:eastAsia="Arial" w:hAnsi="Arial"/>
          <w:sz w:val="18"/>
          <w:szCs w:val="18"/>
          <w:color w:val="auto"/>
        </w:rPr>
        <w:t>on October 27</w:t>
      </w:r>
      <w:r>
        <w:rPr>
          <w:rFonts w:ascii="Arial" w:cs="Arial" w:eastAsia="Arial" w:hAnsi="Arial"/>
          <w:sz w:val="15"/>
          <w:szCs w:val="15"/>
          <w:color w:val="auto"/>
        </w:rPr>
        <w:t>th</w:t>
      </w:r>
      <w:r>
        <w:rPr>
          <w:rFonts w:ascii="Arial" w:cs="Arial" w:eastAsia="Arial" w:hAnsi="Arial"/>
          <w:sz w:val="18"/>
          <w:szCs w:val="18"/>
          <w:color w:val="auto"/>
        </w:rPr>
        <w:t>, the future of your investment in TICC will be decided at a special meeting of TICC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Vote against the BSP deal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the GOLD proxy card to stop a transaction that will reward an underperforming manager and send a message to the TICC board of directors (the “TICC Board”) that it should engage with TSLX on our superior proposal</w:t>
      </w:r>
      <w:r>
        <w:rPr>
          <w:rFonts w:ascii="Arial" w:cs="Arial" w:eastAsia="Arial" w:hAnsi="Arial"/>
          <w:sz w:val="18"/>
          <w:szCs w:val="18"/>
          <w:color w:val="auto"/>
        </w:rPr>
        <w:t>.</w:t>
      </w:r>
    </w:p>
    <w:p>
      <w:pPr>
        <w:sectPr>
          <w:pgSz w:w="11900" w:h="16838" w:orient="portrait"/>
          <w:cols w:equalWidth="0" w:num="1">
            <w:col w:w="11300"/>
          </w:cols>
          <w:pgMar w:left="240" w:top="274" w:right="359" w:bottom="1440" w:gutter="0" w:footer="0" w:header="0"/>
        </w:sectPr>
      </w:pPr>
    </w:p>
    <w:bookmarkStart w:id="3" w:name="page4"/>
    <w:bookmarkEnd w:id="3"/>
    <w:p>
      <w:pPr>
        <w:jc w:val="both"/>
        <w:ind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TSLX has proposed to acquire TICC in a stock-for-stock transaction that provides TICC stockholders a substantial upfront premium and the potential for long-term value creation behind TSLX’s industry-leading platform. TICC has refused to engage in meaningful discussions about our proposal. The TICC board asked us only cursory questions and then rejected our proposal just three business days after receiving it.</w:t>
      </w:r>
    </w:p>
    <w:p>
      <w:pPr>
        <w:spacing w:after="0" w:line="162"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THE BSP PROPOSAL IS FLAWED BECAUSE IT REWARDS A FAILED EXTERNAL MANAGER AND RISKS FURTHER DESTROYING THE VALUE OF YOUR INVESTMENT</w:t>
      </w:r>
    </w:p>
    <w:p>
      <w:pPr>
        <w:spacing w:after="0" w:line="16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TICC’s failed external manager will receive an estimated $60 million payout.</w:t>
      </w:r>
      <w:r>
        <w:rPr>
          <w:rFonts w:ascii="Arial" w:cs="Arial" w:eastAsia="Arial" w:hAnsi="Arial"/>
          <w:sz w:val="15"/>
          <w:szCs w:val="15"/>
          <w:color w:val="auto"/>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This is equivalent to approximately 16% of TICC’s market 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of the close of trading on September 15, 2015 (the day before we made our proposal public) and </w:t>
      </w:r>
      <w:r>
        <w:rPr>
          <w:rFonts w:ascii="Arial" w:cs="Arial" w:eastAsia="Arial" w:hAnsi="Arial"/>
          <w:sz w:val="18"/>
          <w:szCs w:val="18"/>
          <w:u w:val="single" w:color="auto"/>
          <w:color w:val="auto"/>
        </w:rPr>
        <w:t>COULD BE HIGHER</w:t>
      </w:r>
      <w:r>
        <w:rPr>
          <w:rFonts w:ascii="Arial" w:cs="Arial" w:eastAsia="Arial" w:hAnsi="Arial"/>
          <w:sz w:val="18"/>
          <w:szCs w:val="18"/>
          <w:color w:val="auto"/>
        </w:rPr>
        <w:t xml:space="preserve">.TICC stockholders have already paid $127 million in fees since TICC’s IPO to its manager, which has delivered </w:t>
      </w:r>
      <w:r>
        <w:rPr>
          <w:rFonts w:ascii="Arial" w:cs="Arial" w:eastAsia="Arial" w:hAnsi="Arial"/>
          <w:sz w:val="18"/>
          <w:szCs w:val="18"/>
          <w:u w:val="single" w:color="auto"/>
          <w:color w:val="auto"/>
        </w:rPr>
        <w:t>12 years of abysmal performance and underperformed U.S. Treasuries over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same period</w:t>
      </w:r>
      <w:r>
        <w:rPr>
          <w:rFonts w:ascii="Arial" w:cs="Arial" w:eastAsia="Arial" w:hAnsi="Arial"/>
          <w:sz w:val="18"/>
          <w:szCs w:val="18"/>
          <w:color w:val="auto"/>
        </w:rPr>
        <w:t>.</w:t>
      </w:r>
      <w:r>
        <w:rPr>
          <w:rFonts w:ascii="Arial" w:cs="Arial" w:eastAsia="Arial" w:hAnsi="Arial"/>
          <w:sz w:val="15"/>
          <w:szCs w:val="15"/>
          <w:color w:val="auto"/>
        </w:rPr>
        <w:t>2</w:t>
      </w:r>
    </w:p>
    <w:p>
      <w:pPr>
        <w:spacing w:after="0" w:line="180"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TICC’s Board is conflicted and is not acting in the interests of stockholders. </w:t>
      </w:r>
      <w:r>
        <w:rPr>
          <w:rFonts w:ascii="Arial" w:cs="Arial" w:eastAsia="Arial" w:hAnsi="Arial"/>
          <w:sz w:val="17"/>
          <w:szCs w:val="17"/>
          <w:u w:val="single" w:color="auto"/>
          <w:color w:val="auto"/>
        </w:rPr>
        <w:t>The TICC Special Committee was formed only after the TICC Board had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already approved the BSP transaction</w:t>
      </w:r>
      <w:r>
        <w:rPr>
          <w:rFonts w:ascii="Arial" w:cs="Arial" w:eastAsia="Arial" w:hAnsi="Arial"/>
          <w:sz w:val="17"/>
          <w:szCs w:val="17"/>
          <w:color w:val="auto"/>
        </w:rPr>
        <w:t>. A member of the Special Committee is paid $279,000 per year by other businesses related to the Chairman of TICC’s Board, who stands to gain financially from the BSP transaction.</w:t>
      </w:r>
      <w:r>
        <w:rPr>
          <w:rFonts w:ascii="Arial" w:cs="Arial" w:eastAsia="Arial" w:hAnsi="Arial"/>
          <w:sz w:val="14"/>
          <w:szCs w:val="14"/>
          <w:color w:val="auto"/>
        </w:rPr>
        <w:t>3</w:t>
      </w:r>
      <w:r>
        <w:rPr>
          <w:rFonts w:ascii="Arial" w:cs="Arial" w:eastAsia="Arial" w:hAnsi="Arial"/>
          <w:sz w:val="17"/>
          <w:szCs w:val="17"/>
          <w:color w:val="auto"/>
        </w:rPr>
        <w:t xml:space="preserve"> By failing to meaningfully explore alternatives for value creation, TICC’s Board is blatantly disregarding its fiduciary responsibilities under Section 15(c) of the Investment Company Act of 1940, as amended. </w:t>
      </w:r>
      <w:r>
        <w:rPr>
          <w:rFonts w:ascii="Arial" w:cs="Arial" w:eastAsia="Arial" w:hAnsi="Arial"/>
          <w:sz w:val="17"/>
          <w:szCs w:val="17"/>
          <w:u w:val="single" w:color="auto"/>
          <w:color w:val="auto"/>
        </w:rPr>
        <w:t>The BSP transaction does not promise</w:t>
      </w:r>
      <w:r>
        <w:rPr>
          <w:rFonts w:ascii="Arial" w:cs="Arial" w:eastAsia="Arial" w:hAnsi="Arial"/>
          <w:sz w:val="17"/>
          <w:szCs w:val="17"/>
          <w:color w:val="auto"/>
        </w:rPr>
        <w:t xml:space="preserve"> </w:t>
      </w:r>
      <w:r>
        <w:rPr>
          <w:rFonts w:ascii="Arial" w:cs="Arial" w:eastAsia="Arial" w:hAnsi="Arial"/>
          <w:sz w:val="17"/>
          <w:szCs w:val="17"/>
          <w:u w:val="single" w:color="auto"/>
          <w:color w:val="auto"/>
        </w:rPr>
        <w:t>better leadership – all three members of the Special Committee would keep their jobs</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BSP has very limited experience running a BDC.</w:t>
      </w:r>
      <w:r>
        <w:rPr>
          <w:rFonts w:ascii="Arial" w:cs="Arial" w:eastAsia="Arial" w:hAnsi="Arial"/>
          <w:sz w:val="14"/>
          <w:szCs w:val="14"/>
          <w:color w:val="auto"/>
        </w:rPr>
        <w:t>4</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Do not place the future of TICC, and of your investment, in the hands of an unproven manager</w:t>
      </w:r>
      <w:r>
        <w:rPr>
          <w:rFonts w:ascii="Arial" w:cs="Arial" w:eastAsia="Arial" w:hAnsi="Arial"/>
          <w:sz w:val="17"/>
          <w:szCs w:val="17"/>
          <w:color w:val="auto"/>
        </w:rPr>
        <w:t>.</w:t>
      </w:r>
    </w:p>
    <w:p>
      <w:pPr>
        <w:spacing w:after="0" w:line="237"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The BSP transaction will not protect the TICC distribution. </w:t>
      </w:r>
      <w:r>
        <w:rPr>
          <w:rFonts w:ascii="Arial" w:cs="Arial" w:eastAsia="Arial" w:hAnsi="Arial"/>
          <w:sz w:val="18"/>
          <w:szCs w:val="18"/>
          <w:color w:val="auto"/>
        </w:rPr>
        <w:t>The current TICC dividend is unsustainable. TICC has even said that a portion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company’s 2015 dividend distribution is a return of capital and </w:t>
      </w:r>
      <w:r>
        <w:rPr>
          <w:rFonts w:ascii="Arial" w:cs="Arial" w:eastAsia="Arial" w:hAnsi="Arial"/>
          <w:sz w:val="18"/>
          <w:szCs w:val="18"/>
          <w:u w:val="single" w:color="auto"/>
          <w:color w:val="auto"/>
        </w:rPr>
        <w:t>at least five equity analysts have indicated that the dividend will be cut</w:t>
      </w:r>
      <w:r>
        <w:rPr>
          <w:rFonts w:ascii="Arial" w:cs="Arial" w:eastAsia="Arial" w:hAnsi="Arial"/>
          <w:sz w:val="18"/>
          <w:szCs w:val="18"/>
          <w:color w:val="auto"/>
        </w:rPr>
        <w:t>. Neither TICC nor BSP has refuted these reports.</w:t>
      </w:r>
      <w:r>
        <w:rPr>
          <w:rFonts w:ascii="Arial" w:cs="Arial" w:eastAsia="Arial" w:hAnsi="Arial"/>
          <w:sz w:val="15"/>
          <w:szCs w:val="15"/>
          <w:color w:val="auto"/>
        </w:rPr>
        <w:t>5</w:t>
      </w:r>
    </w:p>
    <w:p>
      <w:pPr>
        <w:spacing w:after="0" w:line="17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ONLY TSLX IS OFFERING STOCKHOLDERS AN IMMEDIATE, UPFRONT PREMIUM AND THE OPPORTUNITY TO PARTICIPATE IN AN OUTPERFORMING PLATFORM</w:t>
      </w:r>
    </w:p>
    <w:p>
      <w:pPr>
        <w:spacing w:after="0" w:line="162"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TSLX would provide an immediate, upfront 20% premium to TICC stockholders </w:t>
      </w:r>
      <w:r>
        <w:rPr>
          <w:rFonts w:ascii="Arial" w:cs="Arial" w:eastAsia="Arial" w:hAnsi="Arial"/>
          <w:sz w:val="18"/>
          <w:szCs w:val="18"/>
          <w:color w:val="auto"/>
        </w:rPr>
        <w:t>based on the closing price of TICC stock on the day before we</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announced our proposal, September 15, 2015.</w:t>
      </w:r>
      <w:r>
        <w:rPr>
          <w:rFonts w:ascii="Arial" w:cs="Arial" w:eastAsia="Arial" w:hAnsi="Arial"/>
          <w:sz w:val="15"/>
          <w:szCs w:val="15"/>
          <w:color w:val="auto"/>
        </w:rPr>
        <w:t>6</w:t>
      </w:r>
    </w:p>
    <w:p>
      <w:pPr>
        <w:spacing w:after="0" w:line="162"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 xml:space="preserve">TICC stockholders have the opportunity to participate in TSLX’s leading platform that has consistently outperformed the sector. </w:t>
      </w:r>
      <w:r>
        <w:rPr>
          <w:rFonts w:ascii="Arial" w:cs="Arial" w:eastAsia="Arial" w:hAnsi="Arial"/>
          <w:sz w:val="18"/>
          <w:szCs w:val="18"/>
          <w:color w:val="auto"/>
        </w:rPr>
        <w:t>In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three</w:t>
      </w:r>
      <w:r>
        <w:rPr>
          <w:rFonts w:ascii="Arial" w:cs="Arial" w:eastAsia="Arial" w:hAnsi="Arial"/>
          <w:sz w:val="18"/>
          <w:szCs w:val="18"/>
          <w:b w:val="1"/>
          <w:bCs w:val="1"/>
          <w:color w:val="auto"/>
        </w:rPr>
        <w:t xml:space="preserve"> </w:t>
      </w:r>
      <w:r>
        <w:rPr>
          <w:rFonts w:ascii="Arial" w:cs="Arial" w:eastAsia="Arial" w:hAnsi="Arial"/>
          <w:sz w:val="18"/>
          <w:szCs w:val="18"/>
          <w:color w:val="auto"/>
        </w:rPr>
        <w:t>years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before we announced our proposal on September 15, 2015, </w:t>
      </w:r>
      <w:r>
        <w:rPr>
          <w:rFonts w:ascii="Arial" w:cs="Arial" w:eastAsia="Arial" w:hAnsi="Arial"/>
          <w:sz w:val="18"/>
          <w:szCs w:val="18"/>
          <w:u w:val="single" w:color="auto"/>
          <w:color w:val="auto"/>
        </w:rPr>
        <w:t>TSLX generated total stockholder returns of 51.6%, while the BDC sector generated 7.4%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TICC generated NEGATIVE 13.9%</w:t>
      </w:r>
      <w:r>
        <w:rPr>
          <w:rFonts w:ascii="Arial" w:cs="Arial" w:eastAsia="Arial" w:hAnsi="Arial"/>
          <w:sz w:val="18"/>
          <w:szCs w:val="18"/>
          <w:color w:val="auto"/>
        </w:rPr>
        <w:t>.</w:t>
      </w:r>
      <w:r>
        <w:rPr>
          <w:rFonts w:ascii="Arial" w:cs="Arial" w:eastAsia="Arial" w:hAnsi="Arial"/>
          <w:sz w:val="15"/>
          <w:szCs w:val="15"/>
          <w:color w:val="auto"/>
        </w:rPr>
        <w:t>7</w:t>
      </w:r>
    </w:p>
    <w:p>
      <w:pPr>
        <w:spacing w:after="0" w:line="176"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TSLX has demonstrated a clear ability to deliver sustainable dividends. </w:t>
      </w:r>
      <w:r>
        <w:rPr>
          <w:rFonts w:ascii="Arial" w:cs="Arial" w:eastAsia="Arial" w:hAnsi="Arial"/>
          <w:sz w:val="18"/>
          <w:szCs w:val="18"/>
          <w:color w:val="auto"/>
        </w:rPr>
        <w:t>At TSLX, we only pay dividends we can afford – dividends funded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we generate rather than our investors’ capital. We expect to continue our dividend policy following any transaction and, based on our stated strategy to manage TICC assets, believe we will be able to grow the dividend over time.</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LEADING PROXY ADVISORY FIRMS, INDEPENDENT ANALYSTS AND FELLOW STOCKHOLDERS OPPOSE THE BSP PROPOSAL</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Don’t just take our word for it. Independent voices have overwhelmingly expressed concern with TICC’s actions. </w:t>
      </w:r>
      <w:r>
        <w:rPr>
          <w:rFonts w:ascii="Arial" w:cs="Arial" w:eastAsia="Arial" w:hAnsi="Arial"/>
          <w:sz w:val="18"/>
          <w:szCs w:val="18"/>
          <w:u w:val="single" w:color="auto"/>
          <w:color w:val="auto"/>
        </w:rPr>
        <w:t>All three leading proxy advisors, five out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six equity analysts covering TICC and a number of TICC’s largest stockholders have publicly expressed their opposition to management’s transaction with BSP</w:t>
      </w:r>
      <w:r>
        <w:rPr>
          <w:rFonts w:ascii="Arial" w:cs="Arial" w:eastAsia="Arial" w:hAnsi="Arial"/>
          <w:sz w:val="18"/>
          <w:szCs w:val="18"/>
          <w:color w:val="auto"/>
        </w:rPr>
        <w:t>.</w:t>
      </w:r>
    </w:p>
    <w:p>
      <w:pPr>
        <w:spacing w:after="0" w:line="87" w:lineRule="exact"/>
        <w:rPr>
          <w:sz w:val="20"/>
          <w:szCs w:val="20"/>
          <w:color w:val="auto"/>
        </w:rPr>
      </w:pPr>
    </w:p>
    <w:p>
      <w:pPr>
        <w:ind w:left="90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prudent strategy may be to send the board back to the drawing board, and ask it to run the process it does not appear to have run when first presented with the opportunity. A vote AGAINST [the BSP Transaction], therefore, is warranted at this point.” – Institutional Shareholder Services Inc. proxy advisory report</w:t>
      </w:r>
      <w:r>
        <w:rPr>
          <w:rFonts w:ascii="Arial" w:cs="Arial" w:eastAsia="Arial" w:hAnsi="Arial"/>
          <w:sz w:val="15"/>
          <w:szCs w:val="15"/>
          <w:color w:val="auto"/>
        </w:rPr>
        <w:t>8</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are very few definitive reasons to suggest the arrangement with BSP is likely to represent the most attractive alternative available to the Company’s unaffiliated investor base at this time.” – Glass, Lewis &amp; Co., LLC proxy advisory report</w:t>
      </w:r>
      <w:r>
        <w:rPr>
          <w:rFonts w:ascii="Arial" w:cs="Arial" w:eastAsia="Arial" w:hAnsi="Arial"/>
          <w:sz w:val="15"/>
          <w:szCs w:val="15"/>
          <w:color w:val="auto"/>
        </w:rPr>
        <w:t>9</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recommend voting for [TSLX’s] GOLD PROXY CARD… [W]e believe that voting the [GOLD PROXY CARD] is in the best interest of [TICC] and its shareholders.” – Egan-Jones Ratings Company proxy advisory report</w:t>
      </w:r>
      <w:r>
        <w:rPr>
          <w:rFonts w:ascii="Arial" w:cs="Arial" w:eastAsia="Arial" w:hAnsi="Arial"/>
          <w:sz w:val="15"/>
          <w:szCs w:val="15"/>
          <w:color w:val="auto"/>
        </w:rPr>
        <w:t>10</w:t>
      </w:r>
    </w:p>
    <w:p>
      <w:pPr>
        <w:spacing w:after="0" w:line="75" w:lineRule="exact"/>
        <w:rPr>
          <w:rFonts w:ascii="Arial" w:cs="Arial" w:eastAsia="Arial" w:hAnsi="Arial"/>
          <w:sz w:val="18"/>
          <w:szCs w:val="18"/>
          <w:color w:val="auto"/>
        </w:rPr>
      </w:pPr>
    </w:p>
    <w:p>
      <w:pPr>
        <w:ind w:left="900" w:right="8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concerned that the current Board of TICC may not be operating in a manner that is in the best long term interest of shareholders. We are also concerned that at least some of the independent members of that board may have for a variety of reasons, lost their ability to be truly independent.” – Egan-Jones Ratings Company proxy advisory report</w:t>
      </w:r>
      <w:r>
        <w:rPr>
          <w:rFonts w:ascii="Arial" w:cs="Arial" w:eastAsia="Arial" w:hAnsi="Arial"/>
          <w:sz w:val="15"/>
          <w:szCs w:val="15"/>
          <w:color w:val="auto"/>
        </w:rPr>
        <w:t>11</w:t>
      </w:r>
    </w:p>
    <w:p>
      <w:pPr>
        <w:spacing w:after="0" w:line="86" w:lineRule="exact"/>
        <w:rPr>
          <w:rFonts w:ascii="Arial" w:cs="Arial" w:eastAsia="Arial" w:hAnsi="Arial"/>
          <w:sz w:val="18"/>
          <w:szCs w:val="18"/>
          <w:color w:val="auto"/>
        </w:rPr>
      </w:pPr>
    </w:p>
    <w:p>
      <w:pPr>
        <w:ind w:left="900" w:right="36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“Stockholders should concentrate on [what] matters most for their investment in the long term. It is our opinion that this is what [TSLX] is focused on, maximization of the stockholders (sic) value and protection of their investment and distributions in the long term.” – Egan-Jones Ratings Company proxy advisory report</w:t>
      </w:r>
      <w:r>
        <w:rPr>
          <w:rFonts w:ascii="Arial" w:cs="Arial" w:eastAsia="Arial" w:hAnsi="Arial"/>
          <w:sz w:val="15"/>
          <w:szCs w:val="15"/>
          <w:color w:val="auto"/>
        </w:rPr>
        <w:t>12</w:t>
      </w:r>
    </w:p>
    <w:p>
      <w:pPr>
        <w:spacing w:after="0" w:line="86" w:lineRule="exact"/>
        <w:rPr>
          <w:rFonts w:ascii="Arial" w:cs="Arial" w:eastAsia="Arial" w:hAnsi="Arial"/>
          <w:sz w:val="18"/>
          <w:szCs w:val="18"/>
          <w:color w:val="auto"/>
        </w:rPr>
      </w:pPr>
    </w:p>
    <w:p>
      <w:pPr>
        <w:jc w:val="both"/>
        <w:ind w:left="900" w:right="60" w:hanging="446"/>
        <w:spacing w:after="0" w:line="286"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calling upon the TICC board of directors . . . to immediately postpone the upcoming Special Meeting of Stockholders scheduled to be held on October 27, 2015 and engage a recognized investment bank in order to run a full, fair and complete strategic review process to maximize value for all TICC stockholders.” – One of TICC’s largest shareholders, Raging Capital Management</w:t>
      </w:r>
      <w:r>
        <w:rPr>
          <w:rFonts w:ascii="Arial" w:cs="Arial" w:eastAsia="Arial" w:hAnsi="Arial"/>
          <w:sz w:val="14"/>
          <w:szCs w:val="14"/>
          <w:color w:val="auto"/>
        </w:rPr>
        <w:t>13</w:t>
      </w:r>
    </w:p>
    <w:p>
      <w:pPr>
        <w:spacing w:after="0" w:line="70" w:lineRule="exact"/>
        <w:rPr>
          <w:rFonts w:ascii="Arial" w:cs="Arial" w:eastAsia="Arial" w:hAnsi="Arial"/>
          <w:sz w:val="17"/>
          <w:szCs w:val="17"/>
          <w:color w:val="auto"/>
        </w:rPr>
      </w:pPr>
    </w:p>
    <w:p>
      <w:pPr>
        <w:ind w:left="900" w:right="16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TSLX’s offer represents the best value out of the three and can potentially deliver to current TICC shareholders a combination of upfront return on shares, participation in [the] future upside of a combined BDC, and access to a broader platform and quality management.” – Barclays research note</w:t>
      </w:r>
      <w:r>
        <w:rPr>
          <w:rFonts w:ascii="Arial" w:cs="Arial" w:eastAsia="Arial" w:hAnsi="Arial"/>
          <w:sz w:val="15"/>
          <w:szCs w:val="15"/>
          <w:color w:val="auto"/>
        </w:rPr>
        <w:t>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IS SHORT - PROTECT YOUR INVESTMENT AND VOTE THE ENCLOSED GOLD PROXY CARD TODAY</w:t>
      </w:r>
    </w:p>
    <w:p>
      <w:pPr>
        <w:spacing w:after="0" w:line="225"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 xml:space="preserve">TSLX urges TICC stockholders to vote the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w:t>
      </w:r>
      <w:r>
        <w:rPr>
          <w:rFonts w:ascii="Arial" w:cs="Arial" w:eastAsia="Arial" w:hAnsi="Arial"/>
          <w:sz w:val="18"/>
          <w:szCs w:val="18"/>
          <w:b w:val="1"/>
          <w:bCs w:val="1"/>
          <w:u w:val="single" w:color="auto"/>
          <w:color w:val="auto"/>
        </w:rPr>
        <w:t>AGAINST</w:t>
      </w:r>
      <w:r>
        <w:rPr>
          <w:rFonts w:ascii="Arial" w:cs="Arial" w:eastAsia="Arial" w:hAnsi="Arial"/>
          <w:sz w:val="18"/>
          <w:szCs w:val="18"/>
          <w:color w:val="auto"/>
        </w:rPr>
        <w:t xml:space="preserve"> all three of management’s proposals to be considered at the TICC special meeting on October 27, 2015. Vote the </w:t>
      </w:r>
      <w:r>
        <w:rPr>
          <w:rFonts w:ascii="Arial" w:cs="Arial" w:eastAsia="Arial" w:hAnsi="Arial"/>
          <w:sz w:val="18"/>
          <w:szCs w:val="18"/>
          <w:b w:val="1"/>
          <w:bCs w:val="1"/>
          <w:u w:val="single" w:color="auto"/>
          <w:color w:val="auto"/>
        </w:rPr>
        <w:t>GOLD</w:t>
      </w:r>
      <w:r>
        <w:rPr>
          <w:rFonts w:ascii="Arial" w:cs="Arial" w:eastAsia="Arial" w:hAnsi="Arial"/>
          <w:sz w:val="18"/>
          <w:szCs w:val="18"/>
          <w:color w:val="auto"/>
        </w:rPr>
        <w:t xml:space="preserve"> proxy card to stop TICC from pursuing a deeply flawed, value-destructive transaction that rewards its failed external manager instead of you, the stockholders. This will send a clear message to the TICC Board that you prefer the TSLX proposal and that the TICC board should engage with TSLX. Visit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 xml:space="preserve"> for more information about the benefits of TSLX’s offer and the deficiencies of management’s proposals.</w:t>
      </w:r>
    </w:p>
    <w:p>
      <w:pPr>
        <w:sectPr>
          <w:pgSz w:w="11900" w:h="16838" w:orient="portrait"/>
          <w:cols w:equalWidth="0" w:num="1">
            <w:col w:w="11400"/>
          </w:cols>
          <w:pgMar w:left="240" w:top="27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If you have any questions concerning this letter or TSLX’s proposal,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call MacKenzie Partners at one of the phone numbers listed below.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 Madison Avenue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NY 10016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TPG@mackenziepartners.com</w:t>
      </w:r>
    </w:p>
    <w:p>
      <w:pPr>
        <w:spacing w:after="0" w:line="211" w:lineRule="exact"/>
        <w:rPr>
          <w:sz w:val="20"/>
          <w:szCs w:val="20"/>
          <w:color w:val="auto"/>
        </w:rPr>
      </w:pPr>
    </w:p>
    <w:p>
      <w:pPr>
        <w:ind w:left="5640" w:right="4640" w:hanging="963"/>
        <w:spacing w:after="0" w:line="258" w:lineRule="auto"/>
        <w:tabs>
          <w:tab w:leader="none" w:pos="5113" w:val="left"/>
        </w:tabs>
        <w:numPr>
          <w:ilvl w:val="0"/>
          <w:numId w:val="8"/>
        </w:numPr>
        <w:rPr>
          <w:rFonts w:ascii="Arial" w:cs="Arial" w:eastAsia="Arial" w:hAnsi="Arial"/>
          <w:sz w:val="18"/>
          <w:szCs w:val="18"/>
          <w:color w:val="auto"/>
        </w:rPr>
      </w:pPr>
      <w:r>
        <w:rPr>
          <w:rFonts w:ascii="Arial" w:cs="Arial" w:eastAsia="Arial" w:hAnsi="Arial"/>
          <w:sz w:val="18"/>
          <w:szCs w:val="18"/>
          <w:color w:val="auto"/>
        </w:rPr>
        <w:t>929-5500 (call collect) 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TOLL-FREE (800) 322-2885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ectPr>
          <w:pgSz w:w="11900" w:h="16838" w:orient="portrait"/>
          <w:cols w:equalWidth="0" w:num="1">
            <w:col w:w="11400"/>
          </w:cols>
          <w:pgMar w:left="240" w:top="274" w:right="259" w:bottom="1440" w:gutter="0" w:footer="0" w:header="0"/>
        </w:sectPr>
      </w:pPr>
    </w:p>
    <w:bookmarkStart w:id="6" w:name="page7"/>
    <w:bookmarkEnd w:id="6"/>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w:t>
      </w:r>
    </w:p>
    <w:p>
      <w:pPr>
        <w:spacing w:after="0" w:line="2" w:lineRule="exact"/>
        <w:rPr>
          <w:sz w:val="20"/>
          <w:szCs w:val="20"/>
          <w:color w:val="auto"/>
        </w:rPr>
      </w:pPr>
    </w:p>
    <w:p>
      <w:pPr>
        <w:ind w:right="440"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election of six directors nominated by TICC’s board of directors, and (c) the proposal to adjourn the meeting if necessary or appropriate to solicit additional votes.</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7" w:name="page8"/>
    <w:bookmarkEnd w:id="7"/>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2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The 9/18 Friday Bocks’d Lunch, Wells Fargo, September 17, 2015</w:t>
      </w:r>
    </w:p>
    <w:p>
      <w:pPr>
        <w:spacing w:after="0" w:line="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Market data as of September 15, 2015; Source: Bloomberg, fixed income benchmark data from Markit iBoxx</w:t>
      </w:r>
    </w:p>
    <w:p>
      <w:pPr>
        <w:spacing w:after="0" w:line="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Company Reports and Equity Research: TICC Capital Corp., Wells Fargo Securities, LLC, October 7, 2015</w:t>
      </w:r>
    </w:p>
    <w:p>
      <w:pPr>
        <w:spacing w:after="0" w:line="9" w:lineRule="exact"/>
        <w:rPr>
          <w:sz w:val="20"/>
          <w:szCs w:val="20"/>
          <w:color w:val="auto"/>
        </w:rPr>
      </w:pPr>
    </w:p>
    <w:p>
      <w:pPr>
        <w:ind w:left="460" w:hanging="452"/>
        <w:spacing w:after="0" w:line="282" w:lineRule="auto"/>
        <w:tabs>
          <w:tab w:leader="none" w:pos="460" w:val="left"/>
        </w:tabs>
        <w:numPr>
          <w:ilvl w:val="0"/>
          <w:numId w:val="13"/>
        </w:numPr>
        <w:rPr>
          <w:rFonts w:ascii="Arial" w:cs="Arial" w:eastAsia="Arial" w:hAnsi="Arial"/>
          <w:sz w:val="14"/>
          <w:szCs w:val="14"/>
          <w:color w:val="auto"/>
        </w:rPr>
      </w:pPr>
      <w:r>
        <w:rPr>
          <w:rFonts w:ascii="Arial" w:cs="Arial" w:eastAsia="Arial" w:hAnsi="Arial"/>
          <w:sz w:val="16"/>
          <w:szCs w:val="16"/>
          <w:color w:val="auto"/>
        </w:rPr>
        <w:t>We are aware that BSP has additional assets under management held in other private vehicles, but to our knowledge, there is no public information available to investors to assess these vehicles’ performance. Even if such information were available, BDCs are managed under fundamentally different</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constraints than private vehicles and, as a result, these vehicles are not a relevant benchmark for purposes of evaluating a BDC’s performance.</w:t>
      </w:r>
    </w:p>
    <w:p>
      <w:pPr>
        <w:spacing w:after="0" w:line="19" w:lineRule="exact"/>
        <w:rPr>
          <w:sz w:val="20"/>
          <w:szCs w:val="20"/>
          <w:color w:val="auto"/>
        </w:rPr>
      </w:pPr>
    </w:p>
    <w:p>
      <w:pPr>
        <w:ind w:left="460" w:right="60" w:hanging="452"/>
        <w:spacing w:after="0" w:line="282" w:lineRule="auto"/>
        <w:tabs>
          <w:tab w:leader="none" w:pos="460" w:val="left"/>
        </w:tabs>
        <w:numPr>
          <w:ilvl w:val="0"/>
          <w:numId w:val="14"/>
        </w:numPr>
        <w:rPr>
          <w:rFonts w:ascii="Arial" w:cs="Arial" w:eastAsia="Arial" w:hAnsi="Arial"/>
          <w:sz w:val="14"/>
          <w:szCs w:val="14"/>
          <w:color w:val="auto"/>
        </w:rPr>
      </w:pPr>
      <w:r>
        <w:rPr>
          <w:rFonts w:ascii="Arial" w:cs="Arial" w:eastAsia="Arial" w:hAnsi="Arial"/>
          <w:sz w:val="16"/>
          <w:szCs w:val="16"/>
          <w:color w:val="auto"/>
        </w:rPr>
        <w:t>TICC Reiterates Rejection of TSLX’s offer, Wells Fargo, September 22, 2015 and TICC: Writes Letter to Shareholders Urging Them To Vote For BSP, Wells Fargo, September 24, 2015; Board Making a Poor Deal? Should Shareholders Reject the Current Proposal?, Keefe, Bruyette &amp; Woods,</w:t>
      </w:r>
    </w:p>
    <w:p>
      <w:pPr>
        <w:spacing w:after="0" w:line="1" w:lineRule="exact"/>
        <w:rPr>
          <w:sz w:val="20"/>
          <w:szCs w:val="20"/>
          <w:color w:val="auto"/>
        </w:rPr>
      </w:pPr>
    </w:p>
    <w:p>
      <w:pPr>
        <w:ind w:left="460" w:right="60"/>
        <w:spacing w:after="0" w:line="250" w:lineRule="auto"/>
        <w:rPr>
          <w:sz w:val="20"/>
          <w:szCs w:val="20"/>
          <w:color w:val="auto"/>
        </w:rPr>
      </w:pPr>
      <w:r>
        <w:rPr>
          <w:rFonts w:ascii="Arial" w:cs="Arial" w:eastAsia="Arial" w:hAnsi="Arial"/>
          <w:sz w:val="18"/>
          <w:szCs w:val="18"/>
          <w:color w:val="auto"/>
        </w:rPr>
        <w:t>September 16, 2015; Brouhaha with TICC Could Spread to Other Out-of-Favor BDCs, Cantor Fitzgerald, September 16, 2015; TICC Capital Corp.: Takeover Heats Up – Maintain Neutral, Ladenburg Thalmann, September 16, 2015; BDC Update: Observations from the TICC Rejection of the TSLX proposal, Gilford Securities Inc., September 21, 2015</w:t>
      </w:r>
    </w:p>
    <w:p>
      <w:pPr>
        <w:ind w:left="460" w:right="340" w:hanging="452"/>
        <w:spacing w:after="0" w:line="250"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For reference, the TSLX Proposal represents a 12.8% discount to TICC’s NAV as of June 30, 2015, a narrower discount than the price at which the shares have traded since June 30th.</w:t>
      </w:r>
    </w:p>
    <w:p>
      <w:pPr>
        <w:spacing w:after="0" w:line="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7"/>
          <w:szCs w:val="17"/>
          <w:color w:val="auto"/>
        </w:rPr>
        <w:t>BDC sector comprised of ACAS, AINV, ARCC, BKCC, FSC, GBDC, HTGC, MAIN, MCC, NMFC, PNNT, PSEC, SLRC, TCAP, and TCRD</w:t>
      </w:r>
    </w:p>
    <w:p>
      <w:pPr>
        <w:spacing w:after="0" w:line="21"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Institutional Shareholder Services Inc. report on TICC Capital Corp., October 16, 2015</w:t>
      </w:r>
    </w:p>
    <w:p>
      <w:pPr>
        <w:spacing w:after="0" w:line="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Glass, Lewis &amp; Co., LLC report on TICC Capital Corp., October 14, 2015</w:t>
      </w:r>
    </w:p>
    <w:p>
      <w:pPr>
        <w:spacing w:after="0" w:line="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Egan-Jones Ratings Company report on TICC Capital Corp., October 13, 2015</w:t>
      </w:r>
    </w:p>
    <w:p>
      <w:pPr>
        <w:spacing w:after="0" w:line="10" w:lineRule="exact"/>
        <w:rPr>
          <w:rFonts w:ascii="Arial" w:cs="Arial" w:eastAsia="Arial" w:hAnsi="Arial"/>
          <w:sz w:val="15"/>
          <w:szCs w:val="15"/>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Egan-Jones Ratings Company report on TICC Capital Corp., October 13, 2015</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Egan-Jones Ratings Company report on TICC Capital Corp., October 13, 2015</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Raging Capital Calls Upon TICC to Postpone Special Meeting of Stockholders, Raging Capital Management, LLC. (September 21, 2015)</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TICC at Crossroads, Barclays, October 6, 2015</w:t>
      </w:r>
    </w:p>
    <w:p>
      <w:pPr>
        <w:sectPr>
          <w:pgSz w:w="11900" w:h="16838" w:orient="portrait"/>
          <w:cols w:equalWidth="0" w:num="1">
            <w:col w:w="11380"/>
          </w:cols>
          <w:pgMar w:left="240" w:top="274"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212-929-5708</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ckoons@mackenziepartners.com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tbj@abmac.com</w:t>
      </w:r>
      <w:r>
        <w:rPr>
          <w:rFonts w:ascii="Arial" w:cs="Arial" w:eastAsia="Arial" w:hAnsi="Arial"/>
          <w:sz w:val="16"/>
          <w:szCs w:val="16"/>
          <w:color w:val="auto"/>
        </w:rPr>
        <w:t xml:space="preserve"> / </w:t>
      </w:r>
      <w:r>
        <w:rPr>
          <w:rFonts w:ascii="Arial" w:cs="Arial" w:eastAsia="Arial" w:hAnsi="Arial"/>
          <w:sz w:val="16"/>
          <w:szCs w:val="16"/>
          <w:u w:val="single" w:color="auto"/>
          <w:color w:val="auto"/>
        </w:rPr>
        <w:t>pct@abmac.com</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2)"/>
      <w:numFmt w:val="decimal"/>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212"/>
    </w:lvl>
  </w:abstractNum>
  <w:abstractNum w:abstractNumId="8">
    <w:nsid w:val="DED7263"/>
    <w:multiLevelType w:val="hybridMultilevel"/>
    <w:lvl w:ilvl="0">
      <w:lvlJc w:val="left"/>
      <w:lvlText w:val="(%1)"/>
      <w:numFmt w:val="lowerLetter"/>
      <w:start w:val="2"/>
    </w:lvl>
  </w:abstractNum>
  <w:abstractNum w:abstractNumId="9">
    <w:nsid w:val="7FDCC233"/>
    <w:multiLevelType w:val="hybridMultilevel"/>
    <w:lvl w:ilvl="0">
      <w:lvlJc w:val="left"/>
      <w:lvlText w:val="1"/>
      <w:numFmt w:val="bullet"/>
      <w:start w:val="1"/>
    </w:lvl>
  </w:abstractNum>
  <w:abstractNum w:abstractNumId="10">
    <w:nsid w:val="1BEFD79F"/>
    <w:multiLevelType w:val="hybridMultilevel"/>
    <w:lvl w:ilvl="0">
      <w:lvlJc w:val="left"/>
      <w:lvlText w:val="2"/>
      <w:numFmt w:val="bullet"/>
      <w:start w:val="1"/>
    </w:lvl>
  </w:abstractNum>
  <w:abstractNum w:abstractNumId="11">
    <w:nsid w:val="41A7C4C9"/>
    <w:multiLevelType w:val="hybridMultilevel"/>
    <w:lvl w:ilvl="0">
      <w:lvlJc w:val="left"/>
      <w:lvlText w:val="3"/>
      <w:numFmt w:val="bullet"/>
      <w:start w:val="1"/>
    </w:lvl>
  </w:abstractNum>
  <w:abstractNum w:abstractNumId="12">
    <w:nsid w:val="6B68079A"/>
    <w:multiLevelType w:val="hybridMultilevel"/>
    <w:lvl w:ilvl="0">
      <w:lvlJc w:val="left"/>
      <w:lvlText w:val="4"/>
      <w:numFmt w:val="bullet"/>
      <w:start w:val="1"/>
    </w:lvl>
  </w:abstractNum>
  <w:abstractNum w:abstractNumId="13">
    <w:nsid w:val="4E6AFB66"/>
    <w:multiLevelType w:val="hybridMultilevel"/>
    <w:lvl w:ilvl="0">
      <w:lvlJc w:val="left"/>
      <w:lvlText w:val="5"/>
      <w:numFmt w:val="bullet"/>
      <w:start w:val="1"/>
    </w:lvl>
  </w:abstractNum>
  <w:abstractNum w:abstractNumId="14">
    <w:nsid w:val="25E45D32"/>
    <w:multiLevelType w:val="hybridMultilevel"/>
    <w:lvl w:ilvl="0">
      <w:lvlJc w:val="left"/>
      <w:lvlText w:val="6"/>
      <w:numFmt w:val="bullet"/>
      <w:start w:val="1"/>
    </w:lvl>
  </w:abstractNum>
  <w:abstractNum w:abstractNumId="15">
    <w:nsid w:val="519B500D"/>
    <w:multiLevelType w:val="hybridMultilevel"/>
    <w:lvl w:ilvl="0">
      <w:lvlJc w:val="left"/>
      <w:lvlText w:val="7"/>
      <w:numFmt w:val="bullet"/>
      <w:start w:val="1"/>
    </w:lvl>
  </w:abstractNum>
  <w:abstractNum w:abstractNumId="16">
    <w:nsid w:val="431BD7B7"/>
    <w:multiLevelType w:val="hybridMultilevel"/>
    <w:lvl w:ilvl="0">
      <w:lvlJc w:val="left"/>
      <w:lvlText w:val="8"/>
      <w:numFmt w:val="bullet"/>
      <w:start w:val="1"/>
    </w:lvl>
  </w:abstractNum>
  <w:abstractNum w:abstractNumId="17">
    <w:nsid w:val="3F2DBA31"/>
    <w:multiLevelType w:val="hybridMultilevel"/>
    <w:lvl w:ilvl="0">
      <w:lvlJc w:val="left"/>
      <w:lvlText w:val="9"/>
      <w:numFmt w:val="bullet"/>
      <w:start w:val="1"/>
    </w:lvl>
  </w:abstractNum>
  <w:abstractNum w:abstractNumId="18">
    <w:nsid w:val="7C83E458"/>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2019-12-20T22:09:18Z</dcterms:created>
  <dcterms:modified xsi:type="dcterms:W3CDTF">2019-12-20T22:09:18Z</dcterms:modified>
</cp:coreProperties>
</file>