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700"/>
        <w:spacing w:after="0"/>
        <w:rPr>
          <w:sz w:val="20"/>
          <w:szCs w:val="20"/>
          <w:color w:val="auto"/>
        </w:rPr>
      </w:pPr>
      <w:r>
        <w:rPr>
          <w:rFonts w:ascii="Arial" w:cs="Arial" w:eastAsia="Arial" w:hAnsi="Arial"/>
          <w:sz w:val="23"/>
          <w:szCs w:val="23"/>
          <w:b w:val="1"/>
          <w:bCs w:val="1"/>
          <w:color w:val="auto"/>
        </w:rPr>
        <w:t>UNITED STATES</w:t>
      </w:r>
    </w:p>
    <w:p>
      <w:pPr>
        <w:spacing w:after="0" w:line="10" w:lineRule="exact"/>
        <w:rPr>
          <w:sz w:val="24"/>
          <w:szCs w:val="24"/>
          <w:color w:val="auto"/>
        </w:rPr>
      </w:pPr>
    </w:p>
    <w:p>
      <w:pPr>
        <w:jc w:val="center"/>
        <w:ind w:right="700"/>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700"/>
        <w:spacing w:after="0"/>
        <w:rPr>
          <w:sz w:val="20"/>
          <w:szCs w:val="20"/>
          <w:color w:val="auto"/>
        </w:rPr>
      </w:pPr>
      <w:r>
        <w:rPr>
          <w:rFonts w:ascii="Arial" w:cs="Arial" w:eastAsia="Arial" w:hAnsi="Arial"/>
          <w:sz w:val="23"/>
          <w:szCs w:val="23"/>
          <w:b w:val="1"/>
          <w:bCs w:val="1"/>
          <w:color w:val="auto"/>
        </w:rPr>
        <w:t>Washington, D.C. 20549</w:t>
      </w:r>
    </w:p>
    <w:p>
      <w:pPr>
        <w:spacing w:after="0" w:line="284" w:lineRule="exact"/>
        <w:rPr>
          <w:sz w:val="24"/>
          <w:szCs w:val="24"/>
          <w:color w:val="auto"/>
        </w:rPr>
      </w:pPr>
    </w:p>
    <w:p>
      <w:pPr>
        <w:jc w:val="center"/>
        <w:ind w:right="700"/>
        <w:spacing w:after="0"/>
        <w:rPr>
          <w:sz w:val="20"/>
          <w:szCs w:val="20"/>
          <w:color w:val="auto"/>
        </w:rPr>
      </w:pPr>
      <w:r>
        <w:rPr>
          <w:rFonts w:ascii="Arial" w:cs="Arial" w:eastAsia="Arial" w:hAnsi="Arial"/>
          <w:sz w:val="27"/>
          <w:szCs w:val="27"/>
          <w:b w:val="1"/>
          <w:bCs w:val="1"/>
          <w:color w:val="auto"/>
        </w:rPr>
        <w:t>SCHEDULE 13G</w:t>
      </w:r>
    </w:p>
    <w:p>
      <w:pPr>
        <w:spacing w:after="0" w:line="298" w:lineRule="exact"/>
        <w:rPr>
          <w:sz w:val="24"/>
          <w:szCs w:val="24"/>
          <w:color w:val="auto"/>
        </w:rPr>
      </w:pPr>
    </w:p>
    <w:p>
      <w:pPr>
        <w:jc w:val="center"/>
        <w:ind w:right="700"/>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700"/>
        <w:spacing w:after="0"/>
        <w:rPr>
          <w:sz w:val="20"/>
          <w:szCs w:val="20"/>
          <w:color w:val="auto"/>
        </w:rPr>
      </w:pPr>
      <w:r>
        <w:rPr>
          <w:rFonts w:ascii="Arial" w:cs="Arial" w:eastAsia="Arial" w:hAnsi="Arial"/>
          <w:sz w:val="23"/>
          <w:szCs w:val="23"/>
          <w:b w:val="1"/>
          <w:bCs w:val="1"/>
          <w:color w:val="auto"/>
        </w:rPr>
        <w:t>(Amendment No. 3)</w:t>
      </w:r>
    </w:p>
    <w:p>
      <w:pPr>
        <w:spacing w:after="0" w:line="272" w:lineRule="exact"/>
        <w:rPr>
          <w:sz w:val="24"/>
          <w:szCs w:val="24"/>
          <w:color w:val="auto"/>
        </w:rPr>
      </w:pPr>
    </w:p>
    <w:p>
      <w:pPr>
        <w:jc w:val="center"/>
        <w:ind w:right="700"/>
        <w:spacing w:after="0"/>
        <w:rPr>
          <w:sz w:val="20"/>
          <w:szCs w:val="20"/>
          <w:color w:val="auto"/>
        </w:rPr>
      </w:pPr>
      <w:r>
        <w:rPr>
          <w:rFonts w:ascii="Arial" w:cs="Arial" w:eastAsia="Arial" w:hAnsi="Arial"/>
          <w:sz w:val="23"/>
          <w:szCs w:val="23"/>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wp:posOffset>
            </wp:positionH>
            <wp:positionV relativeFrom="paragraph">
              <wp:posOffset>80645</wp:posOffset>
            </wp:positionV>
            <wp:extent cx="581723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21590"/>
                    </a:xfrm>
                    <a:prstGeom prst="rect">
                      <a:avLst/>
                    </a:prstGeom>
                    <a:noFill/>
                  </pic:spPr>
                </pic:pic>
              </a:graphicData>
            </a:graphic>
          </wp:anchor>
        </w:drawing>
      </w:r>
    </w:p>
    <w:p>
      <w:pPr>
        <w:spacing w:after="0" w:line="229" w:lineRule="exact"/>
        <w:rPr>
          <w:sz w:val="24"/>
          <w:szCs w:val="24"/>
          <w:color w:val="auto"/>
        </w:rPr>
      </w:pPr>
    </w:p>
    <w:p>
      <w:pPr>
        <w:ind w:left="4180"/>
        <w:spacing w:after="0"/>
        <w:rPr>
          <w:sz w:val="20"/>
          <w:szCs w:val="20"/>
          <w:color w:val="auto"/>
        </w:rPr>
      </w:pPr>
      <w:r>
        <w:rPr>
          <w:rFonts w:ascii="Arial" w:cs="Arial" w:eastAsia="Arial" w:hAnsi="Arial"/>
          <w:sz w:val="23"/>
          <w:szCs w:val="23"/>
          <w:color w:val="auto"/>
        </w:rPr>
        <w:t>(Name of Issuer)</w:t>
      </w:r>
    </w:p>
    <w:p>
      <w:pPr>
        <w:spacing w:after="0" w:line="249" w:lineRule="exact"/>
        <w:rPr>
          <w:sz w:val="24"/>
          <w:szCs w:val="24"/>
          <w:color w:val="auto"/>
        </w:rPr>
      </w:pPr>
    </w:p>
    <w:p>
      <w:pPr>
        <w:jc w:val="center"/>
        <w:ind w:right="700"/>
        <w:spacing w:after="0"/>
        <w:rPr>
          <w:sz w:val="20"/>
          <w:szCs w:val="20"/>
          <w:color w:val="auto"/>
        </w:rPr>
      </w:pPr>
      <w:r>
        <w:rPr>
          <w:rFonts w:ascii="Arial" w:cs="Arial" w:eastAsia="Arial" w:hAnsi="Arial"/>
          <w:sz w:val="23"/>
          <w:szCs w:val="23"/>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wp:posOffset>
            </wp:positionH>
            <wp:positionV relativeFrom="paragraph">
              <wp:posOffset>80645</wp:posOffset>
            </wp:positionV>
            <wp:extent cx="581723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21590"/>
                    </a:xfrm>
                    <a:prstGeom prst="rect">
                      <a:avLst/>
                    </a:prstGeom>
                    <a:noFill/>
                  </pic:spPr>
                </pic:pic>
              </a:graphicData>
            </a:graphic>
          </wp:anchor>
        </w:drawing>
      </w:r>
    </w:p>
    <w:p>
      <w:pPr>
        <w:spacing w:after="0" w:line="229" w:lineRule="exact"/>
        <w:rPr>
          <w:sz w:val="24"/>
          <w:szCs w:val="24"/>
          <w:color w:val="auto"/>
        </w:rPr>
      </w:pPr>
    </w:p>
    <w:p>
      <w:pPr>
        <w:jc w:val="center"/>
        <w:ind w:right="700"/>
        <w:spacing w:after="0"/>
        <w:rPr>
          <w:sz w:val="20"/>
          <w:szCs w:val="20"/>
          <w:color w:val="auto"/>
        </w:rPr>
      </w:pPr>
      <w:r>
        <w:rPr>
          <w:rFonts w:ascii="Arial" w:cs="Arial" w:eastAsia="Arial" w:hAnsi="Arial"/>
          <w:sz w:val="23"/>
          <w:szCs w:val="23"/>
          <w:color w:val="auto"/>
        </w:rPr>
        <w:t>(Title of Class of Securities)</w:t>
      </w:r>
    </w:p>
    <w:p>
      <w:pPr>
        <w:spacing w:after="0" w:line="249" w:lineRule="exact"/>
        <w:rPr>
          <w:sz w:val="24"/>
          <w:szCs w:val="24"/>
          <w:color w:val="auto"/>
        </w:rPr>
      </w:pPr>
    </w:p>
    <w:p>
      <w:pPr>
        <w:jc w:val="center"/>
        <w:ind w:right="700"/>
        <w:spacing w:after="0"/>
        <w:rPr>
          <w:sz w:val="20"/>
          <w:szCs w:val="20"/>
          <w:color w:val="auto"/>
        </w:rPr>
      </w:pPr>
      <w:r>
        <w:rPr>
          <w:rFonts w:ascii="Arial" w:cs="Arial" w:eastAsia="Arial" w:hAnsi="Arial"/>
          <w:sz w:val="23"/>
          <w:szCs w:val="23"/>
          <w:color w:val="auto"/>
        </w:rPr>
        <w:t>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890905</wp:posOffset>
            </wp:positionH>
            <wp:positionV relativeFrom="paragraph">
              <wp:posOffset>80645</wp:posOffset>
            </wp:positionV>
            <wp:extent cx="45497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49775" cy="21590"/>
                    </a:xfrm>
                    <a:prstGeom prst="rect">
                      <a:avLst/>
                    </a:prstGeom>
                    <a:noFill/>
                  </pic:spPr>
                </pic:pic>
              </a:graphicData>
            </a:graphic>
          </wp:anchor>
        </w:drawing>
      </w:r>
    </w:p>
    <w:p>
      <w:pPr>
        <w:spacing w:after="0" w:line="229" w:lineRule="exact"/>
        <w:rPr>
          <w:sz w:val="24"/>
          <w:szCs w:val="24"/>
          <w:color w:val="auto"/>
        </w:rPr>
      </w:pPr>
    </w:p>
    <w:p>
      <w:pPr>
        <w:jc w:val="center"/>
        <w:ind w:right="700"/>
        <w:spacing w:after="0"/>
        <w:rPr>
          <w:sz w:val="20"/>
          <w:szCs w:val="20"/>
          <w:color w:val="auto"/>
        </w:rPr>
      </w:pPr>
      <w:r>
        <w:rPr>
          <w:rFonts w:ascii="Arial" w:cs="Arial" w:eastAsia="Arial" w:hAnsi="Arial"/>
          <w:sz w:val="23"/>
          <w:szCs w:val="23"/>
          <w:color w:val="auto"/>
        </w:rPr>
        <w:t>(CUSIP Number)</w:t>
      </w:r>
    </w:p>
    <w:p>
      <w:pPr>
        <w:spacing w:after="0" w:line="249" w:lineRule="exact"/>
        <w:rPr>
          <w:sz w:val="24"/>
          <w:szCs w:val="24"/>
          <w:color w:val="auto"/>
        </w:rPr>
      </w:pPr>
    </w:p>
    <w:p>
      <w:pPr>
        <w:jc w:val="center"/>
        <w:ind w:right="700"/>
        <w:spacing w:after="0"/>
        <w:rPr>
          <w:sz w:val="20"/>
          <w:szCs w:val="20"/>
          <w:color w:val="auto"/>
        </w:rPr>
      </w:pPr>
      <w:r>
        <w:rPr>
          <w:rFonts w:ascii="Arial" w:cs="Arial" w:eastAsia="Arial" w:hAnsi="Arial"/>
          <w:sz w:val="23"/>
          <w:szCs w:val="23"/>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257175</wp:posOffset>
            </wp:positionH>
            <wp:positionV relativeFrom="paragraph">
              <wp:posOffset>80645</wp:posOffset>
            </wp:positionV>
            <wp:extent cx="581723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7235" cy="21590"/>
                    </a:xfrm>
                    <a:prstGeom prst="rect">
                      <a:avLst/>
                    </a:prstGeom>
                    <a:noFill/>
                  </pic:spPr>
                </pic:pic>
              </a:graphicData>
            </a:graphic>
          </wp:anchor>
        </w:drawing>
      </w:r>
    </w:p>
    <w:p>
      <w:pPr>
        <w:spacing w:after="0" w:line="229" w:lineRule="exact"/>
        <w:rPr>
          <w:sz w:val="24"/>
          <w:szCs w:val="24"/>
          <w:color w:val="auto"/>
        </w:rPr>
      </w:pPr>
    </w:p>
    <w:p>
      <w:pPr>
        <w:ind w:left="2400"/>
        <w:spacing w:after="0"/>
        <w:rPr>
          <w:sz w:val="20"/>
          <w:szCs w:val="20"/>
          <w:color w:val="auto"/>
        </w:rPr>
      </w:pPr>
      <w:r>
        <w:rPr>
          <w:rFonts w:ascii="Arial" w:cs="Arial" w:eastAsia="Arial" w:hAnsi="Arial"/>
          <w:sz w:val="23"/>
          <w:szCs w:val="23"/>
          <w:color w:val="auto"/>
        </w:rPr>
        <w:t>(Date of Event Which Requires Filing of this Statement)</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312" w:lineRule="exact"/>
        <w:rPr>
          <w:sz w:val="24"/>
          <w:szCs w:val="24"/>
          <w:color w:val="auto"/>
        </w:rPr>
      </w:pPr>
    </w:p>
    <w:p>
      <w:pPr>
        <w:ind w:left="660" w:hanging="609"/>
        <w:spacing w:after="0"/>
        <w:tabs>
          <w:tab w:leader="none" w:pos="660" w:val="left"/>
        </w:tabs>
        <w:numPr>
          <w:ilvl w:val="0"/>
          <w:numId w:val="1"/>
        </w:numPr>
        <w:rPr>
          <w:rFonts w:ascii="Arial" w:cs="Arial" w:eastAsia="Arial" w:hAnsi="Arial"/>
          <w:sz w:val="23"/>
          <w:szCs w:val="23"/>
          <w:color w:val="auto"/>
        </w:rPr>
      </w:pPr>
      <w:r>
        <w:rPr>
          <w:rFonts w:ascii="Arial" w:cs="Arial" w:eastAsia="Arial" w:hAnsi="Arial"/>
          <w:sz w:val="23"/>
          <w:szCs w:val="23"/>
          <w:color w:val="auto"/>
        </w:rPr>
        <w:t>Rule 13d-1(b)</w:t>
      </w:r>
    </w:p>
    <w:p>
      <w:pPr>
        <w:sectPr>
          <w:pgSz w:w="12240" w:h="15840" w:orient="portrait"/>
          <w:cols w:equalWidth="0" w:num="1">
            <w:col w:w="10680"/>
          </w:cols>
          <w:pgMar w:left="120" w:top="1440" w:right="1440" w:bottom="0" w:gutter="0" w:footer="0" w:header="0"/>
        </w:sectPr>
      </w:pPr>
    </w:p>
    <w:p>
      <w:pPr>
        <w:spacing w:after="0" w:line="106" w:lineRule="exact"/>
        <w:rPr>
          <w:sz w:val="24"/>
          <w:szCs w:val="24"/>
          <w:color w:val="auto"/>
        </w:rPr>
      </w:pPr>
    </w:p>
    <w:p>
      <w:pPr>
        <w:ind w:left="60"/>
        <w:spacing w:after="0"/>
        <w:rPr>
          <w:sz w:val="20"/>
          <w:szCs w:val="20"/>
          <w:color w:val="auto"/>
        </w:rPr>
      </w:pPr>
      <w:r>
        <w:rPr>
          <w:rFonts w:ascii="Arial" w:cs="Arial" w:eastAsia="Arial" w:hAnsi="Arial"/>
          <w:sz w:val="23"/>
          <w:szCs w:val="23"/>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20"/>
          <w:szCs w:val="20"/>
          <w:color w:val="auto"/>
        </w:rPr>
        <w:t>Rule 13d-1(c)</w:t>
      </w:r>
    </w:p>
    <w:p>
      <w:pPr>
        <w:spacing w:after="0" w:line="140" w:lineRule="exact"/>
        <w:rPr>
          <w:sz w:val="24"/>
          <w:szCs w:val="24"/>
          <w:color w:val="auto"/>
        </w:rPr>
      </w:pPr>
    </w:p>
    <w:p>
      <w:pPr>
        <w:sectPr>
          <w:pgSz w:w="12240" w:h="15840" w:orient="portrait"/>
          <w:cols w:equalWidth="0" w:num="2">
            <w:col w:w="200" w:space="460"/>
            <w:col w:w="10020"/>
          </w:cols>
          <w:pgMar w:left="120" w:top="1440" w:right="1440" w:bottom="0" w:gutter="0" w:footer="0" w:header="0"/>
          <w:type w:val="continuous"/>
        </w:sectPr>
      </w:pPr>
    </w:p>
    <w:p>
      <w:pPr>
        <w:ind w:left="60"/>
        <w:spacing w:after="0"/>
        <w:rPr>
          <w:sz w:val="20"/>
          <w:szCs w:val="20"/>
          <w:color w:val="auto"/>
        </w:rPr>
      </w:pPr>
      <w:r>
        <w:rPr>
          <w:rFonts w:ascii="Arial" w:cs="Arial" w:eastAsia="Arial" w:hAnsi="Arial"/>
          <w:sz w:val="23"/>
          <w:szCs w:val="2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0"/>
          <w:szCs w:val="20"/>
          <w:color w:val="auto"/>
        </w:rPr>
        <w:t>Rule 13d-1(d)</w:t>
      </w:r>
    </w:p>
    <w:p>
      <w:pPr>
        <w:spacing w:after="0" w:line="98" w:lineRule="exact"/>
        <w:rPr>
          <w:sz w:val="24"/>
          <w:szCs w:val="24"/>
          <w:color w:val="auto"/>
        </w:rPr>
      </w:pPr>
    </w:p>
    <w:p>
      <w:pPr>
        <w:sectPr>
          <w:pgSz w:w="12240" w:h="15840" w:orient="portrait"/>
          <w:cols w:equalWidth="0" w:num="2">
            <w:col w:w="200" w:space="460"/>
            <w:col w:w="10020"/>
          </w:cols>
          <w:pgMar w:left="120" w:top="1440" w:right="1440" w:bottom="0" w:gutter="0" w:footer="0" w:header="0"/>
          <w:type w:val="continuous"/>
        </w:sectPr>
      </w:pPr>
    </w:p>
    <w:p>
      <w:pPr>
        <w:jc w:val="both"/>
        <w:ind w:right="1240"/>
        <w:spacing w:after="0" w:line="245" w:lineRule="auto"/>
        <w:rPr>
          <w:sz w:val="20"/>
          <w:szCs w:val="20"/>
          <w:color w:val="auto"/>
        </w:rPr>
      </w:pPr>
      <w:r>
        <w:rPr>
          <w:rFonts w:ascii="Arial" w:cs="Arial" w:eastAsia="Arial" w:hAnsi="Arial"/>
          <w:sz w:val="23"/>
          <w:szCs w:val="23"/>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8" w:lineRule="exact"/>
        <w:rPr>
          <w:sz w:val="24"/>
          <w:szCs w:val="24"/>
          <w:color w:val="auto"/>
        </w:rPr>
      </w:pPr>
    </w:p>
    <w:p>
      <w:pPr>
        <w:jc w:val="both"/>
        <w:ind w:right="1240"/>
        <w:spacing w:after="0" w:line="241" w:lineRule="auto"/>
        <w:rPr>
          <w:sz w:val="20"/>
          <w:szCs w:val="20"/>
          <w:color w:val="auto"/>
        </w:rPr>
      </w:pPr>
      <w:r>
        <w:rPr>
          <w:rFonts w:ascii="Arial" w:cs="Arial" w:eastAsia="Arial" w:hAnsi="Arial"/>
          <w:sz w:val="23"/>
          <w:szCs w:val="23"/>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7" w:lineRule="exact"/>
        <w:rPr>
          <w:sz w:val="24"/>
          <w:szCs w:val="24"/>
          <w:color w:val="auto"/>
        </w:rPr>
      </w:pPr>
    </w:p>
    <w:p>
      <w:pPr>
        <w:ind w:left="60"/>
        <w:spacing w:after="0"/>
        <w:rPr>
          <w:sz w:val="20"/>
          <w:szCs w:val="20"/>
          <w:color w:val="auto"/>
        </w:rPr>
      </w:pPr>
      <w:r>
        <w:rPr>
          <w:rFonts w:ascii="Arial" w:cs="Arial" w:eastAsia="Arial" w:hAnsi="Arial"/>
          <w:sz w:val="23"/>
          <w:szCs w:val="23"/>
          <w:color w:val="auto"/>
        </w:rPr>
        <w:t>CUSIP No. 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153035</wp:posOffset>
            </wp:positionV>
            <wp:extent cx="594423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4235" cy="215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60"/>
        <w:spacing w:after="0"/>
        <w:rPr>
          <w:sz w:val="20"/>
          <w:szCs w:val="20"/>
          <w:color w:val="auto"/>
        </w:rPr>
      </w:pPr>
      <w:r>
        <w:rPr>
          <w:rFonts w:ascii="Arial" w:cs="Arial" w:eastAsia="Arial" w:hAnsi="Arial"/>
          <w:sz w:val="23"/>
          <w:szCs w:val="23"/>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601281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2815" cy="18415"/>
                    </a:xfrm>
                    <a:prstGeom prst="rect">
                      <a:avLst/>
                    </a:prstGeom>
                    <a:noFill/>
                  </pic:spPr>
                </pic:pic>
              </a:graphicData>
            </a:graphic>
          </wp:anchor>
        </w:drawing>
      </w:r>
    </w:p>
    <w:p>
      <w:pPr>
        <w:spacing w:after="0" w:line="121" w:lineRule="exact"/>
        <w:rPr>
          <w:sz w:val="24"/>
          <w:szCs w:val="24"/>
          <w:color w:val="auto"/>
        </w:rPr>
      </w:pPr>
    </w:p>
    <w:p>
      <w:pPr>
        <w:ind w:left="720" w:right="6980" w:hanging="455"/>
        <w:spacing w:after="0" w:line="327"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 Names of Reporting Persons. Wells Fargo &amp; Company</w:t>
      </w:r>
    </w:p>
    <w:p>
      <w:pPr>
        <w:spacing w:after="0" w:line="1" w:lineRule="exact"/>
        <w:rPr>
          <w:sz w:val="24"/>
          <w:szCs w:val="24"/>
          <w:color w:val="auto"/>
        </w:rPr>
      </w:pPr>
    </w:p>
    <w:p>
      <w:pPr>
        <w:ind w:left="720" w:right="8860" w:firstLine="1"/>
        <w:spacing w:after="0" w:line="331" w:lineRule="auto"/>
        <w:tabs>
          <w:tab w:leader="none" w:pos="1043" w:val="left"/>
        </w:tabs>
        <w:numPr>
          <w:ilvl w:val="0"/>
          <w:numId w:val="3"/>
        </w:numPr>
        <w:rPr>
          <w:rFonts w:ascii="Arial" w:cs="Arial" w:eastAsia="Arial" w:hAnsi="Arial"/>
          <w:sz w:val="20"/>
          <w:szCs w:val="20"/>
          <w:color w:val="auto"/>
        </w:rPr>
      </w:pPr>
      <w:r>
        <w:rPr>
          <w:rFonts w:ascii="Arial" w:cs="Arial" w:eastAsia="Arial" w:hAnsi="Arial"/>
          <w:sz w:val="20"/>
          <w:szCs w:val="20"/>
          <w:color w:val="auto"/>
        </w:rPr>
        <w:t>Tax ID 41-0449260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81280</wp:posOffset>
            </wp:positionV>
            <wp:extent cx="594423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4235" cy="21590"/>
                    </a:xfrm>
                    <a:prstGeom prst="rect">
                      <a:avLst/>
                    </a:prstGeom>
                    <a:noFill/>
                  </pic:spPr>
                </pic:pic>
              </a:graphicData>
            </a:graphic>
          </wp:anchor>
        </w:drawing>
      </w:r>
    </w:p>
    <w:p>
      <w:pPr>
        <w:sectPr>
          <w:pgSz w:w="12240" w:h="15840" w:orient="portrait"/>
          <w:cols w:equalWidth="0" w:num="1">
            <w:col w:w="10680"/>
          </w:cols>
          <w:pgMar w:left="120" w:top="1440" w:right="1440" w:bottom="0" w:gutter="0" w:footer="0" w:header="0"/>
          <w:type w:val="continuous"/>
        </w:sectPr>
      </w:pPr>
    </w:p>
    <w:bookmarkStart w:id="1" w:name="page2"/>
    <w:bookmarkEnd w:id="1"/>
    <w:p>
      <w:pPr>
        <w:ind w:left="660" w:hanging="455"/>
        <w:spacing w:after="0"/>
        <w:tabs>
          <w:tab w:leader="none" w:pos="660" w:val="left"/>
        </w:tabs>
        <w:numPr>
          <w:ilvl w:val="0"/>
          <w:numId w:val="4"/>
        </w:numPr>
        <w:rPr>
          <w:rFonts w:ascii="Arial" w:cs="Arial" w:eastAsia="Arial" w:hAnsi="Arial"/>
          <w:sz w:val="23"/>
          <w:szCs w:val="23"/>
          <w:color w:val="auto"/>
        </w:rPr>
      </w:pPr>
      <w:r>
        <w:rPr>
          <w:rFonts w:ascii="Arial" w:cs="Arial" w:eastAsia="Arial" w:hAnsi="Arial"/>
          <w:sz w:val="23"/>
          <w:szCs w:val="23"/>
          <w:color w:val="auto"/>
        </w:rPr>
        <w:t>Check the Appropriate Box if a Member of a Group (See Instructions)</w:t>
      </w:r>
    </w:p>
    <w:p>
      <w:pPr>
        <w:spacing w:after="0" w:line="106" w:lineRule="exact"/>
        <w:rPr>
          <w:rFonts w:ascii="Arial" w:cs="Arial" w:eastAsia="Arial" w:hAnsi="Arial"/>
          <w:sz w:val="23"/>
          <w:szCs w:val="23"/>
          <w:color w:val="auto"/>
        </w:rPr>
      </w:pPr>
    </w:p>
    <w:p>
      <w:pPr>
        <w:ind w:left="1020" w:hanging="359"/>
        <w:spacing w:after="0"/>
        <w:tabs>
          <w:tab w:leader="none" w:pos="1020" w:val="left"/>
        </w:tabs>
        <w:numPr>
          <w:ilvl w:val="1"/>
          <w:numId w:val="4"/>
        </w:numPr>
        <w:rPr>
          <w:rFonts w:ascii="Arial" w:cs="Arial" w:eastAsia="Arial" w:hAnsi="Arial"/>
          <w:sz w:val="23"/>
          <w:szCs w:val="23"/>
          <w:color w:val="auto"/>
        </w:rPr>
      </w:pPr>
      <w:r>
        <w:rPr>
          <w:rFonts w:ascii="Arial" w:cs="Arial" w:eastAsia="Arial" w:hAnsi="Arial"/>
          <w:sz w:val="23"/>
          <w:szCs w:val="23"/>
          <w:color w:val="auto"/>
        </w:rPr>
        <w:t>[]</w:t>
      </w:r>
    </w:p>
    <w:p>
      <w:pPr>
        <w:spacing w:after="0" w:line="106" w:lineRule="exact"/>
        <w:rPr>
          <w:rFonts w:ascii="Arial" w:cs="Arial" w:eastAsia="Arial" w:hAnsi="Arial"/>
          <w:sz w:val="23"/>
          <w:szCs w:val="23"/>
          <w:color w:val="auto"/>
        </w:rPr>
      </w:pPr>
    </w:p>
    <w:p>
      <w:pPr>
        <w:ind w:left="1040" w:hanging="379"/>
        <w:spacing w:after="0"/>
        <w:tabs>
          <w:tab w:leader="none" w:pos="1040" w:val="left"/>
        </w:tabs>
        <w:numPr>
          <w:ilvl w:val="1"/>
          <w:numId w:val="4"/>
        </w:numPr>
        <w:rPr>
          <w:rFonts w:ascii="Arial" w:cs="Arial" w:eastAsia="Arial" w:hAnsi="Arial"/>
          <w:sz w:val="23"/>
          <w:szCs w:val="23"/>
          <w:color w:val="auto"/>
        </w:rPr>
      </w:pPr>
      <w:r>
        <w:rPr>
          <w:rFonts w:ascii="Arial" w:cs="Arial" w:eastAsia="Arial" w:hAnsi="Arial"/>
          <w:sz w:val="23"/>
          <w:szCs w:val="23"/>
          <w:color w:val="auto"/>
        </w:rPr>
        <w:t>[]</w:t>
      </w:r>
    </w:p>
    <w:p>
      <w:pPr>
        <w:spacing w:after="0" w:line="200" w:lineRule="exact"/>
        <w:rPr>
          <w:rFonts w:ascii="Arial" w:cs="Arial" w:eastAsia="Arial" w:hAnsi="Arial"/>
          <w:sz w:val="23"/>
          <w:szCs w:val="23"/>
          <w:color w:val="auto"/>
        </w:rPr>
      </w:pPr>
    </w:p>
    <w:p>
      <w:pPr>
        <w:spacing w:after="0" w:line="277" w:lineRule="exact"/>
        <w:rPr>
          <w:rFonts w:ascii="Arial" w:cs="Arial" w:eastAsia="Arial" w:hAnsi="Arial"/>
          <w:sz w:val="23"/>
          <w:szCs w:val="23"/>
          <w:color w:val="auto"/>
        </w:rPr>
      </w:pPr>
    </w:p>
    <w:p>
      <w:pPr>
        <w:ind w:left="660" w:hanging="455"/>
        <w:spacing w:after="0"/>
        <w:tabs>
          <w:tab w:leader="none" w:pos="660" w:val="left"/>
        </w:tabs>
        <w:numPr>
          <w:ilvl w:val="0"/>
          <w:numId w:val="4"/>
        </w:numPr>
        <w:rPr>
          <w:rFonts w:ascii="Arial" w:cs="Arial" w:eastAsia="Arial" w:hAnsi="Arial"/>
          <w:sz w:val="23"/>
          <w:szCs w:val="23"/>
          <w:color w:val="auto"/>
        </w:rPr>
      </w:pPr>
      <w:r>
        <w:rPr>
          <w:rFonts w:ascii="Arial" w:cs="Arial" w:eastAsia="Arial" w:hAnsi="Arial"/>
          <w:sz w:val="23"/>
          <w:szCs w:val="23"/>
          <w:color w:val="auto"/>
        </w:rPr>
        <w:t>SEC Use Only . . . . . . . . . . . . . . . . . . . . . . . . . . . . . . . . . . . . . . . . . . . .</w:t>
      </w:r>
    </w:p>
    <w:p>
      <w:pPr>
        <w:spacing w:after="0" w:line="200" w:lineRule="exact"/>
        <w:rPr>
          <w:rFonts w:ascii="Arial" w:cs="Arial" w:eastAsia="Arial" w:hAnsi="Arial"/>
          <w:sz w:val="23"/>
          <w:szCs w:val="23"/>
          <w:color w:val="auto"/>
        </w:rPr>
      </w:pPr>
    </w:p>
    <w:p>
      <w:pPr>
        <w:spacing w:after="0" w:line="277" w:lineRule="exact"/>
        <w:rPr>
          <w:rFonts w:ascii="Arial" w:cs="Arial" w:eastAsia="Arial" w:hAnsi="Arial"/>
          <w:sz w:val="23"/>
          <w:szCs w:val="23"/>
          <w:color w:val="auto"/>
        </w:rPr>
      </w:pPr>
    </w:p>
    <w:p>
      <w:pPr>
        <w:ind w:left="660" w:hanging="455"/>
        <w:spacing w:after="0"/>
        <w:tabs>
          <w:tab w:leader="none" w:pos="660" w:val="left"/>
        </w:tabs>
        <w:numPr>
          <w:ilvl w:val="0"/>
          <w:numId w:val="4"/>
        </w:numPr>
        <w:rPr>
          <w:rFonts w:ascii="Arial" w:cs="Arial" w:eastAsia="Arial" w:hAnsi="Arial"/>
          <w:sz w:val="23"/>
          <w:szCs w:val="23"/>
          <w:color w:val="auto"/>
        </w:rPr>
      </w:pPr>
      <w:r>
        <w:rPr>
          <w:rFonts w:ascii="Arial" w:cs="Arial" w:eastAsia="Arial" w:hAnsi="Arial"/>
          <w:sz w:val="23"/>
          <w:szCs w:val="23"/>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594423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423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-316865</wp:posOffset>
            </wp:positionV>
            <wp:extent cx="594423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423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153035</wp:posOffset>
            </wp:positionV>
            <wp:extent cx="594423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4235"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480" w:type="dxa"/>
            <w:vAlign w:val="bottom"/>
          </w:tcPr>
          <w:p>
            <w:pPr>
              <w:spacing w:after="0"/>
              <w:rPr>
                <w:sz w:val="24"/>
                <w:szCs w:val="24"/>
                <w:color w:val="auto"/>
              </w:rPr>
            </w:pPr>
          </w:p>
        </w:tc>
        <w:tc>
          <w:tcPr>
            <w:tcW w:w="7860" w:type="dxa"/>
            <w:vAlign w:val="bottom"/>
          </w:tcPr>
          <w:p>
            <w:pPr>
              <w:spacing w:after="0"/>
              <w:rPr>
                <w:sz w:val="20"/>
                <w:szCs w:val="20"/>
                <w:color w:val="auto"/>
              </w:rPr>
            </w:pPr>
            <w:r>
              <w:rPr>
                <w:rFonts w:ascii="Arial" w:cs="Arial" w:eastAsia="Arial" w:hAnsi="Arial"/>
                <w:sz w:val="23"/>
                <w:szCs w:val="23"/>
                <w:color w:val="auto"/>
              </w:rPr>
              <w:t>5. Sole Voting Power 127,215</w:t>
            </w:r>
          </w:p>
        </w:tc>
        <w:tc>
          <w:tcPr>
            <w:tcW w:w="0" w:type="dxa"/>
            <w:vAlign w:val="bottom"/>
          </w:tcPr>
          <w:p>
            <w:pPr>
              <w:spacing w:after="0"/>
              <w:rPr>
                <w:sz w:val="1"/>
                <w:szCs w:val="1"/>
                <w:color w:val="auto"/>
              </w:rPr>
            </w:pPr>
          </w:p>
        </w:tc>
      </w:tr>
      <w:tr>
        <w:trPr>
          <w:trHeight w:val="229"/>
        </w:trPr>
        <w:tc>
          <w:tcPr>
            <w:tcW w:w="1480" w:type="dxa"/>
            <w:vAlign w:val="bottom"/>
            <w:vMerge w:val="restart"/>
          </w:tcPr>
          <w:p>
            <w:pPr>
              <w:spacing w:after="0"/>
              <w:rPr>
                <w:sz w:val="20"/>
                <w:szCs w:val="20"/>
                <w:color w:val="auto"/>
              </w:rPr>
            </w:pPr>
            <w:r>
              <w:rPr>
                <w:rFonts w:ascii="Arial" w:cs="Arial" w:eastAsia="Arial" w:hAnsi="Arial"/>
                <w:sz w:val="23"/>
                <w:szCs w:val="23"/>
                <w:color w:val="auto"/>
              </w:rPr>
              <w:t>Number of</w:t>
            </w:r>
          </w:p>
        </w:tc>
        <w:tc>
          <w:tcPr>
            <w:tcW w:w="7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480" w:type="dxa"/>
            <w:vAlign w:val="bottom"/>
            <w:vMerge w:val="continue"/>
          </w:tcPr>
          <w:p>
            <w:pPr>
              <w:spacing w:after="0"/>
              <w:rPr>
                <w:sz w:val="5"/>
                <w:szCs w:val="5"/>
                <w:color w:val="auto"/>
              </w:rPr>
            </w:pPr>
          </w:p>
        </w:tc>
        <w:tc>
          <w:tcPr>
            <w:tcW w:w="7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line="256" w:lineRule="exact"/>
              <w:rPr>
                <w:sz w:val="20"/>
                <w:szCs w:val="20"/>
                <w:color w:val="auto"/>
              </w:rPr>
            </w:pPr>
            <w:r>
              <w:rPr>
                <w:rFonts w:ascii="Arial" w:cs="Arial" w:eastAsia="Arial" w:hAnsi="Arial"/>
                <w:sz w:val="23"/>
                <w:szCs w:val="23"/>
                <w:color w:val="auto"/>
              </w:rPr>
              <w:t>Shares</w:t>
            </w:r>
          </w:p>
        </w:tc>
        <w:tc>
          <w:tcPr>
            <w:tcW w:w="7860" w:type="dxa"/>
            <w:vAlign w:val="bottom"/>
            <w:vMerge w:val="restart"/>
          </w:tcPr>
          <w:p>
            <w:pPr>
              <w:spacing w:after="0"/>
              <w:rPr>
                <w:sz w:val="20"/>
                <w:szCs w:val="20"/>
                <w:color w:val="auto"/>
              </w:rPr>
            </w:pPr>
            <w:r>
              <w:rPr>
                <w:rFonts w:ascii="Arial" w:cs="Arial" w:eastAsia="Arial" w:hAnsi="Arial"/>
                <w:sz w:val="23"/>
                <w:szCs w:val="23"/>
                <w:color w:val="auto"/>
              </w:rPr>
              <w:t>6. Shared Voting Power 3,232,223</w:t>
            </w:r>
          </w:p>
        </w:tc>
        <w:tc>
          <w:tcPr>
            <w:tcW w:w="0" w:type="dxa"/>
            <w:vAlign w:val="bottom"/>
          </w:tcPr>
          <w:p>
            <w:pPr>
              <w:spacing w:after="0"/>
              <w:rPr>
                <w:sz w:val="1"/>
                <w:szCs w:val="1"/>
                <w:color w:val="auto"/>
              </w:rPr>
            </w:pPr>
          </w:p>
        </w:tc>
      </w:tr>
      <w:tr>
        <w:trPr>
          <w:trHeight w:val="177"/>
        </w:trPr>
        <w:tc>
          <w:tcPr>
            <w:tcW w:w="1480" w:type="dxa"/>
            <w:vAlign w:val="bottom"/>
            <w:vMerge w:val="restart"/>
          </w:tcPr>
          <w:p>
            <w:pPr>
              <w:spacing w:after="0" w:line="256" w:lineRule="exact"/>
              <w:rPr>
                <w:sz w:val="20"/>
                <w:szCs w:val="20"/>
                <w:color w:val="auto"/>
              </w:rPr>
            </w:pPr>
            <w:r>
              <w:rPr>
                <w:rFonts w:ascii="Arial" w:cs="Arial" w:eastAsia="Arial" w:hAnsi="Arial"/>
                <w:sz w:val="23"/>
                <w:szCs w:val="23"/>
                <w:color w:val="auto"/>
              </w:rPr>
              <w:t>Beneficially</w:t>
            </w:r>
          </w:p>
        </w:tc>
        <w:tc>
          <w:tcPr>
            <w:tcW w:w="7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480" w:type="dxa"/>
            <w:vAlign w:val="bottom"/>
            <w:vMerge w:val="continue"/>
          </w:tcPr>
          <w:p>
            <w:pPr>
              <w:spacing w:after="0"/>
              <w:rPr>
                <w:sz w:val="6"/>
                <w:szCs w:val="6"/>
                <w:color w:val="auto"/>
              </w:rPr>
            </w:pPr>
          </w:p>
        </w:tc>
        <w:tc>
          <w:tcPr>
            <w:tcW w:w="7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line="256" w:lineRule="exact"/>
              <w:rPr>
                <w:sz w:val="20"/>
                <w:szCs w:val="20"/>
                <w:color w:val="auto"/>
              </w:rPr>
            </w:pPr>
            <w:r>
              <w:rPr>
                <w:rFonts w:ascii="Arial" w:cs="Arial" w:eastAsia="Arial" w:hAnsi="Arial"/>
                <w:sz w:val="23"/>
                <w:szCs w:val="23"/>
                <w:color w:val="auto"/>
              </w:rPr>
              <w:t>Owned by</w:t>
            </w:r>
          </w:p>
        </w:tc>
        <w:tc>
          <w:tcPr>
            <w:tcW w:w="78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7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line="256" w:lineRule="exact"/>
              <w:rPr>
                <w:sz w:val="20"/>
                <w:szCs w:val="20"/>
                <w:color w:val="auto"/>
              </w:rPr>
            </w:pPr>
            <w:r>
              <w:rPr>
                <w:rFonts w:ascii="Arial" w:cs="Arial" w:eastAsia="Arial" w:hAnsi="Arial"/>
                <w:sz w:val="23"/>
                <w:szCs w:val="23"/>
                <w:color w:val="auto"/>
              </w:rPr>
              <w:t>Each</w:t>
            </w:r>
          </w:p>
        </w:tc>
        <w:tc>
          <w:tcPr>
            <w:tcW w:w="7860" w:type="dxa"/>
            <w:vAlign w:val="bottom"/>
            <w:vMerge w:val="restart"/>
          </w:tcPr>
          <w:p>
            <w:pPr>
              <w:spacing w:after="0"/>
              <w:rPr>
                <w:sz w:val="20"/>
                <w:szCs w:val="20"/>
                <w:color w:val="auto"/>
              </w:rPr>
            </w:pPr>
            <w:r>
              <w:rPr>
                <w:rFonts w:ascii="Arial" w:cs="Arial" w:eastAsia="Arial" w:hAnsi="Arial"/>
                <w:sz w:val="23"/>
                <w:szCs w:val="23"/>
                <w:color w:val="auto"/>
              </w:rPr>
              <w:t>7. Sole Dispositive Power 127,215</w:t>
            </w:r>
          </w:p>
        </w:tc>
        <w:tc>
          <w:tcPr>
            <w:tcW w:w="0" w:type="dxa"/>
            <w:vAlign w:val="bottom"/>
          </w:tcPr>
          <w:p>
            <w:pPr>
              <w:spacing w:after="0"/>
              <w:rPr>
                <w:sz w:val="1"/>
                <w:szCs w:val="1"/>
                <w:color w:val="auto"/>
              </w:rPr>
            </w:pPr>
          </w:p>
        </w:tc>
      </w:tr>
      <w:tr>
        <w:trPr>
          <w:trHeight w:val="149"/>
        </w:trPr>
        <w:tc>
          <w:tcPr>
            <w:tcW w:w="1480" w:type="dxa"/>
            <w:vAlign w:val="bottom"/>
            <w:vMerge w:val="restart"/>
          </w:tcPr>
          <w:p>
            <w:pPr>
              <w:spacing w:after="0" w:line="256" w:lineRule="exact"/>
              <w:rPr>
                <w:sz w:val="20"/>
                <w:szCs w:val="20"/>
                <w:color w:val="auto"/>
              </w:rPr>
            </w:pPr>
            <w:r>
              <w:rPr>
                <w:rFonts w:ascii="Arial" w:cs="Arial" w:eastAsia="Arial" w:hAnsi="Arial"/>
                <w:sz w:val="23"/>
                <w:szCs w:val="23"/>
                <w:color w:val="auto"/>
              </w:rPr>
              <w:t>Reporting</w:t>
            </w:r>
          </w:p>
        </w:tc>
        <w:tc>
          <w:tcPr>
            <w:tcW w:w="7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7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80" w:type="dxa"/>
            <w:vAlign w:val="bottom"/>
            <w:vMerge w:val="restart"/>
          </w:tcPr>
          <w:p>
            <w:pPr>
              <w:spacing w:after="0"/>
              <w:rPr>
                <w:sz w:val="20"/>
                <w:szCs w:val="20"/>
                <w:color w:val="auto"/>
              </w:rPr>
            </w:pPr>
            <w:r>
              <w:rPr>
                <w:rFonts w:ascii="Arial" w:cs="Arial" w:eastAsia="Arial" w:hAnsi="Arial"/>
                <w:sz w:val="23"/>
                <w:szCs w:val="23"/>
                <w:color w:val="auto"/>
              </w:rPr>
              <w:t>Person With</w:t>
            </w:r>
          </w:p>
        </w:tc>
        <w:tc>
          <w:tcPr>
            <w:tcW w:w="7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480" w:type="dxa"/>
            <w:vAlign w:val="bottom"/>
            <w:vMerge w:val="continue"/>
          </w:tcPr>
          <w:p>
            <w:pPr>
              <w:spacing w:after="0"/>
              <w:rPr>
                <w:sz w:val="13"/>
                <w:szCs w:val="13"/>
                <w:color w:val="auto"/>
              </w:rPr>
            </w:pPr>
          </w:p>
        </w:tc>
        <w:tc>
          <w:tcPr>
            <w:tcW w:w="7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-1052195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-1052195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-581660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-581660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-110490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-110490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 w:lineRule="exact"/>
        <w:rPr>
          <w:sz w:val="20"/>
          <w:szCs w:val="20"/>
          <w:color w:val="auto"/>
        </w:rPr>
      </w:pPr>
    </w:p>
    <w:p>
      <w:pPr>
        <w:ind w:left="1720" w:hanging="231"/>
        <w:spacing w:after="0"/>
        <w:tabs>
          <w:tab w:leader="none" w:pos="1720" w:val="left"/>
        </w:tabs>
        <w:numPr>
          <w:ilvl w:val="1"/>
          <w:numId w:val="5"/>
        </w:numPr>
        <w:rPr>
          <w:rFonts w:ascii="Arial" w:cs="Arial" w:eastAsia="Arial" w:hAnsi="Arial"/>
          <w:sz w:val="23"/>
          <w:szCs w:val="23"/>
          <w:color w:val="auto"/>
        </w:rPr>
      </w:pPr>
      <w:r>
        <w:rPr>
          <w:rFonts w:ascii="Arial" w:cs="Arial" w:eastAsia="Arial" w:hAnsi="Arial"/>
          <w:sz w:val="23"/>
          <w:szCs w:val="23"/>
          <w:color w:val="auto"/>
        </w:rPr>
        <w:t>Shared Dispositive Power 3,279,593</w:t>
      </w:r>
    </w:p>
    <w:p>
      <w:pPr>
        <w:spacing w:after="0" w:line="200" w:lineRule="exact"/>
        <w:rPr>
          <w:rFonts w:ascii="Arial" w:cs="Arial" w:eastAsia="Arial" w:hAnsi="Arial"/>
          <w:sz w:val="23"/>
          <w:szCs w:val="23"/>
          <w:color w:val="auto"/>
        </w:rPr>
      </w:pPr>
    </w:p>
    <w:p>
      <w:pPr>
        <w:spacing w:after="0" w:line="277" w:lineRule="exact"/>
        <w:rPr>
          <w:rFonts w:ascii="Arial" w:cs="Arial" w:eastAsia="Arial" w:hAnsi="Arial"/>
          <w:sz w:val="23"/>
          <w:szCs w:val="23"/>
          <w:color w:val="auto"/>
        </w:rPr>
      </w:pPr>
    </w:p>
    <w:p>
      <w:pPr>
        <w:ind w:left="660" w:hanging="455"/>
        <w:spacing w:after="0"/>
        <w:tabs>
          <w:tab w:leader="none" w:pos="660" w:val="left"/>
        </w:tabs>
        <w:numPr>
          <w:ilvl w:val="0"/>
          <w:numId w:val="6"/>
        </w:numPr>
        <w:rPr>
          <w:rFonts w:ascii="Arial" w:cs="Arial" w:eastAsia="Arial" w:hAnsi="Arial"/>
          <w:sz w:val="23"/>
          <w:szCs w:val="23"/>
          <w:color w:val="auto"/>
        </w:rPr>
      </w:pPr>
      <w:r>
        <w:rPr>
          <w:rFonts w:ascii="Arial" w:cs="Arial" w:eastAsia="Arial" w:hAnsi="Arial"/>
          <w:sz w:val="23"/>
          <w:szCs w:val="23"/>
          <w:color w:val="auto"/>
        </w:rPr>
        <w:t>Aggregate Amount Beneficially Owned by Each Reporting Person 3,406,808</w:t>
      </w:r>
    </w:p>
    <w:p>
      <w:pPr>
        <w:spacing w:after="0" w:line="200" w:lineRule="exact"/>
        <w:rPr>
          <w:rFonts w:ascii="Arial" w:cs="Arial" w:eastAsia="Arial" w:hAnsi="Arial"/>
          <w:sz w:val="23"/>
          <w:szCs w:val="23"/>
          <w:color w:val="auto"/>
        </w:rPr>
      </w:pPr>
    </w:p>
    <w:p>
      <w:pPr>
        <w:spacing w:after="0" w:line="277" w:lineRule="exact"/>
        <w:rPr>
          <w:rFonts w:ascii="Arial" w:cs="Arial" w:eastAsia="Arial" w:hAnsi="Arial"/>
          <w:sz w:val="23"/>
          <w:szCs w:val="23"/>
          <w:color w:val="auto"/>
        </w:rPr>
      </w:pPr>
    </w:p>
    <w:p>
      <w:pPr>
        <w:ind w:left="660" w:hanging="455"/>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(See Instructions)</w:t>
      </w:r>
    </w:p>
    <w:p>
      <w:pPr>
        <w:spacing w:after="0" w:line="200" w:lineRule="exact"/>
        <w:rPr>
          <w:rFonts w:ascii="Arial" w:cs="Arial" w:eastAsia="Arial" w:hAnsi="Arial"/>
          <w:sz w:val="22"/>
          <w:szCs w:val="22"/>
          <w:color w:val="auto"/>
        </w:rPr>
      </w:pPr>
    </w:p>
    <w:p>
      <w:pPr>
        <w:spacing w:after="0" w:line="288" w:lineRule="exact"/>
        <w:rPr>
          <w:rFonts w:ascii="Arial" w:cs="Arial" w:eastAsia="Arial" w:hAnsi="Arial"/>
          <w:sz w:val="22"/>
          <w:szCs w:val="22"/>
          <w:color w:val="auto"/>
        </w:rPr>
      </w:pPr>
    </w:p>
    <w:p>
      <w:pPr>
        <w:ind w:left="660" w:hanging="455"/>
        <w:spacing w:after="0"/>
        <w:tabs>
          <w:tab w:leader="none" w:pos="660" w:val="left"/>
        </w:tabs>
        <w:numPr>
          <w:ilvl w:val="0"/>
          <w:numId w:val="6"/>
        </w:numPr>
        <w:rPr>
          <w:rFonts w:ascii="Arial" w:cs="Arial" w:eastAsia="Arial" w:hAnsi="Arial"/>
          <w:sz w:val="23"/>
          <w:szCs w:val="23"/>
          <w:color w:val="auto"/>
        </w:rPr>
      </w:pPr>
      <w:r>
        <w:rPr>
          <w:rFonts w:ascii="Arial" w:cs="Arial" w:eastAsia="Arial" w:hAnsi="Arial"/>
          <w:sz w:val="23"/>
          <w:szCs w:val="23"/>
          <w:color w:val="auto"/>
        </w:rPr>
        <w:t>Percent of Class Represented by Amount in Row (9) 5.20 %</w:t>
      </w:r>
    </w:p>
    <w:p>
      <w:pPr>
        <w:spacing w:after="0" w:line="200" w:lineRule="exact"/>
        <w:rPr>
          <w:rFonts w:ascii="Arial" w:cs="Arial" w:eastAsia="Arial" w:hAnsi="Arial"/>
          <w:sz w:val="23"/>
          <w:szCs w:val="23"/>
          <w:color w:val="auto"/>
        </w:rPr>
      </w:pPr>
    </w:p>
    <w:p>
      <w:pPr>
        <w:spacing w:after="0" w:line="277" w:lineRule="exact"/>
        <w:rPr>
          <w:rFonts w:ascii="Arial" w:cs="Arial" w:eastAsia="Arial" w:hAnsi="Arial"/>
          <w:sz w:val="23"/>
          <w:szCs w:val="23"/>
          <w:color w:val="auto"/>
        </w:rPr>
      </w:pPr>
    </w:p>
    <w:p>
      <w:pPr>
        <w:ind w:left="660" w:hanging="455"/>
        <w:spacing w:after="0"/>
        <w:tabs>
          <w:tab w:leader="none" w:pos="660" w:val="left"/>
        </w:tabs>
        <w:numPr>
          <w:ilvl w:val="0"/>
          <w:numId w:val="6"/>
        </w:numPr>
        <w:rPr>
          <w:rFonts w:ascii="Arial" w:cs="Arial" w:eastAsia="Arial" w:hAnsi="Arial"/>
          <w:sz w:val="23"/>
          <w:szCs w:val="23"/>
          <w:color w:val="auto"/>
        </w:rPr>
      </w:pPr>
      <w:r>
        <w:rPr>
          <w:rFonts w:ascii="Arial" w:cs="Arial" w:eastAsia="Arial" w:hAnsi="Arial"/>
          <w:sz w:val="23"/>
          <w:szCs w:val="23"/>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-1729740</wp:posOffset>
            </wp:positionV>
            <wp:extent cx="594423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423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-1259205</wp:posOffset>
            </wp:positionV>
            <wp:extent cx="594423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4423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-788035</wp:posOffset>
            </wp:positionV>
            <wp:extent cx="594423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4423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-316865</wp:posOffset>
            </wp:positionV>
            <wp:extent cx="594423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423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153035</wp:posOffset>
            </wp:positionV>
            <wp:extent cx="594423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44235" cy="215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94423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4235" cy="215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w:t>
      </w:r>
    </w:p>
    <w:p>
      <w:pPr>
        <w:spacing w:after="0" w:line="112" w:lineRule="exact"/>
        <w:rPr>
          <w:sz w:val="20"/>
          <w:szCs w:val="20"/>
          <w:color w:val="auto"/>
        </w:rPr>
      </w:pPr>
    </w:p>
    <w:p>
      <w:pPr>
        <w:ind w:left="720" w:hanging="387"/>
        <w:spacing w:after="0"/>
        <w:tabs>
          <w:tab w:leader="none" w:pos="720" w:val="left"/>
        </w:tabs>
        <w:numPr>
          <w:ilvl w:val="0"/>
          <w:numId w:val="7"/>
        </w:numPr>
        <w:rPr>
          <w:rFonts w:ascii="Arial" w:cs="Arial" w:eastAsia="Arial" w:hAnsi="Arial"/>
          <w:sz w:val="23"/>
          <w:szCs w:val="23"/>
          <w:color w:val="auto"/>
        </w:rPr>
      </w:pPr>
      <w:r>
        <w:rPr>
          <w:rFonts w:ascii="Arial" w:cs="Arial" w:eastAsia="Arial" w:hAnsi="Arial"/>
          <w:sz w:val="23"/>
          <w:szCs w:val="23"/>
          <w:color w:val="auto"/>
        </w:rPr>
        <w:t>Name of Issuer</w:t>
      </w:r>
    </w:p>
    <w:p>
      <w:pPr>
        <w:spacing w:after="0" w:line="12" w:lineRule="exact"/>
        <w:rPr>
          <w:rFonts w:ascii="Arial" w:cs="Arial" w:eastAsia="Arial" w:hAnsi="Arial"/>
          <w:sz w:val="23"/>
          <w:szCs w:val="23"/>
          <w:color w:val="auto"/>
        </w:rPr>
      </w:pPr>
    </w:p>
    <w:p>
      <w:pPr>
        <w:ind w:left="720"/>
        <w:spacing w:after="0"/>
        <w:rPr>
          <w:rFonts w:ascii="Arial" w:cs="Arial" w:eastAsia="Arial" w:hAnsi="Arial"/>
          <w:sz w:val="23"/>
          <w:szCs w:val="23"/>
          <w:color w:val="auto"/>
        </w:rPr>
      </w:pPr>
      <w:r>
        <w:rPr>
          <w:rFonts w:ascii="Arial" w:cs="Arial" w:eastAsia="Arial" w:hAnsi="Arial"/>
          <w:sz w:val="23"/>
          <w:szCs w:val="23"/>
          <w:color w:val="auto"/>
        </w:rPr>
        <w:t>TPG SPECIALTY LENDING INC</w:t>
      </w:r>
    </w:p>
    <w:p>
      <w:pPr>
        <w:spacing w:after="0" w:line="86" w:lineRule="exact"/>
        <w:rPr>
          <w:rFonts w:ascii="Arial" w:cs="Arial" w:eastAsia="Arial" w:hAnsi="Arial"/>
          <w:sz w:val="23"/>
          <w:szCs w:val="23"/>
          <w:color w:val="auto"/>
        </w:rPr>
      </w:pPr>
    </w:p>
    <w:p>
      <w:pPr>
        <w:ind w:left="720" w:hanging="387"/>
        <w:spacing w:after="0"/>
        <w:tabs>
          <w:tab w:leader="none" w:pos="720" w:val="left"/>
        </w:tabs>
        <w:numPr>
          <w:ilvl w:val="0"/>
          <w:numId w:val="7"/>
        </w:numPr>
        <w:rPr>
          <w:rFonts w:ascii="Arial" w:cs="Arial" w:eastAsia="Arial" w:hAnsi="Arial"/>
          <w:sz w:val="23"/>
          <w:szCs w:val="23"/>
          <w:color w:val="auto"/>
        </w:rPr>
      </w:pPr>
      <w:r>
        <w:rPr>
          <w:rFonts w:ascii="Arial" w:cs="Arial" w:eastAsia="Arial" w:hAnsi="Arial"/>
          <w:sz w:val="23"/>
          <w:szCs w:val="23"/>
          <w:color w:val="auto"/>
        </w:rPr>
        <w:t>Address of Issuer's Principal Executive Offices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23"/>
          <w:szCs w:val="23"/>
          <w:color w:val="auto"/>
        </w:rPr>
        <w:t>301 COMMERCE STREET, SUITE 3300, FORT WORTH, TX 76102</w:t>
      </w:r>
    </w:p>
    <w:p>
      <w:pPr>
        <w:spacing w:after="0" w:line="10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w:t>
      </w:r>
    </w:p>
    <w:p>
      <w:pPr>
        <w:spacing w:after="0" w:line="112" w:lineRule="exact"/>
        <w:rPr>
          <w:sz w:val="20"/>
          <w:szCs w:val="20"/>
          <w:color w:val="auto"/>
        </w:rPr>
      </w:pPr>
    </w:p>
    <w:p>
      <w:pPr>
        <w:ind w:left="720" w:right="7620" w:hanging="387"/>
        <w:spacing w:after="0" w:line="304" w:lineRule="auto"/>
        <w:tabs>
          <w:tab w:leader="none" w:pos="720" w:val="left"/>
        </w:tabs>
        <w:numPr>
          <w:ilvl w:val="0"/>
          <w:numId w:val="8"/>
        </w:numPr>
        <w:rPr>
          <w:rFonts w:ascii="Arial" w:cs="Arial" w:eastAsia="Arial" w:hAnsi="Arial"/>
          <w:sz w:val="21"/>
          <w:szCs w:val="21"/>
          <w:color w:val="auto"/>
        </w:rPr>
      </w:pPr>
      <w:r>
        <w:rPr>
          <w:rFonts w:ascii="Arial" w:cs="Arial" w:eastAsia="Arial" w:hAnsi="Arial"/>
          <w:sz w:val="21"/>
          <w:szCs w:val="21"/>
          <w:color w:val="auto"/>
        </w:rPr>
        <w:t>Name of Person Filing Wells Fargo &amp; Company</w:t>
      </w:r>
    </w:p>
    <w:p>
      <w:pPr>
        <w:spacing w:after="0" w:line="15" w:lineRule="exact"/>
        <w:rPr>
          <w:rFonts w:ascii="Arial" w:cs="Arial" w:eastAsia="Arial" w:hAnsi="Arial"/>
          <w:sz w:val="21"/>
          <w:szCs w:val="21"/>
          <w:color w:val="auto"/>
        </w:rPr>
      </w:pPr>
    </w:p>
    <w:p>
      <w:pPr>
        <w:ind w:left="720" w:right="4480" w:hanging="387"/>
        <w:spacing w:after="0" w:line="327"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Address of Principal Business Office or, if none, Residence 420 Montgomery Street, San Francisco, CA 94163</w:t>
      </w:r>
    </w:p>
    <w:p>
      <w:pPr>
        <w:ind w:left="720" w:right="8860" w:hanging="387"/>
        <w:spacing w:after="0" w:line="304" w:lineRule="auto"/>
        <w:tabs>
          <w:tab w:leader="none" w:pos="720" w:val="left"/>
        </w:tabs>
        <w:numPr>
          <w:ilvl w:val="0"/>
          <w:numId w:val="8"/>
        </w:numPr>
        <w:rPr>
          <w:rFonts w:ascii="Arial" w:cs="Arial" w:eastAsia="Arial" w:hAnsi="Arial"/>
          <w:sz w:val="21"/>
          <w:szCs w:val="21"/>
          <w:color w:val="auto"/>
        </w:rPr>
      </w:pPr>
      <w:r>
        <w:rPr>
          <w:rFonts w:ascii="Arial" w:cs="Arial" w:eastAsia="Arial" w:hAnsi="Arial"/>
          <w:sz w:val="21"/>
          <w:szCs w:val="21"/>
          <w:color w:val="auto"/>
        </w:rPr>
        <w:t>Citizenship Delaware</w:t>
      </w:r>
    </w:p>
    <w:p>
      <w:pPr>
        <w:spacing w:after="0" w:line="15" w:lineRule="exact"/>
        <w:rPr>
          <w:rFonts w:ascii="Arial" w:cs="Arial" w:eastAsia="Arial" w:hAnsi="Arial"/>
          <w:sz w:val="21"/>
          <w:szCs w:val="21"/>
          <w:color w:val="auto"/>
        </w:rPr>
      </w:pPr>
    </w:p>
    <w:p>
      <w:pPr>
        <w:ind w:left="720" w:right="7480" w:hanging="387"/>
        <w:spacing w:after="0" w:line="257" w:lineRule="auto"/>
        <w:tabs>
          <w:tab w:leader="none" w:pos="720" w:val="left"/>
        </w:tabs>
        <w:numPr>
          <w:ilvl w:val="0"/>
          <w:numId w:val="8"/>
        </w:numPr>
        <w:rPr>
          <w:rFonts w:ascii="Arial" w:cs="Arial" w:eastAsia="Arial" w:hAnsi="Arial"/>
          <w:sz w:val="23"/>
          <w:szCs w:val="23"/>
          <w:color w:val="auto"/>
        </w:rPr>
      </w:pPr>
      <w:r>
        <w:rPr>
          <w:rFonts w:ascii="Arial" w:cs="Arial" w:eastAsia="Arial" w:hAnsi="Arial"/>
          <w:sz w:val="23"/>
          <w:szCs w:val="23"/>
          <w:color w:val="auto"/>
        </w:rPr>
        <w:t>Title of Class of Securities Common</w:t>
      </w:r>
    </w:p>
    <w:p>
      <w:pPr>
        <w:spacing w:after="0" w:line="61" w:lineRule="exact"/>
        <w:rPr>
          <w:rFonts w:ascii="Arial" w:cs="Arial" w:eastAsia="Arial" w:hAnsi="Arial"/>
          <w:sz w:val="23"/>
          <w:szCs w:val="23"/>
          <w:color w:val="auto"/>
        </w:rPr>
      </w:pPr>
    </w:p>
    <w:p>
      <w:pPr>
        <w:ind w:left="720" w:right="8460" w:hanging="387"/>
        <w:spacing w:after="0" w:line="331" w:lineRule="auto"/>
        <w:tabs>
          <w:tab w:leader="none" w:pos="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CUSIP Number 87265K102</w:t>
      </w:r>
    </w:p>
    <w:p>
      <w:pPr>
        <w:sectPr>
          <w:pgSz w:w="12240" w:h="15840" w:orient="portrait"/>
          <w:cols w:equalWidth="0" w:num="1">
            <w:col w:w="10620"/>
          </w:cols>
          <w:pgMar w:left="180" w:top="61" w:right="1440" w:bottom="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If this statement is filed pursuant to 240.13d-1(b) or 240.13d-2(b) or (c), check whether</w:t>
      </w:r>
    </w:p>
    <w:p>
      <w:pPr>
        <w:sectPr>
          <w:pgSz w:w="12240" w:h="15840" w:orient="portrait"/>
          <w:cols w:equalWidth="0" w:num="1">
            <w:col w:w="10620"/>
          </w:cols>
          <w:pgMar w:left="180" w:top="61" w:right="1440" w:bottom="0" w:gutter="0" w:footer="0" w:header="0"/>
          <w:type w:val="continuous"/>
        </w:sectPr>
      </w:pPr>
    </w:p>
    <w:bookmarkStart w:id="2" w:name="page3"/>
    <w:bookmarkEnd w:id="2"/>
    <w:p>
      <w:pPr>
        <w:ind w:left="820"/>
        <w:spacing w:after="0"/>
        <w:rPr>
          <w:sz w:val="20"/>
          <w:szCs w:val="20"/>
          <w:color w:val="auto"/>
        </w:rPr>
      </w:pPr>
      <w:r>
        <w:rPr>
          <w:rFonts w:ascii="Arial" w:cs="Arial" w:eastAsia="Arial" w:hAnsi="Arial"/>
          <w:sz w:val="23"/>
          <w:szCs w:val="23"/>
          <w:b w:val="1"/>
          <w:bCs w:val="1"/>
          <w:color w:val="auto"/>
        </w:rPr>
        <w:t>the person filing is a:</w:t>
      </w:r>
    </w:p>
    <w:p>
      <w:pPr>
        <w:spacing w:after="0" w:line="83" w:lineRule="exact"/>
        <w:rPr>
          <w:sz w:val="20"/>
          <w:szCs w:val="20"/>
          <w:color w:val="auto"/>
        </w:rPr>
      </w:pPr>
    </w:p>
    <w:p>
      <w:pPr>
        <w:ind w:left="820" w:hanging="497"/>
        <w:spacing w:after="0"/>
        <w:tabs>
          <w:tab w:leader="none" w:pos="8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Broker or dealer registered under section 15 of the Act (15 U.S.C. 78c)</w:t>
      </w:r>
    </w:p>
    <w:p>
      <w:pPr>
        <w:spacing w:after="0" w:line="277" w:lineRule="exact"/>
        <w:rPr>
          <w:rFonts w:ascii="Arial" w:cs="Arial" w:eastAsia="Arial" w:hAnsi="Arial"/>
          <w:sz w:val="23"/>
          <w:szCs w:val="23"/>
          <w:color w:val="auto"/>
        </w:rPr>
      </w:pPr>
    </w:p>
    <w:p>
      <w:pPr>
        <w:ind w:left="820" w:hanging="510"/>
        <w:spacing w:after="0"/>
        <w:tabs>
          <w:tab w:leader="none" w:pos="8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Bank as defined in section 3(a)(6) of the Act (15 U.S.C. 78c).</w:t>
      </w:r>
    </w:p>
    <w:p>
      <w:pPr>
        <w:spacing w:after="0" w:line="277" w:lineRule="exact"/>
        <w:rPr>
          <w:rFonts w:ascii="Arial" w:cs="Arial" w:eastAsia="Arial" w:hAnsi="Arial"/>
          <w:sz w:val="23"/>
          <w:szCs w:val="23"/>
          <w:color w:val="auto"/>
        </w:rPr>
      </w:pPr>
    </w:p>
    <w:p>
      <w:pPr>
        <w:ind w:left="820" w:hanging="497"/>
        <w:spacing w:after="0"/>
        <w:tabs>
          <w:tab w:leader="none" w:pos="8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Insurance company as defined in section 3(a)(19) of the Act (15 U.S.C. 78c).</w:t>
      </w:r>
    </w:p>
    <w:p>
      <w:pPr>
        <w:spacing w:after="0" w:line="277" w:lineRule="exact"/>
        <w:rPr>
          <w:rFonts w:ascii="Arial" w:cs="Arial" w:eastAsia="Arial" w:hAnsi="Arial"/>
          <w:sz w:val="23"/>
          <w:szCs w:val="23"/>
          <w:color w:val="auto"/>
        </w:rPr>
      </w:pPr>
    </w:p>
    <w:p>
      <w:pPr>
        <w:ind w:left="1180" w:right="1380" w:hanging="870"/>
        <w:spacing w:after="0" w:line="257" w:lineRule="auto"/>
        <w:tabs>
          <w:tab w:leader="none" w:pos="823" w:val="left"/>
        </w:tabs>
        <w:numPr>
          <w:ilvl w:val="0"/>
          <w:numId w:val="9"/>
        </w:numPr>
        <w:rPr>
          <w:rFonts w:ascii="Arial" w:cs="Arial" w:eastAsia="Arial" w:hAnsi="Arial"/>
          <w:sz w:val="23"/>
          <w:szCs w:val="23"/>
          <w:color w:val="auto"/>
        </w:rPr>
      </w:pPr>
      <w:r>
        <w:rPr>
          <w:rFonts w:ascii="Arial" w:cs="Arial" w:eastAsia="Arial" w:hAnsi="Arial"/>
          <w:sz w:val="23"/>
          <w:szCs w:val="23"/>
          <w:color w:val="auto"/>
        </w:rPr>
        <w:t>[ ] Investment company registered under section 8 of the Investment Company Act of 1940 (15 U.S.C 80a-8).</w:t>
      </w:r>
    </w:p>
    <w:p>
      <w:pPr>
        <w:spacing w:after="0" w:line="61" w:lineRule="exact"/>
        <w:rPr>
          <w:rFonts w:ascii="Arial" w:cs="Arial" w:eastAsia="Arial" w:hAnsi="Arial"/>
          <w:sz w:val="23"/>
          <w:szCs w:val="23"/>
          <w:color w:val="auto"/>
        </w:rPr>
      </w:pPr>
    </w:p>
    <w:p>
      <w:pPr>
        <w:ind w:left="820" w:hanging="497"/>
        <w:spacing w:after="0"/>
        <w:tabs>
          <w:tab w:leader="none" w:pos="8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An investment adviser in accordance with 240.13d-1(b)(1)(ii)(E);</w:t>
      </w:r>
    </w:p>
    <w:p>
      <w:pPr>
        <w:spacing w:after="0" w:line="277" w:lineRule="exact"/>
        <w:rPr>
          <w:rFonts w:ascii="Arial" w:cs="Arial" w:eastAsia="Arial" w:hAnsi="Arial"/>
          <w:sz w:val="23"/>
          <w:szCs w:val="23"/>
          <w:color w:val="auto"/>
        </w:rPr>
      </w:pPr>
    </w:p>
    <w:p>
      <w:pPr>
        <w:ind w:left="820" w:hanging="472"/>
        <w:spacing w:after="0"/>
        <w:tabs>
          <w:tab w:leader="none" w:pos="82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240.13d-1(b)(1)(ii)(F);</w:t>
      </w:r>
    </w:p>
    <w:p>
      <w:pPr>
        <w:spacing w:after="0" w:line="300" w:lineRule="exact"/>
        <w:rPr>
          <w:rFonts w:ascii="Arial" w:cs="Arial" w:eastAsia="Arial" w:hAnsi="Arial"/>
          <w:sz w:val="21"/>
          <w:szCs w:val="21"/>
          <w:color w:val="auto"/>
        </w:rPr>
      </w:pPr>
    </w:p>
    <w:p>
      <w:pPr>
        <w:ind w:left="820" w:hanging="510"/>
        <w:spacing w:after="0"/>
        <w:tabs>
          <w:tab w:leader="none" w:pos="820" w:val="left"/>
        </w:tabs>
        <w:numPr>
          <w:ilvl w:val="0"/>
          <w:numId w:val="9"/>
        </w:numPr>
        <w:rPr>
          <w:rFonts w:ascii="Arial" w:cs="Arial" w:eastAsia="Arial" w:hAnsi="Arial"/>
          <w:sz w:val="21"/>
          <w:szCs w:val="21"/>
          <w:color w:val="auto"/>
        </w:rPr>
      </w:pPr>
      <w:r>
        <w:rPr>
          <w:rFonts w:ascii="Arial" w:cs="Arial" w:eastAsia="Arial" w:hAnsi="Arial"/>
          <w:sz w:val="21"/>
          <w:szCs w:val="21"/>
          <w:color w:val="auto"/>
        </w:rPr>
        <w:t>[X A parent holding company or control person in accordance with 240.13d-1(b)(1)(ii)(G);</w:t>
      </w:r>
    </w:p>
    <w:p>
      <w:pPr>
        <w:spacing w:after="0" w:line="35" w:lineRule="exact"/>
        <w:rPr>
          <w:rFonts w:ascii="Arial" w:cs="Arial" w:eastAsia="Arial" w:hAnsi="Arial"/>
          <w:sz w:val="21"/>
          <w:szCs w:val="21"/>
          <w:color w:val="auto"/>
        </w:rPr>
      </w:pPr>
    </w:p>
    <w:p>
      <w:pPr>
        <w:ind w:left="820"/>
        <w:spacing w:after="0"/>
        <w:rPr>
          <w:rFonts w:ascii="Arial" w:cs="Arial" w:eastAsia="Arial" w:hAnsi="Arial"/>
          <w:sz w:val="21"/>
          <w:szCs w:val="21"/>
          <w:color w:val="auto"/>
        </w:rPr>
      </w:pPr>
      <w:r>
        <w:rPr>
          <w:rFonts w:ascii="Arial" w:cs="Arial" w:eastAsia="Arial" w:hAnsi="Arial"/>
          <w:sz w:val="23"/>
          <w:szCs w:val="23"/>
          <w:color w:val="auto"/>
        </w:rPr>
        <w:t>]</w:t>
      </w:r>
    </w:p>
    <w:p>
      <w:pPr>
        <w:spacing w:after="0" w:line="86" w:lineRule="exact"/>
        <w:rPr>
          <w:rFonts w:ascii="Arial" w:cs="Arial" w:eastAsia="Arial" w:hAnsi="Arial"/>
          <w:sz w:val="21"/>
          <w:szCs w:val="21"/>
          <w:color w:val="auto"/>
        </w:rPr>
      </w:pPr>
    </w:p>
    <w:p>
      <w:pPr>
        <w:ind w:left="1180" w:right="1560" w:hanging="870"/>
        <w:spacing w:after="0" w:line="257" w:lineRule="auto"/>
        <w:tabs>
          <w:tab w:leader="none" w:pos="823" w:val="left"/>
        </w:tabs>
        <w:numPr>
          <w:ilvl w:val="0"/>
          <w:numId w:val="9"/>
        </w:numPr>
        <w:rPr>
          <w:rFonts w:ascii="Arial" w:cs="Arial" w:eastAsia="Arial" w:hAnsi="Arial"/>
          <w:sz w:val="23"/>
          <w:szCs w:val="23"/>
          <w:color w:val="auto"/>
        </w:rPr>
      </w:pPr>
      <w:r>
        <w:rPr>
          <w:rFonts w:ascii="Arial" w:cs="Arial" w:eastAsia="Arial" w:hAnsi="Arial"/>
          <w:sz w:val="23"/>
          <w:szCs w:val="23"/>
          <w:color w:val="auto"/>
        </w:rPr>
        <w:t>[ ] A savings associations as defined in Section 3(b) of the Federal Deposit Insurance Act (12 U.S.C. 1813);</w:t>
      </w:r>
    </w:p>
    <w:p>
      <w:pPr>
        <w:spacing w:after="0" w:line="61" w:lineRule="exact"/>
        <w:rPr>
          <w:rFonts w:ascii="Arial" w:cs="Arial" w:eastAsia="Arial" w:hAnsi="Arial"/>
          <w:sz w:val="23"/>
          <w:szCs w:val="23"/>
          <w:color w:val="auto"/>
        </w:rPr>
      </w:pPr>
    </w:p>
    <w:p>
      <w:pPr>
        <w:ind w:left="1180" w:right="1840" w:hanging="819"/>
        <w:spacing w:after="0" w:line="242" w:lineRule="auto"/>
        <w:tabs>
          <w:tab w:leader="none" w:pos="823" w:val="left"/>
        </w:tabs>
        <w:numPr>
          <w:ilvl w:val="0"/>
          <w:numId w:val="9"/>
        </w:numPr>
        <w:rPr>
          <w:rFonts w:ascii="Arial" w:cs="Arial" w:eastAsia="Arial" w:hAnsi="Arial"/>
          <w:sz w:val="23"/>
          <w:szCs w:val="23"/>
          <w:color w:val="auto"/>
        </w:rPr>
      </w:pPr>
      <w:r>
        <w:rPr>
          <w:rFonts w:ascii="Arial" w:cs="Arial" w:eastAsia="Arial" w:hAnsi="Arial"/>
          <w:sz w:val="23"/>
          <w:szCs w:val="23"/>
          <w:color w:val="auto"/>
        </w:rPr>
        <w:t>[ ] A church plan that is excluded from the definition of an investment company under section</w:t>
      </w:r>
    </w:p>
    <w:p>
      <w:pPr>
        <w:ind w:left="1180"/>
        <w:spacing w:after="0"/>
        <w:rPr>
          <w:rFonts w:ascii="Arial" w:cs="Arial" w:eastAsia="Arial" w:hAnsi="Arial"/>
          <w:sz w:val="23"/>
          <w:szCs w:val="23"/>
          <w:color w:val="auto"/>
        </w:rPr>
      </w:pPr>
      <w:r>
        <w:rPr>
          <w:rFonts w:ascii="Arial" w:cs="Arial" w:eastAsia="Arial" w:hAnsi="Arial"/>
          <w:sz w:val="23"/>
          <w:szCs w:val="23"/>
          <w:color w:val="auto"/>
        </w:rPr>
        <w:t>3(c)(14) of the Investment Company Act of 1940 (15 U.S.C. 80a-3);</w:t>
      </w:r>
    </w:p>
    <w:p>
      <w:pPr>
        <w:spacing w:after="0" w:line="86" w:lineRule="exact"/>
        <w:rPr>
          <w:rFonts w:ascii="Arial" w:cs="Arial" w:eastAsia="Arial" w:hAnsi="Arial"/>
          <w:sz w:val="23"/>
          <w:szCs w:val="23"/>
          <w:color w:val="auto"/>
        </w:rPr>
      </w:pPr>
    </w:p>
    <w:p>
      <w:pPr>
        <w:ind w:left="820" w:hanging="459"/>
        <w:spacing w:after="0"/>
        <w:tabs>
          <w:tab w:leader="none" w:pos="8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A non-U.S.institution in accordance with 240.13d-1(b)(1)(ii)(J);</w:t>
      </w:r>
    </w:p>
    <w:p>
      <w:pPr>
        <w:spacing w:after="0" w:line="277" w:lineRule="exact"/>
        <w:rPr>
          <w:rFonts w:ascii="Arial" w:cs="Arial" w:eastAsia="Arial" w:hAnsi="Arial"/>
          <w:sz w:val="23"/>
          <w:szCs w:val="23"/>
          <w:color w:val="auto"/>
        </w:rPr>
      </w:pPr>
    </w:p>
    <w:p>
      <w:pPr>
        <w:ind w:left="820" w:hanging="510"/>
        <w:spacing w:after="0"/>
        <w:tabs>
          <w:tab w:leader="none" w:pos="8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  Group, in accordance with 240.13d-1(b)(1)(ii)(K).</w:t>
      </w:r>
    </w:p>
    <w:p>
      <w:pPr>
        <w:spacing w:after="0" w:line="277" w:lineRule="exact"/>
        <w:rPr>
          <w:sz w:val="20"/>
          <w:szCs w:val="20"/>
          <w:color w:val="auto"/>
        </w:rPr>
      </w:pPr>
    </w:p>
    <w:p>
      <w:pPr>
        <w:ind w:left="1180" w:right="1300"/>
        <w:spacing w:after="0" w:line="257" w:lineRule="auto"/>
        <w:rPr>
          <w:sz w:val="20"/>
          <w:szCs w:val="20"/>
          <w:color w:val="auto"/>
        </w:rPr>
      </w:pPr>
      <w:r>
        <w:rPr>
          <w:rFonts w:ascii="Arial" w:cs="Arial" w:eastAsia="Arial" w:hAnsi="Arial"/>
          <w:sz w:val="23"/>
          <w:szCs w:val="23"/>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Ownership.</w:t>
      </w:r>
    </w:p>
    <w:p>
      <w:pPr>
        <w:spacing w:after="0" w:line="112" w:lineRule="exact"/>
        <w:rPr>
          <w:sz w:val="20"/>
          <w:szCs w:val="20"/>
          <w:color w:val="auto"/>
        </w:rPr>
      </w:pPr>
    </w:p>
    <w:p>
      <w:pPr>
        <w:ind w:right="1780"/>
        <w:spacing w:after="0" w:line="257" w:lineRule="auto"/>
        <w:rPr>
          <w:sz w:val="20"/>
          <w:szCs w:val="20"/>
          <w:color w:val="auto"/>
        </w:rPr>
      </w:pPr>
      <w:r>
        <w:rPr>
          <w:rFonts w:ascii="Arial" w:cs="Arial" w:eastAsia="Arial" w:hAnsi="Arial"/>
          <w:sz w:val="23"/>
          <w:szCs w:val="23"/>
          <w:color w:val="auto"/>
        </w:rPr>
        <w:t>Provide the following information regarding the aggregate number and percentage of the class of securities of the issuer identified in Item 1.</w:t>
      </w:r>
    </w:p>
    <w:p>
      <w:pPr>
        <w:spacing w:after="0" w:line="61" w:lineRule="exact"/>
        <w:rPr>
          <w:sz w:val="20"/>
          <w:szCs w:val="20"/>
          <w:color w:val="auto"/>
        </w:rPr>
      </w:pPr>
    </w:p>
    <w:p>
      <w:pPr>
        <w:ind w:left="840" w:hanging="464"/>
        <w:spacing w:after="0"/>
        <w:tabs>
          <w:tab w:leader="none" w:pos="840" w:val="left"/>
        </w:tabs>
        <w:numPr>
          <w:ilvl w:val="0"/>
          <w:numId w:val="10"/>
        </w:numPr>
        <w:rPr>
          <w:rFonts w:ascii="Arial" w:cs="Arial" w:eastAsia="Arial" w:hAnsi="Arial"/>
          <w:sz w:val="23"/>
          <w:szCs w:val="23"/>
          <w:color w:val="auto"/>
        </w:rPr>
      </w:pPr>
      <w:r>
        <w:rPr>
          <w:rFonts w:ascii="Arial" w:cs="Arial" w:eastAsia="Arial" w:hAnsi="Arial"/>
          <w:sz w:val="23"/>
          <w:szCs w:val="23"/>
          <w:color w:val="auto"/>
        </w:rPr>
        <w:t>Amount beneficially owned: 3,406,808</w:t>
      </w:r>
    </w:p>
    <w:p>
      <w:pPr>
        <w:spacing w:after="0" w:line="106" w:lineRule="exact"/>
        <w:rPr>
          <w:rFonts w:ascii="Arial" w:cs="Arial" w:eastAsia="Arial" w:hAnsi="Arial"/>
          <w:sz w:val="23"/>
          <w:szCs w:val="23"/>
          <w:color w:val="auto"/>
        </w:rPr>
      </w:pPr>
    </w:p>
    <w:p>
      <w:pPr>
        <w:ind w:left="840" w:hanging="464"/>
        <w:spacing w:after="0"/>
        <w:tabs>
          <w:tab w:leader="none" w:pos="840" w:val="left"/>
        </w:tabs>
        <w:numPr>
          <w:ilvl w:val="0"/>
          <w:numId w:val="10"/>
        </w:numPr>
        <w:rPr>
          <w:rFonts w:ascii="Arial" w:cs="Arial" w:eastAsia="Arial" w:hAnsi="Arial"/>
          <w:sz w:val="23"/>
          <w:szCs w:val="23"/>
          <w:color w:val="auto"/>
        </w:rPr>
      </w:pPr>
      <w:r>
        <w:rPr>
          <w:rFonts w:ascii="Arial" w:cs="Arial" w:eastAsia="Arial" w:hAnsi="Arial"/>
          <w:sz w:val="23"/>
          <w:szCs w:val="23"/>
          <w:color w:val="auto"/>
        </w:rPr>
        <w:t>Percent of class: 5.20%</w:t>
      </w:r>
    </w:p>
    <w:p>
      <w:pPr>
        <w:spacing w:after="0" w:line="106" w:lineRule="exact"/>
        <w:rPr>
          <w:rFonts w:ascii="Arial" w:cs="Arial" w:eastAsia="Arial" w:hAnsi="Arial"/>
          <w:sz w:val="23"/>
          <w:szCs w:val="23"/>
          <w:color w:val="auto"/>
        </w:rPr>
      </w:pPr>
    </w:p>
    <w:p>
      <w:pPr>
        <w:ind w:left="840" w:hanging="464"/>
        <w:spacing w:after="0"/>
        <w:tabs>
          <w:tab w:leader="none" w:pos="840" w:val="left"/>
        </w:tabs>
        <w:numPr>
          <w:ilvl w:val="0"/>
          <w:numId w:val="10"/>
        </w:numPr>
        <w:rPr>
          <w:rFonts w:ascii="Arial" w:cs="Arial" w:eastAsia="Arial" w:hAnsi="Arial"/>
          <w:sz w:val="23"/>
          <w:szCs w:val="23"/>
          <w:color w:val="auto"/>
        </w:rPr>
      </w:pPr>
      <w:r>
        <w:rPr>
          <w:rFonts w:ascii="Arial" w:cs="Arial" w:eastAsia="Arial" w:hAnsi="Arial"/>
          <w:sz w:val="23"/>
          <w:szCs w:val="23"/>
          <w:color w:val="auto"/>
        </w:rPr>
        <w:t>Number of shares as to which the person has:</w:t>
      </w:r>
    </w:p>
    <w:p>
      <w:pPr>
        <w:spacing w:after="0" w:line="106" w:lineRule="exact"/>
        <w:rPr>
          <w:rFonts w:ascii="Arial" w:cs="Arial" w:eastAsia="Arial" w:hAnsi="Arial"/>
          <w:sz w:val="23"/>
          <w:szCs w:val="23"/>
          <w:color w:val="auto"/>
        </w:rPr>
      </w:pPr>
    </w:p>
    <w:p>
      <w:pPr>
        <w:ind w:left="1320" w:hanging="487"/>
        <w:spacing w:after="0"/>
        <w:tabs>
          <w:tab w:leader="none" w:pos="1320" w:val="left"/>
        </w:tabs>
        <w:numPr>
          <w:ilvl w:val="1"/>
          <w:numId w:val="10"/>
        </w:numPr>
        <w:rPr>
          <w:rFonts w:ascii="Arial" w:cs="Arial" w:eastAsia="Arial" w:hAnsi="Arial"/>
          <w:sz w:val="23"/>
          <w:szCs w:val="23"/>
          <w:color w:val="auto"/>
        </w:rPr>
      </w:pPr>
      <w:r>
        <w:rPr>
          <w:rFonts w:ascii="Arial" w:cs="Arial" w:eastAsia="Arial" w:hAnsi="Arial"/>
          <w:sz w:val="23"/>
          <w:szCs w:val="23"/>
          <w:color w:val="auto"/>
        </w:rPr>
        <w:t>Sole power to vote or to direct the vote 127,215</w:t>
      </w:r>
    </w:p>
    <w:p>
      <w:pPr>
        <w:spacing w:after="0" w:line="106" w:lineRule="exact"/>
        <w:rPr>
          <w:rFonts w:ascii="Arial" w:cs="Arial" w:eastAsia="Arial" w:hAnsi="Arial"/>
          <w:sz w:val="23"/>
          <w:szCs w:val="23"/>
          <w:color w:val="auto"/>
        </w:rPr>
      </w:pPr>
    </w:p>
    <w:p>
      <w:pPr>
        <w:ind w:left="1320" w:hanging="487"/>
        <w:spacing w:after="0"/>
        <w:tabs>
          <w:tab w:leader="none" w:pos="1320" w:val="left"/>
        </w:tabs>
        <w:numPr>
          <w:ilvl w:val="1"/>
          <w:numId w:val="10"/>
        </w:numPr>
        <w:rPr>
          <w:rFonts w:ascii="Arial" w:cs="Arial" w:eastAsia="Arial" w:hAnsi="Arial"/>
          <w:sz w:val="23"/>
          <w:szCs w:val="23"/>
          <w:color w:val="auto"/>
        </w:rPr>
      </w:pPr>
      <w:r>
        <w:rPr>
          <w:rFonts w:ascii="Arial" w:cs="Arial" w:eastAsia="Arial" w:hAnsi="Arial"/>
          <w:sz w:val="23"/>
          <w:szCs w:val="23"/>
          <w:color w:val="auto"/>
        </w:rPr>
        <w:t>Shared power to vote or to direct the vote 3,232,223</w:t>
      </w:r>
    </w:p>
    <w:p>
      <w:pPr>
        <w:spacing w:after="0" w:line="106" w:lineRule="exact"/>
        <w:rPr>
          <w:rFonts w:ascii="Arial" w:cs="Arial" w:eastAsia="Arial" w:hAnsi="Arial"/>
          <w:sz w:val="23"/>
          <w:szCs w:val="23"/>
          <w:color w:val="auto"/>
        </w:rPr>
      </w:pPr>
    </w:p>
    <w:p>
      <w:pPr>
        <w:ind w:left="1320" w:hanging="487"/>
        <w:spacing w:after="0"/>
        <w:tabs>
          <w:tab w:leader="none" w:pos="1320" w:val="left"/>
        </w:tabs>
        <w:numPr>
          <w:ilvl w:val="1"/>
          <w:numId w:val="10"/>
        </w:numPr>
        <w:rPr>
          <w:rFonts w:ascii="Arial" w:cs="Arial" w:eastAsia="Arial" w:hAnsi="Arial"/>
          <w:sz w:val="23"/>
          <w:szCs w:val="23"/>
          <w:color w:val="auto"/>
        </w:rPr>
      </w:pPr>
      <w:r>
        <w:rPr>
          <w:rFonts w:ascii="Arial" w:cs="Arial" w:eastAsia="Arial" w:hAnsi="Arial"/>
          <w:sz w:val="23"/>
          <w:szCs w:val="23"/>
          <w:color w:val="auto"/>
        </w:rPr>
        <w:t>Sole power to dispose or to direct the disposition of 127,215</w:t>
      </w:r>
    </w:p>
    <w:p>
      <w:pPr>
        <w:spacing w:after="0" w:line="106" w:lineRule="exact"/>
        <w:rPr>
          <w:rFonts w:ascii="Arial" w:cs="Arial" w:eastAsia="Arial" w:hAnsi="Arial"/>
          <w:sz w:val="23"/>
          <w:szCs w:val="23"/>
          <w:color w:val="auto"/>
        </w:rPr>
      </w:pPr>
    </w:p>
    <w:p>
      <w:pPr>
        <w:ind w:left="1320" w:hanging="487"/>
        <w:spacing w:after="0"/>
        <w:tabs>
          <w:tab w:leader="none" w:pos="1320" w:val="left"/>
        </w:tabs>
        <w:numPr>
          <w:ilvl w:val="1"/>
          <w:numId w:val="10"/>
        </w:numPr>
        <w:rPr>
          <w:rFonts w:ascii="Arial" w:cs="Arial" w:eastAsia="Arial" w:hAnsi="Arial"/>
          <w:sz w:val="23"/>
          <w:szCs w:val="23"/>
          <w:color w:val="auto"/>
        </w:rPr>
      </w:pPr>
      <w:r>
        <w:rPr>
          <w:rFonts w:ascii="Arial" w:cs="Arial" w:eastAsia="Arial" w:hAnsi="Arial"/>
          <w:sz w:val="23"/>
          <w:szCs w:val="23"/>
          <w:color w:val="auto"/>
        </w:rPr>
        <w:t>Shared power to dispose or to direct the disposition of 3,279,593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Arial" w:cs="Arial" w:eastAsia="Arial" w:hAnsi="Arial"/>
          <w:sz w:val="23"/>
          <w:szCs w:val="23"/>
          <w:b w:val="1"/>
          <w:bCs w:val="1"/>
          <w:color w:val="auto"/>
        </w:rPr>
        <w:t>Item 5.</w:t>
      </w:r>
      <w:r>
        <w:rPr>
          <w:sz w:val="20"/>
          <w:szCs w:val="20"/>
          <w:color w:val="auto"/>
        </w:rPr>
        <w:tab/>
      </w:r>
      <w:r>
        <w:rPr>
          <w:rFonts w:ascii="Arial" w:cs="Arial" w:eastAsia="Arial" w:hAnsi="Arial"/>
          <w:sz w:val="20"/>
          <w:szCs w:val="20"/>
          <w:b w:val="1"/>
          <w:bCs w:val="1"/>
          <w:color w:val="auto"/>
        </w:rPr>
        <w:t>Ownership of Five Percent or Less of a Class</w:t>
      </w:r>
    </w:p>
    <w:p>
      <w:pPr>
        <w:spacing w:after="0" w:line="112" w:lineRule="exact"/>
        <w:rPr>
          <w:sz w:val="20"/>
          <w:szCs w:val="20"/>
          <w:color w:val="auto"/>
        </w:rPr>
      </w:pPr>
    </w:p>
    <w:p>
      <w:pPr>
        <w:ind w:right="1780"/>
        <w:spacing w:after="0" w:line="245" w:lineRule="auto"/>
        <w:rPr>
          <w:sz w:val="20"/>
          <w:szCs w:val="20"/>
          <w:color w:val="auto"/>
        </w:rPr>
      </w:pPr>
      <w:r>
        <w:rPr>
          <w:rFonts w:ascii="Arial" w:cs="Arial" w:eastAsia="Arial" w:hAnsi="Arial"/>
          <w:sz w:val="23"/>
          <w:szCs w:val="23"/>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39" w:lineRule="exact"/>
        <w:rPr>
          <w:sz w:val="20"/>
          <w:szCs w:val="20"/>
          <w:color w:val="auto"/>
        </w:rPr>
      </w:pPr>
    </w:p>
    <w:p>
      <w:pPr>
        <w:spacing w:after="0"/>
        <w:tabs>
          <w:tab w:leader="none" w:pos="880" w:val="left"/>
        </w:tabs>
        <w:rPr>
          <w:sz w:val="20"/>
          <w:szCs w:val="20"/>
          <w:color w:val="auto"/>
        </w:rPr>
      </w:pPr>
      <w:r>
        <w:rPr>
          <w:rFonts w:ascii="Arial" w:cs="Arial" w:eastAsia="Arial" w:hAnsi="Arial"/>
          <w:sz w:val="23"/>
          <w:szCs w:val="23"/>
          <w:b w:val="1"/>
          <w:bCs w:val="1"/>
          <w:color w:val="auto"/>
        </w:rPr>
        <w:t>Item 6.</w:t>
      </w:r>
      <w:r>
        <w:rPr>
          <w:sz w:val="20"/>
          <w:szCs w:val="20"/>
          <w:color w:val="auto"/>
        </w:rPr>
        <w:tab/>
      </w:r>
      <w:r>
        <w:rPr>
          <w:rFonts w:ascii="Arial" w:cs="Arial" w:eastAsia="Arial" w:hAnsi="Arial"/>
          <w:sz w:val="20"/>
          <w:szCs w:val="20"/>
          <w:b w:val="1"/>
          <w:bCs w:val="1"/>
          <w:color w:val="auto"/>
        </w:rPr>
        <w:t>Ownership of More than Five Percent on Behalf of Another Person.</w:t>
      </w:r>
    </w:p>
    <w:p>
      <w:pPr>
        <w:spacing w:after="0" w:line="112" w:lineRule="exact"/>
        <w:rPr>
          <w:sz w:val="20"/>
          <w:szCs w:val="20"/>
          <w:color w:val="auto"/>
        </w:rPr>
      </w:pPr>
    </w:p>
    <w:p>
      <w:pPr>
        <w:spacing w:after="0"/>
        <w:rPr>
          <w:sz w:val="20"/>
          <w:szCs w:val="20"/>
          <w:color w:val="auto"/>
        </w:rPr>
      </w:pPr>
      <w:r>
        <w:rPr>
          <w:rFonts w:ascii="Arial" w:cs="Arial" w:eastAsia="Arial" w:hAnsi="Arial"/>
          <w:sz w:val="23"/>
          <w:szCs w:val="23"/>
          <w:color w:val="auto"/>
        </w:rPr>
        <w:t>Not applicable</w:t>
      </w:r>
    </w:p>
    <w:p>
      <w:pPr>
        <w:spacing w:after="0" w:line="100" w:lineRule="exact"/>
        <w:rPr>
          <w:sz w:val="20"/>
          <w:szCs w:val="20"/>
          <w:color w:val="auto"/>
        </w:rPr>
      </w:pPr>
    </w:p>
    <w:p>
      <w:pPr>
        <w:ind w:left="900" w:right="1360" w:hanging="912"/>
        <w:spacing w:after="0" w:line="285" w:lineRule="auto"/>
        <w:tabs>
          <w:tab w:leader="none" w:pos="880" w:val="left"/>
        </w:tabs>
        <w:rPr>
          <w:sz w:val="20"/>
          <w:szCs w:val="20"/>
          <w:color w:val="auto"/>
        </w:rPr>
      </w:pPr>
      <w:r>
        <w:rPr>
          <w:rFonts w:ascii="Arial" w:cs="Arial" w:eastAsia="Arial" w:hAnsi="Arial"/>
          <w:sz w:val="23"/>
          <w:szCs w:val="23"/>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33" w:lineRule="exact"/>
        <w:rPr>
          <w:sz w:val="20"/>
          <w:szCs w:val="20"/>
          <w:color w:val="auto"/>
        </w:rPr>
      </w:pPr>
    </w:p>
    <w:p>
      <w:pPr>
        <w:spacing w:after="0"/>
        <w:rPr>
          <w:sz w:val="20"/>
          <w:szCs w:val="20"/>
          <w:color w:val="auto"/>
        </w:rPr>
      </w:pPr>
      <w:r>
        <w:rPr>
          <w:rFonts w:ascii="Arial" w:cs="Arial" w:eastAsia="Arial" w:hAnsi="Arial"/>
          <w:sz w:val="23"/>
          <w:szCs w:val="23"/>
          <w:color w:val="auto"/>
        </w:rPr>
        <w:t>See Exhibit B</w:t>
      </w:r>
    </w:p>
    <w:p>
      <w:pPr>
        <w:sectPr>
          <w:pgSz w:w="12240" w:h="15840" w:orient="portrait"/>
          <w:cols w:equalWidth="0" w:num="1">
            <w:col w:w="10620"/>
          </w:cols>
          <w:pgMar w:left="180" w:top="0" w:right="1440" w:bottom="0" w:gutter="0" w:footer="0" w:header="0"/>
        </w:sectPr>
      </w:pPr>
    </w:p>
    <w:bookmarkStart w:id="3" w:name="page4"/>
    <w:bookmarkEnd w:id="3"/>
    <w:p>
      <w:pPr>
        <w:ind w:left="9"/>
        <w:spacing w:after="0"/>
        <w:tabs>
          <w:tab w:leader="none" w:pos="888" w:val="left"/>
        </w:tabs>
        <w:rPr>
          <w:sz w:val="20"/>
          <w:szCs w:val="20"/>
          <w:color w:val="auto"/>
        </w:rPr>
      </w:pPr>
      <w:r>
        <w:rPr>
          <w:rFonts w:ascii="Arial" w:cs="Arial" w:eastAsia="Arial" w:hAnsi="Arial"/>
          <w:sz w:val="23"/>
          <w:szCs w:val="23"/>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83" w:lineRule="exact"/>
        <w:rPr>
          <w:sz w:val="20"/>
          <w:szCs w:val="20"/>
          <w:color w:val="auto"/>
        </w:rPr>
      </w:pPr>
    </w:p>
    <w:p>
      <w:pPr>
        <w:ind w:left="9"/>
        <w:spacing w:after="0"/>
        <w:rPr>
          <w:sz w:val="20"/>
          <w:szCs w:val="20"/>
          <w:color w:val="auto"/>
        </w:rPr>
      </w:pPr>
      <w:r>
        <w:rPr>
          <w:rFonts w:ascii="Arial" w:cs="Arial" w:eastAsia="Arial" w:hAnsi="Arial"/>
          <w:sz w:val="23"/>
          <w:szCs w:val="23"/>
          <w:color w:val="auto"/>
        </w:rPr>
        <w:t>Not applicable.</w:t>
      </w:r>
    </w:p>
    <w:p>
      <w:pPr>
        <w:spacing w:after="0" w:line="100" w:lineRule="exact"/>
        <w:rPr>
          <w:sz w:val="20"/>
          <w:szCs w:val="20"/>
          <w:color w:val="auto"/>
        </w:rPr>
      </w:pPr>
    </w:p>
    <w:p>
      <w:pPr>
        <w:ind w:left="9"/>
        <w:spacing w:after="0"/>
        <w:tabs>
          <w:tab w:leader="none" w:pos="888" w:val="left"/>
        </w:tabs>
        <w:rPr>
          <w:sz w:val="20"/>
          <w:szCs w:val="20"/>
          <w:color w:val="auto"/>
        </w:rPr>
      </w:pPr>
      <w:r>
        <w:rPr>
          <w:rFonts w:ascii="Arial" w:cs="Arial" w:eastAsia="Arial" w:hAnsi="Arial"/>
          <w:sz w:val="23"/>
          <w:szCs w:val="23"/>
          <w:b w:val="1"/>
          <w:bCs w:val="1"/>
          <w:color w:val="auto"/>
        </w:rPr>
        <w:t>Item 9.</w:t>
      </w:r>
      <w:r>
        <w:rPr>
          <w:sz w:val="20"/>
          <w:szCs w:val="20"/>
          <w:color w:val="auto"/>
        </w:rPr>
        <w:tab/>
      </w:r>
      <w:r>
        <w:rPr>
          <w:rFonts w:ascii="Arial" w:cs="Arial" w:eastAsia="Arial" w:hAnsi="Arial"/>
          <w:sz w:val="20"/>
          <w:szCs w:val="20"/>
          <w:b w:val="1"/>
          <w:bCs w:val="1"/>
          <w:color w:val="auto"/>
        </w:rPr>
        <w:t>Notice of Dissolution of Group</w:t>
      </w:r>
    </w:p>
    <w:p>
      <w:pPr>
        <w:spacing w:after="0" w:line="112" w:lineRule="exact"/>
        <w:rPr>
          <w:sz w:val="20"/>
          <w:szCs w:val="20"/>
          <w:color w:val="auto"/>
        </w:rPr>
      </w:pPr>
    </w:p>
    <w:p>
      <w:pPr>
        <w:ind w:left="9"/>
        <w:spacing w:after="0"/>
        <w:rPr>
          <w:sz w:val="20"/>
          <w:szCs w:val="20"/>
          <w:color w:val="auto"/>
        </w:rPr>
      </w:pPr>
      <w:r>
        <w:rPr>
          <w:rFonts w:ascii="Arial" w:cs="Arial" w:eastAsia="Arial" w:hAnsi="Arial"/>
          <w:sz w:val="23"/>
          <w:szCs w:val="23"/>
          <w:color w:val="auto"/>
        </w:rPr>
        <w:t>Not applicable.</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23"/>
          <w:szCs w:val="23"/>
          <w:b w:val="1"/>
          <w:bCs w:val="1"/>
          <w:color w:val="auto"/>
        </w:rPr>
        <w:t>Item 10. Certification</w:t>
      </w:r>
    </w:p>
    <w:p>
      <w:pPr>
        <w:spacing w:after="0" w:line="55" w:lineRule="exact"/>
        <w:rPr>
          <w:sz w:val="20"/>
          <w:szCs w:val="20"/>
          <w:color w:val="auto"/>
        </w:rPr>
      </w:pPr>
    </w:p>
    <w:p>
      <w:pPr>
        <w:jc w:val="both"/>
        <w:ind w:left="509" w:right="2000"/>
        <w:spacing w:after="0" w:line="238" w:lineRule="auto"/>
        <w:rPr>
          <w:sz w:val="20"/>
          <w:szCs w:val="20"/>
          <w:color w:val="auto"/>
        </w:rPr>
      </w:pPr>
      <w:r>
        <w:rPr>
          <w:rFonts w:ascii="Arial" w:cs="Arial" w:eastAsia="Arial" w:hAnsi="Arial"/>
          <w:sz w:val="23"/>
          <w:szCs w:val="23"/>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64" w:lineRule="exact"/>
        <w:rPr>
          <w:sz w:val="20"/>
          <w:szCs w:val="20"/>
          <w:color w:val="auto"/>
        </w:rPr>
      </w:pPr>
    </w:p>
    <w:p>
      <w:pPr>
        <w:jc w:val="center"/>
        <w:ind w:right="751"/>
        <w:spacing w:after="0"/>
        <w:rPr>
          <w:sz w:val="20"/>
          <w:szCs w:val="20"/>
          <w:color w:val="auto"/>
        </w:rPr>
      </w:pPr>
      <w:r>
        <w:rPr>
          <w:rFonts w:ascii="Arial" w:cs="Arial" w:eastAsia="Arial" w:hAnsi="Arial"/>
          <w:sz w:val="27"/>
          <w:szCs w:val="27"/>
          <w:b w:val="1"/>
          <w:bCs w:val="1"/>
          <w:color w:val="auto"/>
        </w:rPr>
        <w:t>SIGNATURE</w:t>
      </w:r>
    </w:p>
    <w:p>
      <w:pPr>
        <w:spacing w:after="0" w:line="333" w:lineRule="exact"/>
        <w:rPr>
          <w:sz w:val="20"/>
          <w:szCs w:val="20"/>
          <w:color w:val="auto"/>
        </w:rPr>
      </w:pPr>
    </w:p>
    <w:p>
      <w:pPr>
        <w:ind w:left="249" w:right="1120"/>
        <w:spacing w:after="0" w:line="257" w:lineRule="auto"/>
        <w:rPr>
          <w:sz w:val="20"/>
          <w:szCs w:val="20"/>
          <w:color w:val="auto"/>
        </w:rPr>
      </w:pPr>
      <w:r>
        <w:rPr>
          <w:rFonts w:ascii="Arial" w:cs="Arial" w:eastAsia="Arial" w:hAnsi="Arial"/>
          <w:sz w:val="23"/>
          <w:szCs w:val="23"/>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751"/>
        <w:spacing w:after="0"/>
        <w:rPr>
          <w:sz w:val="20"/>
          <w:szCs w:val="20"/>
          <w:color w:val="auto"/>
        </w:rPr>
      </w:pPr>
      <w:r>
        <w:rPr>
          <w:rFonts w:ascii="Arial" w:cs="Arial" w:eastAsia="Arial" w:hAnsi="Arial"/>
          <w:sz w:val="23"/>
          <w:szCs w:val="23"/>
          <w:color w:val="auto"/>
        </w:rPr>
        <w:t>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19050</wp:posOffset>
            </wp:positionV>
            <wp:extent cx="35858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85845" cy="8890"/>
                    </a:xfrm>
                    <a:prstGeom prst="rect">
                      <a:avLst/>
                    </a:prstGeom>
                    <a:noFill/>
                  </pic:spPr>
                </pic:pic>
              </a:graphicData>
            </a:graphic>
          </wp:anchor>
        </w:drawing>
      </w:r>
    </w:p>
    <w:p>
      <w:pPr>
        <w:spacing w:after="0" w:line="44" w:lineRule="exact"/>
        <w:rPr>
          <w:sz w:val="20"/>
          <w:szCs w:val="20"/>
          <w:color w:val="auto"/>
        </w:rPr>
      </w:pPr>
    </w:p>
    <w:p>
      <w:pPr>
        <w:jc w:val="center"/>
        <w:ind w:right="751"/>
        <w:spacing w:after="0"/>
        <w:rPr>
          <w:sz w:val="20"/>
          <w:szCs w:val="20"/>
          <w:color w:val="auto"/>
        </w:rPr>
      </w:pPr>
      <w:r>
        <w:rPr>
          <w:rFonts w:ascii="Arial" w:cs="Arial" w:eastAsia="Arial" w:hAnsi="Arial"/>
          <w:sz w:val="23"/>
          <w:szCs w:val="23"/>
          <w:color w:val="auto"/>
        </w:rPr>
        <w:t>Date</w:t>
      </w:r>
    </w:p>
    <w:p>
      <w:pPr>
        <w:spacing w:after="0" w:line="49" w:lineRule="exact"/>
        <w:rPr>
          <w:sz w:val="20"/>
          <w:szCs w:val="20"/>
          <w:color w:val="auto"/>
        </w:rPr>
      </w:pPr>
    </w:p>
    <w:p>
      <w:pPr>
        <w:jc w:val="center"/>
        <w:ind w:right="751"/>
        <w:spacing w:after="0"/>
        <w:rPr>
          <w:sz w:val="20"/>
          <w:szCs w:val="20"/>
          <w:color w:val="auto"/>
        </w:rPr>
      </w:pPr>
      <w:r>
        <w:rPr>
          <w:rFonts w:ascii="Arial" w:cs="Arial" w:eastAsia="Arial" w:hAnsi="Arial"/>
          <w:sz w:val="23"/>
          <w:szCs w:val="23"/>
          <w:color w:val="auto"/>
        </w:rPr>
        <w:t>/s/ Lori A.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19050</wp:posOffset>
            </wp:positionV>
            <wp:extent cx="35858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85845" cy="8890"/>
                    </a:xfrm>
                    <a:prstGeom prst="rect">
                      <a:avLst/>
                    </a:prstGeom>
                    <a:noFill/>
                  </pic:spPr>
                </pic:pic>
              </a:graphicData>
            </a:graphic>
          </wp:anchor>
        </w:drawing>
      </w:r>
    </w:p>
    <w:p>
      <w:pPr>
        <w:spacing w:after="0" w:line="44" w:lineRule="exact"/>
        <w:rPr>
          <w:sz w:val="20"/>
          <w:szCs w:val="20"/>
          <w:color w:val="auto"/>
        </w:rPr>
      </w:pPr>
    </w:p>
    <w:p>
      <w:pPr>
        <w:jc w:val="center"/>
        <w:ind w:right="751"/>
        <w:spacing w:after="0"/>
        <w:rPr>
          <w:sz w:val="20"/>
          <w:szCs w:val="20"/>
          <w:color w:val="auto"/>
        </w:rPr>
      </w:pPr>
      <w:r>
        <w:rPr>
          <w:rFonts w:ascii="Arial" w:cs="Arial" w:eastAsia="Arial" w:hAnsi="Arial"/>
          <w:sz w:val="23"/>
          <w:szCs w:val="23"/>
          <w:color w:val="auto"/>
        </w:rPr>
        <w:t>Signature</w:t>
      </w:r>
    </w:p>
    <w:p>
      <w:pPr>
        <w:spacing w:after="0" w:line="49" w:lineRule="exact"/>
        <w:rPr>
          <w:sz w:val="20"/>
          <w:szCs w:val="20"/>
          <w:color w:val="auto"/>
        </w:rPr>
      </w:pPr>
    </w:p>
    <w:p>
      <w:pPr>
        <w:jc w:val="center"/>
        <w:ind w:right="751"/>
        <w:spacing w:after="0"/>
        <w:rPr>
          <w:sz w:val="20"/>
          <w:szCs w:val="20"/>
          <w:color w:val="auto"/>
        </w:rPr>
      </w:pPr>
      <w:r>
        <w:rPr>
          <w:rFonts w:ascii="Arial" w:cs="Arial" w:eastAsia="Arial" w:hAnsi="Arial"/>
          <w:sz w:val="23"/>
          <w:szCs w:val="23"/>
          <w:color w:val="auto"/>
        </w:rPr>
        <w:t>Lori A. Ward,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19050</wp:posOffset>
            </wp:positionV>
            <wp:extent cx="35858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85845" cy="8890"/>
                    </a:xfrm>
                    <a:prstGeom prst="rect">
                      <a:avLst/>
                    </a:prstGeom>
                    <a:noFill/>
                  </pic:spPr>
                </pic:pic>
              </a:graphicData>
            </a:graphic>
          </wp:anchor>
        </w:drawing>
      </w:r>
    </w:p>
    <w:p>
      <w:pPr>
        <w:spacing w:after="0" w:line="44" w:lineRule="exact"/>
        <w:rPr>
          <w:sz w:val="20"/>
          <w:szCs w:val="20"/>
          <w:color w:val="auto"/>
        </w:rPr>
      </w:pPr>
    </w:p>
    <w:p>
      <w:pPr>
        <w:jc w:val="center"/>
        <w:ind w:right="751"/>
        <w:spacing w:after="0"/>
        <w:rPr>
          <w:sz w:val="20"/>
          <w:szCs w:val="20"/>
          <w:color w:val="auto"/>
        </w:rPr>
      </w:pPr>
      <w:r>
        <w:rPr>
          <w:rFonts w:ascii="Arial" w:cs="Arial" w:eastAsia="Arial" w:hAnsi="Arial"/>
          <w:sz w:val="23"/>
          <w:szCs w:val="23"/>
          <w:color w:val="auto"/>
        </w:rPr>
        <w:t>Name/Title</w:t>
      </w:r>
    </w:p>
    <w:p>
      <w:pPr>
        <w:spacing w:after="0" w:line="86" w:lineRule="exact"/>
        <w:rPr>
          <w:sz w:val="20"/>
          <w:szCs w:val="20"/>
          <w:color w:val="auto"/>
        </w:rPr>
      </w:pPr>
    </w:p>
    <w:p>
      <w:pPr>
        <w:ind w:left="9"/>
        <w:spacing w:after="0"/>
        <w:rPr>
          <w:sz w:val="20"/>
          <w:szCs w:val="20"/>
          <w:color w:val="auto"/>
        </w:rPr>
      </w:pPr>
      <w:r>
        <w:rPr>
          <w:rFonts w:ascii="Arial" w:cs="Arial" w:eastAsia="Arial" w:hAnsi="Arial"/>
          <w:sz w:val="23"/>
          <w:szCs w:val="23"/>
          <w:b w:val="1"/>
          <w:bCs w:val="1"/>
          <w:color w:val="auto"/>
        </w:rPr>
        <w:t>Exhibit A</w:t>
      </w:r>
    </w:p>
    <w:p>
      <w:pPr>
        <w:spacing w:after="0" w:line="112" w:lineRule="exact"/>
        <w:rPr>
          <w:sz w:val="20"/>
          <w:szCs w:val="20"/>
          <w:color w:val="auto"/>
        </w:rPr>
      </w:pPr>
    </w:p>
    <w:p>
      <w:pPr>
        <w:ind w:left="9"/>
        <w:spacing w:after="0"/>
        <w:rPr>
          <w:sz w:val="20"/>
          <w:szCs w:val="20"/>
          <w:color w:val="auto"/>
        </w:rPr>
      </w:pPr>
      <w:r>
        <w:rPr>
          <w:rFonts w:ascii="Arial" w:cs="Arial" w:eastAsia="Arial" w:hAnsi="Arial"/>
          <w:sz w:val="23"/>
          <w:szCs w:val="23"/>
          <w:color w:val="auto"/>
        </w:rPr>
        <w:t>EXPLANATORY NOTE</w:t>
      </w:r>
    </w:p>
    <w:p>
      <w:pPr>
        <w:spacing w:after="0" w:line="249" w:lineRule="exact"/>
        <w:rPr>
          <w:sz w:val="20"/>
          <w:szCs w:val="20"/>
          <w:color w:val="auto"/>
        </w:rPr>
      </w:pPr>
    </w:p>
    <w:p>
      <w:pPr>
        <w:ind w:left="9" w:right="1360"/>
        <w:spacing w:after="0" w:line="241" w:lineRule="auto"/>
        <w:rPr>
          <w:sz w:val="20"/>
          <w:szCs w:val="20"/>
          <w:color w:val="auto"/>
        </w:rPr>
      </w:pPr>
      <w:r>
        <w:rPr>
          <w:rFonts w:ascii="Arial" w:cs="Arial" w:eastAsia="Arial" w:hAnsi="Arial"/>
          <w:sz w:val="23"/>
          <w:szCs w:val="23"/>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3" w:lineRule="exact"/>
        <w:rPr>
          <w:sz w:val="20"/>
          <w:szCs w:val="20"/>
          <w:color w:val="auto"/>
        </w:rPr>
      </w:pPr>
    </w:p>
    <w:p>
      <w:pPr>
        <w:ind w:left="9"/>
        <w:spacing w:after="0"/>
        <w:rPr>
          <w:sz w:val="20"/>
          <w:szCs w:val="20"/>
          <w:color w:val="auto"/>
        </w:rPr>
      </w:pPr>
      <w:r>
        <w:rPr>
          <w:rFonts w:ascii="Arial" w:cs="Arial" w:eastAsia="Arial" w:hAnsi="Arial"/>
          <w:sz w:val="23"/>
          <w:szCs w:val="23"/>
          <w:b w:val="1"/>
          <w:bCs w:val="1"/>
          <w:color w:val="auto"/>
        </w:rPr>
        <w:t>Exhibit B</w:t>
      </w:r>
    </w:p>
    <w:p>
      <w:pPr>
        <w:spacing w:after="0" w:line="112" w:lineRule="exact"/>
        <w:rPr>
          <w:sz w:val="20"/>
          <w:szCs w:val="20"/>
          <w:color w:val="auto"/>
        </w:rPr>
      </w:pPr>
    </w:p>
    <w:p>
      <w:pPr>
        <w:ind w:left="9" w:right="1280"/>
        <w:spacing w:after="0" w:line="257" w:lineRule="auto"/>
        <w:rPr>
          <w:sz w:val="20"/>
          <w:szCs w:val="20"/>
          <w:color w:val="auto"/>
        </w:rPr>
      </w:pPr>
      <w:r>
        <w:rPr>
          <w:rFonts w:ascii="Arial" w:cs="Arial" w:eastAsia="Arial" w:hAnsi="Arial"/>
          <w:sz w:val="23"/>
          <w:szCs w:val="23"/>
          <w:color w:val="auto"/>
        </w:rPr>
        <w:t>The Schedule 13G to which this attachment is appended is filed by Wells Fargo &amp; Company on behalf of the following subsidiaries:</w:t>
      </w:r>
    </w:p>
    <w:p>
      <w:pPr>
        <w:spacing w:after="0" w:line="204" w:lineRule="exact"/>
        <w:rPr>
          <w:sz w:val="20"/>
          <w:szCs w:val="20"/>
          <w:color w:val="auto"/>
        </w:rPr>
      </w:pPr>
    </w:p>
    <w:p>
      <w:pPr>
        <w:ind w:left="9"/>
        <w:spacing w:after="0"/>
        <w:rPr>
          <w:sz w:val="20"/>
          <w:szCs w:val="20"/>
          <w:color w:val="auto"/>
        </w:rPr>
      </w:pPr>
      <w:r>
        <w:rPr>
          <w:rFonts w:ascii="Arial" w:cs="Arial" w:eastAsia="Arial" w:hAnsi="Arial"/>
          <w:sz w:val="23"/>
          <w:szCs w:val="23"/>
          <w:color w:val="auto"/>
        </w:rPr>
        <w:t>Wells Fargo Clearing Services, LLC (1)</w:t>
      </w:r>
    </w:p>
    <w:p>
      <w:pPr>
        <w:spacing w:after="0" w:line="4" w:lineRule="exact"/>
        <w:rPr>
          <w:sz w:val="20"/>
          <w:szCs w:val="20"/>
          <w:color w:val="auto"/>
        </w:rPr>
      </w:pPr>
    </w:p>
    <w:p>
      <w:pPr>
        <w:ind w:left="9"/>
        <w:spacing w:after="0"/>
        <w:rPr>
          <w:sz w:val="20"/>
          <w:szCs w:val="20"/>
          <w:color w:val="auto"/>
        </w:rPr>
      </w:pPr>
      <w:r>
        <w:rPr>
          <w:rFonts w:ascii="Arial" w:cs="Arial" w:eastAsia="Arial" w:hAnsi="Arial"/>
          <w:sz w:val="23"/>
          <w:szCs w:val="23"/>
          <w:color w:val="auto"/>
        </w:rPr>
        <w:t>Wells Fargo Advisors Financial Network, LLC (1)</w:t>
      </w:r>
    </w:p>
    <w:p>
      <w:pPr>
        <w:ind w:left="9"/>
        <w:spacing w:after="0" w:line="232" w:lineRule="auto"/>
        <w:rPr>
          <w:sz w:val="20"/>
          <w:szCs w:val="20"/>
          <w:color w:val="auto"/>
        </w:rPr>
      </w:pPr>
      <w:r>
        <w:rPr>
          <w:rFonts w:ascii="Arial" w:cs="Arial" w:eastAsia="Arial" w:hAnsi="Arial"/>
          <w:sz w:val="23"/>
          <w:szCs w:val="23"/>
          <w:color w:val="auto"/>
        </w:rPr>
        <w:t>Wells Fargo Securities, LLC (1)</w:t>
      </w:r>
    </w:p>
    <w:p>
      <w:pPr>
        <w:spacing w:after="0" w:line="1" w:lineRule="exact"/>
        <w:rPr>
          <w:sz w:val="20"/>
          <w:szCs w:val="20"/>
          <w:color w:val="auto"/>
        </w:rPr>
      </w:pPr>
    </w:p>
    <w:p>
      <w:pPr>
        <w:ind w:left="9"/>
        <w:spacing w:after="0"/>
        <w:rPr>
          <w:sz w:val="20"/>
          <w:szCs w:val="20"/>
          <w:color w:val="auto"/>
        </w:rPr>
      </w:pPr>
      <w:r>
        <w:rPr>
          <w:rFonts w:ascii="Arial" w:cs="Arial" w:eastAsia="Arial" w:hAnsi="Arial"/>
          <w:sz w:val="23"/>
          <w:szCs w:val="23"/>
          <w:color w:val="auto"/>
        </w:rPr>
        <w:t>Wells Fargo Bank, National Association (2)</w:t>
      </w:r>
    </w:p>
    <w:p>
      <w:pPr>
        <w:spacing w:after="0" w:line="229" w:lineRule="exact"/>
        <w:rPr>
          <w:sz w:val="20"/>
          <w:szCs w:val="20"/>
          <w:color w:val="auto"/>
        </w:rPr>
      </w:pPr>
    </w:p>
    <w:p>
      <w:pPr>
        <w:ind w:left="329" w:hanging="329"/>
        <w:spacing w:after="0"/>
        <w:tabs>
          <w:tab w:leader="none" w:pos="329" w:val="left"/>
        </w:tabs>
        <w:numPr>
          <w:ilvl w:val="0"/>
          <w:numId w:val="11"/>
        </w:numPr>
        <w:rPr>
          <w:rFonts w:ascii="Arial" w:cs="Arial" w:eastAsia="Arial" w:hAnsi="Arial"/>
          <w:sz w:val="23"/>
          <w:szCs w:val="23"/>
          <w:color w:val="auto"/>
        </w:rPr>
      </w:pPr>
      <w:r>
        <w:rPr>
          <w:rFonts w:ascii="Arial" w:cs="Arial" w:eastAsia="Arial" w:hAnsi="Arial"/>
          <w:sz w:val="23"/>
          <w:szCs w:val="23"/>
          <w:color w:val="auto"/>
        </w:rPr>
        <w:t>Classified as a broker dealer in accordance with Regulation 13d-1(b)(1)(ii)(A).</w:t>
      </w:r>
    </w:p>
    <w:p>
      <w:pPr>
        <w:spacing w:after="0" w:line="12" w:lineRule="exact"/>
        <w:rPr>
          <w:rFonts w:ascii="Arial" w:cs="Arial" w:eastAsia="Arial" w:hAnsi="Arial"/>
          <w:sz w:val="23"/>
          <w:szCs w:val="23"/>
          <w:color w:val="auto"/>
        </w:rPr>
      </w:pPr>
    </w:p>
    <w:p>
      <w:pPr>
        <w:ind w:left="329" w:hanging="329"/>
        <w:spacing w:after="0"/>
        <w:tabs>
          <w:tab w:leader="none" w:pos="329" w:val="left"/>
        </w:tabs>
        <w:numPr>
          <w:ilvl w:val="0"/>
          <w:numId w:val="11"/>
        </w:numPr>
        <w:rPr>
          <w:rFonts w:ascii="Arial" w:cs="Arial" w:eastAsia="Arial" w:hAnsi="Arial"/>
          <w:sz w:val="23"/>
          <w:szCs w:val="23"/>
          <w:color w:val="auto"/>
        </w:rPr>
      </w:pPr>
      <w:r>
        <w:rPr>
          <w:rFonts w:ascii="Arial" w:cs="Arial" w:eastAsia="Arial" w:hAnsi="Arial"/>
          <w:sz w:val="23"/>
          <w:szCs w:val="23"/>
          <w:color w:val="auto"/>
        </w:rPr>
        <w:t>Classified as a bank in accordance with Regulation 13d-1(b)(1)(ii)(B).</w:t>
      </w:r>
    </w:p>
    <w:p>
      <w:pPr>
        <w:sectPr>
          <w:pgSz w:w="12240" w:h="15840" w:orient="portrait"/>
          <w:cols w:equalWidth="0" w:num="1">
            <w:col w:w="10629"/>
          </w:cols>
          <w:pgMar w:left="171" w:top="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29" w:right="1360" w:hanging="1139"/>
        <w:spacing w:after="0" w:line="262" w:lineRule="auto"/>
        <w:tabs>
          <w:tab w:leader="none" w:pos="1108" w:val="left"/>
        </w:tabs>
        <w:rPr>
          <w:sz w:val="20"/>
          <w:szCs w:val="20"/>
          <w:color w:val="auto"/>
        </w:rPr>
      </w:pPr>
      <w:r>
        <w:rPr>
          <w:rFonts w:ascii="Arial" w:cs="Arial" w:eastAsia="Arial" w:hAnsi="Arial"/>
          <w:sz w:val="23"/>
          <w:szCs w:val="23"/>
          <w:b w:val="1"/>
          <w:bCs w:val="1"/>
          <w:color w:val="auto"/>
        </w:rPr>
        <w:t>Attention:</w:t>
        <w:tab/>
        <w:t>Intentional misstatements or omissions of fact constitute Federal criminal violations (See 18 U.S.C. 1001)</w:t>
      </w:r>
    </w:p>
    <w:sectPr>
      <w:pgSz w:w="12240" w:h="15840" w:orient="portrait"/>
      <w:cols w:equalWidth="0" w:num="1">
        <w:col w:w="10629"/>
      </w:cols>
      <w:pgMar w:left="171" w:top="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decimal"/>
      <w:start w:val="2"/>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decimal"/>
      <w:start w:val="8"/>
    </w:lvl>
  </w:abstractNum>
  <w:abstractNum w:abstractNumId="5">
    <w:nsid w:val="515F007C"/>
    <w:multiLevelType w:val="hybridMultilevel"/>
    <w:lvl w:ilvl="0">
      <w:lvlJc w:val="left"/>
      <w:lvlText w:val="%1."/>
      <w:numFmt w:val="decimal"/>
      <w:start w:val="9"/>
    </w:lvl>
    <w:lvl w:ilvl="1">
      <w:lvlJc w:val="left"/>
      <w:lvlText w:val="%2"/>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2019-12-15T17:20:27Z</dcterms:created>
  <dcterms:modified xsi:type="dcterms:W3CDTF">2019-12-15T17:20:27Z</dcterms:modified>
</cp:coreProperties>
</file>