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40"/>
              <w:spacing w:after="0"/>
              <w:rPr>
                <w:sz w:val="20"/>
                <w:szCs w:val="20"/>
                <w:color w:val="auto"/>
              </w:rPr>
            </w:pPr>
            <w:r>
              <w:rPr>
                <w:rFonts w:ascii="Arial" w:cs="Arial" w:eastAsia="Arial" w:hAnsi="Arial"/>
                <w:sz w:val="18"/>
                <w:szCs w:val="18"/>
                <w:color w:val="0000FF"/>
              </w:rPr>
              <w:t>08/01/2011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83.1</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960.3</w:t>
            </w:r>
          </w:p>
        </w:tc>
        <w:tc>
          <w:tcPr>
            <w:tcW w:w="1300" w:type="dxa"/>
            <w:vAlign w:val="bottom"/>
            <w:gridSpan w:val="3"/>
            <w:vMerge w:val="restart"/>
          </w:tcPr>
          <w:p>
            <w:pPr>
              <w:ind w:left="440"/>
              <w:spacing w:after="0"/>
              <w:rPr>
                <w:sz w:val="20"/>
                <w:szCs w:val="20"/>
                <w:color w:val="auto"/>
              </w:rPr>
            </w:pPr>
            <w:r>
              <w:rPr>
                <w:rFonts w:ascii="Arial" w:cs="Arial" w:eastAsia="Arial" w:hAnsi="Arial"/>
                <w:sz w:val="18"/>
                <w:szCs w:val="18"/>
                <w:color w:val="0000FF"/>
              </w:rPr>
              <w:t>135.7</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7,402 shares of Common Stock of the Issuer (the "TSL Shares"), including 135.7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Fishman pursuant to the authorization and designation letter dated March 10, 2011, which was previously filed with the Securities and Exchange Commission as an exhibit to a Form 3 filed by Mr. Fishman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08/03/2011</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2019-12-17T04:42:58Z</dcterms:created>
  <dcterms:modified xsi:type="dcterms:W3CDTF">2019-12-17T04:42:58Z</dcterms:modified>
</cp:coreProperties>
</file>