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265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315595</wp:posOffset>
            </wp:positionV>
            <wp:extent cx="15265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July 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302895</wp:posOffset>
            </wp:positionV>
            <wp:extent cx="1526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26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ectPr>
          <w:pgSz w:w="11900" w:h="16838" w:orient="portrait"/>
          <w:cols w:equalWidth="0" w:num="1">
            <w:col w:w="11300"/>
          </w:cols>
          <w:pgMar w:left="240" w:top="733"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733"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733" w:right="359" w:bottom="1440" w:gutter="0" w:footer="0" w:header="0"/>
          <w:type w:val="continuous"/>
        </w:sectPr>
      </w:pPr>
    </w:p>
    <w:p>
      <w:pPr>
        <w:spacing w:after="0" w:line="33" w:lineRule="exact"/>
        <w:rPr>
          <w:sz w:val="24"/>
          <w:szCs w:val="24"/>
          <w:color w:val="auto"/>
        </w:rPr>
      </w:pPr>
    </w:p>
    <w:p>
      <w:pPr>
        <w:jc w:val="center"/>
        <w:ind w:right="194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20" w:space="720"/>
            <w:col w:w="2860"/>
          </w:cols>
          <w:pgMar w:left="240" w:top="733"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20" w:space="720"/>
            <w:col w:w="2960"/>
          </w:cols>
          <w:pgMar w:left="240" w:top="733"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309245</wp:posOffset>
            </wp:positionV>
            <wp:extent cx="15265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499745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733"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163830</wp:posOffset>
            </wp:positionH>
            <wp:positionV relativeFrom="page">
              <wp:posOffset>88900</wp:posOffset>
            </wp:positionV>
            <wp:extent cx="7242175" cy="36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2175" cy="36195"/>
                    </a:xfrm>
                    <a:prstGeom prst="rect">
                      <a:avLst/>
                    </a:prstGeom>
                    <a:noFill/>
                  </pic:spPr>
                </pic:pic>
              </a:graphicData>
            </a:graphic>
          </wp:anchor>
        </w:drawing>
        <w:t>Item 7.01 – Regulation FD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July 7, 2015, the registrant issued a press release, included herewith as Exhibit 99.1 and by this reference incorporated herein.</w:t>
      </w:r>
    </w:p>
    <w:p>
      <w:pPr>
        <w:spacing w:after="0" w:line="225" w:lineRule="exact"/>
        <w:rPr>
          <w:sz w:val="20"/>
          <w:szCs w:val="20"/>
          <w:color w:val="auto"/>
        </w:rPr>
      </w:pPr>
    </w:p>
    <w:p>
      <w:pPr>
        <w:ind w:firstLine="455"/>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35"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14"/>
          <w:szCs w:val="14"/>
          <w:color w:val="auto"/>
        </w:rPr>
        <w:t>Exhibit</w:t>
      </w:r>
    </w:p>
    <w:p>
      <w:pPr>
        <w:ind w:left="60"/>
        <w:spacing w:after="0"/>
        <w:tabs>
          <w:tab w:leader="none" w:pos="108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-3175</wp:posOffset>
            </wp:positionV>
            <wp:extent cx="11493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8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as of July 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78"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163830</wp:posOffset>
            </wp:positionH>
            <wp:positionV relativeFrom="page">
              <wp:posOffset>88900</wp:posOffset>
            </wp:positionV>
            <wp:extent cx="7242175" cy="36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2175" cy="36195"/>
                    </a:xfrm>
                    <a:prstGeom prst="rect">
                      <a:avLst/>
                    </a:prstGeom>
                    <a:noFill/>
                  </pic:spPr>
                </pic:pic>
              </a:graphicData>
            </a:graphic>
          </wp:anchor>
        </w:drawing>
        <w:t>SIGNATURES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7780" w:type="dxa"/>
            <w:vAlign w:val="bottom"/>
            <w:gridSpan w:val="2"/>
          </w:tcPr>
          <w:p>
            <w:pPr>
              <w:ind w:left="2320"/>
              <w:spacing w:after="0"/>
              <w:rPr>
                <w:sz w:val="20"/>
                <w:szCs w:val="20"/>
                <w:color w:val="auto"/>
              </w:rPr>
            </w:pPr>
            <w:r>
              <w:rPr>
                <w:rFonts w:ascii="Arial" w:cs="Arial" w:eastAsia="Arial" w:hAnsi="Arial"/>
                <w:sz w:val="18"/>
                <w:szCs w:val="18"/>
                <w:color w:val="auto"/>
              </w:rPr>
              <w:t>TPG SPECIALTY LENDING, INC.</w:t>
            </w:r>
          </w:p>
        </w:tc>
      </w:tr>
      <w:tr>
        <w:trPr>
          <w:trHeight w:val="230"/>
        </w:trPr>
        <w:tc>
          <w:tcPr>
            <w:tcW w:w="36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880" w:type="dxa"/>
            <w:vAlign w:val="bottom"/>
          </w:tcPr>
          <w:p>
            <w:pPr>
              <w:ind w:left="320"/>
              <w:spacing w:after="0"/>
              <w:rPr>
                <w:sz w:val="20"/>
                <w:szCs w:val="20"/>
                <w:color w:val="auto"/>
              </w:rPr>
            </w:pPr>
            <w:r>
              <w:rPr>
                <w:rFonts w:ascii="Arial" w:cs="Arial" w:eastAsia="Arial" w:hAnsi="Arial"/>
                <w:sz w:val="18"/>
                <w:szCs w:val="18"/>
                <w:color w:val="auto"/>
              </w:rPr>
              <w:t>(Registrant)</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July 7, 2015</w:t>
            </w:r>
          </w:p>
        </w:tc>
        <w:tc>
          <w:tcPr>
            <w:tcW w:w="2900" w:type="dxa"/>
            <w:vAlign w:val="bottom"/>
          </w:tcPr>
          <w:p>
            <w:pPr>
              <w:ind w:left="232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Kirshenbaum</w:t>
            </w:r>
          </w:p>
        </w:tc>
      </w:tr>
      <w:tr>
        <w:trPr>
          <w:trHeight w:val="195"/>
        </w:trPr>
        <w:tc>
          <w:tcPr>
            <w:tcW w:w="36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Alan Kirshenbaum</w:t>
            </w:r>
          </w:p>
        </w:tc>
      </w:tr>
      <w:tr>
        <w:trPr>
          <w:trHeight w:val="230"/>
        </w:trPr>
        <w:tc>
          <w:tcPr>
            <w:tcW w:w="36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382"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Schedules Earnings Release and Conference Call To Discuss Its Second Quarter 2015 Financial Results</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NEW YORK--(BUSINESS WIRE)—July 7, 2015 -- TPG Specialty Lending, Inc. (NYSE:TSLX) (“TSL”) announced today that it will release its second quarter 2015 earnings on Tuesday, August 4, 2015, after the market closes. TSL invites all interested persons to its webcast / conference call on Wednesday, August 5, 2015 at 8:00 a.m. Eastern Time to discuss its second fiscal quarter 2015 financial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conference call will be broadcast live at 8 a.m. Eastern Time on the Investor Resources section of TSL’s website at http://www.tpgspecialtylending.com.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Please visit the website to test your connection before the webcast.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(224) 357-2393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80700135</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Replay Information: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 archived replay will be available from approximately 12:00 p.m. Eastern Time on August 5 through August 19 via a webcast link located on the Investor Resources section of TSL’s website, and via the dial-in numbers listed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80700135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TSL is a specialty finance company focused on lending to middle-market companies. TSL seeks to generate current income primarily in U.S.-domiciled middle-market companies through direct originations of senior secured loans and, to a lesser extent, originations of mezzanine loans and investments in corporate bonds and equity securities. TSL has elected to be regulated as a business development company, or a BDC, under the Investment Company Act of 1940 and the rules and regulations promulgated thereunder. TSL is externally managed by TSL Advisers, LLC, an SEC-registered investment adviser. TSL leverages the deep investment, sector, and operating resources of TPG Special Situations Partners, the dedicated special situations and credit platform of TPG, with over $12 billion of assets under management as of March 31, 2015, and the broader TPG platform, a global private investment firm with over $74 billion of assets under management. For more information, visit www.tpgspecialtylending.com.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Statements included herein may constitute “forward-looking statements,” which relate to future events or our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our filings with the Securities and Exchange Commission. We assume no obligation to update any such forward-looking statements. TSL undertakes no duty to update any forward-looking statements made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TSL’s filings with the Securities and Exchange Commission, press releases, earnings releases and other financial information are available on its website at www.tpgspecialtylending.com.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212-430-4119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jennifer@blicksilverpr.com</w:t>
      </w:r>
    </w:p>
    <w:sectPr>
      <w:pgSz w:w="11900" w:h="16838" w:orient="portrait"/>
      <w:cols w:equalWidth="0" w:num="1">
        <w:col w:w="11180"/>
      </w:cols>
      <w:pgMar w:left="240" w:top="44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2019-12-08T23:02:10Z</dcterms:created>
  <dcterms:modified xsi:type="dcterms:W3CDTF">2019-12-08T23:02:10Z</dcterms:modified>
</cp:coreProperties>
</file>