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80136d8k.htm"/>
      <w:bookmarkStart w:id="1" w:name="ksd48013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14,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14, 2023, Sixth Street Specialty Lending, Inc. (the “Company”) and Computershare Trust Company, N.A., as successor to Wells Fargo Bank, National Association (the “Trustee”), entered into a Fourth Supplemental Indenture (the “Fourth Supplemental Indenture”) to the Indenture, dated as of January 22, 2018, between the Company and the Trustee (the “Base Indenture”; and together with the Fourth Supplemental Indenture, the “Indenture”), relating to the Company’s issuance, offer and sale of $300,000,000 aggregate principal amount of its 6.950% notes due 2028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August 14, 2028 and may be redeemed in whole or in part at the Company’s option at any time at the redemption prices set forth in the Fourth Supplemental Indenture. The Notes bear interest at a rate of 6.950% per year payable semiannually on February 14 and August 14 of each year, commencing on February 14, 2024. The Notes are direct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offered and sold pursuant to the Registration Statement on Form N-2 (File No. 333-269222), the preliminary prospectus supplement filed with the Securities and Exchange Commission on August 7, 2023 and the pricing term sheet filed with the Securities and Exchange Commission on August 8, 2023. The transaction closed on August 14, 2023.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Base Indenture, Fourth Supplemental Indenture and the Notes do not purport to be complete and are qualified in their entirety by reference to the full text of the Base Indenture, Fourth Supplemental Indenture and the Notes, respectively, each filed as exhibits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Form 8-K is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Indenture, dated as of January 22, 2018, between TPG Specialty Lending, Inc. and Wells Fargo Bank, National Association, as Trustee (incorporated by reference to Exhibit 4.1 to the Company’s Current Report on Form 8-K filed on January 22, 2018)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0136dex42.htm">
              <w:r>
                <w:rPr>
                  <w:rStyle w:val="InternetLink"/>
                </w:rPr>
                <w:t xml:space="preserve">Fourth Supplemental Indenture, dated as of August 14, 2023, between Sixth Street Specialty Lending, Inc. and Computershare Trust Company, N.A., as successor to Wells Fargo Bank,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0136dex42.htm">
              <w:r>
                <w:rPr>
                  <w:rStyle w:val="InternetLink"/>
                </w:rPr>
                <w:t xml:space="preserve">Form of 6.950% Note Due 2028 (included as part of Exhibit 4.2)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0136dex51.htm">
              <w:r>
                <w:rPr>
                  <w:rStyle w:val="InternetLink"/>
                </w:rPr>
                <w:t xml:space="preserve">Opinion of Cleary Gottlieb Steen &amp; Hamilton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80136dex51.htm">
              <w:r>
                <w:rPr>
                  <w:rStyle w:val="InternetLink"/>
                </w:rPr>
                <w:t xml:space="preserve">Consent of Cleary Gottlieb Steen &amp; Hamilton LLP (included as part of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121" w:type="dxa"/>
        <w:jc w:val="left"/>
        <w:tblInd w:w="0" w:type="dxa"/>
        <w:tblLayout w:type="fixed"/>
        <w:tblCellMar>
          <w:top w:w="0" w:type="dxa"/>
          <w:left w:w="0" w:type="dxa"/>
          <w:bottom w:w="0" w:type="dxa"/>
          <w:right w:w="0" w:type="dxa"/>
        </w:tblCellMar>
      </w:tblPr>
      <w:tblGrid>
        <w:gridCol w:w="2195"/>
        <w:gridCol w:w="60"/>
        <w:gridCol w:w="23"/>
        <w:gridCol w:w="60"/>
        <w:gridCol w:w="521"/>
        <w:gridCol w:w="85"/>
        <w:gridCol w:w="3177"/>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14,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480136dex42.htm"/>
      <w:bookmarkStart w:id="3" w:name="ksd480136dex42"/>
      <w:bookmarkEnd w:id="2"/>
      <w:bookmarkEnd w:id="3"/>
      <w:r>
        <w:rPr>
          <w:rFonts w:ascii="Times New Roman" w:hAnsi="Times New Roman"/>
          <w:b/>
          <w:sz w:val="20"/>
        </w:rPr>
        <w:t xml:space="preserve">Exhibit 4.2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FOURTH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COMPUTERSHARE TRUST COMPANY, N.A. </w:t>
      </w:r>
    </w:p>
    <w:p>
      <w:pPr>
        <w:pStyle w:val="TextBody"/>
        <w:bidi w:val="0"/>
        <w:spacing w:before="240" w:after="0"/>
        <w:jc w:val="center"/>
        <w:rPr>
          <w:rFonts w:ascii="Times New Roman" w:hAnsi="Times New Roman"/>
          <w:sz w:val="20"/>
        </w:rPr>
      </w:pPr>
      <w:r>
        <w:rPr>
          <w:rFonts w:ascii="Times New Roman" w:hAnsi="Times New Roman"/>
          <w:sz w:val="20"/>
        </w:rPr>
        <w:t xml:space="preserve">(AS SUCCESSOR TO WELLS FARGO BANK,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14,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FOURTH SUPPLEMENTAL INDENTURE (this Fourth Supplemental Indenture), dated as of August 14, 2023, between Sixth Street Specialty Lending, Inc., a Delaware corporation (the Company), and Computershare Trust Company, N.A., as successor to Wells Fargo Bank, National Association, as trustee (the Trustee). All capitalized terms used herein shall have the meaning set forth in the Base Indenture (as defined below) unless otherwise defined herein. </w:t>
      </w:r>
    </w:p>
    <w:p>
      <w:pPr>
        <w:pStyle w:val="TextBody"/>
        <w:bidi w:val="0"/>
        <w:spacing w:before="480" w:after="0"/>
        <w:jc w:val="center"/>
        <w:rPr>
          <w:rFonts w:ascii="Times New Roman" w:hAnsi="Times New Roman"/>
          <w:sz w:val="20"/>
        </w:rPr>
      </w:pPr>
      <w:r>
        <w:rPr>
          <w:rFonts w:ascii="Times New Roman" w:hAnsi="Times New Roman"/>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executed and delivered an Indenture, dated as of January 22, 2018 (the Base Indenture and, as supplemented by this Fourth Supplemental Indenture, collectively, the Indenture), to provide for the issuance by the Company from time to time of the Companys unsecured debentures, notes or other evidences of indebtedness (the Securities), to be issued in one or more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issue and sell $300,000,000 aggregate principal amount of the Companys 6.950% Notes due 2028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previously entered into the First Supplemental Indenture, dated as of January 22, 2018 (the First Supplemental Indenture), the Second Supplemental Indenture, dated November 1, 2019 (the Second Supplemental Indenture) and the Third Supplemental Indenture, dated February 3, 2021 (the Third Supplemental Indenture), each of which supplemented the Base Indenture. None of the First Supplemental Indenture, the Second Supplemental Indenture or the Third Supplemental Indenture is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Sections 9.01(v) and 9.01(vii) of the Base Indenture provide that without the consent of Holders of the Securities of any series issued under the Indenture, the Company, when authorized by or pursuant to a Board Resolution, and the Trustee, at any time and from time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Fourth Supplemental Indenture to provide for the issuance of the Notes and all acts and things necessary to make this Fourth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agreed, for the equal and proportionate benefit of all Holders of the Notes,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Terms of the Notes</w:t>
      </w:r>
      <w:r>
        <w:rPr>
          <w:rFonts w:ascii="Times New Roman" w:hAnsi="Times New Roman"/>
          <w:sz w:val="20"/>
        </w:rPr>
        <w:t xml:space="preserve">. The following terms relating to the Notes are hereby established: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constitute a series of Securities having the title 6.950% Notes due 2028 and shall be designated as Senior Securities under the Indenture. The Notes shall bear a CUSIP number of 83012A AB5 and an ISIN number of US83012AAB52.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hAnsi="Times New Roman"/>
          <w:i/>
          <w:sz w:val="20"/>
        </w:rPr>
        <w:t xml:space="preserve">provided </w:t>
      </w:r>
      <w:r>
        <w:rPr>
          <w:rFonts w:ascii="Times New Roman" w:hAnsi="Times New Roman"/>
          <w:sz w:val="20"/>
        </w:rPr>
        <w:t xml:space="preserve">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entire Outstanding principal amount of the Notes shall be payable on August 14, 2028, unless earlier redeemed or repurchased in accordance with the provisions of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rate at which the Notes shall bear interest shall be 6.950% per annum (the Applicable Interest Rate). The date from which interest shall accrue on the Notes shall be August 14, 2023, or the most recent Interest Payment Date to which interest has been paid or provided for; the Interest Payment Dates for the Notes shall be February 14 and August 14 of each year, commencing February 14, 2024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August 14, 2023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January 31 and July 31 (whether or not a Business Day), as the case may be, immediately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 The Notes shall be initially issuable in global form (each such Note, a Global Note).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Fourth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Depositary Custodian for such Global Notes shall be the Trustee.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(g) The Notes shall be defeasible pursuant to Section 14.02 or Section 14.03 of the Base Indenture. Covenant defeasance contained in Section 14.03 of the Base Indenture shall apply to the covenants contained in Sections 10.06, 10.07 and 10.08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Notes shall be redeemable pursuant to Section 11.01 of the Base Indenture and as follows: </w:t>
      </w:r>
    </w:p>
    <w:p>
      <w:pPr>
        <w:pStyle w:val="TextBody"/>
        <w:bidi w:val="0"/>
        <w:spacing w:before="120" w:after="0"/>
        <w:jc w:val="left"/>
        <w:rPr>
          <w:rFonts w:ascii="Times New Roman" w:hAnsi="Times New Roman"/>
          <w:sz w:val="20"/>
        </w:rPr>
      </w:pPr>
      <w:r>
        <w:rPr>
          <w:rFonts w:ascii="Times New Roman" w:hAnsi="Times New Roman"/>
          <w:sz w:val="20"/>
        </w:rPr>
        <w:t>(i) The Notes will be redeemable, in whole or in part, at any time, or from time to time, at the option of the Company, at a Redemption Price (expressed as a percentage of principal amount and rounded to three decimal places), prior to July 14, 2028 (the </w:t>
      </w:r>
      <w:r>
        <w:rPr>
          <w:rFonts w:ascii="Times New Roman" w:hAnsi="Times New Roman"/>
          <w:sz w:val="20"/>
          <w:u w:val="single"/>
        </w:rPr>
        <w:t>Par Call Date</w:t>
      </w:r>
      <w:r>
        <w:rPr>
          <w:rFonts w:ascii="Times New Roman" w:hAnsi="Times New Roman"/>
          <w:sz w:val="20"/>
        </w:rPr>
        <w:t xml:space="preserve">), equal to the greater of the following amounts, plus, in each case, accrued and unpaid interest thereon to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(2)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if the Company redeems any Notes on or after the Par Call Date, the Redemption Price for the Notes will be equal to 100% of the principal amount of the Notes to be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 xml:space="preserve">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will not be responsible or liable for determining, confirming, or verifying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(ii) Notice of any redemption shall be mailed or electronically delivered (or otherwise transmitted in accordance with the depositarys procedures) at least 10 days but not more than 60 days before the Redemption Date to each Holder of Notes to be redeemed, at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(iii) Any exercise of the Companys option to redeem the Notes will be done in compliance with the Investment Company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(iv) 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(v) Unless the Company defaults in payment of the Redemption Price, on and after the Redemption Date, interest will cease to accrue on the Notes called for redemption hereunder.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Notes shall be issuable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(k) Holders of the Notes will not have the option to have the Notes repaid prior to the Stated Maturity other than in accordance with Article Thirteen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Below Investment Grade Rating Event</w:t>
      </w:r>
      <w:r>
        <w:rPr>
          <w:rFonts w:ascii="Times New Roman" w:hAnsi="Times New Roman"/>
          <w:sz w:val="20"/>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the Company or its Controlled Subsidiaries shall not be deemed to be any such sale, lease, transfer, conveyance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 </w:t>
      </w:r>
    </w:p>
    <w:p>
      <w:pPr>
        <w:pStyle w:val="TextBody"/>
        <w:bidi w:val="0"/>
        <w:spacing w:before="240" w:after="0"/>
        <w:jc w:val="left"/>
        <w:rPr>
          <w:rFonts w:ascii="Times New Roman" w:hAnsi="Times New Roman"/>
          <w:sz w:val="20"/>
        </w:rPr>
      </w:pPr>
      <w:r>
        <w:rPr>
          <w:rFonts w:ascii="Times New Roman" w:hAnsi="Times New Roman"/>
          <w:sz w:val="20"/>
        </w:rPr>
        <w:t xml:space="preserve">(3) the approval by the Companys stockholders of any plan or proposal relating to the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means the corporate trust office of the Trustee, at which at any particular time its corporate trust business with respect to this Indenture shall be administered, which office is currently located at Computershare Trust Company, N.A., 1505 Energy Park Drive, St. Paul, MN 55108.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Depositary</w:t>
      </w:r>
      <w:r>
        <w:rPr>
          <w:rFonts w:ascii="Times New Roman" w:hAnsi="Times New Roman"/>
          <w:sz w:val="20"/>
        </w:rPr>
        <w:t xml:space="preserve"> means, with respect to each Note in global form, The Depository Trust Company, until a successor shall have been appointed and becomes such person, and thereafter, Depositary shall mean or include such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Fitch</w:t>
      </w:r>
      <w:r>
        <w:rPr>
          <w:rFonts w:ascii="Times New Roman" w:hAnsi="Times New Roman"/>
          <w:sz w:val="20"/>
        </w:rPr>
        <w:t xml:space="preserve"> means Fitch Ratings, Inc., also known as Fitch Ratings,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Grade</w:t>
      </w:r>
      <w:r>
        <w:rPr>
          <w:rFonts w:ascii="Times New Roman" w:hAnsi="Times New Roman"/>
          <w:sz w:val="20"/>
        </w:rPr>
        <w:t xml:space="preserv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 Service,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Holders</w:t>
      </w:r>
      <w:r>
        <w:rPr>
          <w:rFonts w:ascii="Times New Roman" w:hAnsi="Times New Roman"/>
          <w:sz w:val="20"/>
        </w:rPr>
        <w:t xml:space="preserve"> means (i) the Company, (ii) one or more of the Companys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S&amp;P Global Ratings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3.01. Neither the Trustee nor any Paying Agent shall be responsible (or liable)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 </w:t>
      </w:r>
    </w:p>
    <w:p>
      <w:pPr>
        <w:pStyle w:val="TextBody"/>
        <w:bidi w:val="0"/>
        <w:spacing w:before="36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Section 18(a)(1)(A) of the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OFFER TO REPURCHASE UPON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 </w:t>
      </w:r>
    </w:p>
    <w:p>
      <w:pPr>
        <w:pStyle w:val="TextBody"/>
        <w:bidi w:val="0"/>
        <w:spacing w:before="36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Change of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Investment Company Act,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of Notes properly tendered pursuant to its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purchase price in respect of all Notes or portions of Notes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hAnsi="Times New Roman"/>
          <w:i/>
          <w:sz w:val="20"/>
        </w:rPr>
        <w:t xml:space="preserve">provided </w:t>
      </w:r>
      <w:r>
        <w:rPr>
          <w:rFonts w:ascii="Times New Roman" w:hAnsi="Times New Roman"/>
          <w:sz w:val="20"/>
        </w:rPr>
        <w:t xml:space="preserve">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Repayment Date upon a Change of Control Repurchase Event falls on a day that is not a Business Day, then the required payment will be made on the next succeeding Business Day and no additional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6.01. This Fourth Supplemental Indenture and the Notes shall be governed by and construed in accordance with the laws of the State of New York, without regard to principles of conflicts of laws that would cause the application of laws of another jurisdiction. This Fourth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6.02. In case any provision in this Fourth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6.03. This Fourth Supplemental Indenture may be executed in any number of counterparts, each of which will be an original, but such counterparts will together constitute but one and the same Fourth Supplemental Indenture. This Fourth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sz w:val="20"/>
        </w:rPr>
        <w:t xml:space="preserve">Section 6.04. The Base Indenture, as supplemented and amended by this Fourth Supplemental Indenture, is in all respects ratified and confirmed, and the Base Indenture and this Fourth Supplemental Indenture shall be read, taken and construed as one and the same instrument with respect to the Notes. All provisions included in this Fourth Supplemental Indenture supersede any conflicting provisions included in the Base Indenture with respect to the Notes, unless not permitted by law. The Trustee accepts the trusts created by the Indenture, as supplemented by this Fourth Supplemental Indenture, and agrees to perform the same upon the terms and conditions of the Indenture, as supplemented by this Fourth Supplemental Indenture. All of the provisions contained in the Base Indenture in respect of the rights, privileges, protections, limitations of liability, indemnities, immunities, powers, and duties of the Trustee shall be applicable in respect of this Fourth Supplemental Indenture as fully and with like force and effect as though fully set forth in full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The provisions of this Fourth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6.06. Notwithstanding anything else to the contrary herein, the terms and provisions of this Fourth Supplemental Indenture shall apply only to the Notes and shall not apply to any other series of Securities under the Indenture and this Fourth Supplemental Indenture shall not and does not otherwise affect, modify, alter, supplement or change the terms and provisions of any other series of Securities under the Indenture, whether now or hereafter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6.07. The recitals contained herein and in the Notes shall be taken as the statements of the Company, and the Trustee assumes no responsibility for their accuracy, completeness or correctness. The Trustee makes no representations as to and shall not be responsible or liable for the validity or sufficiency of this Fourth Supplemental Indenture, the Notes or any Additional Notes, except that the Trustee represents that it is duly authorized to execute and deliver this Fourth Supplemental Indenture, authenticate the Notes and any Additional Notes and perform its obligations hereunder. The Trustee shall not be responsible or liable for the use or application by the Company of the Notes or any Additional Notes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6.08. EACH OF THE COMPANY AND THE TRUSTEE HEREBY IRREVOCABLY WAIVES, TO THE FULLEST EXTENT PERMITTED BY APPLICABLE LAW, ANY AND ALL RIGHT TO TRIAL BY JURY IN ANY LEGAL PROCEEDING ARISING OUT OF OR RELATING TO THIS FOURTH SUPPLEMENTAL INDENTURE, THE SECURITIES OR THE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Fourth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2"/>
        <w:gridCol w:w="95"/>
        <w:gridCol w:w="2915"/>
      </w:tblGrid>
      <w:tr>
        <w:trPr/>
        <w:tc>
          <w:tcPr>
            <w:tcW w:w="107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1072" w:type="dxa"/>
            <w:tcBorders/>
            <w:vAlign w:val="center"/>
          </w:tcPr>
          <w:p>
            <w:pPr>
              <w:pStyle w:val="TableContents"/>
              <w:bidi w:val="0"/>
              <w:spacing w:before="0" w:after="283"/>
              <w:jc w:val="left"/>
              <w:rPr>
                <w:sz w:val="4"/>
                <w:szCs w:val="4"/>
              </w:rPr>
            </w:pPr>
            <w:r>
              <w:rPr>
                <w:sz w:val="4"/>
                <w:szCs w:val="4"/>
              </w:rPr>
            </w:r>
          </w:p>
        </w:tc>
        <w:tc>
          <w:tcPr>
            <w:tcW w:w="3010"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1072" w:type="dxa"/>
            <w:tcBorders/>
          </w:tcPr>
          <w:p>
            <w:pPr>
              <w:pStyle w:val="TableContents"/>
              <w:bidi w:val="0"/>
              <w:spacing w:before="0" w:after="283"/>
              <w:jc w:val="left"/>
              <w:rPr/>
            </w:pPr>
            <w:r>
              <w:rPr/>
              <w:t>Name:</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Ian T. Simmonds</w:t>
            </w:r>
          </w:p>
        </w:tc>
      </w:tr>
      <w:tr>
        <w:trPr/>
        <w:tc>
          <w:tcPr>
            <w:tcW w:w="1072" w:type="dxa"/>
            <w:tcBorders/>
          </w:tcPr>
          <w:p>
            <w:pPr>
              <w:pStyle w:val="TableContents"/>
              <w:bidi w:val="0"/>
              <w:spacing w:before="0" w:after="283"/>
              <w:jc w:val="left"/>
              <w:rPr/>
            </w:pPr>
            <w:r>
              <w:rPr/>
              <w:t>Title:</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N.A.,</w:t>
              <w:br/>
              <w:t>as Trustee</w:t>
            </w:r>
          </w:p>
        </w:tc>
      </w:tr>
      <w:tr>
        <w:trPr>
          <w:trHeight w:val="240" w:hRule="atLeast"/>
        </w:trPr>
        <w:tc>
          <w:tcPr>
            <w:tcW w:w="1072" w:type="dxa"/>
            <w:tcBorders/>
            <w:vAlign w:val="center"/>
          </w:tcPr>
          <w:p>
            <w:pPr>
              <w:pStyle w:val="TableContents"/>
              <w:bidi w:val="0"/>
              <w:spacing w:before="0" w:after="283"/>
              <w:jc w:val="left"/>
              <w:rPr>
                <w:sz w:val="4"/>
                <w:szCs w:val="4"/>
              </w:rPr>
            </w:pPr>
            <w:r>
              <w:rPr>
                <w:sz w:val="4"/>
                <w:szCs w:val="4"/>
              </w:rPr>
            </w:r>
          </w:p>
        </w:tc>
        <w:tc>
          <w:tcPr>
            <w:tcW w:w="3010"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Melhus</w:t>
            </w:r>
          </w:p>
        </w:tc>
      </w:tr>
      <w:tr>
        <w:trPr/>
        <w:tc>
          <w:tcPr>
            <w:tcW w:w="1072" w:type="dxa"/>
            <w:tcBorders/>
          </w:tcPr>
          <w:p>
            <w:pPr>
              <w:pStyle w:val="TableContents"/>
              <w:bidi w:val="0"/>
              <w:spacing w:before="0" w:after="283"/>
              <w:jc w:val="left"/>
              <w:rPr/>
            </w:pPr>
            <w:r>
              <w:rPr/>
              <w:t>Name:</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Jill Melhus</w:t>
            </w:r>
          </w:p>
        </w:tc>
      </w:tr>
      <w:tr>
        <w:trPr/>
        <w:tc>
          <w:tcPr>
            <w:tcW w:w="1072" w:type="dxa"/>
            <w:tcBorders/>
          </w:tcPr>
          <w:p>
            <w:pPr>
              <w:pStyle w:val="TableContents"/>
              <w:bidi w:val="0"/>
              <w:spacing w:before="0" w:after="283"/>
              <w:jc w:val="left"/>
              <w:rPr/>
            </w:pPr>
            <w:r>
              <w:rPr/>
              <w:t>Title:</w:t>
            </w:r>
          </w:p>
        </w:tc>
        <w:tc>
          <w:tcPr>
            <w:tcW w:w="95"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Assistant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Fourth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8"/>
        <w:gridCol w:w="123"/>
        <w:gridCol w:w="5104"/>
      </w:tblGrid>
      <w:tr>
        <w:trPr/>
        <w:tc>
          <w:tcPr>
            <w:tcW w:w="497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04" w:type="dxa"/>
            <w:tcBorders/>
            <w:vAlign w:val="center"/>
          </w:tcPr>
          <w:p>
            <w:pPr>
              <w:pStyle w:val="TableContents"/>
              <w:bidi w:val="0"/>
              <w:spacing w:before="0" w:after="283"/>
              <w:jc w:val="left"/>
              <w:rPr>
                <w:sz w:val="4"/>
                <w:szCs w:val="4"/>
              </w:rPr>
            </w:pPr>
            <w:r>
              <w:rPr>
                <w:sz w:val="4"/>
                <w:szCs w:val="4"/>
              </w:rPr>
            </w:r>
          </w:p>
        </w:tc>
      </w:tr>
      <w:tr>
        <w:trPr/>
        <w:tc>
          <w:tcPr>
            <w:tcW w:w="4978" w:type="dxa"/>
            <w:tcBorders/>
          </w:tcPr>
          <w:p>
            <w:pPr>
              <w:pStyle w:val="TableContents"/>
              <w:bidi w:val="0"/>
              <w:spacing w:before="0" w:after="283"/>
              <w:jc w:val="left"/>
              <w:rPr/>
            </w:pPr>
            <w:r>
              <w:rPr/>
              <w:t>No. 1</w:t>
            </w:r>
          </w:p>
        </w:tc>
        <w:tc>
          <w:tcPr>
            <w:tcW w:w="123" w:type="dxa"/>
            <w:tcBorders/>
            <w:vAlign w:val="bottom"/>
          </w:tcPr>
          <w:p>
            <w:pPr>
              <w:pStyle w:val="TableContents"/>
              <w:bidi w:val="0"/>
              <w:spacing w:before="0" w:after="283"/>
              <w:jc w:val="left"/>
              <w:rPr/>
            </w:pPr>
            <w:r>
              <w:rPr/>
              <w:t>  </w:t>
            </w:r>
          </w:p>
        </w:tc>
        <w:tc>
          <w:tcPr>
            <w:tcW w:w="5104" w:type="dxa"/>
            <w:tcBorders/>
          </w:tcPr>
          <w:p>
            <w:pPr>
              <w:pStyle w:val="TableContents"/>
              <w:bidi w:val="0"/>
              <w:spacing w:before="0" w:after="283"/>
              <w:jc w:val="left"/>
              <w:rPr/>
            </w:pPr>
            <w:r>
              <w:rPr/>
              <w:t>                                                     </w:t>
            </w:r>
            <w:r>
              <w:rPr/>
              <w:t>Initially $300,000,000</w:t>
            </w:r>
          </w:p>
        </w:tc>
      </w:tr>
      <w:tr>
        <w:trPr/>
        <w:tc>
          <w:tcPr>
            <w:tcW w:w="497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04" w:type="dxa"/>
            <w:tcBorders/>
          </w:tcPr>
          <w:p>
            <w:pPr>
              <w:pStyle w:val="TableContents"/>
              <w:bidi w:val="0"/>
              <w:spacing w:before="0" w:after="283"/>
              <w:jc w:val="left"/>
              <w:rPr/>
            </w:pPr>
            <w:r>
              <w:rPr/>
              <w:t>                                                     </w:t>
            </w:r>
            <w:r>
              <w:rPr/>
              <w:t>CUSIP No. 83012A AB5</w:t>
            </w:r>
          </w:p>
        </w:tc>
      </w:tr>
      <w:tr>
        <w:trPr/>
        <w:tc>
          <w:tcPr>
            <w:tcW w:w="497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04" w:type="dxa"/>
            <w:tcBorders/>
          </w:tcPr>
          <w:p>
            <w:pPr>
              <w:pStyle w:val="TableContents"/>
              <w:bidi w:val="0"/>
              <w:spacing w:before="0" w:after="283"/>
              <w:jc w:val="left"/>
              <w:rPr/>
            </w:pPr>
            <w:r>
              <w:rPr/>
              <w:t>                                                     </w:t>
            </w:r>
            <w:r>
              <w:rPr/>
              <w:t>No. US83012AAB52</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6.950% Notes due 2028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THREE HUNDRED MILLION DOLLARS (U.S. $300,000,000), or such other principal sum as shall be set forth in the Schedule of Increases or Decreases attached hereto, on August 14, 2028, and to pay interest thereon from August 14, 2023 or from the most recent Interest Payment Date to which interest has been paid or duly provided for, semi-annually on February 14 and August 14 of each year, commencing February 14, 2024, at the rate of 6.950%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January 31 and July 31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1"/>
        <w:gridCol w:w="60"/>
        <w:gridCol w:w="3631"/>
      </w:tblGrid>
      <w:tr>
        <w:trPr/>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N.A.,</w:t>
              <w:br/>
              <w:t>as Trustee</w:t>
            </w:r>
          </w:p>
        </w:tc>
      </w:tr>
      <w:tr>
        <w:trPr>
          <w:trHeight w:val="240" w:hRule="atLeast"/>
        </w:trPr>
        <w:tc>
          <w:tcPr>
            <w:tcW w:w="391"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pBdr>
                <w:bottom w:val="single" w:sz="2" w:space="1" w:color="000000"/>
              </w:pBdr>
              <w:bidi w:val="0"/>
              <w:spacing w:before="0" w:after="20"/>
              <w:jc w:val="left"/>
              <w:rPr/>
            </w:pPr>
            <w:r>
              <w:rPr/>
              <w:t>    </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 OF NOTE]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240" w:after="0"/>
        <w:jc w:val="center"/>
        <w:rPr>
          <w:rFonts w:ascii="Times New Roman" w:hAnsi="Times New Roman"/>
          <w:sz w:val="20"/>
        </w:rPr>
      </w:pPr>
      <w:r>
        <w:rPr>
          <w:rFonts w:ascii="Times New Roman" w:hAnsi="Times New Roman"/>
          <w:sz w:val="20"/>
        </w:rPr>
        <w:t xml:space="preserve">6.950% Notes due 2028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(herein called the Securities), issued and to be issued in one or more series under an Indenture, dated as of January 22, 2018 (herein called the Base Indenture, which term shall have the meaning assigned to it in such instrument), between the Company and Computershare Trust Company, N.A., as successor to Wells Fargo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Fourth Supplemental Indenture, relating to the Securities, dated as of August 14, 2023, by and between the Company and the Trustee (herein called the Fourth Supplemental Indenture; and together with the Base Indenture, the Indenture). In the event of any conflict between the Base Indenture and the Fourth Supplemental Indenture, the Fourth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the series designated on the face hereof, initially limited in aggregate principal amount to $300,000,000.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hAnsi="Times New Roman"/>
          <w:i/>
          <w:sz w:val="20"/>
        </w:rPr>
        <w:t xml:space="preserve">provided </w:t>
      </w:r>
      <w:r>
        <w:rPr>
          <w:rFonts w:ascii="Times New Roman" w:hAnsi="Times New Roman"/>
          <w:sz w:val="20"/>
        </w:rPr>
        <w:t xml:space="preserve">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subject to redemption in whole or in part, at any time, or from time to time, at the option of the Company, at a Redemption Price (expressed as a percentage of principal amount and rounded to three decimal places), prior to the Par Call Date, equal to the greater of the following amounts, plus, in each case, accrued and unpaid interest thereon to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45 basis points less (i) interest accrued to the date of redemption;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Securities to be redeemed;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redeems any Securities on or after the Par Call Date, the Redemption Price for the Securities will be equal to 100% of the principal amount of the Securities to be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will not be responsible or liable for determining, confirming, or verifying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at the Holders address appearing in the Security Register.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the Companys option to redeem the Securities will be done in compliance with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only a portion of the Securities, selection of the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have the right to require the Company to repurchase their Securities upon the occurrence of a Change of Control Repurchase Event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related to certain events of bankruptcy, insolvency or reorganization as set forth in the Indenture), the principal of the Securities of this series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and a responsible officer of the Trustee has received, written notice of, or a responsible officer of the Trustee has actual knowledge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(including attorneys fees and expenses), court costs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4"/>
        <w:gridCol w:w="105"/>
        <w:gridCol w:w="5866"/>
      </w:tblGrid>
      <w:tr>
        <w:trPr/>
        <w:tc>
          <w:tcPr>
            <w:tcW w:w="423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5971"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bidi w:val="0"/>
              <w:spacing w:before="0" w:after="283"/>
              <w:jc w:val="left"/>
              <w:rPr/>
            </w:pPr>
            <w:r>
              <w:rPr/>
              <w:t>    </w:t>
            </w:r>
            <w:r>
              <w:rPr/>
              <w:t>(I) or (we) assign and transfer this Note to:</w:t>
            </w:r>
          </w:p>
        </w:tc>
        <w:tc>
          <w:tcPr>
            <w:tcW w:w="105" w:type="dxa"/>
            <w:tcBorders/>
            <w:vAlign w:val="bottom"/>
          </w:tcPr>
          <w:p>
            <w:pPr>
              <w:pStyle w:val="TableContents"/>
              <w:bidi w:val="0"/>
              <w:spacing w:before="0" w:after="283"/>
              <w:jc w:val="left"/>
              <w:rPr/>
            </w:pPr>
            <w:r>
              <w:rPr/>
              <w:t> </w:t>
            </w:r>
          </w:p>
        </w:tc>
        <w:tc>
          <w:tcPr>
            <w:tcW w:w="5866" w:type="dxa"/>
            <w:tcBorders/>
          </w:tcPr>
          <w:p>
            <w:pPr>
              <w:pStyle w:val="TableContents"/>
              <w:pBdr>
                <w:bottom w:val="single" w:sz="2" w:space="1" w:color="000000"/>
              </w:pBdr>
              <w:bidi w:val="0"/>
              <w:spacing w:before="0" w:after="20"/>
              <w:jc w:val="left"/>
              <w:rPr/>
            </w:pPr>
            <w:r>
              <w:rPr/>
              <w:t> </w:t>
            </w:r>
          </w:p>
        </w:tc>
      </w:tr>
      <w:tr>
        <w:trPr/>
        <w:tc>
          <w:tcPr>
            <w:tcW w:w="423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866" w:type="dxa"/>
            <w:tcBorders/>
          </w:tcPr>
          <w:p>
            <w:pPr>
              <w:pStyle w:val="TableContents"/>
              <w:bidi w:val="0"/>
              <w:spacing w:before="0" w:after="283"/>
              <w:jc w:val="center"/>
              <w:rPr/>
            </w:pPr>
            <w:r>
              <w:rPr/>
              <w:t>(INSERT ASSIGNEES LEGAL NAME)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283"/>
              <w:jc w:val="center"/>
              <w:rPr/>
            </w:pPr>
            <w:r>
              <w:rPr/>
              <w:t>(Insert assignees soc. sec. or tax I.D. no.)</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283"/>
              <w:jc w:val="center"/>
              <w:rPr/>
            </w:pPr>
            <w:r>
              <w:rPr/>
              <w:t>(Print or type assignees name, address and zip code)</w:t>
            </w:r>
          </w:p>
        </w:tc>
      </w:tr>
    </w:tbl>
    <w:tbl>
      <w:tblPr>
        <w:tblW w:w="5000" w:type="pct"/>
        <w:jc w:val="center"/>
        <w:tblInd w:w="0" w:type="dxa"/>
        <w:tblLayout w:type="fixed"/>
        <w:tblCellMar>
          <w:top w:w="0" w:type="dxa"/>
          <w:left w:w="0" w:type="dxa"/>
          <w:bottom w:w="0" w:type="dxa"/>
          <w:right w:w="0" w:type="dxa"/>
        </w:tblCellMar>
      </w:tblPr>
      <w:tblGrid>
        <w:gridCol w:w="2565"/>
        <w:gridCol w:w="115"/>
        <w:gridCol w:w="7525"/>
      </w:tblGrid>
      <w:tr>
        <w:trPr/>
        <w:tc>
          <w:tcPr>
            <w:tcW w:w="256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52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65"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2565" w:type="dxa"/>
            <w:tcBorders/>
          </w:tcPr>
          <w:p>
            <w:pPr>
              <w:pStyle w:val="TableContents"/>
              <w:bidi w:val="0"/>
              <w:spacing w:before="0" w:after="283"/>
              <w:jc w:val="left"/>
              <w:rPr/>
            </w:pPr>
            <w:r>
              <w:rPr/>
              <w:t>    </w:t>
            </w:r>
            <w:r>
              <w:rPr/>
              <w:t>and irrevocably appoint</w:t>
            </w:r>
          </w:p>
        </w:tc>
        <w:tc>
          <w:tcPr>
            <w:tcW w:w="115" w:type="dxa"/>
            <w:tcBorders/>
            <w:vAlign w:val="bottom"/>
          </w:tcPr>
          <w:p>
            <w:pPr>
              <w:pStyle w:val="TableContents"/>
              <w:bidi w:val="0"/>
              <w:spacing w:before="0" w:after="283"/>
              <w:jc w:val="left"/>
              <w:rPr/>
            </w:pPr>
            <w:r>
              <w:rPr/>
              <w:t> </w:t>
            </w:r>
          </w:p>
        </w:tc>
        <w:tc>
          <w:tcPr>
            <w:tcW w:w="7525"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to transfer this Note on the books of the Company. The agent may substitute another to act for him.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
        <w:gridCol w:w="100"/>
        <w:gridCol w:w="4077"/>
        <w:gridCol w:w="120"/>
        <w:gridCol w:w="1274"/>
        <w:gridCol w:w="100"/>
        <w:gridCol w:w="4059"/>
      </w:tblGrid>
      <w:tr>
        <w:trPr/>
        <w:tc>
          <w:tcPr>
            <w:tcW w:w="47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Date:</w:t>
            </w:r>
          </w:p>
        </w:tc>
        <w:tc>
          <w:tcPr>
            <w:tcW w:w="100" w:type="dxa"/>
            <w:tcBorders/>
            <w:vAlign w:val="bottom"/>
          </w:tcPr>
          <w:p>
            <w:pPr>
              <w:pStyle w:val="TableContents"/>
              <w:bidi w:val="0"/>
              <w:spacing w:before="0" w:after="283"/>
              <w:jc w:val="left"/>
              <w:rPr/>
            </w:pPr>
            <w:r>
              <w:rPr/>
              <w:t> </w:t>
            </w:r>
          </w:p>
        </w:tc>
        <w:tc>
          <w:tcPr>
            <w:tcW w:w="4077"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sz w:val="4"/>
                <w:szCs w:val="4"/>
              </w:rPr>
            </w:pPr>
            <w:r>
              <w:rPr>
                <w:sz w:val="4"/>
                <w:szCs w:val="4"/>
              </w:rPr>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4177" w:type="dxa"/>
            <w:gridSpan w:val="2"/>
            <w:tcBorders/>
            <w:vAlign w:val="center"/>
          </w:tcPr>
          <w:p>
            <w:pPr>
              <w:pStyle w:val="TableContents"/>
              <w:bidi w:val="0"/>
              <w:spacing w:before="0" w:after="283"/>
              <w:jc w:val="left"/>
              <w:rPr>
                <w:sz w:val="4"/>
                <w:szCs w:val="4"/>
              </w:rPr>
            </w:pPr>
            <w:r>
              <w:rPr>
                <w:sz w:val="4"/>
                <w:szCs w:val="4"/>
              </w:rPr>
            </w:r>
          </w:p>
        </w:tc>
        <w:tc>
          <w:tcPr>
            <w:tcW w:w="1394" w:type="dxa"/>
            <w:gridSpan w:val="2"/>
            <w:tcBorders/>
            <w:vAlign w:val="center"/>
          </w:tcPr>
          <w:p>
            <w:pPr>
              <w:pStyle w:val="TableContents"/>
              <w:bidi w:val="0"/>
              <w:spacing w:before="0" w:after="283"/>
              <w:jc w:val="left"/>
              <w:rPr>
                <w:sz w:val="4"/>
                <w:szCs w:val="4"/>
              </w:rPr>
            </w:pPr>
            <w:r>
              <w:rPr>
                <w:sz w:val="4"/>
                <w:szCs w:val="4"/>
              </w:rPr>
            </w:r>
          </w:p>
        </w:tc>
        <w:tc>
          <w:tcPr>
            <w:tcW w:w="4159"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7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Your Signature:</w:t>
            </w:r>
          </w:p>
        </w:tc>
        <w:tc>
          <w:tcPr>
            <w:tcW w:w="100"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u w:val="single"/>
              </w:rPr>
            </w:pPr>
            <w:r>
              <w:rPr>
                <w:u w:val="single"/>
              </w:rPr>
              <w:t>                                                                                                      </w:t>
            </w:r>
          </w:p>
        </w:tc>
      </w:tr>
      <w:tr>
        <w:trPr/>
        <w:tc>
          <w:tcPr>
            <w:tcW w:w="475"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7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59"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Signature Guarantee*:</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INCREASES AND DECREASES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        . The following increases and decreases to this Global Note have been made: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44"/>
        <w:gridCol w:w="154"/>
        <w:gridCol w:w="992"/>
        <w:gridCol w:w="993"/>
        <w:gridCol w:w="60"/>
        <w:gridCol w:w="154"/>
        <w:gridCol w:w="970"/>
        <w:gridCol w:w="970"/>
        <w:gridCol w:w="60"/>
        <w:gridCol w:w="154"/>
        <w:gridCol w:w="961"/>
        <w:gridCol w:w="963"/>
        <w:gridCol w:w="60"/>
        <w:gridCol w:w="154"/>
        <w:gridCol w:w="767"/>
        <w:gridCol w:w="768"/>
        <w:gridCol w:w="64"/>
      </w:tblGrid>
      <w:tr>
        <w:trPr/>
        <w:tc>
          <w:tcPr>
            <w:tcW w:w="114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4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 Increase</w:t>
            </w:r>
          </w:p>
          <w:p>
            <w:pPr>
              <w:pStyle w:val="TableContents"/>
              <w:bidi w:val="0"/>
              <w:spacing w:before="0" w:after="20"/>
              <w:jc w:val="center"/>
              <w:rPr>
                <w:rFonts w:ascii="Times New Roman" w:hAnsi="Times New Roman"/>
                <w:sz w:val="16"/>
              </w:rPr>
            </w:pPr>
            <w:r>
              <w:rPr>
                <w:rFonts w:ascii="Times New Roman" w:hAnsi="Times New Roman"/>
                <w:sz w:val="16"/>
              </w:rPr>
              <w:t>or Decrease</w:t>
            </w:r>
          </w:p>
        </w:tc>
        <w:tc>
          <w:tcPr>
            <w:tcW w:w="154"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pPr>
            <w:r>
              <w:rPr/>
              <w:t>Amount of Decrease</w:t>
              <w:br/>
              <w:t>in Principal Amount</w:t>
              <w:br/>
              <w:t>at Maturity of this</w:t>
              <w:br/>
              <w:t>Global Note</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Amount of Increase</w:t>
              <w:br/>
              <w:t>in Principal Amount</w:t>
              <w:br/>
              <w:t>at Maturity of this</w:t>
              <w:br/>
              <w:t>Global Note</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at</w:t>
              <w:br/>
              <w:t>Maturity of this</w:t>
              <w:br/>
              <w:t>Global Note</w:t>
              <w:br/>
              <w:t>Following such</w:t>
              <w:br/>
              <w:t>decrease (or</w:t>
              <w:br/>
              <w:t>increase)</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pPr>
            <w:r>
              <w:rPr/>
              <w:t>Signature of</w:t>
              <w:br/>
              <w:t>Authorized</w:t>
              <w:br/>
              <w:t>Signatory of</w:t>
              <w:br/>
              <w:t>Trustee or DTC</w:t>
              <w:br/>
              <w:t>Custodian</w:t>
            </w:r>
          </w:p>
        </w:tc>
        <w:tc>
          <w:tcPr>
            <w:tcW w:w="64" w:type="dxa"/>
            <w:tcBorders/>
            <w:vAlign w:val="bottom"/>
          </w:tcPr>
          <w:p>
            <w:pPr>
              <w:pStyle w:val="TableContents"/>
              <w:bidi w:val="0"/>
              <w:spacing w:before="0" w:after="283"/>
              <w:jc w:val="left"/>
              <w:rPr/>
            </w:pPr>
            <w:r>
              <w:rPr/>
              <w:t> </w:t>
            </w:r>
          </w:p>
        </w:tc>
      </w:tr>
      <w:tr>
        <w:trPr/>
        <w:tc>
          <w:tcPr>
            <w:tcW w:w="1144" w:type="dxa"/>
            <w:tcBorders/>
            <w:shd w:fill="CCEEFF" w:val="clear"/>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1144" w:type="dxa"/>
            <w:tcBorders/>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144" w:type="dxa"/>
            <w:tcBorders/>
            <w:shd w:fill="CCEEFF" w:val="clear"/>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13.01 of the Indenture, check the box below: </w:t>
      </w:r>
    </w:p>
    <w:p>
      <w:pPr>
        <w:pStyle w:val="TextBody"/>
        <w:bidi w:val="0"/>
        <w:spacing w:before="240" w:after="0"/>
        <w:jc w:val="center"/>
        <w:rPr/>
      </w:pPr>
      <w:r>
        <w:rPr/>
        <w:t xml:space="preserve">☐ </w:t>
      </w:r>
      <w:r>
        <w:rPr>
          <w:rFonts w:ascii="Times New Roman" w:hAnsi="Times New Roman"/>
          <w:sz w:val="20"/>
        </w:rPr>
        <w:t xml:space="preserve">Section 13.01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13.01 of the Indenture, state the amount you elect to have 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
        <w:gridCol w:w="103"/>
        <w:gridCol w:w="4118"/>
        <w:gridCol w:w="103"/>
        <w:gridCol w:w="5409"/>
      </w:tblGrid>
      <w:tr>
        <w:trPr/>
        <w:tc>
          <w:tcPr>
            <w:tcW w:w="47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11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5409" w:type="dxa"/>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11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283"/>
              <w:jc w:val="left"/>
              <w:rPr/>
            </w:pPr>
            <w:r>
              <w:rPr/>
              <w:t>$</w:t>
            </w:r>
            <w:r>
              <w:rPr>
                <w:u w:val="single"/>
              </w:rPr>
              <w:t>                                         </w:t>
            </w:r>
          </w:p>
        </w:tc>
      </w:tr>
      <w:tr>
        <w:trPr>
          <w:trHeight w:val="240" w:hRule="atLeast"/>
        </w:trPr>
        <w:tc>
          <w:tcPr>
            <w:tcW w:w="472"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5512" w:type="dxa"/>
            <w:gridSpan w:val="2"/>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4118" w:type="dxa"/>
            <w:tcBorders/>
          </w:tcPr>
          <w:p>
            <w:pPr>
              <w:pStyle w:val="TableContents"/>
              <w:bidi w:val="0"/>
              <w:spacing w:before="0" w:after="283"/>
              <w:jc w:val="left"/>
              <w:rPr>
                <w:u w:val="single"/>
              </w:rPr>
            </w:pPr>
            <w:r>
              <w:rPr>
                <w:u w:val="single"/>
              </w:rPr>
              <w:t>                                                         </w:t>
            </w:r>
          </w:p>
        </w:tc>
        <w:tc>
          <w:tcPr>
            <w:tcW w:w="103"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283"/>
              <w:jc w:val="left"/>
              <w:rPr>
                <w:sz w:val="4"/>
                <w:szCs w:val="4"/>
              </w:rPr>
            </w:pPr>
            <w:r>
              <w:rPr>
                <w:sz w:val="4"/>
                <w:szCs w:val="4"/>
              </w:rPr>
            </w:r>
          </w:p>
        </w:tc>
      </w:tr>
      <w:tr>
        <w:trPr>
          <w:trHeight w:val="240" w:hRule="atLeast"/>
        </w:trPr>
        <w:tc>
          <w:tcPr>
            <w:tcW w:w="472"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5512" w:type="dxa"/>
            <w:gridSpan w:val="2"/>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11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283"/>
              <w:jc w:val="left"/>
              <w:rPr/>
            </w:pPr>
            <w:r>
              <w:rPr/>
              <w:t>Your Signature: </w:t>
            </w:r>
            <w:r>
              <w:rPr>
                <w:u w:val="single"/>
              </w:rPr>
              <w:t>                                                                                                          </w:t>
            </w:r>
          </w:p>
        </w:tc>
      </w:tr>
      <w:tr>
        <w:trPr/>
        <w:tc>
          <w:tcPr>
            <w:tcW w:w="472"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11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72"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5512" w:type="dxa"/>
            <w:gridSpan w:val="2"/>
            <w:tcBorders/>
            <w:vAlign w:val="center"/>
          </w:tcPr>
          <w:p>
            <w:pPr>
              <w:pStyle w:val="TableContents"/>
              <w:bidi w:val="0"/>
              <w:spacing w:before="0" w:after="283"/>
              <w:jc w:val="left"/>
              <w:rPr>
                <w:sz w:val="4"/>
                <w:szCs w:val="4"/>
              </w:rPr>
            </w:pPr>
            <w:r>
              <w:rPr>
                <w:sz w:val="4"/>
                <w:szCs w:val="4"/>
              </w:rPr>
            </w:r>
          </w:p>
        </w:tc>
      </w:tr>
      <w:tr>
        <w:trPr/>
        <w:tc>
          <w:tcPr>
            <w:tcW w:w="472"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11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283"/>
              <w:jc w:val="left"/>
              <w:rPr/>
            </w:pPr>
            <w:r>
              <w:rPr/>
              <w:t>Tax Identification No.: </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5"/>
        <w:gridCol w:w="9270"/>
      </w:tblGrid>
      <w:tr>
        <w:trPr/>
        <w:tc>
          <w:tcPr>
            <w:tcW w:w="935" w:type="dxa"/>
            <w:tcBorders/>
          </w:tcPr>
          <w:p>
            <w:pPr>
              <w:pStyle w:val="TableContents"/>
              <w:bidi w:val="0"/>
              <w:spacing w:before="0" w:after="283"/>
              <w:jc w:val="left"/>
              <w:rPr/>
            </w:pPr>
            <w:r>
              <w:rPr/>
              <w:t>Signature</w:t>
            </w:r>
          </w:p>
        </w:tc>
        <w:tc>
          <w:tcPr>
            <w:tcW w:w="9270" w:type="dxa"/>
            <w:tcBorders/>
          </w:tcPr>
          <w:p>
            <w:pPr>
              <w:pStyle w:val="TableContents"/>
              <w:bidi w:val="0"/>
              <w:spacing w:before="0" w:after="0"/>
              <w:jc w:val="left"/>
              <w:rPr>
                <w:rFonts w:ascii="Times New Roman" w:hAnsi="Times New Roman"/>
                <w:sz w:val="20"/>
              </w:rPr>
            </w:pPr>
            <w:r>
              <w:rPr>
                <w:rFonts w:ascii="Times New Roman" w:hAnsi="Times New Roman"/>
                <w:sz w:val="20"/>
              </w:rPr>
              <w:t>Guarantee*: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right"/>
        <w:rPr>
          <w:rFonts w:ascii="Times New Roman" w:hAnsi="Times New Roman"/>
          <w:b/>
          <w:sz w:val="20"/>
        </w:rPr>
      </w:pPr>
      <w:bookmarkStart w:id="4" w:name="d480136dex51.htm"/>
      <w:bookmarkStart w:id="5" w:name="ksd480136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86700" cy="2981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7886700" cy="298132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August 14, 2023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Sixth Street Specialty Lending, Inc., a Delaware corporation (the </w:t>
      </w:r>
      <w:r>
        <w:rPr>
          <w:rFonts w:ascii="Times New Roman" w:hAnsi="Times New Roman"/>
          <w:sz w:val="20"/>
          <w:u w:val="single"/>
        </w:rPr>
        <w:t>Company</w:t>
      </w:r>
      <w:r>
        <w:rPr>
          <w:rFonts w:ascii="Times New Roman" w:hAnsi="Times New Roman"/>
          <w:sz w:val="20"/>
        </w:rPr>
        <w:t>), in connection with the Companys offering pursuant to a registration statement on Form N-2 (333-269222) as amended as of August 7, 2023 for purposes of Rule 430B(f)(2) under the Securities Act of 1933, as amended (the </w:t>
      </w:r>
      <w:r>
        <w:rPr>
          <w:rFonts w:ascii="Times New Roman" w:hAnsi="Times New Roman"/>
          <w:sz w:val="20"/>
          <w:u w:val="single"/>
        </w:rPr>
        <w:t>Securities Act</w:t>
      </w:r>
      <w:r>
        <w:rPr>
          <w:rFonts w:ascii="Times New Roman" w:hAnsi="Times New Roman"/>
          <w:sz w:val="20"/>
        </w:rPr>
        <w:t>) (as so amended, including the documents incorporated by reference therein, but excluding Exhibit (d)(3), the </w:t>
      </w:r>
      <w:r>
        <w:rPr>
          <w:rFonts w:ascii="Times New Roman" w:hAnsi="Times New Roman"/>
          <w:sz w:val="20"/>
          <w:u w:val="single"/>
        </w:rPr>
        <w:t>Registration Statement</w:t>
      </w:r>
      <w:r>
        <w:rPr>
          <w:rFonts w:ascii="Times New Roman" w:hAnsi="Times New Roman"/>
          <w:sz w:val="20"/>
        </w:rPr>
        <w:t>), and the prospectus, dated August 7, 2023 (including the documents incorporated by reference therein, the </w:t>
      </w:r>
      <w:r>
        <w:rPr>
          <w:rFonts w:ascii="Times New Roman" w:hAnsi="Times New Roman"/>
          <w:sz w:val="20"/>
          <w:u w:val="single"/>
        </w:rPr>
        <w:t>Base Prospectus</w:t>
      </w:r>
      <w:r>
        <w:rPr>
          <w:rFonts w:ascii="Times New Roman" w:hAnsi="Times New Roman"/>
          <w:sz w:val="20"/>
        </w:rPr>
        <w:t>), as supplemented by the prospectus supplement, dated August 7, 2023 (including the documents incorporated by reference therein, the </w:t>
      </w:r>
      <w:r>
        <w:rPr>
          <w:rFonts w:ascii="Times New Roman" w:hAnsi="Times New Roman"/>
          <w:sz w:val="20"/>
          <w:u w:val="single"/>
        </w:rPr>
        <w:t>Prospectus Supplement</w:t>
      </w:r>
      <w:r>
        <w:rPr>
          <w:rFonts w:ascii="Times New Roman" w:hAnsi="Times New Roman"/>
          <w:sz w:val="20"/>
        </w:rPr>
        <w:t> and, together with the Base Prospectus, the </w:t>
      </w:r>
      <w:r>
        <w:rPr>
          <w:rFonts w:ascii="Times New Roman" w:hAnsi="Times New Roman"/>
          <w:sz w:val="20"/>
          <w:u w:val="single"/>
        </w:rPr>
        <w:t>Prospectus</w:t>
      </w:r>
      <w:r>
        <w:rPr>
          <w:rFonts w:ascii="Times New Roman" w:hAnsi="Times New Roman"/>
          <w:sz w:val="20"/>
        </w:rPr>
        <w:t>), of $300,000,000 aggregate principal amount of 6.950% Notes due 2028 (the </w:t>
      </w:r>
      <w:r>
        <w:rPr>
          <w:rFonts w:ascii="Times New Roman" w:hAnsi="Times New Roman"/>
          <w:sz w:val="20"/>
          <w:u w:val="single"/>
        </w:rPr>
        <w:t>Securities</w:t>
      </w:r>
      <w:r>
        <w:rPr>
          <w:rFonts w:ascii="Times New Roman" w:hAnsi="Times New Roman"/>
          <w:sz w:val="20"/>
        </w:rPr>
        <w:t>). The Securities were issued pursuant to an indenture dated as of January 22, 2018 (the </w:t>
      </w:r>
      <w:r>
        <w:rPr>
          <w:rFonts w:ascii="Times New Roman" w:hAnsi="Times New Roman"/>
          <w:sz w:val="20"/>
          <w:u w:val="single"/>
        </w:rPr>
        <w:t>Base Indenture</w:t>
      </w:r>
      <w:r>
        <w:rPr>
          <w:rFonts w:ascii="Times New Roman" w:hAnsi="Times New Roman"/>
          <w:sz w:val="20"/>
        </w:rPr>
        <w:t>) between the Company and Wells Fargo Bank, National Association, as trustee, as supplemented with respect to the Securities by the Fourth Supplemental Indenture thereto dated as of August 14, 2023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between the Company and Computershare Trust Company, N.A., as successor to Wells Fargo Bank, National Association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reviewed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Underwriting Agreement dated August 7, 2023 among the Company, Sixth Street Specialty Lending Advisers, LLC, a Delaware limited liability company registered as an investment adviser, and the several underwriters named in Schedule 1 thereto;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Cleary Gottlieb Steen &amp; Hamilton LLP or an affiliated entity has an office in each of the locations listed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Inc., p.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Securities in global form as executed by the Company and authenticated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executed copies of the Base Indenture and the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Unanimous Written Consent of the Board of Directors of the Company, dated August 7, 2023, approving the offering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Companys Restated Certificate of Incorporation certified by the Secretary of State of the State of Delaware, and the Companys Amended and Restated Bylaws, certified by the Secretary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further assumptions and qualifications set forth below, it is our opinion that the Securities are the valid, binding and enforceable obligations of the Company,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opinion relates to the valid existence and good standing of the Company or any subsidiary of the Company, it is based solely on confirmation from public officials. Insofar as the foregoing opinion relates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mandatory choice of law rules and (z) such opinion is subject to applicable bankruptcy, insolvency and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 of the State of New York and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Inc., p.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use of our name in the Prospectus Supplement and Final Prospectus under the headings Legal Matters as counsel for the Company that has passed on the validity of the Securities, and to the filing of this opinion letter as Exhibit 5.1 to the Companys Current Report on Form 8-K dated August 14, 2023. In giving this consent, we do not thereby admit that we are within the category of persons whose consent is required under Section 7 of the Securities Act or the rules and regulations of the Securities and Exchange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CLEARY GOTTLIEB STEEN &amp; HAMILTON LLP</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Helena K. Grannis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center"/>
              <w:rPr/>
            </w:pPr>
            <w:r>
              <w:rPr/>
              <w:t>Helena K. Grannis, 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08655/000119312518016134/d428064dex4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11534</Words>
  <Characters>57890</Characters>
  <CharactersWithSpaces>70076</CharactersWithSpaces>
  <Paragraphs>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