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color w:val="auto"/>
        </w:rPr>
        <w:t>[Letterhead of TPG Specialty Lending, Inc.]</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May 24, 2013</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9" w:lineRule="exact"/>
        <w:rPr>
          <w:sz w:val="24"/>
          <w:szCs w:val="24"/>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tab/>
        <w:t>TPG Specialty Lending, Inc.</w:t>
      </w:r>
    </w:p>
    <w:p>
      <w:pPr>
        <w:spacing w:after="0" w:line="2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Rule 17g-1(g) Fidelity Bond Filing</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86" w:lineRule="exact"/>
        <w:rPr>
          <w:sz w:val="24"/>
          <w:szCs w:val="24"/>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color w:val="auto"/>
        </w:rPr>
        <w:t xml:space="preserve">On behalf of TPG Specialty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enclosed herewith for filing, pursuant to Rule 17g-1(g) under the Investment Company Act of 1940, are the following:</w:t>
      </w:r>
    </w:p>
    <w:p>
      <w:pPr>
        <w:spacing w:after="0" w:line="34" w:lineRule="exact"/>
        <w:rPr>
          <w:sz w:val="24"/>
          <w:szCs w:val="24"/>
          <w:color w:val="auto"/>
        </w:rPr>
      </w:pPr>
    </w:p>
    <w:p>
      <w:pPr>
        <w:ind w:left="1480" w:hanging="567"/>
        <w:spacing w:after="0"/>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fidelity bond covering the Company, which includes a statement as to the period for which premiums have been paid; and</w:t>
      </w:r>
    </w:p>
    <w:p>
      <w:pPr>
        <w:spacing w:after="0" w:line="90" w:lineRule="exact"/>
        <w:rPr>
          <w:rFonts w:ascii="Times New Roman" w:cs="Times New Roman" w:eastAsia="Times New Roman" w:hAnsi="Times New Roman"/>
          <w:sz w:val="18"/>
          <w:szCs w:val="18"/>
          <w:color w:val="auto"/>
        </w:rPr>
      </w:pPr>
    </w:p>
    <w:p>
      <w:pPr>
        <w:ind w:left="1480" w:right="340" w:hanging="567"/>
        <w:spacing w:after="0" w:line="275"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2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(817) 871-4095.</w:t>
      </w:r>
    </w:p>
    <w:p>
      <w:pPr>
        <w:spacing w:after="0" w:line="2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Reintjes</w:t>
      </w:r>
    </w:p>
    <w:p>
      <w:pPr>
        <w:spacing w:after="0" w:line="2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Reintjes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Secretary and Chief Compliance Officer</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1380"/>
          </w:cols>
          <w:pgMar w:left="240" w:top="233" w:right="2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169"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color w:val="auto"/>
        </w:rPr>
        <w:t xml:space="preserve">The undersigned, David Reintjes, Secretary and Chief Compliance Officer of TPG Specialty Lending,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that:</w:t>
      </w:r>
    </w:p>
    <w:p>
      <w:pPr>
        <w:spacing w:after="0" w:line="30" w:lineRule="exact"/>
        <w:rPr>
          <w:sz w:val="20"/>
          <w:szCs w:val="20"/>
          <w:color w:val="auto"/>
        </w:rPr>
      </w:pPr>
    </w:p>
    <w:p>
      <w:pPr>
        <w:jc w:val="both"/>
        <w:ind w:left="1480" w:right="140" w:hanging="567"/>
        <w:spacing w:after="0" w:line="265"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certificate is being delivered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in connection with the filing of the Company’s fidelity bond (the </w:t>
      </w:r>
      <w:r>
        <w:rPr>
          <w:rFonts w:ascii="Times New Roman" w:cs="Times New Roman" w:eastAsia="Times New Roman" w:hAnsi="Times New Roman"/>
          <w:sz w:val="18"/>
          <w:szCs w:val="18"/>
          <w:b w:val="1"/>
          <w:bCs w:val="1"/>
          <w:i w:val="1"/>
          <w:iCs w:val="1"/>
          <w:color w:val="auto"/>
        </w:rPr>
        <w:t>“Bond”</w:t>
      </w:r>
      <w:r>
        <w:rPr>
          <w:rFonts w:ascii="Times New Roman" w:cs="Times New Roman" w:eastAsia="Times New Roman" w:hAnsi="Times New Roman"/>
          <w:sz w:val="18"/>
          <w:szCs w:val="18"/>
          <w:color w:val="auto"/>
        </w:rPr>
        <w:t>) pursuant to Rule 17g-1 of the Investment Company Act of 1940, as amended, and the SEC is entitled to rely on this certificate for purposes of the filing.</w:t>
      </w:r>
    </w:p>
    <w:p>
      <w:pPr>
        <w:spacing w:after="0" w:line="47" w:lineRule="exact"/>
        <w:rPr>
          <w:rFonts w:ascii="Times New Roman" w:cs="Times New Roman" w:eastAsia="Times New Roman" w:hAnsi="Times New Roman"/>
          <w:sz w:val="18"/>
          <w:szCs w:val="18"/>
          <w:color w:val="auto"/>
        </w:rPr>
      </w:pPr>
    </w:p>
    <w:p>
      <w:pPr>
        <w:ind w:left="1480" w:right="680" w:hanging="567"/>
        <w:spacing w:after="0" w:line="275"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Company, and has custody of the corporate records of the Company and is a proper officer to make this certification.</w:t>
      </w:r>
    </w:p>
    <w:p>
      <w:pPr>
        <w:spacing w:after="0" w:line="38" w:lineRule="exact"/>
        <w:rPr>
          <w:rFonts w:ascii="Times New Roman" w:cs="Times New Roman" w:eastAsia="Times New Roman" w:hAnsi="Times New Roman"/>
          <w:sz w:val="18"/>
          <w:szCs w:val="18"/>
          <w:color w:val="auto"/>
        </w:rPr>
      </w:pPr>
    </w:p>
    <w:p>
      <w:pPr>
        <w:ind w:left="1480" w:right="280" w:hanging="567"/>
        <w:spacing w:after="0" w:line="334" w:lineRule="auto"/>
        <w:tabs>
          <w:tab w:leader="none" w:pos="1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1" w:lineRule="exact"/>
        <w:rPr>
          <w:rFonts w:ascii="Times New Roman" w:cs="Times New Roman" w:eastAsia="Times New Roman" w:hAnsi="Times New Roman"/>
          <w:sz w:val="16"/>
          <w:szCs w:val="16"/>
          <w:color w:val="auto"/>
        </w:rPr>
      </w:pPr>
    </w:p>
    <w:p>
      <w:pPr>
        <w:ind w:left="1480" w:hanging="567"/>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March 8, 2013 to March 8, 2014.</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24</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May,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Reintjes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Secretary and Chief Compliance Officer</w:t>
      </w:r>
    </w:p>
    <w:p>
      <w:pPr>
        <w:sectPr>
          <w:pgSz w:w="11900" w:h="16838" w:orient="portrait"/>
          <w:cols w:equalWidth="0" w:num="1">
            <w:col w:w="11380"/>
          </w:cols>
          <w:pgMar w:left="240" w:top="272" w:right="2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Excerpt from the minutes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March 12, 2013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the Fidelity Bond</w:t>
      </w:r>
    </w:p>
    <w:p>
      <w:pPr>
        <w:spacing w:after="0" w:line="169" w:lineRule="exact"/>
        <w:rPr>
          <w:sz w:val="20"/>
          <w:szCs w:val="20"/>
          <w:color w:val="auto"/>
        </w:rPr>
      </w:pPr>
    </w:p>
    <w:p>
      <w:pPr>
        <w:ind w:left="460" w:right="40" w:firstLine="43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Investment Company Act of 1940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17g-1(a) thereunder require a BDC,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and</w:t>
      </w:r>
    </w:p>
    <w:p>
      <w:pPr>
        <w:spacing w:after="0" w:line="136" w:lineRule="exact"/>
        <w:rPr>
          <w:sz w:val="20"/>
          <w:szCs w:val="20"/>
          <w:color w:val="auto"/>
        </w:rPr>
      </w:pPr>
    </w:p>
    <w:p>
      <w:pPr>
        <w:ind w:left="460" w:right="100" w:firstLine="438"/>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specifies that the bond may be in the form of (i) an individual bond for each covered person, or a schedule or blanket bond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covering such persons, (ii) a blanket bond which names the Company as the only insured (a </w:t>
      </w:r>
      <w:r>
        <w:rPr>
          <w:rFonts w:ascii="Times New Roman" w:cs="Times New Roman" w:eastAsia="Times New Roman" w:hAnsi="Times New Roman"/>
          <w:sz w:val="18"/>
          <w:szCs w:val="18"/>
          <w:b w:val="1"/>
          <w:bCs w:val="1"/>
          <w:i w:val="1"/>
          <w:iCs w:val="1"/>
          <w:color w:val="auto"/>
        </w:rPr>
        <w:t>“single insured bond”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(iii) a bond which names the Company and one or more other parties as insureds (a </w:t>
      </w:r>
      <w:r>
        <w:rPr>
          <w:rFonts w:ascii="Times New Roman" w:cs="Times New Roman" w:eastAsia="Times New Roman" w:hAnsi="Times New Roman"/>
          <w:sz w:val="18"/>
          <w:szCs w:val="18"/>
          <w:b w:val="1"/>
          <w:bCs w:val="1"/>
          <w:i w:val="1"/>
          <w:iCs w:val="1"/>
          <w:color w:val="auto"/>
        </w:rPr>
        <w:t>“joint insured bond”</w:t>
      </w:r>
      <w:r>
        <w:rPr>
          <w:rFonts w:ascii="Times New Roman" w:cs="Times New Roman" w:eastAsia="Times New Roman" w:hAnsi="Times New Roman"/>
          <w:sz w:val="18"/>
          <w:szCs w:val="18"/>
          <w:color w:val="auto"/>
        </w:rPr>
        <w:t xml:space="preserve">), as permitted by Rule 17g-1; </w:t>
      </w:r>
      <w:r>
        <w:rPr>
          <w:rFonts w:ascii="Times New Roman" w:cs="Times New Roman" w:eastAsia="Times New Roman" w:hAnsi="Times New Roman"/>
          <w:sz w:val="18"/>
          <w:szCs w:val="18"/>
          <w:u w:val="single" w:color="auto"/>
          <w:color w:val="auto"/>
        </w:rPr>
        <w:t>and</w:t>
      </w:r>
    </w:p>
    <w:p>
      <w:pPr>
        <w:spacing w:after="0" w:line="127" w:lineRule="exact"/>
        <w:rPr>
          <w:sz w:val="20"/>
          <w:szCs w:val="20"/>
          <w:color w:val="auto"/>
        </w:rPr>
      </w:pPr>
    </w:p>
    <w:p>
      <w:pPr>
        <w:ind w:left="460" w:right="340" w:firstLine="43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requires that a majority of the Board of Directors who are not “interested persons” of the Company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cs="Times New Roman" w:eastAsia="Times New Roman" w:hAnsi="Times New Roman"/>
          <w:sz w:val="18"/>
          <w:szCs w:val="18"/>
          <w:u w:val="single" w:color="auto"/>
          <w:color w:val="auto"/>
        </w:rPr>
        <w:t>and</w:t>
      </w:r>
    </w:p>
    <w:p>
      <w:pPr>
        <w:spacing w:after="0" w:line="134" w:lineRule="exact"/>
        <w:rPr>
          <w:sz w:val="20"/>
          <w:szCs w:val="20"/>
          <w:color w:val="auto"/>
        </w:rPr>
      </w:pPr>
    </w:p>
    <w:p>
      <w:pPr>
        <w:ind w:left="460" w:right="100" w:firstLine="438"/>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the Company is required to make certain filings with the SEC and give certain notices to each member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in connection with the bond, and designate an Officer who shall make such filings and give such notices;</w:t>
      </w:r>
    </w:p>
    <w:p>
      <w:pPr>
        <w:spacing w:after="0" w:line="116" w:lineRule="exact"/>
        <w:rPr>
          <w:sz w:val="20"/>
          <w:szCs w:val="20"/>
          <w:color w:val="auto"/>
        </w:rPr>
      </w:pPr>
    </w:p>
    <w:p>
      <w:pPr>
        <w:jc w:val="both"/>
        <w:ind w:left="460" w:right="440" w:firstLine="438"/>
        <w:spacing w:after="0" w:line="264"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having considered the expected aggregate value of the securities and funds of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Officers or employees of the Company may have access (either directly or through authority to draw upon such funds or to direct generally the disposition of such securities), the type and terms of the arrangements made for the custody of</w:t>
      </w:r>
    </w:p>
    <w:p>
      <w:pPr>
        <w:sectPr>
          <w:pgSz w:w="11900" w:h="16838" w:orient="portrait"/>
          <w:cols w:equalWidth="0" w:num="1">
            <w:col w:w="11420"/>
          </w:cols>
          <w:pgMar w:left="240" w:top="272" w:right="239" w:bottom="1440" w:gutter="0" w:footer="0" w:header="0"/>
        </w:sectPr>
      </w:pPr>
    </w:p>
    <w:bookmarkStart w:id="3" w:name="page4"/>
    <w:bookmarkEnd w:id="3"/>
    <w:p>
      <w:pPr>
        <w:ind w:right="36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Chartis, having an aggregate coverage of $10,000,000 (the </w:t>
      </w:r>
      <w:r>
        <w:rPr>
          <w:rFonts w:ascii="Times New Roman" w:cs="Times New Roman" w:eastAsia="Times New Roman" w:hAnsi="Times New Roman"/>
          <w:sz w:val="16"/>
          <w:szCs w:val="16"/>
          <w:b w:val="1"/>
          <w:bCs w:val="1"/>
          <w:i w:val="1"/>
          <w:iCs w:val="1"/>
          <w:color w:val="auto"/>
        </w:rPr>
        <w:t>“Fidelity Bond”</w:t>
      </w:r>
      <w:r>
        <w:rPr>
          <w:rFonts w:ascii="Times New Roman" w:cs="Times New Roman" w:eastAsia="Times New Roman" w:hAnsi="Times New Roman"/>
          <w:sz w:val="16"/>
          <w:szCs w:val="16"/>
          <w:color w:val="auto"/>
        </w:rPr>
        <w:t xml:space="preserve">), is reasonable, and the Fidelity Bond be, and hereby is, approved by the Board of Directors of the Company; </w:t>
      </w:r>
      <w:r>
        <w:rPr>
          <w:rFonts w:ascii="Times New Roman" w:cs="Times New Roman" w:eastAsia="Times New Roman" w:hAnsi="Times New Roman"/>
          <w:sz w:val="16"/>
          <w:szCs w:val="16"/>
          <w:u w:val="single" w:color="auto"/>
          <w:color w:val="auto"/>
        </w:rPr>
        <w:t>and</w:t>
      </w:r>
    </w:p>
    <w:p>
      <w:pPr>
        <w:spacing w:after="0" w:line="106"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having considered the expected aggregate value of the securities and funds of the Company to which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Chartis, having an aggregate coverage of $10,000,000 is reasonable, and the Fidelity Bond be, and hereby is, approved by a majority of the Independent Directors; </w:t>
      </w:r>
      <w:r>
        <w:rPr>
          <w:rFonts w:ascii="Times New Roman" w:cs="Times New Roman" w:eastAsia="Times New Roman" w:hAnsi="Times New Roman"/>
          <w:sz w:val="18"/>
          <w:szCs w:val="18"/>
          <w:u w:val="single" w:color="auto"/>
          <w:color w:val="auto"/>
        </w:rPr>
        <w:t>and</w:t>
      </w:r>
    </w:p>
    <w:p>
      <w:pPr>
        <w:spacing w:after="0" w:line="138" w:lineRule="exact"/>
        <w:rPr>
          <w:sz w:val="20"/>
          <w:szCs w:val="20"/>
          <w:color w:val="auto"/>
        </w:rPr>
      </w:pPr>
    </w:p>
    <w:p>
      <w:pPr>
        <w:ind w:right="300" w:firstLine="438"/>
        <w:spacing w:after="0" w:line="277"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Company be, and they hereby are, authorized to take all appropriate actions, with the advice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 counsel to the Company, to provide and maintain the Fidelity Bond on behalf of the Company; </w:t>
      </w:r>
      <w:r>
        <w:rPr>
          <w:rFonts w:ascii="Times New Roman" w:cs="Times New Roman" w:eastAsia="Times New Roman" w:hAnsi="Times New Roman"/>
          <w:sz w:val="18"/>
          <w:szCs w:val="18"/>
          <w:u w:val="single" w:color="auto"/>
          <w:color w:val="auto"/>
        </w:rPr>
        <w:t>and</w:t>
      </w:r>
    </w:p>
    <w:p>
      <w:pPr>
        <w:spacing w:after="0" w:line="116" w:lineRule="exact"/>
        <w:rPr>
          <w:sz w:val="20"/>
          <w:szCs w:val="20"/>
          <w:color w:val="auto"/>
        </w:rPr>
      </w:pPr>
    </w:p>
    <w:p>
      <w:pPr>
        <w:ind w:right="160" w:firstLine="438"/>
        <w:spacing w:after="0" w:line="277"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Chief Compliance Officer of the Company be, and hereby is, designated as the party responsible for making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filings and giving the notices with respect to such bond required by paragraph (g) of Rule 17g-1 under the 1940 Act.</w:t>
      </w:r>
    </w:p>
    <w:p>
      <w:pPr>
        <w:sectPr>
          <w:pgSz w:w="11900" w:h="16838" w:orient="portrait"/>
          <w:cols w:equalWidth="0" w:num="1">
            <w:col w:w="10960"/>
          </w:cols>
          <w:pgMar w:left="700" w:top="274"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2052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0520" cy="548640"/>
                    </a:xfrm>
                    <a:prstGeom prst="rect">
                      <a:avLst/>
                    </a:prstGeom>
                    <a:noFill/>
                  </pic:spPr>
                </pic:pic>
              </a:graphicData>
            </a:graphic>
          </wp:anchor>
        </w:drawing>
      </w: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National Union Fire Insurance Company of Pittsburgh, Pa.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 capital stock company</w:t>
            </w:r>
          </w:p>
        </w:tc>
        <w:tc>
          <w:tcPr>
            <w:tcW w:w="0" w:type="dxa"/>
            <w:vAlign w:val="bottom"/>
          </w:tcPr>
          <w:p>
            <w:pPr>
              <w:spacing w:after="0"/>
              <w:rPr>
                <w:sz w:val="1"/>
                <w:szCs w:val="1"/>
                <w:color w:val="auto"/>
              </w:rPr>
            </w:pPr>
          </w:p>
        </w:tc>
      </w:tr>
      <w:tr>
        <w:trPr>
          <w:trHeight w:val="514"/>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7"/>
              </w:rPr>
              <w:t>FINANCIAL INSTITUTION BOND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160" w:type="dxa"/>
            <w:vAlign w:val="bottom"/>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Standard Form No. 14 Revised to October, 1987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DECLARATIONS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Bond Number </w:t>
            </w:r>
            <w:r>
              <w:rPr>
                <w:rFonts w:ascii="Times New Roman" w:cs="Times New Roman" w:eastAsia="Times New Roman" w:hAnsi="Times New Roman"/>
                <w:sz w:val="18"/>
                <w:szCs w:val="18"/>
                <w:i w:val="1"/>
                <w:iCs w:val="1"/>
                <w:color w:val="auto"/>
              </w:rPr>
              <w:t>01-823-69-16</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Name of Insured (herein called Insured):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920" w:type="dxa"/>
            <w:vAlign w:val="bottom"/>
            <w:gridSpan w:val="3"/>
          </w:tcPr>
          <w:p>
            <w:pPr>
              <w:ind w:left="660"/>
              <w:spacing w:after="0"/>
              <w:rPr>
                <w:sz w:val="20"/>
                <w:szCs w:val="20"/>
                <w:color w:val="auto"/>
              </w:rPr>
            </w:pPr>
            <w:r>
              <w:rPr>
                <w:rFonts w:ascii="Times New Roman" w:cs="Times New Roman" w:eastAsia="Times New Roman" w:hAnsi="Times New Roman"/>
                <w:sz w:val="18"/>
                <w:szCs w:val="18"/>
                <w:i w:val="1"/>
                <w:iCs w:val="1"/>
                <w:color w:val="auto"/>
              </w:rPr>
              <w:t>TPG SPECIALTY LENDING, INC.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20" w:type="dxa"/>
            <w:vAlign w:val="bottom"/>
          </w:tcPr>
          <w:p>
            <w:pPr>
              <w:spacing w:after="0"/>
              <w:rPr>
                <w:sz w:val="24"/>
                <w:szCs w:val="24"/>
                <w:color w:val="auto"/>
              </w:rPr>
            </w:pPr>
          </w:p>
        </w:tc>
        <w:tc>
          <w:tcPr>
            <w:tcW w:w="2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Principal Address:</w:t>
            </w:r>
          </w:p>
        </w:tc>
        <w:tc>
          <w:tcPr>
            <w:tcW w:w="4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301 COMMERCE STREET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SUITE 3300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FORT WORTH, TX 76102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Bond Period: from 12:01 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i w:val="1"/>
                <w:iCs w:val="1"/>
                <w:color w:val="auto"/>
              </w:rPr>
              <w:t>March 8, 2013</w:t>
            </w:r>
            <w:r>
              <w:rPr>
                <w:rFonts w:ascii="Times New Roman" w:cs="Times New Roman" w:eastAsia="Times New Roman" w:hAnsi="Times New Roman"/>
                <w:sz w:val="18"/>
                <w:szCs w:val="18"/>
                <w:color w:val="auto"/>
              </w:rPr>
              <w:t xml:space="preserve"> to 12:01 a.m. on </w:t>
            </w:r>
            <w:r>
              <w:rPr>
                <w:rFonts w:ascii="Times New Roman" w:cs="Times New Roman" w:eastAsia="Times New Roman" w:hAnsi="Times New Roman"/>
                <w:sz w:val="18"/>
                <w:szCs w:val="18"/>
                <w:i w:val="1"/>
                <w:iCs w:val="1"/>
                <w:color w:val="auto"/>
              </w:rPr>
              <w:t>March 8, 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The Aggregate Liability of the Underwriter during the Bond Period shall be: </w:t>
            </w:r>
            <w:r>
              <w:rPr>
                <w:rFonts w:ascii="Times New Roman" w:cs="Times New Roman" w:eastAsia="Times New Roman" w:hAnsi="Times New Roman"/>
                <w:sz w:val="18"/>
                <w:szCs w:val="18"/>
                <w:b w:val="1"/>
                <w:bCs w:val="1"/>
                <w:color w:val="auto"/>
              </w:rPr>
              <w:t>$10,000,000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7"/>
              </w:rPr>
              <w:t>Subject to Sections 4 and 11 hereof,</w:t>
            </w:r>
          </w:p>
        </w:tc>
        <w:tc>
          <w:tcPr>
            <w:tcW w:w="4160" w:type="dxa"/>
            <w:vAlign w:val="bottom"/>
            <w:vMerge w:val="restart"/>
          </w:tcPr>
          <w:p>
            <w:pPr>
              <w:jc w:val="right"/>
              <w:ind w:right="2812"/>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the Single Loss Limit of Liability is</w:t>
            </w:r>
          </w:p>
        </w:tc>
        <w:tc>
          <w:tcPr>
            <w:tcW w:w="4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the Single Loss Deductible is</w:t>
            </w:r>
          </w:p>
        </w:tc>
        <w:tc>
          <w:tcPr>
            <w:tcW w:w="4160" w:type="dxa"/>
            <w:vAlign w:val="bottom"/>
          </w:tcPr>
          <w:p>
            <w:pPr>
              <w:jc w:val="right"/>
              <w:ind w:right="2872"/>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20" w:type="dxa"/>
            <w:vAlign w:val="bottom"/>
          </w:tcPr>
          <w:p>
            <w:pPr>
              <w:spacing w:after="0"/>
              <w:rPr>
                <w:sz w:val="24"/>
                <w:szCs w:val="24"/>
                <w:color w:val="auto"/>
              </w:rPr>
            </w:pPr>
          </w:p>
        </w:tc>
        <w:tc>
          <w:tcPr>
            <w:tcW w:w="1058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w w:val="97"/>
              </w:rPr>
              <w:t>Provided, however, that if any amounts are inserted below opposite specified Insuring Agreements or Coverage, those amounts shall be controlling.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58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w w:val="97"/>
              </w:rPr>
              <w:t>Any amount set forth below shall be part of and not in addition to amounts set forth above. (If an Insuring Agreement or Coverage is to be deleted,</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insert “Not Covered.”)</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w w:val="97"/>
              </w:rPr>
              <w:t>Single Loss</w:t>
            </w:r>
          </w:p>
        </w:tc>
        <w:tc>
          <w:tcPr>
            <w:tcW w:w="580" w:type="dxa"/>
            <w:vAlign w:val="bottom"/>
          </w:tcPr>
          <w:p>
            <w:pPr>
              <w:spacing w:after="0"/>
              <w:rPr>
                <w:sz w:val="24"/>
                <w:szCs w:val="24"/>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Single Loss</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27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Amount applicable to:</w:t>
            </w:r>
          </w:p>
        </w:tc>
        <w:tc>
          <w:tcPr>
            <w:tcW w:w="4160" w:type="dxa"/>
            <w:vAlign w:val="bottom"/>
          </w:tcPr>
          <w:p>
            <w:pPr>
              <w:spacing w:after="0"/>
              <w:rPr>
                <w:sz w:val="14"/>
                <w:szCs w:val="14"/>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w w:val="93"/>
              </w:rPr>
              <w:t>Limit of Liability</w:t>
            </w:r>
          </w:p>
        </w:tc>
        <w:tc>
          <w:tcPr>
            <w:tcW w:w="580" w:type="dxa"/>
            <w:vAlign w:val="bottom"/>
          </w:tcPr>
          <w:p>
            <w:pPr>
              <w:spacing w:after="0"/>
              <w:rPr>
                <w:sz w:val="14"/>
                <w:szCs w:val="14"/>
                <w:color w:val="auto"/>
              </w:rPr>
            </w:pP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Deductible</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Insuring Agreement (D)-FORGERY OR ALTERATION</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(E)-SECURITIES</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Optional Insuring Agreements and Coverages: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Systems</w:t>
            </w:r>
          </w:p>
        </w:tc>
        <w:tc>
          <w:tcPr>
            <w:tcW w:w="4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Audit Expense</w:t>
            </w:r>
          </w:p>
        </w:tc>
        <w:tc>
          <w:tcPr>
            <w:tcW w:w="4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46726(12/87)</w:t>
      </w:r>
    </w:p>
    <w:p>
      <w:pPr>
        <w:sectPr>
          <w:pgSz w:w="11900" w:h="16838" w:orient="portrait"/>
          <w:cols w:equalWidth="0" w:num="1">
            <w:col w:w="11300"/>
          </w:cols>
          <w:pgMar w:left="240" w:top="1440" w:right="359" w:bottom="1440" w:gutter="0" w:footer="0" w:header="0"/>
        </w:sectPr>
      </w:pPr>
    </w:p>
    <w:bookmarkStart w:id="5" w:name="page6"/>
    <w:bookmarkEnd w:id="5"/>
    <w:p>
      <w:pPr>
        <w:ind w:righ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“Not Covered” is inserted above opposite any specified Insuring Agreement or Coverage, such Insuring Agreement or Coverage and any other reference thereto in this bond shall be deemed to be deleted.</w:t>
      </w:r>
    </w:p>
    <w:p>
      <w:pPr>
        <w:spacing w:after="0" w:line="158" w:lineRule="exact"/>
        <w:rPr>
          <w:sz w:val="20"/>
          <w:szCs w:val="20"/>
          <w:color w:val="auto"/>
        </w:rPr>
      </w:pPr>
    </w:p>
    <w:p>
      <w:pPr>
        <w:ind w:left="92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color w:val="auto"/>
        </w:rPr>
        <w:t xml:space="preserve">The liability of the Underwriter is subject to the terms of the following riders attached hereto: </w:t>
      </w:r>
      <w:r>
        <w:rPr>
          <w:rFonts w:ascii="Times New Roman" w:cs="Times New Roman" w:eastAsia="Times New Roman" w:hAnsi="Times New Roman"/>
          <w:sz w:val="18"/>
          <w:szCs w:val="18"/>
          <w:i w:val="1"/>
          <w:iCs w:val="1"/>
          <w:color w:val="auto"/>
        </w:rPr>
        <w:t>Rider # 1, #2, #3, #4, #5, #6, #7, #8, #9, #10, #11,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#13, #14, #15, #16, #17, #18, #19, #20, #21, #22</w:t>
      </w:r>
    </w:p>
    <w:p>
      <w:pPr>
        <w:spacing w:after="0" w:line="157" w:lineRule="exact"/>
        <w:rPr>
          <w:sz w:val="20"/>
          <w:szCs w:val="20"/>
          <w:color w:val="auto"/>
        </w:rPr>
      </w:pPr>
    </w:p>
    <w:p>
      <w:pPr>
        <w:ind w:left="920" w:right="10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 xml:space="preserve">The Insured by the acceptance of this bond gives to the Underwriter terminating or canceling prior bond(s) or policy(ies) No.(s) </w:t>
      </w:r>
      <w:r>
        <w:rPr>
          <w:rFonts w:ascii="Times New Roman" w:cs="Times New Roman" w:eastAsia="Times New Roman" w:hAnsi="Times New Roman"/>
          <w:sz w:val="18"/>
          <w:szCs w:val="18"/>
          <w:i w:val="1"/>
          <w:iCs w:val="1"/>
          <w:color w:val="auto"/>
        </w:rPr>
        <w:t>01-615-75-34</w:t>
      </w:r>
      <w:r>
        <w:rPr>
          <w:rFonts w:ascii="Times New Roman" w:cs="Times New Roman" w:eastAsia="Times New Roman" w:hAnsi="Times New Roman"/>
          <w:sz w:val="18"/>
          <w:szCs w:val="18"/>
          <w:color w:val="auto"/>
        </w:rPr>
        <w:t xml:space="preserve"> such termination or cancellation to be effective as of the time this bond becomes effective.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PREMIUM: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$ 15,043</w:t>
            </w:r>
          </w:p>
        </w:tc>
      </w:tr>
    </w:tbl>
    <w:p>
      <w:pPr>
        <w:spacing w:after="0" w:line="15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WITNESS WHEREOF, the Insurer has caused this Policy to be signed by its President, Secretary and Authorized Representative. This Policy shall not be valid unless signed below at the time of issuance by an authorized 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480060</wp:posOffset>
            </wp:positionV>
            <wp:extent cx="209232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54864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111125</wp:posOffset>
            </wp:positionV>
            <wp:extent cx="2178050" cy="917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4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SECRETARY</w:t>
      </w:r>
      <w:r>
        <w:rPr>
          <w:sz w:val="20"/>
          <w:szCs w:val="20"/>
          <w:color w:val="auto"/>
        </w:rPr>
        <w:tab/>
      </w:r>
      <w:r>
        <w:rPr>
          <w:rFonts w:ascii="Times New Roman" w:cs="Times New Roman" w:eastAsia="Times New Roman" w:hAnsi="Times New Roman"/>
          <w:sz w:val="18"/>
          <w:szCs w:val="18"/>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144780</wp:posOffset>
            </wp:positionV>
            <wp:extent cx="249555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-130175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46726(12/87)</w:t>
      </w:r>
    </w:p>
    <w:p>
      <w:pPr>
        <w:sectPr>
          <w:pgSz w:w="11900" w:h="16838" w:orient="portrait"/>
          <w:cols w:equalWidth="0" w:num="1">
            <w:col w:w="11360"/>
          </w:cols>
          <w:pgMar w:left="240" w:top="274" w:right="299" w:bottom="1440" w:gutter="0" w:footer="0" w:header="0"/>
        </w:sectPr>
      </w:pPr>
    </w:p>
    <w:bookmarkStart w:id="6" w:name="page7"/>
    <w:bookmarkEnd w:id="6"/>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AGREEMENTS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FIDELITY</w:t>
      </w:r>
    </w:p>
    <w:p>
      <w:pPr>
        <w:spacing w:after="0" w:line="212" w:lineRule="exact"/>
        <w:rPr>
          <w:sz w:val="20"/>
          <w:szCs w:val="20"/>
          <w:color w:val="auto"/>
        </w:rPr>
      </w:pPr>
    </w:p>
    <w:p>
      <w:pPr>
        <w:ind w:left="460" w:right="2200" w:hanging="452"/>
        <w:spacing w:after="0" w:line="344" w:lineRule="auto"/>
        <w:tabs>
          <w:tab w:leader="none" w:pos="4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dishonest or fraudulent acts committed by an Employee acting alone or in collusion with others. Such dishonest or fraudulent acts must be committed by the Employee with the manifest intent:</w:t>
      </w: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the Insured to sustain such loss;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financial benefit for the Employee and which, in fact, result in obtaining such benefit.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Insuring Agreement, financial benefit does not include any employee benefits earned in the normal course of employment, including:</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salaries, commissions, fees, bonuses, promotions, awards, profit sharing or pensions.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PREMISES</w:t>
      </w:r>
    </w:p>
    <w:p>
      <w:pPr>
        <w:spacing w:after="0" w:line="21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Loss of Property resulting directly from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and damage thereto or destruction thereof,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false pretenses, common-law or statutory larceny, committed by a person present in an office or on the premises of the Insured.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w:t>
      </w:r>
    </w:p>
    <w:p>
      <w:pPr>
        <w:spacing w:after="0" w:line="90" w:lineRule="exact"/>
        <w:rPr>
          <w:rFonts w:ascii="Times New Roman" w:cs="Times New Roman" w:eastAsia="Times New Roman" w:hAnsi="Times New Roman"/>
          <w:sz w:val="18"/>
          <w:szCs w:val="18"/>
          <w:color w:val="auto"/>
        </w:rPr>
      </w:pPr>
    </w:p>
    <w:p>
      <w:pPr>
        <w:ind w:left="1480" w:hanging="567"/>
        <w:spacing w:after="0" w:line="275" w:lineRule="auto"/>
        <w:tabs>
          <w:tab w:leader="none" w:pos="14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38" w:lineRule="exact"/>
        <w:rPr>
          <w:rFonts w:ascii="Times New Roman" w:cs="Times New Roman" w:eastAsia="Times New Roman" w:hAnsi="Times New Roman"/>
          <w:sz w:val="18"/>
          <w:szCs w:val="18"/>
          <w:color w:val="auto"/>
        </w:rPr>
      </w:pPr>
    </w:p>
    <w:p>
      <w:pPr>
        <w:ind w:left="1480" w:right="200" w:hanging="567"/>
        <w:spacing w:after="0" w:line="275" w:lineRule="auto"/>
        <w:tabs>
          <w:tab w:leader="none" w:pos="14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office resulting from larceny or theft in, or by burglary or robbery of such office or attempt thereat, or to the interior of such office by vandalism or malicious mischief,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w:t>
      </w:r>
    </w:p>
    <w:p>
      <w:pPr>
        <w:spacing w:after="0" w:line="90"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is the owner of such furnishings, fixtures, supplies, equipment, or office or is liable for such loss of damage,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is not caused by fire.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TRANSIT</w:t>
      </w:r>
    </w:p>
    <w:p>
      <w:pPr>
        <w:spacing w:after="0" w:line="212" w:lineRule="exact"/>
        <w:rPr>
          <w:sz w:val="20"/>
          <w:szCs w:val="20"/>
          <w:color w:val="auto"/>
        </w:rPr>
      </w:pPr>
    </w:p>
    <w:p>
      <w:pPr>
        <w:ind w:left="46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38"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acting as a messenger of the Insured (or another natural person acting as messenger or custodian during an emergency arising from the incapacity of the original messenger),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Transportation Company and being transported in an armored motor vehicle, or</w:t>
      </w:r>
    </w:p>
    <w:p>
      <w:pPr>
        <w:spacing w:after="0" w:line="90"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Transportation Company and being transported in a conveyance other than an armored motor vehicle provided that covered Property transported in such manner is limited to the following:</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whether recorded in writing or electronically,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issued in registered form and not endorsed, or with restrictive endorsements,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Negotiable instruments not payable to bearer, or not endorsed, or with restrictive endorsements.</w:t>
      </w:r>
    </w:p>
    <w:p>
      <w:pPr>
        <w:spacing w:after="0" w:line="90"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Coverage under this Insuring Agreement begins immediately upon the receipt of such Property by the natural person or Transportation Company and ends immediately upon delivery to the designated recipient or its agent.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FORGERY OR ALTERATION</w:t>
      </w:r>
    </w:p>
    <w:p>
      <w:pPr>
        <w:spacing w:after="0" w:line="212"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w:t>
      </w:r>
    </w:p>
    <w:p>
      <w:pPr>
        <w:spacing w:after="0" w:line="90"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 of, on or in any Negotiable Instrument (except an Evidence of Debt), Acceptance, Withdrawal Order, receipt for the withdrawal of Property, Certificate of Deposit or Letter of Credit.</w:t>
      </w:r>
    </w:p>
    <w:p>
      <w:pPr>
        <w:spacing w:after="0" w:line="38"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paying or delivering any funds or Property or establishing any credit or giving any value on the faith of any written instructions or advices directed to the Insured and authorizing or acknowledging the transfer,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8" w:name="page9"/>
    <w:bookmarkEnd w:id="8"/>
    <w:p>
      <w:pPr>
        <w:ind w:left="920"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mechanically reproduced facsimile signature is treated the same as a handwritten signature.</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w:t>
      </w:r>
    </w:p>
    <w:p>
      <w:pPr>
        <w:spacing w:after="0" w:line="21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sold or delivered, or given value, extended credit or assumed liability, on the faith of, any original</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Security,</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upon, real property,</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Debt,</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to a Federal Reserve Bank of the United States,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Uncertificated Security of any Federal Reserve Bank of the United States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which</w:t>
      </w:r>
    </w:p>
    <w:p>
      <w:pPr>
        <w:spacing w:after="0" w:line="90" w:lineRule="exact"/>
        <w:rPr>
          <w:sz w:val="20"/>
          <w:szCs w:val="20"/>
          <w:color w:val="auto"/>
        </w:rPr>
      </w:pPr>
    </w:p>
    <w:p>
      <w:pPr>
        <w:ind w:left="1920" w:hanging="440"/>
        <w:spacing w:after="0" w:line="275" w:lineRule="auto"/>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bears a signature of any maker, drawer, issuer, endorser, assignor, lessee, transfer agent, registrar, acceptor surety, guarantor, or of any person signing in any other capacity which is a Forgery, or</w:t>
      </w:r>
    </w:p>
    <w:p>
      <w:pPr>
        <w:spacing w:after="0" w:line="38"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or</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in writing or witnessed any signature upon any transfer, assignment, bill of sale, power of attorney. Guarantee, or any items listed in</w:t>
      </w:r>
    </w:p>
    <w:p>
      <w:pPr>
        <w:spacing w:after="0" w:line="2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above;</w:t>
      </w:r>
    </w:p>
    <w:p>
      <w:pPr>
        <w:spacing w:after="0" w:line="77" w:lineRule="exact"/>
        <w:rPr>
          <w:rFonts w:ascii="Times New Roman" w:cs="Times New Roman" w:eastAsia="Times New Roman" w:hAnsi="Times New Roman"/>
          <w:sz w:val="18"/>
          <w:szCs w:val="18"/>
          <w:color w:val="auto"/>
        </w:rPr>
      </w:pPr>
    </w:p>
    <w:p>
      <w:pPr>
        <w:ind w:left="900" w:right="540" w:hanging="446"/>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sold or delivered, or given value, extended credit or assumed liability, on the faith of any item listed in (a) and (b) above which is a Counterfeit.</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mechanically reproduced facsimile signature is treated the same as a handwritten signature.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320"/>
          </w:cols>
          <w:pgMar w:left="240" w:top="274"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COUNTERFEIT CURRENCY</w:t>
      </w:r>
    </w:p>
    <w:p>
      <w:pPr>
        <w:spacing w:after="0" w:line="212" w:lineRule="exact"/>
        <w:rPr>
          <w:sz w:val="20"/>
          <w:szCs w:val="20"/>
          <w:color w:val="auto"/>
        </w:rPr>
      </w:pPr>
    </w:p>
    <w:p>
      <w:pPr>
        <w:ind w:left="460" w:right="30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 receipt by the Insured, in good faith, of any Counterfeit Money of the United States of America, Canada or of any other country in which the Insured maintains a branch office.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GENERAL AGREEMENTS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NOMINEES</w:t>
      </w:r>
    </w:p>
    <w:p>
      <w:pPr>
        <w:spacing w:after="0" w:line="212" w:lineRule="exact"/>
        <w:rPr>
          <w:sz w:val="20"/>
          <w:szCs w:val="20"/>
          <w:color w:val="auto"/>
        </w:rPr>
      </w:pPr>
    </w:p>
    <w:p>
      <w:pPr>
        <w:ind w:left="460" w:hanging="452"/>
        <w:spacing w:after="0" w:line="26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ADDITIONAL OFFICES OR EMPLOYEES-CONSOLIDATION,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MERGER OR PURCHASE OF ASSETS-NOTICE</w:t>
      </w:r>
    </w:p>
    <w:p>
      <w:pPr>
        <w:spacing w:after="0" w:line="199" w:lineRule="exact"/>
        <w:rPr>
          <w:sz w:val="20"/>
          <w:szCs w:val="20"/>
          <w:color w:val="auto"/>
        </w:rPr>
      </w:pPr>
    </w:p>
    <w:p>
      <w:pPr>
        <w:ind w:left="460" w:right="260" w:hanging="452"/>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51" w:lineRule="exact"/>
        <w:rPr>
          <w:rFonts w:ascii="Times New Roman" w:cs="Times New Roman" w:eastAsia="Times New Roman" w:hAnsi="Times New Roman"/>
          <w:sz w:val="18"/>
          <w:szCs w:val="18"/>
          <w:color w:val="auto"/>
        </w:rPr>
      </w:pPr>
    </w:p>
    <w:p>
      <w:pPr>
        <w:ind w:left="4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offices or premises,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 employee or employees of such institution, or</w:t>
      </w:r>
    </w:p>
    <w:p>
      <w:pPr>
        <w:spacing w:after="0" w:line="90"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38" w:lineRule="exact"/>
        <w:rPr>
          <w:rFonts w:ascii="Times New Roman" w:cs="Times New Roman" w:eastAsia="Times New Roman" w:hAnsi="Times New Roman"/>
          <w:sz w:val="18"/>
          <w:szCs w:val="18"/>
          <w:color w:val="auto"/>
        </w:rPr>
      </w:pPr>
    </w:p>
    <w:p>
      <w:pPr>
        <w:ind w:left="1480" w:right="520" w:hanging="567"/>
        <w:spacing w:after="0" w:line="275" w:lineRule="auto"/>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Underwriter written notice of the proposed consolidation, merger or purchase or acquisition of assets or liabilities prior to the proposed effective date of such action and</w:t>
      </w:r>
    </w:p>
    <w:p>
      <w:pPr>
        <w:spacing w:after="0" w:line="38" w:lineRule="exact"/>
        <w:rPr>
          <w:rFonts w:ascii="Times New Roman" w:cs="Times New Roman" w:eastAsia="Times New Roman" w:hAnsi="Times New Roman"/>
          <w:sz w:val="18"/>
          <w:szCs w:val="18"/>
          <w:color w:val="auto"/>
        </w:rPr>
      </w:pPr>
    </w:p>
    <w:p>
      <w:pPr>
        <w:ind w:left="1480" w:hanging="567"/>
        <w:spacing w:after="0" w:line="275" w:lineRule="auto"/>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written consent of the Underwriter to extend the coverage provided by this bond to such additional offices or premises, Employees and other exposures, and</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such consent, pay to the Underwriter an additional premium.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CONTROL-NOTICE</w:t>
      </w:r>
    </w:p>
    <w:p>
      <w:pPr>
        <w:spacing w:after="0" w:line="212"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Insured learns of a change in control, it shall give written notice to the Underwriter.</w:t>
      </w:r>
    </w:p>
    <w:p>
      <w:pPr>
        <w:spacing w:after="0" w:line="90" w:lineRule="exact"/>
        <w:rPr>
          <w:rFonts w:ascii="Times New Roman" w:cs="Times New Roman" w:eastAsia="Times New Roman" w:hAnsi="Times New Roman"/>
          <w:sz w:val="18"/>
          <w:szCs w:val="18"/>
          <w:color w:val="auto"/>
        </w:rPr>
      </w:pPr>
    </w:p>
    <w:p>
      <w:pPr>
        <w:ind w:left="460" w:right="16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w:t>
      </w:r>
    </w:p>
    <w:p>
      <w:pPr>
        <w:spacing w:after="0" w:line="16" w:lineRule="exact"/>
        <w:rPr>
          <w:rFonts w:ascii="Times New Roman" w:cs="Times New Roman" w:eastAsia="Times New Roman" w:hAnsi="Times New Roman"/>
          <w:sz w:val="18"/>
          <w:szCs w:val="18"/>
          <w:color w:val="auto"/>
        </w:rPr>
      </w:pPr>
    </w:p>
    <w:p>
      <w:pPr>
        <w:ind w:left="460" w:right="4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give the required notice shall result in termination of coverage for any loss involving a transferee, to be effective upon the date of the stock transfer.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 OF INSURED</w:t>
      </w:r>
    </w:p>
    <w:p>
      <w:pPr>
        <w:spacing w:after="0" w:line="212" w:lineRule="exact"/>
        <w:rPr>
          <w:sz w:val="20"/>
          <w:szCs w:val="20"/>
          <w:color w:val="auto"/>
        </w:rPr>
      </w:pPr>
    </w:p>
    <w:p>
      <w:pPr>
        <w:ind w:left="460" w:right="12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represents that the information furnished in the application for this bond is complete, true and correct. Such application constitutes part of this bond.</w:t>
      </w:r>
    </w:p>
    <w:p>
      <w:pPr>
        <w:spacing w:after="0" w:line="38" w:lineRule="exact"/>
        <w:rPr>
          <w:rFonts w:ascii="Times New Roman" w:cs="Times New Roman" w:eastAsia="Times New Roman" w:hAnsi="Times New Roman"/>
          <w:sz w:val="18"/>
          <w:szCs w:val="18"/>
          <w:color w:val="auto"/>
        </w:rPr>
      </w:pPr>
    </w:p>
    <w:p>
      <w:pPr>
        <w:ind w:lef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omission, concealment or incorrect statement of a material fact, in the application or otherwise, shall be grounds for the rescission of this bond.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INSURED</w:t>
      </w:r>
    </w:p>
    <w:p>
      <w:pPr>
        <w:spacing w:after="0" w:line="212" w:lineRule="exact"/>
        <w:rPr>
          <w:sz w:val="20"/>
          <w:szCs w:val="20"/>
          <w:color w:val="auto"/>
        </w:rPr>
      </w:pPr>
    </w:p>
    <w:p>
      <w:pPr>
        <w:ind w:left="460" w:right="160" w:hanging="452"/>
        <w:spacing w:after="0" w:line="296" w:lineRule="auto"/>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LEGAL PROCEEDINGS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AGAINST INSURED-ELECTION TO DEFEND</w:t>
      </w:r>
    </w:p>
    <w:p>
      <w:pPr>
        <w:spacing w:after="0" w:line="199" w:lineRule="exact"/>
        <w:rPr>
          <w:sz w:val="20"/>
          <w:szCs w:val="20"/>
          <w:color w:val="auto"/>
        </w:rPr>
      </w:pPr>
    </w:p>
    <w:p>
      <w:pPr>
        <w:jc w:val="both"/>
        <w:ind w:left="460" w:right="160" w:hanging="452"/>
        <w:spacing w:after="0" w:line="26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51" w:lineRule="exact"/>
        <w:rPr>
          <w:rFonts w:ascii="Times New Roman" w:cs="Times New Roman" w:eastAsia="Times New Roman" w:hAnsi="Times New Roman"/>
          <w:sz w:val="18"/>
          <w:szCs w:val="18"/>
          <w:color w:val="auto"/>
        </w:rPr>
      </w:pPr>
    </w:p>
    <w:p>
      <w:pPr>
        <w:ind w:left="4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11" w:name="page12"/>
    <w:bookmarkEnd w:id="11"/>
    <w:p>
      <w:pPr>
        <w:ind w:left="460"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51"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If the Insured does not give the notices required in subsection (a) of Section 5 of this bond and in the first paragraph of this General Agreement, or if the Underwriter elects not to defend any clauses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55"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CONDITIONS AND LIMITATIONS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As used in this bond:</w:t>
      </w:r>
    </w:p>
    <w:p>
      <w:pPr>
        <w:spacing w:after="0" w:line="90"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means a draft which the drawee has, by signature written thereon, engaged to honor as presented.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Deposit means an acknowledgment in writing by a financial institution of receipt of Money with an engagement to repay it.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Security means a share, participation or other interest in property of or an enterprise of the issuer or an obligation of the issuer, which is: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90"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00"/>
          </w:cols>
          <w:pgMar w:left="240" w:top="274" w:right="259" w:bottom="1440" w:gutter="0" w:footer="0" w:header="0"/>
        </w:sectPr>
      </w:pPr>
    </w:p>
    <w:bookmarkStart w:id="12" w:name="page13"/>
    <w:bookmarkEnd w:id="12"/>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Counterfeit means an imitation of an actual valid original which is intended to deceive and to be taken as the original.</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attorney retained by the Insured and an employee of such attorney while either is performing legal services for the Insured;</w:t>
      </w:r>
    </w:p>
    <w:p>
      <w:pPr>
        <w:spacing w:after="0" w:line="90"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to this bond;</w:t>
      </w:r>
    </w:p>
    <w:p>
      <w:pPr>
        <w:spacing w:after="0" w:line="90" w:lineRule="exact"/>
        <w:rPr>
          <w:rFonts w:ascii="Times New Roman" w:cs="Times New Roman" w:eastAsia="Times New Roman" w:hAnsi="Times New Roman"/>
          <w:sz w:val="18"/>
          <w:szCs w:val="18"/>
          <w:color w:val="auto"/>
        </w:rPr>
      </w:pPr>
    </w:p>
    <w:p>
      <w:pPr>
        <w:ind w:left="900" w:right="60" w:hanging="446"/>
        <w:spacing w:after="0" w:line="301" w:lineRule="auto"/>
        <w:tabs>
          <w:tab w:leader="none" w:pos="9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22"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of the Insured, unless not covered as stated in Item 4 of the Declarations.</w:t>
      </w:r>
    </w:p>
    <w:p>
      <w:pPr>
        <w:spacing w:after="0" w:line="90" w:lineRule="exact"/>
        <w:rPr>
          <w:rFonts w:ascii="Times New Roman" w:cs="Times New Roman" w:eastAsia="Times New Roman" w:hAnsi="Times New Roman"/>
          <w:sz w:val="18"/>
          <w:szCs w:val="18"/>
          <w:color w:val="auto"/>
        </w:rPr>
      </w:pPr>
    </w:p>
    <w:p>
      <w:pPr>
        <w:ind w:left="460" w:right="360" w:hanging="452"/>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38"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Interest in the Insured of the Insured’s general partner(s), or limited partner(s), committing dishonest or fraudulent acts covered by this bond or concerned or implicated therein means:</w:t>
      </w:r>
    </w:p>
    <w:p>
      <w:pPr>
        <w:spacing w:after="0" w:line="38" w:lineRule="exact"/>
        <w:rPr>
          <w:rFonts w:ascii="Times New Roman" w:cs="Times New Roman" w:eastAsia="Times New Roman" w:hAnsi="Times New Roman"/>
          <w:sz w:val="18"/>
          <w:szCs w:val="18"/>
          <w:color w:val="auto"/>
        </w:rPr>
      </w:pPr>
    </w:p>
    <w:p>
      <w:pPr>
        <w:ind w:left="900" w:right="320" w:hanging="446"/>
        <w:spacing w:after="0" w:line="275"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respects general partners the value of all right, title and interest of such general partner(s), determined as of the close of business of the date of discovery of loss covered by this bond, in the aggregate of:</w:t>
      </w:r>
    </w:p>
    <w:p>
      <w:pPr>
        <w:spacing w:after="0" w:line="38" w:lineRule="exact"/>
        <w:rPr>
          <w:rFonts w:ascii="Times New Roman" w:cs="Times New Roman" w:eastAsia="Times New Roman" w:hAnsi="Times New Roman"/>
          <w:sz w:val="18"/>
          <w:szCs w:val="18"/>
          <w:color w:val="auto"/>
        </w:rPr>
      </w:pPr>
    </w:p>
    <w:p>
      <w:pPr>
        <w:ind w:left="1480" w:hanging="567"/>
        <w:spacing w:after="0" w:line="275" w:lineRule="auto"/>
        <w:tabs>
          <w:tab w:leader="none" w:pos="14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00"/>
          </w:cols>
          <w:pgMar w:left="240" w:top="274" w:right="259" w:bottom="1440" w:gutter="0" w:footer="0" w:header="0"/>
        </w:sectPr>
      </w:pPr>
    </w:p>
    <w:bookmarkStart w:id="13" w:name="page14"/>
    <w:bookmarkEnd w:id="13"/>
    <w:p>
      <w:pPr>
        <w:ind w:left="148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of the Insured, which shall include capital accounts of partners, investment and trading accounts of the Insured, participants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58" w:lineRule="exact"/>
        <w:rPr>
          <w:sz w:val="20"/>
          <w:szCs w:val="20"/>
          <w:color w:val="auto"/>
        </w:rPr>
      </w:pPr>
    </w:p>
    <w:p>
      <w:pPr>
        <w:ind w:left="1480" w:right="660" w:hanging="567"/>
        <w:spacing w:after="0" w:line="334" w:lineRule="auto"/>
        <w:tabs>
          <w:tab w:leader="none" w:pos="14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1"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 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58" w:lineRule="exact"/>
        <w:rPr>
          <w:sz w:val="20"/>
          <w:szCs w:val="20"/>
          <w:color w:val="auto"/>
        </w:rPr>
      </w:pPr>
    </w:p>
    <w:p>
      <w:pPr>
        <w:ind w:left="900" w:hanging="446"/>
        <w:spacing w:after="0"/>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respects limited partners the value of such limited partner’s(’) investment in the Insured.</w:t>
      </w:r>
    </w:p>
    <w:p>
      <w:pPr>
        <w:spacing w:after="0" w:line="90" w:lineRule="exact"/>
        <w:rPr>
          <w:rFonts w:ascii="Times New Roman" w:cs="Times New Roman" w:eastAsia="Times New Roman" w:hAnsi="Times New Roman"/>
          <w:sz w:val="18"/>
          <w:szCs w:val="18"/>
          <w:color w:val="auto"/>
        </w:rPr>
      </w:pPr>
    </w:p>
    <w:p>
      <w:pPr>
        <w:ind w:left="460" w:right="14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38"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38" w:lineRule="exact"/>
        <w:rPr>
          <w:rFonts w:ascii="Times New Roman" w:cs="Times New Roman" w:eastAsia="Times New Roman" w:hAnsi="Times New Roman"/>
          <w:sz w:val="18"/>
          <w:szCs w:val="18"/>
          <w:color w:val="auto"/>
        </w:rPr>
      </w:pPr>
    </w:p>
    <w:p>
      <w:pPr>
        <w:ind w:left="460" w:right="104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means a written order to the issuer of an Uncertificated Security requesting that the transfer, pledge, or release from pledge, of the Uncertificated Security specified be registered.</w:t>
      </w:r>
    </w:p>
    <w:p>
      <w:pPr>
        <w:spacing w:after="0" w:line="38" w:lineRule="exact"/>
        <w:rPr>
          <w:rFonts w:ascii="Times New Roman" w:cs="Times New Roman" w:eastAsia="Times New Roman" w:hAnsi="Times New Roman"/>
          <w:sz w:val="18"/>
          <w:szCs w:val="18"/>
          <w:color w:val="auto"/>
        </w:rPr>
      </w:pPr>
    </w:p>
    <w:p>
      <w:pPr>
        <w:ind w:left="460" w:right="4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means a medium of exchange in current use authorized or adopted by a domestic or foreign government as a part of its currency.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14" w:name="page15"/>
    <w:bookmarkEnd w:id="14"/>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Negotiable Instrument means any writing</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 and</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any unconditional promise or order to pay a sum certain in Money and no other promise, order, obligation or power given by the maker or drawer;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means a natural person who</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general partner of the Insured,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limited partner and an Employee (as defined in Section 1(e)(1) of the bond) of the Insured.</w:t>
      </w:r>
    </w:p>
    <w:p>
      <w:pPr>
        <w:spacing w:after="0" w:line="90"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Uncertificated Security means a written statement of the issuer of an Uncertificated Security containing:</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Issue of which the Uncertificated Security is a part;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380"/>
          </w:cols>
          <w:pgMar w:left="240" w:top="274" w:right="279" w:bottom="1440" w:gutter="0" w:footer="0" w:header="0"/>
        </w:sectPr>
      </w:pPr>
    </w:p>
    <w:bookmarkStart w:id="15" w:name="page16"/>
    <w:bookmarkEnd w:id="15"/>
    <w:p>
      <w:pPr>
        <w:ind w:left="900" w:right="8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notation of any liens and restrictions of the issuer and any adverse claims to which the Uncertificated Security is or may be subject or a statement that there are none of those liens, restrictions or adverse claims; and</w:t>
      </w:r>
    </w:p>
    <w:p>
      <w:pPr>
        <w:spacing w:after="0" w:line="39" w:lineRule="exact"/>
        <w:rPr>
          <w:sz w:val="20"/>
          <w:szCs w:val="20"/>
          <w:color w:val="auto"/>
        </w:rPr>
      </w:pPr>
    </w:p>
    <w:p>
      <w:pPr>
        <w:ind w:left="900" w:hanging="446"/>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hares or units was registered;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90"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Company means any organization which provides its own or leased vehicles for transportation or which provides freight forwarding or air express services.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Uncertificated Security means a share, participation or other interest in property of or an enterprise of the issuer or an obligation of the issuer, which is:</w:t>
      </w:r>
    </w:p>
    <w:p>
      <w:pPr>
        <w:spacing w:after="0" w:line="113"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upon books maintained for that purpose by or on behalf of the issuer;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participators, interests or obligations.</w:t>
      </w:r>
    </w:p>
    <w:p>
      <w:pPr>
        <w:spacing w:after="0" w:line="90"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Order means a non-negotiable instrument, other than an instruction, signed by a customer of the Insured authorizing the Insured to debit the customer’s account in the amount of funds stated therein.</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EXCLUSIONS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This bond does not cover:</w:t>
      </w:r>
    </w:p>
    <w:p>
      <w:pPr>
        <w:spacing w:after="0" w:line="90"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forgery or alteration, except when covered under Insuring Agreements (A), (D) or (E);</w:t>
      </w:r>
    </w:p>
    <w:p>
      <w:pPr>
        <w:spacing w:after="0" w:line="90"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55"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effects of nuclear fission or fusion or radioactivity; provided, however, that this paragraph shall not apply to loss resulting from industrial uses of nuclear energy;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300"/>
          </w:cols>
          <w:pgMar w:left="240" w:top="274" w:right="359" w:bottom="1440" w:gutter="0" w:footer="0" w:header="0"/>
        </w:sectPr>
      </w:pPr>
    </w:p>
    <w:bookmarkStart w:id="16" w:name="page17"/>
    <w:bookmarkEnd w:id="16"/>
    <w:p>
      <w:pPr>
        <w:ind w:left="460" w:hanging="452"/>
        <w:spacing w:after="0" w:line="26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51" w:lineRule="exact"/>
        <w:rPr>
          <w:rFonts w:ascii="Times New Roman" w:cs="Times New Roman" w:eastAsia="Times New Roman" w:hAnsi="Times New Roman"/>
          <w:sz w:val="18"/>
          <w:szCs w:val="18"/>
          <w:color w:val="auto"/>
        </w:rPr>
      </w:pPr>
    </w:p>
    <w:p>
      <w:pPr>
        <w:ind w:left="460" w:right="40" w:hanging="452"/>
        <w:spacing w:after="0" w:line="258"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any violation by the Insured or by any Employee</w:t>
      </w:r>
    </w:p>
    <w:p>
      <w:pPr>
        <w:spacing w:after="0" w:line="90"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38" w:lineRule="exact"/>
        <w:rPr>
          <w:rFonts w:ascii="Times New Roman" w:cs="Times New Roman" w:eastAsia="Times New Roman" w:hAnsi="Times New Roman"/>
          <w:sz w:val="18"/>
          <w:szCs w:val="18"/>
          <w:color w:val="auto"/>
        </w:rPr>
      </w:pPr>
    </w:p>
    <w:p>
      <w:pPr>
        <w:ind w:left="900" w:right="40" w:hanging="446"/>
        <w:spacing w:after="0" w:line="334" w:lineRule="auto"/>
        <w:tabs>
          <w:tab w:leader="none" w:pos="9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 w:lineRule="exact"/>
        <w:rPr>
          <w:rFonts w:ascii="Times New Roman" w:cs="Times New Roman" w:eastAsia="Times New Roman" w:hAnsi="Times New Roman"/>
          <w:sz w:val="16"/>
          <w:szCs w:val="16"/>
          <w:color w:val="auto"/>
        </w:rPr>
      </w:pPr>
    </w:p>
    <w:p>
      <w:pPr>
        <w:ind w:left="460" w:right="20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 (1) (a);</w:t>
      </w:r>
    </w:p>
    <w:p>
      <w:pPr>
        <w:spacing w:after="0" w:line="38" w:lineRule="exact"/>
        <w:rPr>
          <w:rFonts w:ascii="Times New Roman" w:cs="Times New Roman" w:eastAsia="Times New Roman" w:hAnsi="Times New Roman"/>
          <w:sz w:val="18"/>
          <w:szCs w:val="18"/>
          <w:color w:val="auto"/>
        </w:rPr>
      </w:pPr>
    </w:p>
    <w:p>
      <w:pPr>
        <w:ind w:left="460" w:right="42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51" w:lineRule="exact"/>
        <w:rPr>
          <w:rFonts w:ascii="Times New Roman" w:cs="Times New Roman" w:eastAsia="Times New Roman" w:hAnsi="Times New Roman"/>
          <w:sz w:val="18"/>
          <w:szCs w:val="18"/>
          <w:color w:val="auto"/>
        </w:rPr>
      </w:pPr>
    </w:p>
    <w:p>
      <w:pPr>
        <w:ind w:left="460" w:right="100" w:hanging="452"/>
        <w:spacing w:after="0" w:line="258"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17" w:name="page18"/>
    <w:bookmarkEnd w:id="17"/>
    <w:p>
      <w:pPr>
        <w:ind w:left="460" w:right="300" w:hanging="452"/>
        <w:spacing w:after="0" w:line="27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use or purported use of credit, debit, charge, access, convenience, identification, cash management or other cards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 or</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automated mechanical devices which, on behalf of the Insured, disburse Money, accept deposits, cash checks, drafts or similar written instruments or make credit card loans, or</w:t>
      </w:r>
    </w:p>
    <w:p>
      <w:pPr>
        <w:spacing w:after="0" w:line="38"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point of sale terminals, customer-bank communication terminals, or similar electronic terminals of electronic funds transfer systems,</w:t>
      </w:r>
    </w:p>
    <w:p>
      <w:pPr>
        <w:spacing w:after="0" w:line="39" w:lineRule="exact"/>
        <w:rPr>
          <w:sz w:val="20"/>
          <w:szCs w:val="20"/>
          <w:color w:val="auto"/>
        </w:rPr>
      </w:pPr>
    </w:p>
    <w:p>
      <w:pPr>
        <w:ind w:left="460" w:right="220"/>
        <w:spacing w:after="0" w:line="275"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39" w:lineRule="exact"/>
        <w:rPr>
          <w:sz w:val="20"/>
          <w:szCs w:val="20"/>
          <w:color w:val="auto"/>
        </w:rPr>
      </w:pPr>
    </w:p>
    <w:p>
      <w:pPr>
        <w:ind w:left="460" w:right="480" w:hanging="452"/>
        <w:spacing w:after="0" w:line="27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through the surrender of Property away from an office of the Insured as a result of a threat</w:t>
      </w:r>
    </w:p>
    <w:p>
      <w:pPr>
        <w:spacing w:after="0" w:line="90"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of property of the Insured, except when covered under Insuring Agreement (A);</w:t>
      </w:r>
    </w:p>
    <w:p>
      <w:pPr>
        <w:spacing w:after="0" w:line="90"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51" w:lineRule="exact"/>
        <w:rPr>
          <w:rFonts w:ascii="Times New Roman" w:cs="Times New Roman" w:eastAsia="Times New Roman" w:hAnsi="Times New Roman"/>
          <w:sz w:val="18"/>
          <w:szCs w:val="18"/>
          <w:color w:val="auto"/>
        </w:rPr>
      </w:pPr>
    </w:p>
    <w:p>
      <w:pPr>
        <w:ind w:left="460" w:right="400" w:hanging="452"/>
        <w:spacing w:after="0" w:line="27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items of deposit which are not finally paid for any reason, including but not limited to Forgery or any other fraud, except when covered under Insuring Agreement (A);</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counterfeiting, except when covered under Insuring Agreements (A), (E) or (F);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380"/>
          </w:cols>
          <w:pgMar w:left="240" w:top="274" w:right="279" w:bottom="1440" w:gutter="0" w:footer="0" w:header="0"/>
        </w:sectPr>
      </w:pPr>
    </w:p>
    <w:bookmarkStart w:id="18" w:name="page19"/>
    <w:bookmarkEnd w:id="18"/>
    <w:p>
      <w:pPr>
        <w:ind w:left="460" w:hanging="452"/>
        <w:spacing w:after="0" w:line="26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of any tangible item of personal property which is not specifically enumerated in the paragraph defining Property if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(B)(2);</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loss of Property while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custody of any Transportation Company, unless covered under Insuring Agreement (C),</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90"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income, including but not limited to interest and dividends, not realized by the Insured or by any customer of the Insured;</w:t>
      </w:r>
    </w:p>
    <w:p>
      <w:pPr>
        <w:spacing w:after="0" w:line="90"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of any type for which the Insured is legally liable, except compensatory damages, but not multiples thereof, arising directly from a loss covered under this bond;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incurred by the Insured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whether or not such legal proceeding exposes the Insured to loss covered by this bond;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or consequential loss of any nature;</w:t>
      </w:r>
    </w:p>
    <w:p>
      <w:pPr>
        <w:spacing w:after="0" w:line="90"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any Uncertificated Security except an Uncertified Security of any Federal Reserve Bank of the United States or when covered under Insuring Agreement (A);</w:t>
      </w:r>
    </w:p>
    <w:p>
      <w:pPr>
        <w:spacing w:after="0" w:line="38" w:lineRule="exact"/>
        <w:rPr>
          <w:rFonts w:ascii="Times New Roman" w:cs="Times New Roman" w:eastAsia="Times New Roman" w:hAnsi="Times New Roman"/>
          <w:sz w:val="18"/>
          <w:szCs w:val="18"/>
          <w:color w:val="auto"/>
        </w:rPr>
      </w:pPr>
    </w:p>
    <w:p>
      <w:pPr>
        <w:ind w:left="460" w:right="120" w:hanging="452"/>
        <w:spacing w:after="0" w:line="334" w:lineRule="auto"/>
        <w:tabs>
          <w:tab w:leader="none" w:pos="4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 w:lineRule="exact"/>
        <w:rPr>
          <w:rFonts w:ascii="Times New Roman" w:cs="Times New Roman" w:eastAsia="Times New Roman" w:hAnsi="Times New Roman"/>
          <w:sz w:val="16"/>
          <w:szCs w:val="16"/>
          <w:color w:val="auto"/>
        </w:rPr>
      </w:pPr>
    </w:p>
    <w:p>
      <w:pPr>
        <w:ind w:left="460" w:right="4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any actual or alleged representation, advice, warranty or guarantee as to the performance of any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19" w:name="page20"/>
    <w:bookmarkEnd w:id="19"/>
    <w:p>
      <w:pPr>
        <w:ind w:left="460" w:right="60" w:hanging="452"/>
        <w:spacing w:after="0" w:line="275"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DISCOVERY</w:t>
      </w:r>
    </w:p>
    <w:p>
      <w:pPr>
        <w:spacing w:after="0" w:line="171"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3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LIMIT OF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Aggregate Limit of Liability</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exhaustion of the Aggregate Limit of Liability by such payments:</w:t>
      </w:r>
    </w:p>
    <w:p>
      <w:pPr>
        <w:spacing w:after="0" w:line="90" w:lineRule="exact"/>
        <w:rPr>
          <w:sz w:val="20"/>
          <w:szCs w:val="20"/>
          <w:color w:val="auto"/>
        </w:rPr>
      </w:pPr>
    </w:p>
    <w:p>
      <w:pPr>
        <w:ind w:left="460" w:right="80" w:hanging="452"/>
        <w:spacing w:after="0" w:line="27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no further liability for loss or losses regardless of when discovered and whether or not previously reported to the Underwriter, and</w:t>
      </w:r>
    </w:p>
    <w:p>
      <w:pPr>
        <w:spacing w:after="0" w:line="38"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12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340"/>
          </w:cols>
          <w:pgMar w:left="240" w:top="274" w:right="31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Single Loss Limit of Liability</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Loss Defined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Loss means all covered loss, including court costs and attorneys’ fees incurred by the Underwriter under General Agreement F, resulting from</w:t>
      </w:r>
    </w:p>
    <w:p>
      <w:pPr>
        <w:spacing w:after="0" w:line="90"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act or series or related acts of burglary, robbery or attempt thereat, in which no Employee is implicated, or</w:t>
      </w:r>
    </w:p>
    <w:p>
      <w:pPr>
        <w:spacing w:after="0" w:line="90"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act or series of related unintentional or negligent acts or omissions on the part of any person (whether an Employee or not) resulting in damage to or destruction of misplacement of Property, or</w:t>
      </w:r>
    </w:p>
    <w:p>
      <w:pPr>
        <w:spacing w:after="0" w:line="38" w:lineRule="exact"/>
        <w:rPr>
          <w:rFonts w:ascii="Times New Roman" w:cs="Times New Roman" w:eastAsia="Times New Roman" w:hAnsi="Times New Roman"/>
          <w:sz w:val="18"/>
          <w:szCs w:val="18"/>
          <w:color w:val="auto"/>
        </w:rPr>
      </w:pPr>
    </w:p>
    <w:p>
      <w:pPr>
        <w:ind w:left="460" w:right="360" w:hanging="452"/>
        <w:spacing w:after="0" w:line="275"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or omissions other than those specified in (a) and (b) preceding, caused by any person (whether an Employee or not) or in which such person is implicated, or</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(a), (b) or (c) preceding.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NOTICE/PROOF-LEGAL PROCEEDINGS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AGAINST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w:t>
      </w:r>
    </w:p>
    <w:p>
      <w:pPr>
        <w:spacing w:after="0" w:line="90"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earliest practicable moment, not to exceed 30 days, after discovery of loss, the Insured shall give the Underwriter notice thereof.</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 months after such discovery, the Insured shall furnish to the Underwriter proof of loss, duly sworn to, with full particulars.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certified Securities listed in a proof of loss shall be identified by certificate or bond numbers if such securities were issued therewith.</w:t>
      </w:r>
    </w:p>
    <w:p>
      <w:pPr>
        <w:spacing w:after="0" w:line="90" w:lineRule="exact"/>
        <w:rPr>
          <w:rFonts w:ascii="Times New Roman" w:cs="Times New Roman" w:eastAsia="Times New Roman" w:hAnsi="Times New Roman"/>
          <w:sz w:val="18"/>
          <w:szCs w:val="18"/>
          <w:color w:val="auto"/>
        </w:rPr>
      </w:pPr>
    </w:p>
    <w:p>
      <w:pPr>
        <w:ind w:left="460" w:right="140" w:hanging="452"/>
        <w:spacing w:after="0" w:line="275"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38" w:lineRule="exact"/>
        <w:rPr>
          <w:rFonts w:ascii="Times New Roman" w:cs="Times New Roman" w:eastAsia="Times New Roman" w:hAnsi="Times New Roman"/>
          <w:sz w:val="18"/>
          <w:szCs w:val="18"/>
          <w:color w:val="auto"/>
        </w:rPr>
      </w:pPr>
    </w:p>
    <w:p>
      <w:pPr>
        <w:ind w:left="460" w:right="40" w:hanging="452"/>
        <w:spacing w:after="0" w:line="275"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38" w:lineRule="exact"/>
        <w:rPr>
          <w:rFonts w:ascii="Times New Roman" w:cs="Times New Roman" w:eastAsia="Times New Roman" w:hAnsi="Times New Roman"/>
          <w:sz w:val="18"/>
          <w:szCs w:val="18"/>
          <w:color w:val="auto"/>
        </w:rPr>
      </w:pPr>
    </w:p>
    <w:p>
      <w:pPr>
        <w:ind w:left="460" w:right="240" w:hanging="452"/>
        <w:spacing w:after="0" w:line="275"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affords coverage only in favor of the Insured. No suit, action or legal proceedings shall be brought hereunder by any one other than the named Insured.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w:t>
      </w:r>
    </w:p>
    <w:p>
      <w:pPr>
        <w:spacing w:after="0" w:line="17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1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Books of Account and Other Records</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Property Other Than Money, Securities or Records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case of loss of, or damage to, any Property other than Money, securities, books of account or other records, or damage covered under Insuring Agreement (B) (2),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00"/>
          </w:cols>
          <w:pgMar w:left="240" w:top="274" w:right="25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Set-Off</w:t>
      </w:r>
    </w:p>
    <w:p>
      <w:pPr>
        <w:spacing w:after="0" w:line="171"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Any loss covered under this bond shall be reduced by a set-off consisting of any amount owed to the Employee causing the loss if such loss is covered under Insuring Agreement (A).</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ASSIGNMENT-SUBROGATION-RECOVERY-COOPERATION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w:t>
      </w:r>
    </w:p>
    <w:p>
      <w:pPr>
        <w:spacing w:after="0" w:line="90" w:lineRule="exact"/>
        <w:rPr>
          <w:sz w:val="20"/>
          <w:szCs w:val="20"/>
          <w:color w:val="auto"/>
        </w:rPr>
      </w:pPr>
    </w:p>
    <w:p>
      <w:pPr>
        <w:ind w:left="460" w:right="2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38" w:lineRule="exact"/>
        <w:rPr>
          <w:rFonts w:ascii="Times New Roman" w:cs="Times New Roman" w:eastAsia="Times New Roman" w:hAnsi="Times New Roman"/>
          <w:sz w:val="18"/>
          <w:szCs w:val="18"/>
          <w:color w:val="auto"/>
        </w:rPr>
      </w:pPr>
    </w:p>
    <w:p>
      <w:pPr>
        <w:ind w:left="460" w:right="4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payment under this bond, the Underwriter shall be subrogated to all of the Insured’s rights of recovery therefore against any person or entity to the extent of such payment.</w:t>
      </w:r>
    </w:p>
    <w:p>
      <w:pPr>
        <w:spacing w:after="0" w:line="38"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Underwriter’s request and at reasonable times and places designated by the Underwriter the Insured shall</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Underwriter and subscribe to the same under oath;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Underwriter’s examination all pertinent records;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Underwriter in all matters pertaining to the loss.</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00"/>
          </w:cols>
          <w:pgMar w:left="240" w:top="274" w:right="25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 OF LIABILITY UNDER THIS BOND AND PRIOR INSURANCE</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8. With respect to any loss set forth in sub-section (c) of Section 4 of this bond which is recoverable or recovered in whole or in part under any other bonds or policies issued by the Underwriter to the 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r>
        <w:rPr>
          <w:rFonts w:ascii="Times New Roman" w:cs="Times New Roman" w:eastAsia="Times New Roman" w:hAnsi="Times New Roman"/>
          <w:sz w:val="18"/>
          <w:szCs w:val="18"/>
          <w:b w:val="1"/>
          <w:bCs w:val="1"/>
          <w:color w:val="auto"/>
        </w:rPr>
        <w:t>.</w:t>
      </w: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OTHER INSURANCE OR INDEMNITY</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OWNERSHIP</w:t>
      </w:r>
    </w:p>
    <w:p>
      <w:pPr>
        <w:spacing w:after="0" w:line="17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DEDUCTIBLE AMOUNT</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3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340"/>
          </w:cols>
          <w:pgMar w:left="240" w:top="274"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OR CANCELLATION</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terminates as to any Employee or any partner, officer or employee of any Processor</w:t>
      </w:r>
    </w:p>
    <w:p>
      <w:pPr>
        <w:spacing w:after="0" w:line="171" w:lineRule="exact"/>
        <w:rPr>
          <w:sz w:val="20"/>
          <w:szCs w:val="20"/>
          <w:color w:val="auto"/>
        </w:rPr>
      </w:pPr>
    </w:p>
    <w:p>
      <w:pPr>
        <w:jc w:val="both"/>
        <w:ind w:right="140" w:firstLine="8"/>
        <w:spacing w:after="0" w:line="258" w:lineRule="auto"/>
        <w:tabs>
          <w:tab w:leader="none" w:pos="2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36"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which is discovered after the effective date of such termination.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08/88</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1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COVERAGE TERRITORY ENDORSEMENT (OFAC)</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89644(07/05)</w:t>
      </w:r>
    </w:p>
    <w:p>
      <w:pPr>
        <w:sectPr>
          <w:pgSz w:w="11900" w:h="16838" w:orient="portrait"/>
          <w:cols w:equalWidth="0" w:num="1">
            <w:col w:w="10980"/>
          </w:cols>
          <w:pgMar w:left="240" w:top="272" w:right="67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CLAIM</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(REPORTING BY E-MAIL)</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premium charged, it is hereby understood and agreed as follows:</w:t>
      </w:r>
    </w:p>
    <w:p>
      <w:pPr>
        <w:spacing w:after="0" w:line="88" w:lineRule="exact"/>
        <w:rPr>
          <w:sz w:val="20"/>
          <w:szCs w:val="20"/>
          <w:color w:val="auto"/>
        </w:rPr>
      </w:pPr>
    </w:p>
    <w:p>
      <w:pPr>
        <w:ind w:left="900" w:right="200" w:hanging="446"/>
        <w:spacing w:after="0" w:line="277"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Email Reporting of Claims</w:t>
      </w:r>
      <w:r>
        <w:rPr>
          <w:rFonts w:ascii="Times New Roman" w:cs="Times New Roman" w:eastAsia="Times New Roman" w:hAnsi="Times New Roman"/>
          <w:sz w:val="18"/>
          <w:szCs w:val="18"/>
          <w:color w:val="auto"/>
        </w:rPr>
        <w:t>: In addition to the postal address set forth for any Notice of Claim Reporting under this policy, such notice may also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in writing pursuant to the policy’s other terms and conditions to the Insurer by email at the following email address:</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c-claim@chartisinsurance.com</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Your email must reference the policy number for this policy. The date of the Insurer’s receipt of the emailed notice shall constitute the date of notice.</w:t>
      </w:r>
    </w:p>
    <w:p>
      <w:pPr>
        <w:spacing w:after="0" w:line="113" w:lineRule="exact"/>
        <w:rPr>
          <w:sz w:val="20"/>
          <w:szCs w:val="20"/>
          <w:color w:val="auto"/>
        </w:rPr>
      </w:pPr>
    </w:p>
    <w:p>
      <w:pPr>
        <w:ind w:left="920" w:right="500"/>
        <w:spacing w:after="0" w:line="275" w:lineRule="auto"/>
        <w:rPr>
          <w:sz w:val="20"/>
          <w:szCs w:val="20"/>
          <w:color w:val="auto"/>
        </w:rPr>
      </w:pPr>
      <w:r>
        <w:rPr>
          <w:rFonts w:ascii="Times New Roman" w:cs="Times New Roman" w:eastAsia="Times New Roman" w:hAnsi="Times New Roman"/>
          <w:sz w:val="18"/>
          <w:szCs w:val="18"/>
          <w:color w:val="auto"/>
        </w:rPr>
        <w:t>In addition to Notice of Claim Reporting via email, notice may also be given to the Insurer by mailing such notice to: Chartis, Financial Lines Claims, P.O. Box 25947, Shawnee Mission, KS 66225.</w:t>
      </w:r>
    </w:p>
    <w:p>
      <w:pPr>
        <w:spacing w:after="0" w:line="37"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this endorsement only, the following definitions shall apply:</w:t>
      </w:r>
    </w:p>
    <w:p>
      <w:pPr>
        <w:spacing w:after="0" w:line="92" w:lineRule="exact"/>
        <w:rPr>
          <w:rFonts w:ascii="Times New Roman" w:cs="Times New Roman" w:eastAsia="Times New Roman" w:hAnsi="Times New Roman"/>
          <w:sz w:val="18"/>
          <w:szCs w:val="18"/>
          <w:color w:val="auto"/>
        </w:rPr>
      </w:pPr>
    </w:p>
    <w:p>
      <w:pPr>
        <w:ind w:left="1480" w:right="120" w:hanging="567"/>
        <w:spacing w:after="0" w:line="275" w:lineRule="auto"/>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 means the “Insurer,” “Underwriter” or “Company” or other name specifically ascribed in this policy as the insurance company or underwriter for this policy.</w:t>
      </w:r>
    </w:p>
    <w:p>
      <w:pPr>
        <w:spacing w:after="0" w:line="38" w:lineRule="exact"/>
        <w:rPr>
          <w:rFonts w:ascii="Times New Roman" w:cs="Times New Roman" w:eastAsia="Times New Roman" w:hAnsi="Times New Roman"/>
          <w:sz w:val="18"/>
          <w:szCs w:val="18"/>
          <w:color w:val="auto"/>
        </w:rPr>
      </w:pPr>
    </w:p>
    <w:p>
      <w:pPr>
        <w:ind w:left="1480" w:right="20" w:hanging="567"/>
        <w:spacing w:after="0" w:line="275" w:lineRule="auto"/>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means the policy, bond or other insurance product to which this endorsement is attached.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99758 (08/08)</w:t>
      </w:r>
    </w:p>
    <w:p>
      <w:pPr>
        <w:sectPr>
          <w:pgSz w:w="11900" w:h="16838" w:orient="portrait"/>
          <w:cols w:equalWidth="0" w:num="1">
            <w:col w:w="11380"/>
          </w:cols>
          <w:pgMar w:left="240" w:top="272" w:right="279" w:bottom="1440" w:gutter="0" w:footer="0" w:header="0"/>
        </w:sectPr>
      </w:pPr>
    </w:p>
    <w:bookmarkStart w:id="27" w:name="page28"/>
    <w:bookmarkEnd w:id="27"/>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does not apply to any Kidnap &amp; Ransom/Extortion Coverage Section, if any, provided by this policy.</w:t>
      </w:r>
    </w:p>
    <w:p>
      <w:pPr>
        <w:spacing w:after="0" w:line="33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99758 (08/08)</w:t>
      </w:r>
    </w:p>
    <w:p>
      <w:pPr>
        <w:sectPr>
          <w:pgSz w:w="11900" w:h="16838" w:orient="portrait"/>
          <w:cols w:equalWidth="0" w:num="1">
            <w:col w:w="10460"/>
          </w:cols>
          <w:pgMar w:left="240" w:top="274" w:right="1199" w:bottom="1440" w:gutter="0" w:footer="0" w:header="0"/>
        </w:sectPr>
      </w:pPr>
    </w:p>
    <w:bookmarkStart w:id="28" w:name="page29"/>
    <w:bookmarkEnd w:id="2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 EXCLUSION (j) - RICO RIDER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(“ALLEGED” TO “ADJUDICATED”)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Paragraph (j) of Section 2. EXCLUSIONS of the </w:t>
      </w:r>
      <w:r>
        <w:rPr>
          <w:rFonts w:ascii="Times New Roman" w:cs="Times New Roman" w:eastAsia="Times New Roman" w:hAnsi="Times New Roman"/>
          <w:sz w:val="16"/>
          <w:szCs w:val="16"/>
          <w:b w:val="1"/>
          <w:bCs w:val="1"/>
          <w:color w:val="auto"/>
        </w:rPr>
        <w:t>CONDITIONS AND LIMITATIONS</w:t>
      </w:r>
      <w:r>
        <w:rPr>
          <w:rFonts w:ascii="Times New Roman" w:cs="Times New Roman" w:eastAsia="Times New Roman" w:hAnsi="Times New Roman"/>
          <w:sz w:val="16"/>
          <w:szCs w:val="16"/>
          <w:color w:val="auto"/>
        </w:rPr>
        <w:t xml:space="preserve"> Clause is deleted in its entirety and replaced with the following:</w:t>
      </w:r>
    </w:p>
    <w:p>
      <w:pPr>
        <w:spacing w:after="0" w:line="115" w:lineRule="exact"/>
        <w:rPr>
          <w:rFonts w:ascii="Times New Roman" w:cs="Times New Roman" w:eastAsia="Times New Roman" w:hAnsi="Times New Roman"/>
          <w:sz w:val="16"/>
          <w:szCs w:val="16"/>
          <w:color w:val="auto"/>
        </w:rPr>
      </w:pPr>
    </w:p>
    <w:p>
      <w:pPr>
        <w:ind w:left="900" w:hanging="446"/>
        <w:spacing w:after="0" w:line="258"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55" w:lineRule="exact"/>
        <w:rPr>
          <w:rFonts w:ascii="Times New Roman" w:cs="Times New Roman" w:eastAsia="Times New Roman" w:hAnsi="Times New Roman"/>
          <w:sz w:val="18"/>
          <w:szCs w:val="18"/>
          <w:color w:val="auto"/>
        </w:rPr>
      </w:pPr>
    </w:p>
    <w:p>
      <w:pPr>
        <w:ind w:left="460" w:right="4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101776 (06/09)</w:t>
      </w:r>
    </w:p>
    <w:p>
      <w:pPr>
        <w:sectPr>
          <w:pgSz w:w="11900" w:h="16838" w:orient="portrait"/>
          <w:cols w:equalWidth="0" w:num="1">
            <w:col w:w="11340"/>
          </w:cols>
          <w:pgMar w:left="240" w:top="272" w:right="31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 COUNTERFEIT CURRENCY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AGREEMENT (F) is deleted in its entirety and replaced by the following:</w:t>
      </w:r>
    </w:p>
    <w:p>
      <w:pPr>
        <w:spacing w:after="0" w:line="90" w:lineRule="exact"/>
        <w:rPr>
          <w:sz w:val="20"/>
          <w:szCs w:val="20"/>
          <w:color w:val="auto"/>
        </w:rPr>
      </w:pPr>
    </w:p>
    <w:p>
      <w:pPr>
        <w:ind w:left="920"/>
        <w:spacing w:after="0" w:line="275" w:lineRule="auto"/>
        <w:rPr>
          <w:sz w:val="20"/>
          <w:szCs w:val="20"/>
          <w:color w:val="auto"/>
        </w:rPr>
      </w:pPr>
      <w:r>
        <w:rPr>
          <w:rFonts w:ascii="Times New Roman" w:cs="Times New Roman" w:eastAsia="Times New Roman" w:hAnsi="Times New Roman"/>
          <w:sz w:val="18"/>
          <w:szCs w:val="18"/>
          <w:color w:val="auto"/>
        </w:rPr>
        <w:t>Loss resulting directly from the receipt by the Insured, in good faith, of any Counterfeit Money of the United States of America, Canada or any other country.</w:t>
      </w:r>
    </w:p>
    <w:p>
      <w:pPr>
        <w:spacing w:after="0" w:line="39" w:lineRule="exact"/>
        <w:rPr>
          <w:sz w:val="20"/>
          <w:szCs w:val="20"/>
          <w:color w:val="auto"/>
        </w:rPr>
      </w:pPr>
    </w:p>
    <w:p>
      <w:pPr>
        <w:ind w:left="460" w:right="20" w:hanging="452"/>
        <w:spacing w:after="0" w:line="27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held to vary, alter, waive, or extend any of the terms, limitations, conditions or provisions of the attached bond other than the above stated.</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57643 (06/93)</w:t>
      </w:r>
    </w:p>
    <w:p>
      <w:pPr>
        <w:sectPr>
          <w:pgSz w:w="11900" w:h="16838" w:orient="portrait"/>
          <w:cols w:equalWidth="0" w:num="1">
            <w:col w:w="11380"/>
          </w:cols>
          <w:pgMar w:left="240" w:top="272" w:right="2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EXPENSE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Agreement (A) FIDELITY of the </w:t>
      </w:r>
      <w:r>
        <w:rPr>
          <w:rFonts w:ascii="Times New Roman" w:cs="Times New Roman" w:eastAsia="Times New Roman" w:hAnsi="Times New Roman"/>
          <w:sz w:val="18"/>
          <w:szCs w:val="18"/>
          <w:b w:val="1"/>
          <w:bCs w:val="1"/>
          <w:color w:val="auto"/>
        </w:rPr>
        <w:t>INSURING AGREEMENTS</w:t>
      </w:r>
      <w:r>
        <w:rPr>
          <w:rFonts w:ascii="Times New Roman" w:cs="Times New Roman" w:eastAsia="Times New Roman" w:hAnsi="Times New Roman"/>
          <w:sz w:val="18"/>
          <w:szCs w:val="18"/>
          <w:color w:val="auto"/>
        </w:rPr>
        <w:t xml:space="preserve"> Clause is amended by inserting the following at the end thereof:</w:t>
      </w:r>
    </w:p>
    <w:p>
      <w:pPr>
        <w:spacing w:after="0" w:line="92" w:lineRule="exact"/>
        <w:rPr>
          <w:rFonts w:ascii="Times New Roman" w:cs="Times New Roman" w:eastAsia="Times New Roman" w:hAnsi="Times New Roman"/>
          <w:sz w:val="18"/>
          <w:szCs w:val="18"/>
          <w:color w:val="auto"/>
        </w:rPr>
      </w:pPr>
    </w:p>
    <w:p>
      <w:pPr>
        <w:ind w:left="46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incurred by the Insured for that part of the cost of audits or examinations required by State or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 of one or more of the Employees and the liability of the Underwriter under this paragraph of Insuring Agreement (A) shall be part of and not in addition to the Single Loss Limit of Liability stated in Item 4 of the Declarations.</w:t>
      </w:r>
    </w:p>
    <w:p>
      <w:pPr>
        <w:spacing w:after="0" w:line="5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Paragraph (d) of Section 2. EXCLUSIONS of the </w:t>
      </w:r>
      <w:r>
        <w:rPr>
          <w:rFonts w:ascii="Times New Roman" w:cs="Times New Roman" w:eastAsia="Times New Roman" w:hAnsi="Times New Roman"/>
          <w:sz w:val="16"/>
          <w:szCs w:val="16"/>
          <w:b w:val="1"/>
          <w:bCs w:val="1"/>
          <w:color w:val="auto"/>
        </w:rPr>
        <w:t>CONDITIONS AND LIMITATIONS</w:t>
      </w:r>
      <w:r>
        <w:rPr>
          <w:rFonts w:ascii="Times New Roman" w:cs="Times New Roman" w:eastAsia="Times New Roman" w:hAnsi="Times New Roman"/>
          <w:sz w:val="16"/>
          <w:szCs w:val="16"/>
          <w:color w:val="auto"/>
        </w:rPr>
        <w:t xml:space="preserve"> Clause is deleted in its entirety and replaced with the following:</w:t>
      </w:r>
    </w:p>
    <w:p>
      <w:pPr>
        <w:spacing w:after="0" w:line="115" w:lineRule="exact"/>
        <w:rPr>
          <w:rFonts w:ascii="Times New Roman" w:cs="Times New Roman" w:eastAsia="Times New Roman" w:hAnsi="Times New Roman"/>
          <w:sz w:val="16"/>
          <w:szCs w:val="16"/>
          <w:color w:val="auto"/>
        </w:rPr>
      </w:pPr>
    </w:p>
    <w:p>
      <w:pPr>
        <w:ind w:left="900" w:hanging="446"/>
        <w:spacing w:after="0" w:line="258"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53" w:lineRule="exact"/>
        <w:rPr>
          <w:rFonts w:ascii="Times New Roman" w:cs="Times New Roman" w:eastAsia="Times New Roman" w:hAnsi="Times New Roman"/>
          <w:sz w:val="18"/>
          <w:szCs w:val="18"/>
          <w:color w:val="auto"/>
        </w:rPr>
      </w:pPr>
    </w:p>
    <w:p>
      <w:pPr>
        <w:ind w:left="460" w:right="60" w:hanging="452"/>
        <w:spacing w:after="0" w:line="277"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Paragraph (u) of Section 2. EXCLUSIONS of Section 2. EXCLUSIONS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Clause is deleted in its entirety and replaced with the following:</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incurred by the Insured</w:t>
      </w:r>
    </w:p>
    <w:p>
      <w:pPr>
        <w:spacing w:after="0" w:line="90" w:lineRule="exact"/>
        <w:rPr>
          <w:rFonts w:ascii="Times New Roman" w:cs="Times New Roman" w:eastAsia="Times New Roman" w:hAnsi="Times New Roman"/>
          <w:sz w:val="18"/>
          <w:szCs w:val="18"/>
          <w:color w:val="auto"/>
        </w:rPr>
      </w:pPr>
    </w:p>
    <w:p>
      <w:pPr>
        <w:ind w:left="1480" w:right="620" w:hanging="567"/>
        <w:spacing w:after="0" w:line="275" w:lineRule="auto"/>
        <w:tabs>
          <w:tab w:leader="none" w:pos="14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to the extent covered under the portion of Insuring Agreement (A) entitled Audit Expense, or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101779(06/09)</w:t>
      </w:r>
    </w:p>
    <w:p>
      <w:pPr>
        <w:sectPr>
          <w:pgSz w:w="11900" w:h="16838" w:orient="portrait"/>
          <w:cols w:equalWidth="0" w:num="1">
            <w:col w:w="11400"/>
          </w:cols>
          <w:pgMar w:left="240" w:top="272" w:right="259" w:bottom="1440" w:gutter="0" w:footer="0" w:header="0"/>
        </w:sectPr>
      </w:pPr>
    </w:p>
    <w:bookmarkStart w:id="31" w:name="page32"/>
    <w:bookmarkEnd w:id="31"/>
    <w:p>
      <w:pPr>
        <w:ind w:left="1480" w:hanging="567"/>
        <w:spacing w:after="0"/>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party to any legal proceeding whether or not such legal proceeding exposes the Insured to loss covered by this bond;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 of the Declarations is amended to include the following:</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w w:val="97"/>
              </w:rPr>
              <w:t>Single Loss</w:t>
            </w: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Single Loss</w:t>
            </w:r>
          </w:p>
        </w:tc>
      </w:tr>
      <w:tr>
        <w:trPr>
          <w:trHeight w:val="161"/>
        </w:trPr>
        <w:tc>
          <w:tcPr>
            <w:tcW w:w="3660" w:type="dxa"/>
            <w:vAlign w:val="bottom"/>
          </w:tcPr>
          <w:p>
            <w:pPr>
              <w:spacing w:after="0"/>
              <w:rPr>
                <w:sz w:val="14"/>
                <w:szCs w:val="14"/>
                <w:color w:val="auto"/>
              </w:rPr>
            </w:pPr>
          </w:p>
        </w:tc>
        <w:tc>
          <w:tcPr>
            <w:tcW w:w="358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w w:val="95"/>
              </w:rPr>
              <w:t>Limit of Liability</w:t>
            </w:r>
          </w:p>
        </w:tc>
        <w:tc>
          <w:tcPr>
            <w:tcW w:w="7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Deductible</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Expense</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50,000</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ind w:left="460" w:hanging="452"/>
        <w:spacing w:after="0" w:line="27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101779(06/09)</w:t>
      </w:r>
    </w:p>
    <w:p>
      <w:pPr>
        <w:sectPr>
          <w:pgSz w:w="11900" w:h="16838" w:orient="portrait"/>
          <w:cols w:equalWidth="0" w:num="1">
            <w:col w:w="11300"/>
          </w:cols>
          <w:pgMar w:left="240" w:top="274" w:right="359" w:bottom="1440" w:gutter="0" w:footer="0" w:header="0"/>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CENTRAL HANDLING OF SECURITIES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right="800" w:hanging="452"/>
        <w:spacing w:after="0" w:line="275"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premises of Depositories listed in the following Schedule shall be deemed to be premises of the Insured, but only as respects coverage on Certificated Securities.</w:t>
      </w:r>
    </w:p>
    <w:p>
      <w:pPr>
        <w:spacing w:after="0" w:line="158" w:lineRule="exact"/>
        <w:rPr>
          <w:sz w:val="20"/>
          <w:szCs w:val="20"/>
          <w:color w:val="auto"/>
        </w:rPr>
      </w:pPr>
    </w:p>
    <w:p>
      <w:pPr>
        <w:ind w:left="1840"/>
        <w:spacing w:after="0"/>
        <w:tabs>
          <w:tab w:leader="none" w:pos="8140" w:val="left"/>
        </w:tabs>
        <w:rPr>
          <w:sz w:val="20"/>
          <w:szCs w:val="20"/>
          <w:color w:val="auto"/>
        </w:rPr>
      </w:pPr>
      <w:r>
        <w:rPr>
          <w:rFonts w:ascii="Times New Roman" w:cs="Times New Roman" w:eastAsia="Times New Roman" w:hAnsi="Times New Roman"/>
          <w:sz w:val="14"/>
          <w:szCs w:val="14"/>
          <w:b w:val="1"/>
          <w:bCs w:val="1"/>
          <w:color w:val="auto"/>
        </w:rPr>
        <w:t>SCHEDULED DEPOSITORY</w:t>
      </w:r>
      <w:r>
        <w:rPr>
          <w:sz w:val="20"/>
          <w:szCs w:val="20"/>
          <w:color w:val="auto"/>
        </w:rPr>
        <w:tab/>
      </w:r>
      <w:r>
        <w:rPr>
          <w:rFonts w:ascii="Times New Roman" w:cs="Times New Roman" w:eastAsia="Times New Roman" w:hAnsi="Times New Roman"/>
          <w:sz w:val="12"/>
          <w:szCs w:val="12"/>
          <w:b w:val="1"/>
          <w:bCs w:val="1"/>
          <w:u w:val="single" w:color="auto"/>
          <w:color w:val="auto"/>
        </w:rPr>
        <w:t>LOCATION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2540</wp:posOffset>
            </wp:positionV>
            <wp:extent cx="1183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All depository premisis utilized by the Insured</w:t>
      </w:r>
    </w:p>
    <w:p>
      <w:pPr>
        <w:spacing w:after="0" w:line="192" w:lineRule="exact"/>
        <w:rPr>
          <w:sz w:val="20"/>
          <w:szCs w:val="20"/>
          <w:color w:val="auto"/>
        </w:rPr>
      </w:pPr>
    </w:p>
    <w:p>
      <w:pPr>
        <w:ind w:left="460" w:hanging="452"/>
        <w:spacing w:after="0" w:line="27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51" w:lineRule="exact"/>
        <w:rPr>
          <w:rFonts w:ascii="Times New Roman" w:cs="Times New Roman" w:eastAsia="Times New Roman" w:hAnsi="Times New Roman"/>
          <w:sz w:val="18"/>
          <w:szCs w:val="18"/>
          <w:color w:val="auto"/>
        </w:rPr>
      </w:pPr>
    </w:p>
    <w:p>
      <w:pPr>
        <w:jc w:val="both"/>
        <w:ind w:left="460" w:right="160" w:hanging="452"/>
        <w:spacing w:after="0" w:line="26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rules of the Depository named in the Schedule above provide that the Insured shall be assessed for a portion of the judgment (or agreed settlement) taken by the Underwriter based upon the assignment set forth in paragraph 3 above, and the Insured actually pays such assessment, then the Underwriter will reimburse the Insured for the amount of the assessment but not exceeding the amount of the loss payment by the Underwriter.</w:t>
      </w:r>
    </w:p>
    <w:p>
      <w:pPr>
        <w:spacing w:after="0" w:line="51"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21" w:lineRule="exact"/>
        <w:rPr>
          <w:sz w:val="20"/>
          <w:szCs w:val="20"/>
          <w:color w:val="auto"/>
        </w:rPr>
      </w:pPr>
    </w:p>
    <w:p>
      <w:pPr>
        <w:ind w:left="5100" w:hanging="118"/>
        <w:spacing w:after="0"/>
        <w:tabs>
          <w:tab w:leader="none" w:pos="510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135890</wp:posOffset>
            </wp:positionV>
            <wp:extent cx="2495550" cy="565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101918(06/09)</w:t>
      </w:r>
    </w:p>
    <w:p>
      <w:pPr>
        <w:sectPr>
          <w:pgSz w:w="11900" w:h="16838" w:orient="portrait"/>
          <w:cols w:equalWidth="0" w:num="1">
            <w:col w:w="11360"/>
          </w:cols>
          <w:pgMar w:left="240" w:top="272" w:right="29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ERISA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Insured stated in the Declarations is amended to include the following as an Insured under the attached bond:</w:t>
      </w:r>
    </w:p>
    <w:p>
      <w:pPr>
        <w:spacing w:after="0" w:line="90" w:lineRule="exact"/>
        <w:rPr>
          <w:rFonts w:ascii="Times New Roman" w:cs="Times New Roman" w:eastAsia="Times New Roman" w:hAnsi="Times New Roman"/>
          <w:sz w:val="18"/>
          <w:szCs w:val="18"/>
          <w:color w:val="auto"/>
        </w:rPr>
      </w:pPr>
    </w:p>
    <w:p>
      <w:pPr>
        <w:ind w:left="460"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Insured’s Employee Welfare or Pension Benefit Plans now existing or hereafter created or acquired which are required to be bonded under the Employee Retirement Income Security Act of 1974 (“ERISA”) (as amended).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the coverage provided by this rider, the definition of “Employee” is amended to include the following at the end thereof:</w:t>
      </w:r>
    </w:p>
    <w:p>
      <w:pPr>
        <w:spacing w:after="0" w:line="90" w:lineRule="exact"/>
        <w:rPr>
          <w:rFonts w:ascii="Times New Roman" w:cs="Times New Roman" w:eastAsia="Times New Roman" w:hAnsi="Times New Roman"/>
          <w:sz w:val="18"/>
          <w:szCs w:val="18"/>
          <w:color w:val="auto"/>
        </w:rPr>
      </w:pPr>
    </w:p>
    <w:p>
      <w:pPr>
        <w:ind w:left="460" w:right="2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also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51"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the coverage provided by this rider, if the attached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 Disclosure Act of 1958 to obtain under one or more bonds issued by one or more Insurers an amount of coverage for each such Plan at least equal to that which would be required if such Plans were bonded separately.</w:t>
      </w:r>
    </w:p>
    <w:p>
      <w:pPr>
        <w:spacing w:after="0" w:line="57"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the foregoing, payment by the Underwriter in accordance with the agreements, limitations and conditions of the attached bond shall be held by the Insured, or if more than one by the Insured first named in the Declarations, for the use and benefit of any Employee Welfare or Pension Benefit Plan sustaining loss so covered and to the extent of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101929(06/09)</w:t>
      </w:r>
    </w:p>
    <w:p>
      <w:pPr>
        <w:sectPr>
          <w:pgSz w:w="11900" w:h="16838" w:orient="portrait"/>
          <w:cols w:equalWidth="0" w:num="1">
            <w:col w:w="11340"/>
          </w:cols>
          <w:pgMar w:left="240" w:top="272" w:right="319" w:bottom="1440" w:gutter="0" w:footer="0" w:header="0"/>
        </w:sectPr>
      </w:pPr>
    </w:p>
    <w:bookmarkStart w:id="34" w:name="page35"/>
    <w:bookmarkEnd w:id="34"/>
    <w:p>
      <w:pPr>
        <w:ind w:left="460" w:right="60" w:hanging="452"/>
        <w:spacing w:after="0" w:line="26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51"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the coverage afforded by this rider, the Deductible Amount stated in the Declarations applicable to loss sustained by a Plan through acts committed by an Employee of the Plan shall be waived, but only up to an amount equal to the amount of coverage required to be carried by the Plan because of compliance with the provisions of ERISA.</w:t>
      </w:r>
    </w:p>
    <w:p>
      <w:pPr>
        <w:spacing w:after="0" w:line="4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attached bond is amended by adding the following section at the end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Clause: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DISCOVERY PERIOD</w:t>
      </w:r>
    </w:p>
    <w:p>
      <w:pPr>
        <w:spacing w:after="0" w:line="171"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Upon cancellation or termination of this bond as an entirety (other than cancellation as a result of non-payment of premium), whether by the Insured or by the Underwriter, the Insured shall be entitled to an additional period of twelve (12) months within which to discover loss sustained by a Plan(s) or Plan Official(s) prior to the effective date of such termination or cancellation (hereinafter the “Discovery Period”). The Discovery Period may not be cancelled by the Insured or the Underwriter.</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the foregoing, the Discovery Period shall terminate immediately on the effective date of:</w:t>
      </w:r>
    </w:p>
    <w:p>
      <w:pPr>
        <w:spacing w:after="0" w:line="90" w:lineRule="exact"/>
        <w:rPr>
          <w:sz w:val="20"/>
          <w:szCs w:val="20"/>
          <w:color w:val="auto"/>
        </w:rPr>
      </w:pPr>
    </w:p>
    <w:p>
      <w:pPr>
        <w:ind w:left="900" w:right="160"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bond or policy hereof obtained by the Insured from the Underwriter or another insurance company subsidiary of Chartis Inc. (Chartis); or</w:t>
      </w:r>
    </w:p>
    <w:p>
      <w:pPr>
        <w:spacing w:after="0" w:line="38" w:lineRule="exact"/>
        <w:rPr>
          <w:rFonts w:ascii="Times New Roman" w:cs="Times New Roman" w:eastAsia="Times New Roman" w:hAnsi="Times New Roman"/>
          <w:sz w:val="18"/>
          <w:szCs w:val="18"/>
          <w:color w:val="auto"/>
        </w:rPr>
      </w:pPr>
    </w:p>
    <w:p>
      <w:pPr>
        <w:ind w:left="900" w:right="100" w:hanging="446"/>
        <w:spacing w:after="0" w:line="25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insurance obtained by the Insured, its successor in business or any other party from an insurer other than the Underwriter or another insurance company subsidiary of Chartis which replaces, in whole or in part, the insurance afforded by this bond (hereinafter “Replacement Coverage”) without the necessity of the Underwriter giving notice of such termination; provided, however, that such Replacement Coverage must provide coverage for loss sustained prior to its effective date. If such Replacement Coverage does not provide coverage for loss sustained prior to its effective date, the Discovery Period shall not immediately terminate.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101929(06/09)</w:t>
      </w:r>
    </w:p>
    <w:p>
      <w:pPr>
        <w:sectPr>
          <w:pgSz w:w="11900" w:h="16838" w:orient="portrait"/>
          <w:cols w:equalWidth="0" w:num="1">
            <w:col w:w="11420"/>
          </w:cols>
          <w:pgMar w:left="240" w:top="274" w:right="239" w:bottom="1440" w:gutter="0" w:footer="0" w:header="0"/>
        </w:sectPr>
      </w:pPr>
    </w:p>
    <w:bookmarkStart w:id="35" w:name="page36"/>
    <w:bookmarkEnd w:id="35"/>
    <w:p>
      <w:pPr>
        <w:ind w:lef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Section, Plan(s) means any of the Insured’s Employee Welfare or Pension Benefit Plans now existing or hereafter created or acquired which may be required to be bonded under the Employee Retirement Income Security Act of 1974 (as amended) (“ERISA”).</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Section, Plan Official(s) means, with respect to any Plan(s), any person(s) defined as such under ERISA.</w:t>
      </w:r>
    </w:p>
    <w:p>
      <w:pPr>
        <w:spacing w:after="0" w:line="90" w:lineRule="exact"/>
        <w:rPr>
          <w:sz w:val="20"/>
          <w:szCs w:val="20"/>
          <w:color w:val="auto"/>
        </w:rPr>
      </w:pPr>
    </w:p>
    <w:p>
      <w:pPr>
        <w:ind w:left="460" w:right="80" w:hanging="452"/>
        <w:spacing w:after="0" w:line="275"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101929(06/09)</w:t>
      </w:r>
    </w:p>
    <w:p>
      <w:pPr>
        <w:sectPr>
          <w:pgSz w:w="11900" w:h="16838" w:orient="portrait"/>
          <w:cols w:equalWidth="0" w:num="1">
            <w:col w:w="11380"/>
          </w:cols>
          <w:pgMar w:left="240" w:top="274" w:right="27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FACSIMILE SIGNATURES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INSURING AGREEMENTS</w:t>
      </w:r>
      <w:r>
        <w:rPr>
          <w:rFonts w:ascii="Times New Roman" w:cs="Times New Roman" w:eastAsia="Times New Roman" w:hAnsi="Times New Roman"/>
          <w:sz w:val="18"/>
          <w:szCs w:val="18"/>
          <w:color w:val="auto"/>
        </w:rPr>
        <w:t xml:space="preserve"> Clause of the attached bond is amended by adding the following additional Insuring Agreement to the end thereof:</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FACSIMILE SIGNATURES</w:t>
      </w:r>
    </w:p>
    <w:p>
      <w:pPr>
        <w:spacing w:after="0" w:line="171" w:lineRule="exact"/>
        <w:rPr>
          <w:sz w:val="20"/>
          <w:szCs w:val="20"/>
          <w:color w:val="auto"/>
        </w:rPr>
      </w:pPr>
    </w:p>
    <w:p>
      <w:pPr>
        <w:ind w:left="460" w:right="160"/>
        <w:spacing w:after="0" w:line="255" w:lineRule="auto"/>
        <w:rPr>
          <w:sz w:val="20"/>
          <w:szCs w:val="20"/>
          <w:color w:val="auto"/>
        </w:rPr>
      </w:pPr>
      <w:r>
        <w:rPr>
          <w:rFonts w:ascii="Times New Roman" w:cs="Times New Roman" w:eastAsia="Times New Roman" w:hAnsi="Times New Roman"/>
          <w:sz w:val="18"/>
          <w:szCs w:val="18"/>
          <w:color w:val="auto"/>
        </w:rPr>
        <w:t>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58"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facsimile signature is used on a document</w:t>
      </w:r>
    </w:p>
    <w:p>
      <w:pPr>
        <w:spacing w:after="0" w:line="90" w:lineRule="exact"/>
        <w:rPr>
          <w:rFonts w:ascii="Times New Roman" w:cs="Times New Roman" w:eastAsia="Times New Roman" w:hAnsi="Times New Roman"/>
          <w:sz w:val="18"/>
          <w:szCs w:val="18"/>
          <w:color w:val="auto"/>
        </w:rPr>
      </w:pPr>
    </w:p>
    <w:p>
      <w:pPr>
        <w:jc w:val="both"/>
        <w:ind w:left="1480" w:right="260" w:hanging="567"/>
        <w:spacing w:after="0" w:line="262"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signature to an assignment or other instrument authorizing or effecting the transfer of shares of stock, or other registered securities, which may now or at any time hereafter be registered in the name of the Insured on the books of the association, company or corporation issuing the same; or</w:t>
      </w:r>
    </w:p>
    <w:p>
      <w:pPr>
        <w:spacing w:after="0" w:line="51" w:lineRule="exact"/>
        <w:rPr>
          <w:rFonts w:ascii="Times New Roman" w:cs="Times New Roman" w:eastAsia="Times New Roman" w:hAnsi="Times New Roman"/>
          <w:sz w:val="18"/>
          <w:szCs w:val="18"/>
          <w:color w:val="auto"/>
        </w:rPr>
      </w:pPr>
    </w:p>
    <w:p>
      <w:pPr>
        <w:ind w:left="1480" w:hanging="567"/>
        <w:spacing w:after="0" w:line="258"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signature to a power of substitution, designating a substitute or substitutes to make the actual transfer on the books of the issuer of shares of stock, or other registered securities, in respect of which the Insured may now or at any time hereafter be named as attorney to effect said transfer, whether said power of substitution is embodied in an endorsement on the certificate for said shares of stock or other registered security or in a separate instrument;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101777(06/09</w:t>
      </w:r>
      <w:r>
        <w:rPr>
          <w:rFonts w:ascii="Times New Roman" w:cs="Times New Roman" w:eastAsia="Times New Roman" w:hAnsi="Times New Roman"/>
          <w:sz w:val="18"/>
          <w:szCs w:val="18"/>
          <w:u w:val="single" w:color="auto"/>
          <w:color w:val="auto"/>
        </w:rPr>
        <w:t>)</w:t>
      </w:r>
    </w:p>
    <w:p>
      <w:pPr>
        <w:sectPr>
          <w:pgSz w:w="11900" w:h="16838" w:orient="portrait"/>
          <w:cols w:equalWidth="0" w:num="1">
            <w:col w:w="11380"/>
          </w:cols>
          <w:pgMar w:left="240" w:top="272" w:right="279" w:bottom="1440" w:gutter="0" w:footer="0" w:header="0"/>
        </w:sectPr>
      </w:pPr>
    </w:p>
    <w:bookmarkStart w:id="37" w:name="page38"/>
    <w:bookmarkEnd w:id="37"/>
    <w:p>
      <w:pPr>
        <w:ind w:left="900" w:hanging="446"/>
        <w:spacing w:after="0" w:line="275" w:lineRule="auto"/>
        <w:tabs>
          <w:tab w:leader="none" w:pos="9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York Stock Exchange has not interposed any objections to the use by the Insured of such facsimile signature and such agreement, if any, was required by the said Exchange as a condition to its failing to interpose any such objection;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FACSIMILE SIGNATURES Insuring Agreement shall not apply to any Certificated Securities which are counterfeit.</w:t>
      </w:r>
    </w:p>
    <w:p>
      <w:pPr>
        <w:spacing w:after="0" w:line="88" w:lineRule="exact"/>
        <w:rPr>
          <w:rFonts w:ascii="Times New Roman" w:cs="Times New Roman" w:eastAsia="Times New Roman" w:hAnsi="Times New Roman"/>
          <w:sz w:val="18"/>
          <w:szCs w:val="18"/>
          <w:color w:val="auto"/>
        </w:rPr>
      </w:pPr>
    </w:p>
    <w:p>
      <w:pPr>
        <w:ind w:left="460" w:right="320" w:hanging="452"/>
        <w:spacing w:after="0" w:line="277"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the FACSIMILE SIGNATURES Insuring Agreement, paragraphs (a) and (e) of Section 2. EXCLUSIONS of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LIMITATIONS </w:t>
      </w:r>
      <w:r>
        <w:rPr>
          <w:rFonts w:ascii="Times New Roman" w:cs="Times New Roman" w:eastAsia="Times New Roman" w:hAnsi="Times New Roman"/>
          <w:sz w:val="18"/>
          <w:szCs w:val="18"/>
          <w:color w:val="auto"/>
        </w:rPr>
        <w:t>Clause are deleted in their entirety.</w:t>
      </w:r>
    </w:p>
    <w:p>
      <w:pPr>
        <w:spacing w:after="0" w:line="37"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101777(06/09</w:t>
      </w:r>
      <w:r>
        <w:rPr>
          <w:rFonts w:ascii="Times New Roman" w:cs="Times New Roman" w:eastAsia="Times New Roman" w:hAnsi="Times New Roman"/>
          <w:sz w:val="18"/>
          <w:szCs w:val="18"/>
          <w:u w:val="single" w:color="auto"/>
          <w:color w:val="auto"/>
        </w:rPr>
        <w:t>)</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AGREEMENT D AMENDED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right="220" w:hanging="452"/>
        <w:spacing w:after="0" w:line="277"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 Agreement D. REPRESENTATION OF INSURED of the </w:t>
      </w:r>
      <w:r>
        <w:rPr>
          <w:rFonts w:ascii="Times New Roman" w:cs="Times New Roman" w:eastAsia="Times New Roman" w:hAnsi="Times New Roman"/>
          <w:sz w:val="18"/>
          <w:szCs w:val="18"/>
          <w:b w:val="1"/>
          <w:bCs w:val="1"/>
          <w:color w:val="auto"/>
        </w:rPr>
        <w:t>GENERAL AGREEMENTS</w:t>
      </w:r>
      <w:r>
        <w:rPr>
          <w:rFonts w:ascii="Times New Roman" w:cs="Times New Roman" w:eastAsia="Times New Roman" w:hAnsi="Times New Roman"/>
          <w:sz w:val="18"/>
          <w:szCs w:val="18"/>
          <w:color w:val="auto"/>
        </w:rPr>
        <w:t xml:space="preserve"> Clause is deleted in its entirety and replaced with the following:</w:t>
      </w: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REPRESENTATION OF INSURED</w:t>
      </w:r>
    </w:p>
    <w:p>
      <w:pPr>
        <w:spacing w:after="0" w:line="171"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D. The Insured represents that the information furnished in the application for this bond is complete, true and correct. The individual signing the application hereby makes such representation on behalf of himself/herself and all Insureds under the attached bond (as that term is defined in the attached bond) after inquiry of all the directors and officers of the Insured and its subsidiaries, to the extent coverage is granted to any of its subsidiaries under the attached bond.</w:t>
      </w:r>
    </w:p>
    <w:p>
      <w:pPr>
        <w:spacing w:after="0" w:line="55"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Such application constitutes part of this bond. Any intentional misrepresentation, omission, concealment or incorrect statement of a material fact, in the application or otherwise, shall be grounds for the rescission of this bond.</w:t>
      </w:r>
    </w:p>
    <w:p>
      <w:pPr>
        <w:spacing w:after="0" w:line="39" w:lineRule="exact"/>
        <w:rPr>
          <w:sz w:val="20"/>
          <w:szCs w:val="20"/>
          <w:color w:val="auto"/>
        </w:rPr>
      </w:pPr>
    </w:p>
    <w:p>
      <w:pPr>
        <w:ind w:left="460" w:hanging="452"/>
        <w:spacing w:after="0" w:line="275"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101793(06/09)</w:t>
      </w:r>
    </w:p>
    <w:p>
      <w:pPr>
        <w:sectPr>
          <w:pgSz w:w="11900" w:h="16838" w:orient="portrait"/>
          <w:cols w:equalWidth="0" w:num="1">
            <w:col w:w="11300"/>
          </w:cols>
          <w:pgMar w:left="240" w:top="272"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TELEFACSIMILE TRANSFER FRAUD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INSURING AGREEMENTS</w:t>
      </w:r>
      <w:r>
        <w:rPr>
          <w:rFonts w:ascii="Times New Roman" w:cs="Times New Roman" w:eastAsia="Times New Roman" w:hAnsi="Times New Roman"/>
          <w:sz w:val="18"/>
          <w:szCs w:val="18"/>
          <w:color w:val="auto"/>
        </w:rPr>
        <w:t xml:space="preserve"> Clause of the attached bond is amended by adding the following additional Insuring Agreement to the end thereof:</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TELEFACSIMILE TRANSFER FRAUD</w:t>
      </w:r>
    </w:p>
    <w:p>
      <w:pPr>
        <w:spacing w:after="0" w:line="171"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Loss resulting directly from the Insured having, in good faith, transferred or delivered Funds, Certificated Securities or Uncertificated Securities through a Computer System covered under the terms of the Computer Systems Fraud Insuring Agreement in reliance upon a fraudulent instruction received through a Telefacsimile Device, and which instruction:</w:t>
      </w:r>
    </w:p>
    <w:p>
      <w:pPr>
        <w:spacing w:after="0" w:line="51" w:lineRule="exact"/>
        <w:rPr>
          <w:sz w:val="20"/>
          <w:szCs w:val="20"/>
          <w:color w:val="auto"/>
        </w:rPr>
      </w:pPr>
    </w:p>
    <w:p>
      <w:pPr>
        <w:ind w:left="900" w:hanging="446"/>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have originated from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of the Insured,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financial institution,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office of the Insured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but, in fact, was not originated by the Customer or entity whose identification it bears;</w:t>
      </w:r>
    </w:p>
    <w:p>
      <w:pPr>
        <w:spacing w:after="0" w:line="90" w:lineRule="exact"/>
        <w:rPr>
          <w:sz w:val="20"/>
          <w:szCs w:val="20"/>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valid test code which proves to have been used by a person who was not authorized to make use of it;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name of a person authorized to initiate such transfer,</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provided that, if the transfer was in excess of $</w:t>
      </w:r>
      <w:r>
        <w:rPr>
          <w:rFonts w:ascii="Times New Roman" w:cs="Times New Roman" w:eastAsia="Times New Roman" w:hAnsi="Times New Roman"/>
          <w:sz w:val="18"/>
          <w:szCs w:val="18"/>
          <w:i w:val="1"/>
          <w:iCs w:val="1"/>
          <w:color w:val="auto"/>
        </w:rPr>
        <w:t>100,000</w:t>
      </w:r>
      <w:r>
        <w:rPr>
          <w:rFonts w:ascii="Times New Roman" w:cs="Times New Roman" w:eastAsia="Times New Roman" w:hAnsi="Times New Roman"/>
          <w:sz w:val="18"/>
          <w:szCs w:val="18"/>
          <w:color w:val="auto"/>
        </w:rPr>
        <w:t>, the instruction was verified by a call-back according to a prearranged procedure.</w:t>
      </w:r>
    </w:p>
    <w:p>
      <w:pPr>
        <w:spacing w:after="0" w:line="92" w:lineRule="exact"/>
        <w:rPr>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TELEFACSIMILE TRANSFER FRAUD Insuring Agreement, the following Definitions are added to the bond:</w:t>
      </w:r>
    </w:p>
    <w:p>
      <w:pPr>
        <w:spacing w:after="0" w:line="90" w:lineRule="exact"/>
        <w:rPr>
          <w:rFonts w:ascii="Times New Roman" w:cs="Times New Roman" w:eastAsia="Times New Roman" w:hAnsi="Times New Roman"/>
          <w:sz w:val="18"/>
          <w:szCs w:val="18"/>
          <w:color w:val="auto"/>
        </w:rPr>
      </w:pPr>
    </w:p>
    <w:p>
      <w:pPr>
        <w:jc w:val="both"/>
        <w:ind w:left="900" w:right="440" w:hanging="446"/>
        <w:spacing w:after="0" w:line="262" w:lineRule="auto"/>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101821(06/09)</w:t>
      </w:r>
    </w:p>
    <w:p>
      <w:pPr>
        <w:sectPr>
          <w:pgSz w:w="11900" w:h="16838" w:orient="portrait"/>
          <w:cols w:equalWidth="0" w:num="1">
            <w:col w:w="11400"/>
          </w:cols>
          <w:pgMar w:left="240" w:top="272" w:right="259" w:bottom="1440" w:gutter="0" w:footer="0" w:header="0"/>
        </w:sectPr>
      </w:pPr>
    </w:p>
    <w:bookmarkStart w:id="40" w:name="page41"/>
    <w:bookmarkEnd w:id="40"/>
    <w:p>
      <w:pPr>
        <w:ind w:left="900" w:hanging="446"/>
        <w:spacing w:after="0" w:line="275" w:lineRule="auto"/>
        <w:tabs>
          <w:tab w:leader="none" w:pos="9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38"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TELEFACSIMILE TRANSFER FRAUD Insuring Agreement does not cover loss resulting directly or indirectly from the assumption of liability by the Insured by contract, unless the liability arises from a loss otherwise covered by the TELEFACSIMILE TRANSFER FRAUD Insuring Agreement and would be imposed on the Insured regardless of the existence of the contract.</w:t>
      </w:r>
    </w:p>
    <w:p>
      <w:pPr>
        <w:spacing w:after="0" w:line="51"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the TELEFACSIMILE TRANSFER FRAUD Insuring Agreement, proof of loss for a claim must include a copy of the document reproduced by the Telefacsimile Device.</w:t>
      </w:r>
    </w:p>
    <w:p>
      <w:pPr>
        <w:spacing w:after="0" w:line="38" w:lineRule="exact"/>
        <w:rPr>
          <w:rFonts w:ascii="Times New Roman" w:cs="Times New Roman" w:eastAsia="Times New Roman" w:hAnsi="Times New Roman"/>
          <w:sz w:val="18"/>
          <w:szCs w:val="18"/>
          <w:color w:val="auto"/>
        </w:rPr>
      </w:pPr>
    </w:p>
    <w:p>
      <w:pPr>
        <w:ind w:left="460" w:right="960" w:hanging="452"/>
        <w:spacing w:after="0" w:line="275"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the TELEFACSIMILE TRANSFER FRAUD Insuring Agreement, exclusion (y) of Section 2. EXCLUSIONS of the </w:t>
      </w:r>
      <w:r>
        <w:rPr>
          <w:rFonts w:ascii="Times New Roman" w:cs="Times New Roman" w:eastAsia="Times New Roman" w:hAnsi="Times New Roman"/>
          <w:sz w:val="18"/>
          <w:szCs w:val="18"/>
          <w:b w:val="1"/>
          <w:bCs w:val="1"/>
          <w:color w:val="auto"/>
        </w:rPr>
        <w:t xml:space="preserve">CONDITIONS AND LIMITATIONS </w:t>
      </w:r>
      <w:r>
        <w:rPr>
          <w:rFonts w:ascii="Times New Roman" w:cs="Times New Roman" w:eastAsia="Times New Roman" w:hAnsi="Times New Roman"/>
          <w:sz w:val="18"/>
          <w:szCs w:val="18"/>
          <w:color w:val="auto"/>
        </w:rPr>
        <w:t>Clause is deleted in its entirety.</w:t>
      </w:r>
    </w:p>
    <w:p>
      <w:pPr>
        <w:spacing w:after="0" w:line="38"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101821(06/09)</w:t>
      </w:r>
    </w:p>
    <w:p>
      <w:pPr>
        <w:sectPr>
          <w:pgSz w:w="11900" w:h="16838" w:orient="portrait"/>
          <w:cols w:equalWidth="0" w:num="1">
            <w:col w:w="11360"/>
          </w:cols>
          <w:pgMar w:left="240" w:top="274" w:right="29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UNAUTHORIZED SIGNATURES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INSURING AGREEMENTS</w:t>
      </w:r>
      <w:r>
        <w:rPr>
          <w:rFonts w:ascii="Times New Roman" w:cs="Times New Roman" w:eastAsia="Times New Roman" w:hAnsi="Times New Roman"/>
          <w:sz w:val="18"/>
          <w:szCs w:val="18"/>
          <w:color w:val="auto"/>
        </w:rPr>
        <w:t xml:space="preserve"> Clause of the attached bond is amended by adding the following additional Insuring Agreement to the end thereof:</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UNAUTHORIZED SIGNATURES</w:t>
      </w:r>
    </w:p>
    <w:p>
      <w:pPr>
        <w:spacing w:after="0" w:line="171" w:lineRule="exact"/>
        <w:rPr>
          <w:sz w:val="20"/>
          <w:szCs w:val="20"/>
          <w:color w:val="auto"/>
        </w:rPr>
      </w:pPr>
    </w:p>
    <w:p>
      <w:pPr>
        <w:jc w:val="both"/>
        <w:ind w:left="460" w:right="340"/>
        <w:spacing w:after="0" w:line="262" w:lineRule="auto"/>
        <w:rPr>
          <w:sz w:val="20"/>
          <w:szCs w:val="20"/>
          <w:color w:val="auto"/>
        </w:rPr>
      </w:pPr>
      <w:r>
        <w:rPr>
          <w:rFonts w:ascii="Times New Roman" w:cs="Times New Roman" w:eastAsia="Times New Roman" w:hAnsi="Times New Roman"/>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an authorized signatory on such account.</w:t>
      </w:r>
    </w:p>
    <w:p>
      <w:pPr>
        <w:spacing w:after="0" w:line="51"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It shall be a condition precedent to the Insured’s right of recovery under this Insuring Agreement that the Insured shall have on file signatures of all persons who are authorized signatories on such account.</w:t>
      </w:r>
    </w:p>
    <w:p>
      <w:pPr>
        <w:spacing w:after="0" w:line="37" w:lineRule="exact"/>
        <w:rPr>
          <w:sz w:val="20"/>
          <w:szCs w:val="20"/>
          <w:color w:val="auto"/>
        </w:rPr>
      </w:pPr>
    </w:p>
    <w:p>
      <w:pPr>
        <w:ind w:left="460" w:right="80" w:hanging="452"/>
        <w:spacing w:after="0" w:line="264"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Aggregate Liability under this UNAUTHORIZED SIGNATURES Insuring Agreement shall be $</w:t>
      </w:r>
      <w:r>
        <w:rPr>
          <w:rFonts w:ascii="Times New Roman" w:cs="Times New Roman" w:eastAsia="Times New Roman" w:hAnsi="Times New Roman"/>
          <w:sz w:val="18"/>
          <w:szCs w:val="18"/>
          <w:i w:val="1"/>
          <w:iCs w:val="1"/>
          <w:color w:val="auto"/>
        </w:rPr>
        <w:t>100,000</w:t>
      </w:r>
      <w:r>
        <w:rPr>
          <w:rFonts w:ascii="Times New Roman" w:cs="Times New Roman" w:eastAsia="Times New Roman" w:hAnsi="Times New Roman"/>
          <w:sz w:val="18"/>
          <w:szCs w:val="18"/>
          <w:color w:val="auto"/>
        </w:rPr>
        <w:t>, which shall be part of, not in addition to, the Aggregate Liability stated in the Declarations. A deductible amount of $</w:t>
      </w:r>
      <w:r>
        <w:rPr>
          <w:rFonts w:ascii="Times New Roman" w:cs="Times New Roman" w:eastAsia="Times New Roman" w:hAnsi="Times New Roman"/>
          <w:sz w:val="18"/>
          <w:szCs w:val="18"/>
          <w:i w:val="1"/>
          <w:iCs w:val="1"/>
          <w:color w:val="auto"/>
        </w:rPr>
        <w:t>10,000</w:t>
      </w:r>
      <w:r>
        <w:rPr>
          <w:rFonts w:ascii="Times New Roman" w:cs="Times New Roman" w:eastAsia="Times New Roman" w:hAnsi="Times New Roman"/>
          <w:sz w:val="18"/>
          <w:szCs w:val="18"/>
          <w:color w:val="auto"/>
        </w:rPr>
        <w:t xml:space="preserve"> shall apply to each and every loss under this UNAUTHORIZED SIGNATURES Insuring Agreement.</w:t>
      </w:r>
    </w:p>
    <w:p>
      <w:pPr>
        <w:spacing w:after="0" w:line="48"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101822(06/09)</w:t>
      </w:r>
    </w:p>
    <w:p>
      <w:pPr>
        <w:sectPr>
          <w:pgSz w:w="11900" w:h="16838" w:orient="portrait"/>
          <w:cols w:equalWidth="0" w:num="1">
            <w:col w:w="11380"/>
          </w:cols>
          <w:pgMar w:left="240" w:top="272" w:right="279" w:bottom="1440" w:gutter="0" w:footer="0" w:header="0"/>
        </w:sectPr>
      </w:pPr>
    </w:p>
    <w:bookmarkStart w:id="42" w:name="page43"/>
    <w:bookmarkEnd w:id="4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UNCERTIFICATED SECURITIES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right="320" w:hanging="452"/>
        <w:spacing w:after="0" w:line="277"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Paragraph (1)(e) of Insuring Agreement (E) SECURITIES of the </w:t>
      </w:r>
      <w:r>
        <w:rPr>
          <w:rFonts w:ascii="Times New Roman" w:cs="Times New Roman" w:eastAsia="Times New Roman" w:hAnsi="Times New Roman"/>
          <w:sz w:val="18"/>
          <w:szCs w:val="18"/>
          <w:b w:val="1"/>
          <w:bCs w:val="1"/>
          <w:color w:val="auto"/>
        </w:rPr>
        <w:t>INSURING AGREEMENTS</w:t>
      </w:r>
      <w:r>
        <w:rPr>
          <w:rFonts w:ascii="Times New Roman" w:cs="Times New Roman" w:eastAsia="Times New Roman" w:hAnsi="Times New Roman"/>
          <w:sz w:val="18"/>
          <w:szCs w:val="18"/>
          <w:color w:val="auto"/>
        </w:rPr>
        <w:t xml:space="preserve"> Clause is deleted in its entirety and replaced with the following:</w:t>
      </w:r>
    </w:p>
    <w:p>
      <w:pPr>
        <w:spacing w:after="0" w:line="3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Uncertificated Security in any book entry form;</w:t>
      </w:r>
    </w:p>
    <w:p>
      <w:pPr>
        <w:spacing w:after="0" w:line="88" w:lineRule="exact"/>
        <w:rPr>
          <w:rFonts w:ascii="Times New Roman" w:cs="Times New Roman" w:eastAsia="Times New Roman" w:hAnsi="Times New Roman"/>
          <w:sz w:val="18"/>
          <w:szCs w:val="18"/>
          <w:color w:val="auto"/>
        </w:rPr>
      </w:pPr>
    </w:p>
    <w:p>
      <w:pPr>
        <w:ind w:left="460" w:right="260" w:hanging="452"/>
        <w:spacing w:after="0" w:line="277"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the coverage afforded by this rider, paragraph (o) of Section 1. DEFINITIONS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Clause is deleted in its entirety and replaced with the following:</w:t>
      </w:r>
    </w:p>
    <w:p>
      <w:pPr>
        <w:spacing w:after="0" w:line="37" w:lineRule="exact"/>
        <w:rPr>
          <w:rFonts w:ascii="Times New Roman" w:cs="Times New Roman" w:eastAsia="Times New Roman" w:hAnsi="Times New Roman"/>
          <w:sz w:val="18"/>
          <w:szCs w:val="18"/>
          <w:color w:val="auto"/>
        </w:rPr>
      </w:pPr>
    </w:p>
    <w:p>
      <w:pPr>
        <w:ind w:left="460" w:right="100" w:firstLine="443"/>
        <w:spacing w:after="0" w:line="256" w:lineRule="auto"/>
        <w:tabs>
          <w:tab w:leader="none" w:pos="114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means Money, Certificated Securities, Uncertificated Securities of any issuer,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55" w:lineRule="exact"/>
        <w:rPr>
          <w:rFonts w:ascii="Times New Roman" w:cs="Times New Roman" w:eastAsia="Times New Roman" w:hAnsi="Times New Roman"/>
          <w:sz w:val="18"/>
          <w:szCs w:val="18"/>
          <w:color w:val="auto"/>
        </w:rPr>
      </w:pPr>
    </w:p>
    <w:p>
      <w:pPr>
        <w:ind w:left="460" w:right="200" w:hanging="452"/>
        <w:spacing w:after="0" w:line="277"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the coverage afforded by this rider, Paragraph (w) of Section 2. EXCLUSIONS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Clause is deleted in its entirety.</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101778(06/09)</w:t>
      </w:r>
    </w:p>
    <w:p>
      <w:pPr>
        <w:sectPr>
          <w:pgSz w:w="11900" w:h="16838" w:orient="portrait"/>
          <w:cols w:equalWidth="0" w:num="1">
            <w:col w:w="11300"/>
          </w:cols>
          <w:pgMar w:left="240" w:top="272" w:right="3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VOICE INITIATED TRANSFER FRAUD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INSURING AGREEMENTS</w:t>
      </w:r>
      <w:r>
        <w:rPr>
          <w:rFonts w:ascii="Times New Roman" w:cs="Times New Roman" w:eastAsia="Times New Roman" w:hAnsi="Times New Roman"/>
          <w:sz w:val="18"/>
          <w:szCs w:val="18"/>
          <w:color w:val="auto"/>
        </w:rPr>
        <w:t xml:space="preserve"> Clause of the attached bond is amended by adding the following additional Insuring Agreement to the end thereof:</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VOICE INITIATED TRANSFER FRAUD</w:t>
      </w:r>
    </w:p>
    <w:p>
      <w:pPr>
        <w:spacing w:after="0" w:line="92" w:lineRule="exact"/>
        <w:rPr>
          <w:rFonts w:ascii="Times New Roman" w:cs="Times New Roman" w:eastAsia="Times New Roman" w:hAnsi="Times New Roman"/>
          <w:sz w:val="18"/>
          <w:szCs w:val="18"/>
          <w:color w:val="auto"/>
        </w:rPr>
      </w:pPr>
    </w:p>
    <w:p>
      <w:pPr>
        <w:ind w:left="46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 Insured having, in good faith, transferred Funds from a Customer’s account through a Computer System covered under the terms of the Computer System Fraud Insuring Agreement in reliance upon a fraudulent voice instruction transmitted by telephone which was purported to be from:</w:t>
      </w:r>
    </w:p>
    <w:p>
      <w:pPr>
        <w:spacing w:after="0" w:line="51" w:lineRule="exact"/>
        <w:rPr>
          <w:rFonts w:ascii="Times New Roman" w:cs="Times New Roman" w:eastAsia="Times New Roman" w:hAnsi="Times New Roman"/>
          <w:sz w:val="18"/>
          <w:szCs w:val="18"/>
          <w:color w:val="auto"/>
        </w:rPr>
      </w:pPr>
    </w:p>
    <w:p>
      <w:pPr>
        <w:ind w:left="900" w:right="440" w:hanging="446"/>
        <w:spacing w:after="0" w:line="275"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director, partner or employee of a Customer of the Insured who was authorized by the Customer to instruct the Insured to make such transfer;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person who is a Customer of the Insured; or</w:t>
      </w:r>
    </w:p>
    <w:p>
      <w:pPr>
        <w:spacing w:after="0" w:line="90"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the Insured in another office of the Insured who was authorized by the Insured to instruct other Employees of the Insured to transfer Funds, and was received by an Employee of the Insured specifically designated to receive and act upon such instructions,</w:t>
      </w:r>
    </w:p>
    <w:p>
      <w:pPr>
        <w:spacing w:after="0" w:line="39"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but coverage as is afforded by this Insuring Agreement shall only apply if the voice instruction was not from a person described in (1), (2), or (3) above, provided that:</w:t>
      </w:r>
    </w:p>
    <w:p>
      <w:pPr>
        <w:spacing w:after="0" w:line="39" w:lineRule="exact"/>
        <w:rPr>
          <w:sz w:val="20"/>
          <w:szCs w:val="20"/>
          <w:color w:val="auto"/>
        </w:rPr>
      </w:pPr>
    </w:p>
    <w:p>
      <w:pPr>
        <w:ind w:left="900" w:hanging="44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voice instruction was electronically recorded by the Insured and required password(s) or code word(s) given; and</w:t>
      </w:r>
    </w:p>
    <w:p>
      <w:pPr>
        <w:spacing w:after="0" w:line="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was in excess of $</w:t>
      </w:r>
      <w:r>
        <w:rPr>
          <w:rFonts w:ascii="Times New Roman" w:cs="Times New Roman" w:eastAsia="Times New Roman" w:hAnsi="Times New Roman"/>
          <w:sz w:val="18"/>
          <w:szCs w:val="18"/>
          <w:i w:val="1"/>
          <w:iCs w:val="1"/>
          <w:color w:val="auto"/>
        </w:rPr>
        <w:t>100,000</w:t>
      </w:r>
      <w:r>
        <w:rPr>
          <w:rFonts w:ascii="Times New Roman" w:cs="Times New Roman" w:eastAsia="Times New Roman" w:hAnsi="Times New Roman"/>
          <w:sz w:val="18"/>
          <w:szCs w:val="18"/>
          <w:color w:val="auto"/>
        </w:rPr>
        <w:t>, the voice instruction was verified by a call-back according to a prearranged procedure.</w:t>
      </w:r>
    </w:p>
    <w:p>
      <w:pPr>
        <w:spacing w:after="0" w:line="92"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Proof of loss for claim(s) under this Insuring Agreement must include electronic recordings of such voice instructions and the verification call-back, if such call was required.</w:t>
      </w:r>
    </w:p>
    <w:p>
      <w:pPr>
        <w:spacing w:after="0" w:line="37" w:lineRule="exact"/>
        <w:rPr>
          <w:sz w:val="20"/>
          <w:szCs w:val="20"/>
          <w:color w:val="auto"/>
        </w:rPr>
      </w:pPr>
    </w:p>
    <w:p>
      <w:pPr>
        <w:ind w:left="460" w:right="240" w:hanging="452"/>
        <w:spacing w:after="0" w:line="277"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the coverage provided by the </w:t>
      </w:r>
      <w:r>
        <w:rPr>
          <w:rFonts w:ascii="Times New Roman" w:cs="Times New Roman" w:eastAsia="Times New Roman" w:hAnsi="Times New Roman"/>
          <w:sz w:val="18"/>
          <w:szCs w:val="18"/>
          <w:b w:val="1"/>
          <w:bCs w:val="1"/>
          <w:color w:val="auto"/>
        </w:rPr>
        <w:t>VOICE INITIATED TRANSFER FRAUD</w:t>
      </w:r>
      <w:r>
        <w:rPr>
          <w:rFonts w:ascii="Times New Roman" w:cs="Times New Roman" w:eastAsia="Times New Roman" w:hAnsi="Times New Roman"/>
          <w:sz w:val="18"/>
          <w:szCs w:val="18"/>
          <w:color w:val="auto"/>
        </w:rPr>
        <w:t xml:space="preserve"> Insuring Agreement, the following definitions shall apply: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101823(06/09)</w:t>
      </w:r>
    </w:p>
    <w:p>
      <w:pPr>
        <w:sectPr>
          <w:pgSz w:w="11900" w:h="16838" w:orient="portrait"/>
          <w:cols w:equalWidth="0" w:num="1">
            <w:col w:w="11400"/>
          </w:cols>
          <w:pgMar w:left="240" w:top="272" w:right="259" w:bottom="1440" w:gutter="0" w:footer="0" w:header="0"/>
        </w:sectPr>
      </w:pPr>
    </w:p>
    <w:bookmarkStart w:id="44" w:name="page45"/>
    <w:bookmarkEnd w:id="44"/>
    <w:p>
      <w:pPr>
        <w:ind w:left="460"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“Customer” means an entity or individual which has a written agreement with the Insured authorizing the Insured to rely on voice instructions to make transfers and which has provided the Insured with the names of persons authorized to initiate such transfers and with which the Insured has established an instruction verification mechanism.</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means Money on deposit in an account.</w:t>
      </w:r>
    </w:p>
    <w:p>
      <w:pPr>
        <w:spacing w:after="0" w:line="88" w:lineRule="exact"/>
        <w:rPr>
          <w:sz w:val="20"/>
          <w:szCs w:val="20"/>
          <w:color w:val="auto"/>
        </w:rPr>
      </w:pPr>
    </w:p>
    <w:p>
      <w:pPr>
        <w:ind w:left="460" w:right="400" w:hanging="452"/>
        <w:spacing w:after="0" w:line="277"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the coverage provided by this Insuring Agreement, Section 2. EXCLUSIONS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Clause is amended to include the following exclusion at the end thereof:</w:t>
      </w:r>
    </w:p>
    <w:p>
      <w:pPr>
        <w:spacing w:after="0" w:line="37" w:lineRule="exact"/>
        <w:rPr>
          <w:rFonts w:ascii="Times New Roman" w:cs="Times New Roman" w:eastAsia="Times New Roman" w:hAnsi="Times New Roman"/>
          <w:sz w:val="18"/>
          <w:szCs w:val="18"/>
          <w:color w:val="auto"/>
        </w:rPr>
      </w:pPr>
    </w:p>
    <w:p>
      <w:pPr>
        <w:ind w:left="460"/>
        <w:spacing w:after="0" w:line="3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loss alleging, arising out of, based upon or attributable to any actual or alleged contractual liability of any Insured under any express contract or agreement; provided, however, that this exclusion shall not apply to liability which would have attached in the absence of such express contract or agreement.</w:t>
      </w:r>
    </w:p>
    <w:p>
      <w:pPr>
        <w:spacing w:after="0" w:line="1"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8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101823(06/09)</w:t>
      </w:r>
    </w:p>
    <w:p>
      <w:pPr>
        <w:sectPr>
          <w:pgSz w:w="11900" w:h="16838" w:orient="portrait"/>
          <w:cols w:equalWidth="0" w:num="1">
            <w:col w:w="11380"/>
          </w:cols>
          <w:pgMar w:left="240" w:top="274" w:right="27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DEFINITION OF EMPLOYEE</w:t>
      </w:r>
    </w:p>
    <w:p>
      <w:pPr>
        <w:spacing w:after="0" w:line="17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consideration of the premium charged, it is hereby understood and agreed that in the CONDITIONS AND LIMITATIONS section, Definition (e) Employee is deleted in its entirety and replaced with the following:</w:t>
      </w:r>
    </w:p>
    <w:p>
      <w:pPr>
        <w:spacing w:after="0" w:line="39"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Insured’s officers, partners, or employees, and</w:t>
      </w:r>
    </w:p>
    <w:p>
      <w:pPr>
        <w:spacing w:after="0" w:line="90"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officers or employees of any predecessor of the Insured whose principal assets are acquired by the Insured by consolidation or merger with, or purchase of assets or capital stock of such predecessor, and</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 students pursuing their studies or duties in any of the Insured’s offices, and</w:t>
      </w:r>
    </w:p>
    <w:p>
      <w:pPr>
        <w:spacing w:after="0" w:line="90" w:lineRule="exact"/>
        <w:rPr>
          <w:rFonts w:ascii="Times New Roman" w:cs="Times New Roman" w:eastAsia="Times New Roman" w:hAnsi="Times New Roman"/>
          <w:sz w:val="18"/>
          <w:szCs w:val="18"/>
          <w:color w:val="auto"/>
        </w:rPr>
      </w:pPr>
    </w:p>
    <w:p>
      <w:pPr>
        <w:ind w:left="900" w:right="220" w:hanging="446"/>
        <w:spacing w:after="0" w:line="258" w:lineRule="auto"/>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55"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38" w:lineRule="exact"/>
        <w:rPr>
          <w:rFonts w:ascii="Times New Roman" w:cs="Times New Roman" w:eastAsia="Times New Roman" w:hAnsi="Times New Roman"/>
          <w:sz w:val="18"/>
          <w:szCs w:val="18"/>
          <w:color w:val="auto"/>
        </w:rPr>
      </w:pPr>
    </w:p>
    <w:p>
      <w:pPr>
        <w:ind w:left="900" w:right="120" w:hanging="446"/>
        <w:spacing w:after="0" w:line="262" w:lineRule="auto"/>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MNSCPT</w:t>
      </w:r>
    </w:p>
    <w:p>
      <w:pPr>
        <w:sectPr>
          <w:pgSz w:w="11900" w:h="16838" w:orient="portrait"/>
          <w:cols w:equalWidth="0" w:num="1">
            <w:col w:w="11380"/>
          </w:cols>
          <w:pgMar w:left="240" w:top="272" w:right="279" w:bottom="1440" w:gutter="0" w:footer="0" w:header="0"/>
        </w:sectPr>
      </w:pPr>
    </w:p>
    <w:bookmarkStart w:id="46" w:name="page47"/>
    <w:bookmarkEnd w:id="46"/>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persons so designated in Section 15, Central Handling of Securities, and</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while in the course of performing duties for TPG Specialty Lending, any employee of (i) TSL Advisers, LLC; (ii) TPG Opportunities Partners, L.P.; or (iii) members of TPG Specialty Lending, Inc.’s Investment Review Committee.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and/or other required records,</w:t>
      </w:r>
    </w:p>
    <w:p>
      <w:pPr>
        <w:spacing w:after="0" w:line="90"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58"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Brokers, or other agents under contract or representatives of the same general character shall not be considered Employees.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142875</wp:posOffset>
            </wp:positionV>
            <wp:extent cx="2898775" cy="574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MNSCPT</w:t>
      </w:r>
    </w:p>
    <w:p>
      <w:pPr>
        <w:sectPr>
          <w:pgSz w:w="11900" w:h="16838" w:orient="portrait"/>
          <w:cols w:equalWidth="0" w:num="1">
            <w:col w:w="11400"/>
          </w:cols>
          <w:pgMar w:left="240" w:top="274" w:right="259" w:bottom="1440" w:gutter="0" w:footer="0" w:header="0"/>
        </w:sectPr>
      </w:pPr>
    </w:p>
    <w:bookmarkStart w:id="47" w:name="page48"/>
    <w:bookmarkEnd w:id="4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NAMED INSURED AMENDED RIDER</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(Subsidiary Greater Than 50%)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right="80" w:hanging="452"/>
        <w:spacing w:after="0" w:line="262"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of Insured stated in Item 1 of the Declarations (“Named Insured”) shall also include any subsidiary, or acquired company or corporation, or other business entity which is more than fifty percent (50%) owned by the Insured or any of its subsidiary companies covered hereunder all subject to the provisions of General Agreement B.</w:t>
      </w:r>
    </w:p>
    <w:p>
      <w:pPr>
        <w:spacing w:after="0" w:line="51"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65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MNSCPT</w:t>
      </w:r>
    </w:p>
    <w:p>
      <w:pPr>
        <w:sectPr>
          <w:pgSz w:w="11900" w:h="16838" w:orient="portrait"/>
          <w:cols w:equalWidth="0" w:num="1">
            <w:col w:w="11300"/>
          </w:cols>
          <w:pgMar w:left="240" w:top="272" w:right="359" w:bottom="1440" w:gutter="0" w:footer="0" w:header="0"/>
        </w:sectPr>
      </w:pPr>
    </w:p>
    <w:bookmarkStart w:id="48" w:name="page49"/>
    <w:bookmarkEnd w:id="4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STATE AMENDATORY INCONSISTENT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hereby understood and agreed as follows:</w:t>
      </w:r>
    </w:p>
    <w:p>
      <w:pPr>
        <w:spacing w:after="0" w:line="90" w:lineRule="exact"/>
        <w:rPr>
          <w:sz w:val="20"/>
          <w:szCs w:val="20"/>
          <w:color w:val="auto"/>
        </w:rPr>
      </w:pPr>
    </w:p>
    <w:p>
      <w:pPr>
        <w:jc w:val="both"/>
        <w:ind w:left="460" w:right="40" w:hanging="452"/>
        <w:spacing w:after="0" w:line="310" w:lineRule="auto"/>
        <w:tabs>
          <w:tab w:leader="none" w:pos="4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there is an inconsistency between any: (a) state amendatory attached to this policy, or any other wording attached to this policy to comply with applicable law; and (b) any other term, condition or limitation of this policy; then, to the extent permitted by law, subject to the limitations below, the Insurer will resolve the inconsistency by applying the terms, conditions or limitations that are more favorable to the policyholder.</w:t>
      </w:r>
    </w:p>
    <w:p>
      <w:pPr>
        <w:spacing w:after="0" w:line="16" w:lineRule="exact"/>
        <w:rPr>
          <w:rFonts w:ascii="Times New Roman" w:cs="Times New Roman" w:eastAsia="Times New Roman" w:hAnsi="Times New Roman"/>
          <w:sz w:val="16"/>
          <w:szCs w:val="16"/>
          <w:color w:val="auto"/>
        </w:rPr>
      </w:pPr>
    </w:p>
    <w:p>
      <w:pPr>
        <w:ind w:left="460" w:hanging="452"/>
        <w:spacing w:after="0" w:line="262"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endorsement shall not apply to the extent that: (a) any state amendatory or other wording expressly limits coverage in order to comply with applicable law, or (b) any such amendatory or other compliance wording amends language applicable to premium. In such events, the state amendatory or other compliance wording will govern over any other term, condition or limitation of the policy.</w:t>
      </w:r>
    </w:p>
    <w:p>
      <w:pPr>
        <w:spacing w:after="0" w:line="51"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means the first Named Entity, Named Organization, Named Corporation, Named Sponsor, Named Insured or other policyholder designated in Item 1 of the Declarations of this policy.</w:t>
      </w: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142875</wp:posOffset>
            </wp:positionV>
            <wp:extent cx="2495550" cy="565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4098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MNSCPT</w:t>
      </w:r>
    </w:p>
    <w:p>
      <w:pPr>
        <w:sectPr>
          <w:pgSz w:w="11900" w:h="16838" w:orient="portrait"/>
          <w:cols w:equalWidth="0" w:num="1">
            <w:col w:w="11340"/>
          </w:cols>
          <w:pgMar w:left="240" w:top="272" w:right="319" w:bottom="1440" w:gutter="0" w:footer="0" w:header="0"/>
        </w:sectPr>
      </w:pPr>
    </w:p>
    <w:bookmarkStart w:id="49" w:name="page50"/>
    <w:bookmarkEnd w:id="4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DISCOVERY AMENDED RIDER</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(ALL SECTIONS)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88" w:lineRule="exact"/>
        <w:rPr>
          <w:sz w:val="20"/>
          <w:szCs w:val="20"/>
          <w:color w:val="auto"/>
        </w:rPr>
      </w:pPr>
    </w:p>
    <w:p>
      <w:pPr>
        <w:ind w:left="460" w:right="100" w:hanging="452"/>
        <w:spacing w:after="0" w:line="277"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 Agreement F. NOTICE OF LEGAL PROCEEDINGS AGAINST INSURED - ELECTION TO DEFEND of the </w:t>
      </w:r>
      <w:r>
        <w:rPr>
          <w:rFonts w:ascii="Times New Roman" w:cs="Times New Roman" w:eastAsia="Times New Roman" w:hAnsi="Times New Roman"/>
          <w:sz w:val="18"/>
          <w:szCs w:val="18"/>
          <w:b w:val="1"/>
          <w:bCs w:val="1"/>
          <w:color w:val="auto"/>
        </w:rPr>
        <w:t>GENERAL AGREEMENTS</w:t>
      </w:r>
      <w:r>
        <w:rPr>
          <w:rFonts w:ascii="Times New Roman" w:cs="Times New Roman" w:eastAsia="Times New Roman" w:hAnsi="Times New Roman"/>
          <w:sz w:val="18"/>
          <w:szCs w:val="18"/>
          <w:color w:val="auto"/>
        </w:rPr>
        <w:t xml:space="preserve"> Clause is hereby amended by deleting the first paragraph in its entirety and replacing it with the following:</w:t>
      </w:r>
    </w:p>
    <w:p>
      <w:pPr>
        <w:spacing w:after="0" w:line="35" w:lineRule="exact"/>
        <w:rPr>
          <w:rFonts w:ascii="Times New Roman" w:cs="Times New Roman" w:eastAsia="Times New Roman" w:hAnsi="Times New Roman"/>
          <w:sz w:val="18"/>
          <w:szCs w:val="18"/>
          <w:color w:val="auto"/>
        </w:rPr>
      </w:pPr>
    </w:p>
    <w:p>
      <w:pPr>
        <w:ind w:left="460" w:right="12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Office of the General Counsel, Risk Management Department, or Human Resources Department</w:t>
      </w:r>
      <w:r>
        <w:rPr>
          <w:rFonts w:ascii="Times New Roman" w:cs="Times New Roman" w:eastAsia="Times New Roman" w:hAnsi="Times New Roman"/>
          <w:sz w:val="18"/>
          <w:szCs w:val="18"/>
          <w:color w:val="auto"/>
        </w:rPr>
        <w:t xml:space="preserve"> of the Insured shall notify the Underwriter at the earliest practicable moment, not to exceed 60 days after notice thereof, of any legal proceeding brought to determine the Insured’s liability for any loss, claim or damage, which, if established, would constitute a collectible loss under this bond. Contemporaneously with any such notice, the Insured shall furnish copies of all pleadings and pertinent papers to the Underwriter.</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3. DISCOVERY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section is hereby deleted in its entirety and replaced with the following:</w:t>
      </w:r>
    </w:p>
    <w:p>
      <w:pPr>
        <w:spacing w:after="0" w:line="90" w:lineRule="exact"/>
        <w:rPr>
          <w:rFonts w:ascii="Times New Roman" w:cs="Times New Roman" w:eastAsia="Times New Roman" w:hAnsi="Times New Roman"/>
          <w:sz w:val="18"/>
          <w:szCs w:val="18"/>
          <w:color w:val="auto"/>
        </w:rPr>
      </w:pPr>
    </w:p>
    <w:p>
      <w:pPr>
        <w:ind w:left="460" w:right="6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This bond applies to loss discovered by the </w:t>
      </w:r>
      <w:r>
        <w:rPr>
          <w:rFonts w:ascii="Times New Roman" w:cs="Times New Roman" w:eastAsia="Times New Roman" w:hAnsi="Times New Roman"/>
          <w:sz w:val="16"/>
          <w:szCs w:val="16"/>
          <w:i w:val="1"/>
          <w:iCs w:val="1"/>
          <w:color w:val="auto"/>
        </w:rPr>
        <w:t>Office of the General Counsel, Risk Management Department, or Human Resources Department</w:t>
      </w:r>
      <w:r>
        <w:rPr>
          <w:rFonts w:ascii="Times New Roman" w:cs="Times New Roman" w:eastAsia="Times New Roman" w:hAnsi="Times New Roman"/>
          <w:sz w:val="16"/>
          <w:szCs w:val="16"/>
          <w:color w:val="auto"/>
        </w:rPr>
        <w:t xml:space="preserve"> during the Bond Period. Discovery occurs when the </w:t>
      </w:r>
      <w:r>
        <w:rPr>
          <w:rFonts w:ascii="Times New Roman" w:cs="Times New Roman" w:eastAsia="Times New Roman" w:hAnsi="Times New Roman"/>
          <w:sz w:val="16"/>
          <w:szCs w:val="16"/>
          <w:i w:val="1"/>
          <w:iCs w:val="1"/>
          <w:color w:val="auto"/>
        </w:rPr>
        <w:t>Office of the General Counsel, Risk Management Department, or Human Resources Department</w:t>
      </w:r>
      <w:r>
        <w:rPr>
          <w:rFonts w:ascii="Times New Roman" w:cs="Times New Roman" w:eastAsia="Times New Roman" w:hAnsi="Times New Roman"/>
          <w:sz w:val="16"/>
          <w:szCs w:val="16"/>
          <w:color w:val="auto"/>
        </w:rPr>
        <w:t xml:space="preserve"> first becomes aware of facts which would cause a reasonable person to assume that a loss of the type covered by this bond has been or will be incurred, regardless of when the act or acts causing or contributing to such loss occurred, even though the exact amount or details of loss may not then be known.</w:t>
      </w:r>
    </w:p>
    <w:p>
      <w:pPr>
        <w:spacing w:after="0" w:line="100"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6"/>
          <w:szCs w:val="16"/>
          <w:color w:val="auto"/>
        </w:rPr>
        <w:t xml:space="preserve">Discovery also occurs when the </w:t>
      </w:r>
      <w:r>
        <w:rPr>
          <w:rFonts w:ascii="Times New Roman" w:cs="Times New Roman" w:eastAsia="Times New Roman" w:hAnsi="Times New Roman"/>
          <w:sz w:val="16"/>
          <w:szCs w:val="16"/>
          <w:i w:val="1"/>
          <w:iCs w:val="1"/>
          <w:color w:val="auto"/>
        </w:rPr>
        <w:t>Office of the General Counsel, Risk Management Department, or Human Resources Department</w:t>
      </w:r>
      <w:r>
        <w:rPr>
          <w:rFonts w:ascii="Times New Roman" w:cs="Times New Roman" w:eastAsia="Times New Roman" w:hAnsi="Times New Roman"/>
          <w:sz w:val="16"/>
          <w:szCs w:val="16"/>
          <w:color w:val="auto"/>
        </w:rPr>
        <w:t xml:space="preserve"> receives notice of an actual or potential claim in which it is alleged that the Insured is liable to a third party under circumstances which, if true, would constitute a loss under this bond.</w:t>
      </w:r>
    </w:p>
    <w:p>
      <w:pPr>
        <w:spacing w:after="0" w:line="1" w:lineRule="exact"/>
        <w:rPr>
          <w:sz w:val="20"/>
          <w:szCs w:val="20"/>
          <w:color w:val="auto"/>
        </w:rPr>
      </w:pPr>
    </w:p>
    <w:p>
      <w:pPr>
        <w:ind w:left="460" w:right="320" w:hanging="452"/>
        <w:spacing w:after="0" w:line="277"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Paragraph (a) Section 5. NOTICE/ PROOF---LEGAL PROCEEDINGS AGAINST UNDERWRITER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Clause is deleted in its entirety and replace with the following: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101781(06/09)</w:t>
      </w:r>
    </w:p>
    <w:p>
      <w:pPr>
        <w:sectPr>
          <w:pgSz w:w="11900" w:h="16838" w:orient="portrait"/>
          <w:cols w:equalWidth="0" w:num="1">
            <w:col w:w="11220"/>
          </w:cols>
          <w:pgMar w:left="240" w:top="272" w:right="439" w:bottom="1440" w:gutter="0" w:footer="0" w:header="0"/>
        </w:sectPr>
      </w:pPr>
    </w:p>
    <w:bookmarkStart w:id="50" w:name="page51"/>
    <w:bookmarkEnd w:id="50"/>
    <w:p>
      <w:pPr>
        <w:ind w:left="900" w:right="760" w:hanging="446"/>
        <w:spacing w:after="0" w:line="277" w:lineRule="auto"/>
        <w:tabs>
          <w:tab w:leader="none" w:pos="9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 the earliest practicable moment, not to exceed 60 days, after discovery of loss by the </w:t>
      </w:r>
      <w:r>
        <w:rPr>
          <w:rFonts w:ascii="Times New Roman" w:cs="Times New Roman" w:eastAsia="Times New Roman" w:hAnsi="Times New Roman"/>
          <w:sz w:val="18"/>
          <w:szCs w:val="18"/>
          <w:i w:val="1"/>
          <w:iCs w:val="1"/>
          <w:color w:val="auto"/>
        </w:rPr>
        <w:t>Office of the General Counsel, Risk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Department, or Human Resources Department</w:t>
      </w:r>
      <w:r>
        <w:rPr>
          <w:rFonts w:ascii="Times New Roman" w:cs="Times New Roman" w:eastAsia="Times New Roman" w:hAnsi="Times New Roman"/>
          <w:sz w:val="18"/>
          <w:szCs w:val="18"/>
          <w:color w:val="auto"/>
        </w:rPr>
        <w:t>, the Insured shall give the Underwriter notice thereof.</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74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555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101781(06/09)</w:t>
      </w:r>
    </w:p>
    <w:p>
      <w:pPr>
        <w:sectPr>
          <w:pgSz w:w="11900" w:h="16838" w:orient="portrait"/>
          <w:cols w:equalWidth="0" w:num="1">
            <w:col w:w="11300"/>
          </w:cols>
          <w:pgMar w:left="240" w:top="272" w:right="3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#18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CLAIMS EXPENSE INSURING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consideration of the premium charged, it is hereby understood and agreed that the bond is amended by adding Insuring Agreement ( G ) to the bond as follows:</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CLAIMS EXPENSE</w:t>
      </w:r>
    </w:p>
    <w:p>
      <w:pPr>
        <w:spacing w:after="0" w:line="214" w:lineRule="exact"/>
        <w:rPr>
          <w:sz w:val="20"/>
          <w:szCs w:val="20"/>
          <w:color w:val="auto"/>
        </w:rPr>
      </w:pPr>
    </w:p>
    <w:p>
      <w:pPr>
        <w:ind w:left="900" w:hanging="446"/>
        <w:spacing w:after="0" w:line="293" w:lineRule="auto"/>
        <w:tabs>
          <w:tab w:leader="none" w:pos="9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Reasonable expenses (excluding the cost of services rendered by employees of the Insured) necessarily incurred and paid by the Insured in preparing any valid claim for loss, as defined in Insuring Agreements A, B, C, D, E, and F, and any other valid coverage added by rider, which loss exceeds the Single Loss Deductible Amount of </w:t>
      </w:r>
      <w:r>
        <w:rPr>
          <w:rFonts w:ascii="Times New Roman" w:cs="Times New Roman" w:eastAsia="Times New Roman" w:hAnsi="Times New Roman"/>
          <w:sz w:val="16"/>
          <w:szCs w:val="16"/>
          <w:i w:val="1"/>
          <w:iCs w:val="1"/>
          <w:color w:val="auto"/>
        </w:rPr>
        <w:t>$5,000</w:t>
      </w:r>
      <w:r>
        <w:rPr>
          <w:rFonts w:ascii="Times New Roman" w:cs="Times New Roman" w:eastAsia="Times New Roman" w:hAnsi="Times New Roman"/>
          <w:sz w:val="16"/>
          <w:szCs w:val="16"/>
          <w:color w:val="auto"/>
        </w:rPr>
        <w:t xml:space="preserve">. If no loss is established hereunder, then the Insured will bear all such expenses. The Underwriter’s maximum liability for such expenses paid by the Insured in preparing any one such claim shall be limited to </w:t>
      </w:r>
      <w:r>
        <w:rPr>
          <w:rFonts w:ascii="Times New Roman" w:cs="Times New Roman" w:eastAsia="Times New Roman" w:hAnsi="Times New Roman"/>
          <w:sz w:val="16"/>
          <w:szCs w:val="16"/>
          <w:i w:val="1"/>
          <w:iCs w:val="1"/>
          <w:color w:val="auto"/>
        </w:rPr>
        <w:t>$50,000</w:t>
      </w:r>
      <w:r>
        <w:rPr>
          <w:rFonts w:ascii="Times New Roman" w:cs="Times New Roman" w:eastAsia="Times New Roman" w:hAnsi="Times New Roman"/>
          <w:sz w:val="16"/>
          <w:szCs w:val="16"/>
          <w:color w:val="auto"/>
        </w:rPr>
        <w:t xml:space="preserve"> which is part of, and not in addition to, the Aggregate Limit of Liability stated on the Declaration Page of this bond. There shall be no coverage hereunder for any expenses arising out of any legal dispute, suit or arbitration with the Underwriter. This coverage is subject to a deductible of </w:t>
      </w:r>
      <w:r>
        <w:rPr>
          <w:rFonts w:ascii="Times New Roman" w:cs="Times New Roman" w:eastAsia="Times New Roman" w:hAnsi="Times New Roman"/>
          <w:sz w:val="16"/>
          <w:szCs w:val="16"/>
          <w:i w:val="1"/>
          <w:iCs w:val="1"/>
          <w:color w:val="auto"/>
        </w:rPr>
        <w:t>$50,000</w:t>
      </w:r>
      <w:r>
        <w:rPr>
          <w:rFonts w:ascii="Times New Roman" w:cs="Times New Roman" w:eastAsia="Times New Roman" w:hAnsi="Times New Roman"/>
          <w:sz w:val="16"/>
          <w:szCs w:val="16"/>
          <w:color w:val="auto"/>
        </w:rPr>
        <w:t xml:space="preserve"> each and every loss.</w:t>
      </w:r>
    </w:p>
    <w:p>
      <w:pPr>
        <w:spacing w:after="0" w:line="11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Solely for the purpose of the coverage afforded by this rider, Section 2. EXCLUSIONS, paragraph (u)(1) of the CONDITIONS AND LIMITATIONS section is hereby deleted in its entirety.</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20" w:hanging="124"/>
        <w:spacing w:after="0"/>
        <w:tabs>
          <w:tab w:leader="none" w:pos="5120" w:val="left"/>
        </w:tabs>
        <w:numPr>
          <w:ilvl w:val="0"/>
          <w:numId w:val="9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495550" cy="574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9555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99798(08/08</w:t>
      </w:r>
      <w:r>
        <w:rPr>
          <w:rFonts w:ascii="Times New Roman" w:cs="Times New Roman" w:eastAsia="Times New Roman" w:hAnsi="Times New Roman"/>
          <w:sz w:val="18"/>
          <w:szCs w:val="18"/>
          <w:b w:val="1"/>
          <w:bCs w:val="1"/>
          <w:u w:val="single" w:color="auto"/>
          <w:color w:val="auto"/>
        </w:rPr>
        <w:t>)</w:t>
      </w:r>
    </w:p>
    <w:p>
      <w:pPr>
        <w:sectPr>
          <w:pgSz w:w="11900" w:h="16838" w:orient="portrait"/>
          <w:cols w:equalWidth="0" w:num="1">
            <w:col w:w="11380"/>
          </w:cols>
          <w:pgMar w:left="240" w:top="272" w:right="27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COMPUTER CRIME COVERAGE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hereby understood and agreed that bond is hereby amended as follows:</w:t>
      </w:r>
    </w:p>
    <w:p>
      <w:pPr>
        <w:spacing w:after="0" w:line="90" w:lineRule="exact"/>
        <w:rPr>
          <w:sz w:val="20"/>
          <w:szCs w:val="20"/>
          <w:color w:val="auto"/>
        </w:rPr>
      </w:pPr>
    </w:p>
    <w:p>
      <w:pPr>
        <w:ind w:left="460" w:right="620" w:hanging="452"/>
        <w:spacing w:after="0" w:line="275"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terms and conditions of bond Form 14 October 1, 1987 shall apply to coverage as is afforded by this endorsement unless specifically stated otherwise herein or in any endorsement attached hereto.</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4 of the Declarations is hereby amended by adding the following under Optional Insuring Agreements and Coverages: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w w:val="97"/>
              </w:rPr>
              <w:t>Single Loss</w:t>
            </w:r>
          </w:p>
        </w:tc>
        <w:tc>
          <w:tcPr>
            <w:tcW w:w="5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Loss</w:t>
            </w: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w w:val="93"/>
              </w:rPr>
              <w:t>Limit of Liability</w:t>
            </w:r>
          </w:p>
        </w:tc>
        <w:tc>
          <w:tcPr>
            <w:tcW w:w="5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Deductible</w:t>
            </w: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Systems Fraud</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 Service Operations</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Voice Initiated Transfer Fraud</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Telefacsimile Transfer Fraud</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Destruction of Data or Programs by Hacker</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Destruction of Data or Programs by Virus</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Voice Computer Systems Fraud</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shd w:val="clear" w:color="auto" w:fill="CCEEFF"/>
          </w:tcPr>
          <w:p>
            <w:pPr>
              <w:spacing w:after="0"/>
              <w:rPr>
                <w:sz w:val="18"/>
                <w:szCs w:val="18"/>
                <w:color w:val="auto"/>
              </w:rPr>
            </w:pPr>
          </w:p>
        </w:tc>
      </w:tr>
      <w:tr>
        <w:trPr>
          <w:trHeight w:val="417"/>
        </w:trPr>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3.</w:t>
            </w: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Declarations page is hereby amended by adding the following paragraph to the end thereof:</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71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71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Voice Initiated Transfer Fraud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69" w:lineRule="exact"/>
        <w:rPr>
          <w:sz w:val="20"/>
          <w:szCs w:val="20"/>
          <w:color w:val="auto"/>
        </w:rPr>
      </w:pPr>
    </w:p>
    <w:p>
      <w:pPr>
        <w:ind w:left="920"/>
        <w:spacing w:after="0" w:line="275" w:lineRule="auto"/>
        <w:rPr>
          <w:sz w:val="20"/>
          <w:szCs w:val="20"/>
          <w:color w:val="auto"/>
        </w:rPr>
      </w:pPr>
      <w:r>
        <w:rPr>
          <w:rFonts w:ascii="Times New Roman" w:cs="Times New Roman" w:eastAsia="Times New Roman" w:hAnsi="Times New Roman"/>
          <w:sz w:val="18"/>
          <w:szCs w:val="18"/>
          <w:color w:val="auto"/>
        </w:rPr>
        <w:t>Under the terms of the Voice Initiated Transfer Fraud Insuring Agreement, the Insured must place verification call-back for each transfer in excess of $100,000</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Telefacsimile Transfer Fraud</w:t>
      </w:r>
    </w:p>
    <w:p>
      <w:pPr>
        <w:spacing w:after="0" w:line="92" w:lineRule="exact"/>
        <w:rPr>
          <w:sz w:val="20"/>
          <w:szCs w:val="20"/>
          <w:color w:val="auto"/>
        </w:rPr>
      </w:pPr>
    </w:p>
    <w:p>
      <w:pPr>
        <w:ind w:left="920" w:right="120"/>
        <w:spacing w:after="0" w:line="275" w:lineRule="auto"/>
        <w:rPr>
          <w:sz w:val="20"/>
          <w:szCs w:val="20"/>
          <w:color w:val="auto"/>
        </w:rPr>
      </w:pPr>
      <w:r>
        <w:rPr>
          <w:rFonts w:ascii="Times New Roman" w:cs="Times New Roman" w:eastAsia="Times New Roman" w:hAnsi="Times New Roman"/>
          <w:sz w:val="18"/>
          <w:szCs w:val="18"/>
          <w:color w:val="auto"/>
        </w:rPr>
        <w:t>Under the terms of the Telefacsimile Transfer Fraud Insuring Agreement, the Insured must place a Verification call-back for each transfer in excess of $100,000.</w:t>
      </w:r>
    </w:p>
    <w:p>
      <w:pPr>
        <w:spacing w:after="0" w:line="39" w:lineRule="exact"/>
        <w:rPr>
          <w:sz w:val="20"/>
          <w:szCs w:val="20"/>
          <w:color w:val="auto"/>
        </w:rPr>
      </w:pPr>
    </w:p>
    <w:p>
      <w:pPr>
        <w:ind w:right="3520" w:firstLine="8"/>
        <w:spacing w:after="0" w:line="447" w:lineRule="auto"/>
        <w:tabs>
          <w:tab w:leader="none" w:pos="4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are hereby amended by adding the following Insuring Agreements to the Bond: 100107 (09/08)</w:t>
      </w:r>
    </w:p>
    <w:p>
      <w:pPr>
        <w:sectPr>
          <w:pgSz w:w="11900" w:h="16838" w:orient="portrait"/>
          <w:cols w:equalWidth="0" w:num="1">
            <w:col w:w="11380"/>
          </w:cols>
          <w:pgMar w:left="240" w:top="272" w:right="279" w:bottom="1440" w:gutter="0" w:footer="0" w:header="0"/>
        </w:sectPr>
      </w:pPr>
    </w:p>
    <w:bookmarkStart w:id="53" w:name="page54"/>
    <w:bookmarkEnd w:id="5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COMPUTER SYSTEMS FRAUD</w:t>
      </w:r>
    </w:p>
    <w:p>
      <w:pPr>
        <w:spacing w:after="0" w:line="214"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a fraudulent: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Electronic Data or Computer Program into,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Electronic Data or Computer Program within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any Computer System operated by the Insured, whether owned or leased; or any Computer System identified in the application for this bond; or a</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Computer System first used by the Insured during the bond period; as provided by General Agreement B; provided the entry or change causes:</w:t>
      </w:r>
    </w:p>
    <w:p>
      <w:pPr>
        <w:spacing w:after="0" w:line="78" w:lineRule="exact"/>
        <w:rPr>
          <w:sz w:val="20"/>
          <w:szCs w:val="20"/>
          <w:color w:val="auto"/>
        </w:rPr>
      </w:pPr>
    </w:p>
    <w:p>
      <w:pPr>
        <w:ind w:left="1480" w:hanging="567"/>
        <w:spacing w:after="0"/>
        <w:tabs>
          <w:tab w:leader="none" w:pos="1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to be transferred, paid or delivered,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account or a fictitious account to be debited or credited.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this Insuring Agreement, fraudulent entry or change shall include such entry or change made by an Employee of the Insured acting in good faith:</w:t>
      </w:r>
    </w:p>
    <w:p>
      <w:pPr>
        <w:spacing w:after="0" w:line="90" w:lineRule="exact"/>
        <w:rPr>
          <w:sz w:val="20"/>
          <w:szCs w:val="20"/>
          <w:color w:val="auto"/>
        </w:rPr>
      </w:pPr>
    </w:p>
    <w:p>
      <w:pPr>
        <w:ind w:left="1480" w:right="140" w:hanging="567"/>
        <w:spacing w:after="0" w:line="275" w:lineRule="auto"/>
        <w:tabs>
          <w:tab w:leader="none" w:pos="14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instruction from a software contractor who has a written agreement with the Insured to design, implement or service programs for a Computer System covered by this Insuring Agreement, or</w:t>
      </w:r>
    </w:p>
    <w:p>
      <w:pPr>
        <w:spacing w:after="0" w:line="38" w:lineRule="exact"/>
        <w:rPr>
          <w:rFonts w:ascii="Times New Roman" w:cs="Times New Roman" w:eastAsia="Times New Roman" w:hAnsi="Times New Roman"/>
          <w:sz w:val="18"/>
          <w:szCs w:val="18"/>
          <w:color w:val="auto"/>
        </w:rPr>
      </w:pPr>
    </w:p>
    <w:p>
      <w:pPr>
        <w:ind w:left="1480" w:right="720" w:hanging="567"/>
        <w:spacing w:after="0" w:line="275" w:lineRule="auto"/>
        <w:tabs>
          <w:tab w:leader="none" w:pos="14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instruction transmitted by Tested telex or similar means of Tested communication identified in the application for this bond purportedly sent by a customer, financial institution or automated clearing house.</w:t>
      </w: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DATA PROCESSING SERVICE OPERATIONS</w:t>
      </w:r>
    </w:p>
    <w:p>
      <w:pPr>
        <w:spacing w:after="0" w:line="214" w:lineRule="exact"/>
        <w:rPr>
          <w:sz w:val="20"/>
          <w:szCs w:val="20"/>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 Client of the Insured resulting directly from a fraudulent: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Electronic Data or a Computer Program into,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Electronic Data or a Computer Program within</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Computer System covered under the terms of the </w:t>
      </w:r>
      <w:r>
        <w:rPr>
          <w:rFonts w:ascii="Times New Roman" w:cs="Times New Roman" w:eastAsia="Times New Roman" w:hAnsi="Times New Roman"/>
          <w:sz w:val="18"/>
          <w:szCs w:val="18"/>
          <w:b w:val="1"/>
          <w:bCs w:val="1"/>
          <w:color w:val="auto"/>
        </w:rPr>
        <w:t>COMPUTER SYSTEMS FRAUD</w:t>
      </w:r>
      <w:r>
        <w:rPr>
          <w:rFonts w:ascii="Times New Roman" w:cs="Times New Roman" w:eastAsia="Times New Roman" w:hAnsi="Times New Roman"/>
          <w:sz w:val="18"/>
          <w:szCs w:val="18"/>
          <w:color w:val="auto"/>
        </w:rPr>
        <w:t xml:space="preserve"> Insuring Agreement, or</w:t>
      </w:r>
    </w:p>
    <w:p>
      <w:pPr>
        <w:spacing w:after="0" w:line="92" w:lineRule="exact"/>
        <w:rPr>
          <w:sz w:val="20"/>
          <w:szCs w:val="20"/>
          <w:color w:val="auto"/>
        </w:rPr>
      </w:pPr>
    </w:p>
    <w:p>
      <w:pPr>
        <w:ind w:left="900" w:hanging="446"/>
        <w:spacing w:after="0" w:line="275"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or change of Electronic Data during electronic transmission or physical transit from the Insured to its Client, provided that the entry or change causes:</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to be transferred, paid or delivered,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Client, or a customer of the Client, to be added, deleted, debited or credited, or</w:t>
      </w:r>
    </w:p>
    <w:p>
      <w:pPr>
        <w:spacing w:after="0" w:line="90" w:lineRule="exact"/>
        <w:rPr>
          <w:rFonts w:ascii="Times New Roman" w:cs="Times New Roman" w:eastAsia="Times New Roman" w:hAnsi="Times New Roman"/>
          <w:sz w:val="18"/>
          <w:szCs w:val="18"/>
          <w:color w:val="auto"/>
        </w:rPr>
      </w:pPr>
    </w:p>
    <w:p>
      <w:pPr>
        <w:ind w:left="1480" w:right="260" w:hanging="567"/>
        <w:spacing w:after="0" w:line="275" w:lineRule="auto"/>
        <w:tabs>
          <w:tab w:leader="none" w:pos="14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account or a fictitious account to be debited or credited,and for which loss the Insured is legally liable to the Client as a provider of data processing services for such Client.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280"/>
          </w:cols>
          <w:pgMar w:left="240" w:top="272" w:right="37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Insuring Agreement, fraudulent entry or change shall include such entry or change made by an Employee of the Insured acting in good faith:</w:t>
      </w:r>
    </w:p>
    <w:p>
      <w:pPr>
        <w:spacing w:after="0" w:line="90" w:lineRule="exact"/>
        <w:rPr>
          <w:sz w:val="20"/>
          <w:szCs w:val="20"/>
          <w:color w:val="auto"/>
        </w:rPr>
      </w:pPr>
    </w:p>
    <w:p>
      <w:pPr>
        <w:ind w:left="1480" w:right="220" w:hanging="567"/>
        <w:spacing w:after="0" w:line="275" w:lineRule="auto"/>
        <w:tabs>
          <w:tab w:leader="none" w:pos="14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instruction from a software contractor who has a written agreement with the Insured to design, implement or service programs for a Computer System covered by this Insuring Agreement, or</w:t>
      </w:r>
    </w:p>
    <w:p>
      <w:pPr>
        <w:spacing w:after="0" w:line="38" w:lineRule="exact"/>
        <w:rPr>
          <w:rFonts w:ascii="Times New Roman" w:cs="Times New Roman" w:eastAsia="Times New Roman" w:hAnsi="Times New Roman"/>
          <w:sz w:val="18"/>
          <w:szCs w:val="18"/>
          <w:color w:val="auto"/>
        </w:rPr>
      </w:pPr>
    </w:p>
    <w:p>
      <w:pPr>
        <w:ind w:left="1480" w:right="800" w:hanging="567"/>
        <w:spacing w:after="0" w:line="275" w:lineRule="auto"/>
        <w:tabs>
          <w:tab w:leader="none" w:pos="14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instruction transmitted by Tested telex or similar means of Tested communication identified in the application for this bond purportedly sent by a customer, financial institution or automated clearing house.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Insuring Agreement, Client means an entity for which the Insured serves as data processor under the terms of a written agreement.</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VOICE INITIATED TRANSFER FRAUD</w:t>
      </w:r>
    </w:p>
    <w:p>
      <w:pPr>
        <w:spacing w:after="0" w:line="214" w:lineRule="exact"/>
        <w:rPr>
          <w:sz w:val="20"/>
          <w:szCs w:val="20"/>
          <w:color w:val="auto"/>
        </w:rPr>
      </w:pPr>
    </w:p>
    <w:p>
      <w:pPr>
        <w:ind w:left="460" w:right="20" w:hanging="452"/>
        <w:spacing w:after="0" w:line="262"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Insured having, in good faith, transferred Funds from a Customer’s account through a Computer System covered under the terms of the </w:t>
      </w:r>
      <w:r>
        <w:rPr>
          <w:rFonts w:ascii="Times New Roman" w:cs="Times New Roman" w:eastAsia="Times New Roman" w:hAnsi="Times New Roman"/>
          <w:sz w:val="18"/>
          <w:szCs w:val="18"/>
          <w:b w:val="1"/>
          <w:bCs w:val="1"/>
          <w:color w:val="auto"/>
        </w:rPr>
        <w:t>COMPUTER SYSTEMS FRAUD</w:t>
      </w:r>
      <w:r>
        <w:rPr>
          <w:rFonts w:ascii="Times New Roman" w:cs="Times New Roman" w:eastAsia="Times New Roman" w:hAnsi="Times New Roman"/>
          <w:sz w:val="18"/>
          <w:szCs w:val="18"/>
          <w:color w:val="auto"/>
        </w:rPr>
        <w:t xml:space="preserve"> Insuring Agreement in reliance upon a fraudulent voice instruction transmitted by telephone which was purported to be from:</w:t>
      </w:r>
    </w:p>
    <w:p>
      <w:pPr>
        <w:spacing w:after="0" w:line="51"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director, partner or employee of a Customer of the Insured who was authorized by the Customer to instruct the Insured to make such transfer,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person who is a Customer of the Insured, or</w:t>
      </w:r>
    </w:p>
    <w:p>
      <w:pPr>
        <w:spacing w:after="0" w:line="90"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the Insured in another office of the Insured who was authorized by the Insured to instruct other Employees of the Insured to transfer Funds,</w:t>
      </w:r>
    </w:p>
    <w:p>
      <w:pPr>
        <w:spacing w:after="0" w:line="39"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color w:val="auto"/>
        </w:rPr>
        <w:t>and was received by an Employee of the Insured specifically designated to receive and act upon such instructions, but the voice instruction was not from a person described in (1), (2) or (3) above, provided that:</w:t>
      </w:r>
    </w:p>
    <w:p>
      <w:pPr>
        <w:spacing w:after="0" w:line="39" w:lineRule="exact"/>
        <w:rPr>
          <w:sz w:val="20"/>
          <w:szCs w:val="20"/>
          <w:color w:val="auto"/>
        </w:rPr>
      </w:pPr>
    </w:p>
    <w:p>
      <w:pPr>
        <w:ind w:left="900" w:hanging="446"/>
        <w:spacing w:after="0"/>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voice instruction was electronically recorded by the Insured and required password(s) or code word(s) given; and</w:t>
      </w:r>
    </w:p>
    <w:p>
      <w:pPr>
        <w:spacing w:after="0" w:line="90"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was in excess of the amount shown on the Declarations Page as the verification call-back amount for this Insuring Agreement, the voice instruction was verified by a call-back according to a prearranged procedure.</w:t>
      </w:r>
    </w:p>
    <w:p>
      <w:pPr>
        <w:spacing w:after="0" w:line="39"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As used in this Insuring Agreement, Customer means an entity or individual which has a written agreement with the Insured authorizing the Insured to rely on voice instructions to initiate transfers and has provided the Insured with the names of persons authorized to initiate such transfers, and with which the Insured has established an instruction verification mechanism.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360"/>
          </w:cols>
          <w:pgMar w:left="240" w:top="274" w:right="29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TELEFACSIMILE TRANSFER FRAUD</w:t>
      </w:r>
    </w:p>
    <w:p>
      <w:pPr>
        <w:spacing w:after="0" w:line="214" w:lineRule="exact"/>
        <w:rPr>
          <w:sz w:val="20"/>
          <w:szCs w:val="20"/>
          <w:color w:val="auto"/>
        </w:rPr>
      </w:pPr>
    </w:p>
    <w:p>
      <w:pPr>
        <w:ind w:left="460" w:right="60" w:hanging="452"/>
        <w:spacing w:after="0" w:line="26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Insured having, in good faith, transferred or delivered Funds, Certificated Securities or Uncertificated Securities through a Computer System covered under the terms of the </w:t>
      </w:r>
      <w:r>
        <w:rPr>
          <w:rFonts w:ascii="Times New Roman" w:cs="Times New Roman" w:eastAsia="Times New Roman" w:hAnsi="Times New Roman"/>
          <w:sz w:val="18"/>
          <w:szCs w:val="18"/>
          <w:b w:val="1"/>
          <w:bCs w:val="1"/>
          <w:color w:val="auto"/>
        </w:rPr>
        <w:t>COMPUTER SYSTEMS FRAUD</w:t>
      </w:r>
      <w:r>
        <w:rPr>
          <w:rFonts w:ascii="Times New Roman" w:cs="Times New Roman" w:eastAsia="Times New Roman" w:hAnsi="Times New Roman"/>
          <w:sz w:val="18"/>
          <w:szCs w:val="18"/>
          <w:color w:val="auto"/>
        </w:rPr>
        <w:t xml:space="preserve"> Insuring Agreement in reliance upon a fraudulent instruction received through a Telefacsimile Device, and which instruction:</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have originated from: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of the Insured,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financial institution,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office of the Insured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but, in fact, was not originated by the Customer or entity whose identification it bears, and</w:t>
      </w:r>
    </w:p>
    <w:p>
      <w:pPr>
        <w:spacing w:after="0" w:line="90" w:lineRule="exact"/>
        <w:rPr>
          <w:sz w:val="20"/>
          <w:szCs w:val="20"/>
          <w:color w:val="auto"/>
        </w:rPr>
      </w:pPr>
    </w:p>
    <w:p>
      <w:pPr>
        <w:ind w:left="900" w:hanging="446"/>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valid test code which proves to have been used by a person who was not authorized to make use of it,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name of a person authorized to initiate such transfer;</w:t>
      </w:r>
    </w:p>
    <w:p>
      <w:pPr>
        <w:spacing w:after="0" w:line="90"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provided that, if the transfer was in excess of the amount shown on the Declarations as the verification call-back amount for this Insuring Agreement, the instructions was verified by a call-back according to a prearranged procedure.</w:t>
      </w:r>
    </w:p>
    <w:p>
      <w:pPr>
        <w:spacing w:after="0" w:line="39"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As used 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DESTRUCTION OF DATA OR PROGRAMS BY HACKER</w:t>
      </w:r>
    </w:p>
    <w:p>
      <w:pPr>
        <w:spacing w:after="0" w:line="214" w:lineRule="exact"/>
        <w:rPr>
          <w:sz w:val="20"/>
          <w:szCs w:val="20"/>
          <w:color w:val="auto"/>
        </w:rPr>
      </w:pPr>
    </w:p>
    <w:p>
      <w:pPr>
        <w:ind w:left="460" w:right="160" w:hanging="452"/>
        <w:spacing w:after="0" w:line="334" w:lineRule="auto"/>
        <w:tabs>
          <w:tab w:leader="none" w:pos="4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Loss resulting directly from the malicious destruction of, or damage to, Electronic Data or Computer Programs owned by the Insured or for which the Insured is legally liable while stored within a Computer System covered under the terms of the </w:t>
      </w:r>
      <w:r>
        <w:rPr>
          <w:rFonts w:ascii="Times New Roman" w:cs="Times New Roman" w:eastAsia="Times New Roman" w:hAnsi="Times New Roman"/>
          <w:sz w:val="16"/>
          <w:szCs w:val="16"/>
          <w:b w:val="1"/>
          <w:bCs w:val="1"/>
          <w:color w:val="auto"/>
        </w:rPr>
        <w:t>COMPUTER SYSTEMS FRAUD</w:t>
      </w:r>
      <w:r>
        <w:rPr>
          <w:rFonts w:ascii="Times New Roman" w:cs="Times New Roman" w:eastAsia="Times New Roman" w:hAnsi="Times New Roman"/>
          <w:sz w:val="16"/>
          <w:szCs w:val="16"/>
          <w:color w:val="auto"/>
        </w:rPr>
        <w:t xml:space="preserve"> Insuring Agreement.</w:t>
      </w:r>
    </w:p>
    <w:p>
      <w:pPr>
        <w:spacing w:after="0" w:line="1" w:lineRule="exact"/>
        <w:rPr>
          <w:rFonts w:ascii="Times New Roman" w:cs="Times New Roman" w:eastAsia="Times New Roman" w:hAnsi="Times New Roman"/>
          <w:sz w:val="16"/>
          <w:szCs w:val="16"/>
          <w:color w:val="auto"/>
        </w:rPr>
      </w:pPr>
    </w:p>
    <w:p>
      <w:pPr>
        <w:ind w:left="460" w:right="46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38" w:lineRule="exact"/>
        <w:rPr>
          <w:rFonts w:ascii="Times New Roman" w:cs="Times New Roman" w:eastAsia="Times New Roman" w:hAnsi="Times New Roman"/>
          <w:sz w:val="16"/>
          <w:szCs w:val="16"/>
          <w:color w:val="auto"/>
        </w:rPr>
      </w:pPr>
    </w:p>
    <w:p>
      <w:pPr>
        <w:ind w:left="46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reasonable necessary to restore the Computer Programs to substantially the previous level of operational capability.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360"/>
          </w:cols>
          <w:pgMar w:left="240" w:top="272" w:right="29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DESTRUCTION OF DATA OR PROGRAMS BY VIRUS</w:t>
      </w:r>
    </w:p>
    <w:p>
      <w:pPr>
        <w:spacing w:after="0" w:line="214" w:lineRule="exact"/>
        <w:rPr>
          <w:sz w:val="20"/>
          <w:szCs w:val="20"/>
          <w:color w:val="auto"/>
        </w:rPr>
      </w:pPr>
    </w:p>
    <w:p>
      <w:pPr>
        <w:ind w:left="460" w:right="100" w:hanging="452"/>
        <w:spacing w:after="0" w:line="256"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malicious destruction of, or damage to, Electronic Data or Computer Programs owned by the Insured or for which the Insured is legally liable while stored within a Computer System covered under the terms of the </w:t>
      </w:r>
      <w:r>
        <w:rPr>
          <w:rFonts w:ascii="Times New Roman" w:cs="Times New Roman" w:eastAsia="Times New Roman" w:hAnsi="Times New Roman"/>
          <w:sz w:val="18"/>
          <w:szCs w:val="18"/>
          <w:b w:val="1"/>
          <w:bCs w:val="1"/>
          <w:color w:val="auto"/>
        </w:rPr>
        <w:t>COMPUTER SYSTEMS FRAUD</w:t>
      </w:r>
      <w:r>
        <w:rPr>
          <w:rFonts w:ascii="Times New Roman" w:cs="Times New Roman" w:eastAsia="Times New Roman" w:hAnsi="Times New Roman"/>
          <w:sz w:val="18"/>
          <w:szCs w:val="18"/>
          <w:color w:val="auto"/>
        </w:rPr>
        <w:t xml:space="preserve">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57" w:lineRule="exact"/>
        <w:rPr>
          <w:rFonts w:ascii="Times New Roman" w:cs="Times New Roman" w:eastAsia="Times New Roman" w:hAnsi="Times New Roman"/>
          <w:sz w:val="18"/>
          <w:szCs w:val="18"/>
          <w:color w:val="auto"/>
        </w:rPr>
      </w:pPr>
    </w:p>
    <w:p>
      <w:pPr>
        <w:ind w:left="460" w:right="5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38" w:lineRule="exact"/>
        <w:rPr>
          <w:rFonts w:ascii="Times New Roman" w:cs="Times New Roman" w:eastAsia="Times New Roman" w:hAnsi="Times New Roman"/>
          <w:sz w:val="18"/>
          <w:szCs w:val="18"/>
          <w:color w:val="auto"/>
        </w:rPr>
      </w:pPr>
    </w:p>
    <w:p>
      <w:pPr>
        <w:jc w:val="both"/>
        <w:ind w:left="46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49" w:lineRule="exact"/>
        <w:rPr>
          <w:rFonts w:ascii="Times New Roman" w:cs="Times New Roman" w:eastAsia="Times New Roman" w:hAnsi="Times New Roman"/>
          <w:sz w:val="18"/>
          <w:szCs w:val="18"/>
          <w:color w:val="auto"/>
        </w:rPr>
      </w:pPr>
    </w:p>
    <w:p>
      <w:pPr>
        <w:ind w:left="460" w:right="4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Condition: </w:t>
      </w:r>
      <w:r>
        <w:rPr>
          <w:rFonts w:ascii="Times New Roman" w:cs="Times New Roman" w:eastAsia="Times New Roman" w:hAnsi="Times New Roman"/>
          <w:sz w:val="18"/>
          <w:szCs w:val="18"/>
          <w:color w:val="auto"/>
        </w:rPr>
        <w:t>Under this Insuring Agreement, “Single Loss” means all covered costs incurred by the Insured between the time destruction or damage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discovered and the time the Computer System is restored to substantially the previous level of operational capability. Recurrence of destruction or damage after the Computer System is restored shall constitute a separate “Single Loss.”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VOICE COMPUTER SYSTEM FRAUD</w:t>
      </w:r>
    </w:p>
    <w:p>
      <w:pPr>
        <w:spacing w:after="0" w:line="214" w:lineRule="exact"/>
        <w:rPr>
          <w:sz w:val="20"/>
          <w:szCs w:val="20"/>
          <w:color w:val="auto"/>
        </w:rPr>
      </w:pPr>
    </w:p>
    <w:p>
      <w:pPr>
        <w:ind w:left="460" w:hanging="452"/>
        <w:spacing w:after="0" w:line="258"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incorporate a System Password feature or failure to change the System Password at least once every 30 days thereafter, or</w:t>
      </w:r>
    </w:p>
    <w:p>
      <w:pPr>
        <w:spacing w:after="0" w:line="90"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37" w:lineRule="exact"/>
        <w:rPr>
          <w:sz w:val="20"/>
          <w:szCs w:val="20"/>
          <w:color w:val="auto"/>
        </w:rPr>
      </w:pPr>
    </w:p>
    <w:p>
      <w:pPr>
        <w:ind w:left="460" w:right="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Special Condition: </w:t>
      </w:r>
      <w:r>
        <w:rPr>
          <w:rFonts w:ascii="Times New Roman" w:cs="Times New Roman" w:eastAsia="Times New Roman" w:hAnsi="Times New Roman"/>
          <w:sz w:val="18"/>
          <w:szCs w:val="18"/>
          <w:color w:val="auto"/>
        </w:rPr>
        <w:t>Under this Insuring Agreement, “Single Loss” means loss resulting from toll call charges made only on telephone lines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one Voice Computer System and only toll call charges occurring for a period of not more than 30 days inclusive of the date on which the first such toll call charge was made.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420"/>
          </w:cols>
          <w:pgMar w:left="240" w:top="272" w:right="239" w:bottom="1440" w:gutter="0" w:footer="0" w:header="0"/>
        </w:sectPr>
      </w:pPr>
    </w:p>
    <w:bookmarkStart w:id="57" w:name="page58"/>
    <w:bookmarkEnd w:id="57"/>
    <w:p>
      <w:pPr>
        <w:ind w:left="460" w:hanging="452"/>
        <w:spacing w:after="0" w:line="275" w:lineRule="auto"/>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AGREEMENTS B. ADDITIONAL OFFICES OR EMPLOYEES–CONSOLIDATION, MERGER OR PURCHASE OF ASSETS–NOTICE is hereby deleted in its entirety and is replaced with the following:</w:t>
      </w:r>
    </w:p>
    <w:p>
      <w:pPr>
        <w:spacing w:after="0" w:line="39" w:lineRule="exact"/>
        <w:rPr>
          <w:sz w:val="20"/>
          <w:szCs w:val="20"/>
          <w:color w:val="auto"/>
        </w:rPr>
      </w:pPr>
    </w:p>
    <w:p>
      <w:pPr>
        <w:ind w:left="920" w:right="80" w:firstLine="420"/>
        <w:spacing w:after="0" w:line="275" w:lineRule="auto"/>
        <w:rPr>
          <w:sz w:val="20"/>
          <w:szCs w:val="20"/>
          <w:color w:val="auto"/>
        </w:rPr>
      </w:pPr>
      <w:r>
        <w:rPr>
          <w:rFonts w:ascii="Times New Roman" w:cs="Times New Roman" w:eastAsia="Times New Roman" w:hAnsi="Times New Roman"/>
          <w:sz w:val="18"/>
          <w:szCs w:val="18"/>
          <w:color w:val="auto"/>
        </w:rPr>
        <w:t>ADDITIONAL OFFICES OR EMPLOYEES OR COMPUTER SYSTEMS – CONSOLIDATION, MERGER OR PURCHASE OF ASSETS OR COMPUTER SYSTEMS</w:t>
      </w:r>
    </w:p>
    <w:p>
      <w:pPr>
        <w:spacing w:after="0" w:line="39" w:lineRule="exact"/>
        <w:rPr>
          <w:sz w:val="20"/>
          <w:szCs w:val="20"/>
          <w:color w:val="auto"/>
        </w:rPr>
      </w:pPr>
    </w:p>
    <w:p>
      <w:pPr>
        <w:ind w:left="1480" w:right="200" w:hanging="567"/>
        <w:spacing w:after="0" w:line="258" w:lineRule="auto"/>
        <w:tabs>
          <w:tab w:leader="none" w:pos="148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Insured shall, while this bond is in force, establish any additional offices, other than by consolidation or merger with, or purchase or acquisition of assets or liabilities or computer systems of, another institution, such offices and computer systems shall be automatically covered hereunder from the date of such establishment without the requirement of notice to the Underwriter or the payment of additional premium for the remainder of the premium period.</w:t>
      </w:r>
    </w:p>
    <w:p>
      <w:pPr>
        <w:spacing w:after="0" w:line="55" w:lineRule="exact"/>
        <w:rPr>
          <w:rFonts w:ascii="Times New Roman" w:cs="Times New Roman" w:eastAsia="Times New Roman" w:hAnsi="Times New Roman"/>
          <w:sz w:val="18"/>
          <w:szCs w:val="18"/>
          <w:color w:val="auto"/>
        </w:rPr>
      </w:pPr>
    </w:p>
    <w:p>
      <w:pPr>
        <w:ind w:left="15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Insured shall, while this bond is in force, consolidate or merge with, or purchase or acquire assets or liabilities or computer systems of, another institution, the Insured shall not have such coverage as is afforded under this bond for loss which:</w:t>
      </w:r>
    </w:p>
    <w:p>
      <w:pPr>
        <w:spacing w:after="0" w:line="38"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offices or premises or computer systems, or</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 employee or employees of such institution, or</w:t>
      </w:r>
    </w:p>
    <w:p>
      <w:pPr>
        <w:spacing w:after="0" w:line="90" w:lineRule="exact"/>
        <w:rPr>
          <w:rFonts w:ascii="Times New Roman" w:cs="Times New Roman" w:eastAsia="Times New Roman" w:hAnsi="Times New Roman"/>
          <w:sz w:val="18"/>
          <w:szCs w:val="18"/>
          <w:color w:val="auto"/>
        </w:rPr>
      </w:pPr>
    </w:p>
    <w:p>
      <w:pPr>
        <w:ind w:left="1920" w:right="260" w:hanging="440"/>
        <w:spacing w:after="0" w:line="275" w:lineRule="auto"/>
        <w:tabs>
          <w:tab w:leader="none" w:pos="1920"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or liabilities or computer systems acquired by the Insured as a result of such consolidation, merger or purchase of assets or liabilities or computer systems unless the Insured shall:</w:t>
      </w:r>
    </w:p>
    <w:p>
      <w:pPr>
        <w:spacing w:after="0" w:line="38" w:lineRule="exact"/>
        <w:rPr>
          <w:rFonts w:ascii="Times New Roman" w:cs="Times New Roman" w:eastAsia="Times New Roman" w:hAnsi="Times New Roman"/>
          <w:sz w:val="18"/>
          <w:szCs w:val="18"/>
          <w:color w:val="auto"/>
        </w:rPr>
      </w:pPr>
    </w:p>
    <w:p>
      <w:pPr>
        <w:ind w:left="2380" w:right="500" w:hanging="441"/>
        <w:spacing w:after="0" w:line="275" w:lineRule="auto"/>
        <w:tabs>
          <w:tab w:leader="none" w:pos="2380" w:val="left"/>
        </w:tabs>
        <w:numPr>
          <w:ilvl w:val="4"/>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Underwriter written notice of the proposed consolidation, merger or purchase of assets or liabilities or computer systems prior to the proposed effective date of such action; and</w:t>
      </w:r>
    </w:p>
    <w:p>
      <w:pPr>
        <w:spacing w:after="0" w:line="38" w:lineRule="exact"/>
        <w:rPr>
          <w:rFonts w:ascii="Times New Roman" w:cs="Times New Roman" w:eastAsia="Times New Roman" w:hAnsi="Times New Roman"/>
          <w:sz w:val="18"/>
          <w:szCs w:val="18"/>
          <w:color w:val="auto"/>
        </w:rPr>
      </w:pPr>
    </w:p>
    <w:p>
      <w:pPr>
        <w:ind w:left="2380" w:right="600" w:hanging="441"/>
        <w:spacing w:after="0" w:line="275" w:lineRule="auto"/>
        <w:tabs>
          <w:tab w:leader="none" w:pos="2380" w:val="left"/>
        </w:tabs>
        <w:numPr>
          <w:ilvl w:val="4"/>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written consent of the Underwriter to extend the coverage provided by this bond to such additional offices or premises or computer systems, Employees and other exposures; and</w:t>
      </w:r>
    </w:p>
    <w:p>
      <w:pPr>
        <w:spacing w:after="0" w:line="38"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4"/>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such consent, pay to the Underwriter an additional premium.</w:t>
      </w:r>
    </w:p>
    <w:p>
      <w:pPr>
        <w:spacing w:after="0" w:line="90" w:lineRule="exact"/>
        <w:rPr>
          <w:rFonts w:ascii="Times New Roman" w:cs="Times New Roman" w:eastAsia="Times New Roman" w:hAnsi="Times New Roman"/>
          <w:sz w:val="18"/>
          <w:szCs w:val="18"/>
          <w:color w:val="auto"/>
        </w:rPr>
      </w:pPr>
    </w:p>
    <w:p>
      <w:pPr>
        <w:ind w:left="460" w:right="380" w:hanging="452"/>
        <w:spacing w:after="0" w:line="275"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coverage provided by this rider, Section 1. DEFINITIONS (o) “Property” of the CONDITIONS AND LIMITATIONS section is hereby amended to include Electronic Data and Computer Programs.</w:t>
      </w:r>
    </w:p>
    <w:p>
      <w:pPr>
        <w:spacing w:after="0" w:line="38"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coverage provided by this rider, Section 1. DEFINITIONS of the CONDITIONS AND LIMITATIONS section is hereby amended by adding the following definitions to the end thereof:</w:t>
      </w:r>
    </w:p>
    <w:p>
      <w:pPr>
        <w:spacing w:after="0" w:line="38"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360"/>
          </w:cols>
          <w:pgMar w:left="240" w:top="274" w:right="299" w:bottom="1440" w:gutter="0" w:footer="0" w:header="0"/>
        </w:sectPr>
      </w:pPr>
    </w:p>
    <w:bookmarkStart w:id="58" w:name="page59"/>
    <w:bookmarkEnd w:id="58"/>
    <w:p>
      <w:pPr>
        <w:ind w:left="900" w:right="140" w:hanging="446"/>
        <w:spacing w:after="0" w:line="275"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Computer Program means a set of related electronic instructions which direct the operations and functions of a computer or devices connected to it which enable the computer or devices to receive, process, store or send Electronic Data;</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means: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 with related peripheral components, including storage components wherever located;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applications software;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devices;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communication networks, including the internet</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by which Electronic Data are electronically collected, transmitted, processed, stored and retrieved;</w:t>
      </w:r>
    </w:p>
    <w:p>
      <w:pPr>
        <w:spacing w:after="0" w:line="90" w:lineRule="exact"/>
        <w:rPr>
          <w:sz w:val="20"/>
          <w:szCs w:val="20"/>
          <w:color w:val="auto"/>
        </w:rPr>
      </w:pPr>
    </w:p>
    <w:p>
      <w:pPr>
        <w:ind w:left="900" w:right="600" w:hanging="446"/>
        <w:spacing w:after="0" w:line="275"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means Money on deposit in an account;</w:t>
      </w:r>
    </w:p>
    <w:p>
      <w:pPr>
        <w:spacing w:after="0" w:line="90"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57" w:lineRule="exact"/>
        <w:rPr>
          <w:rFonts w:ascii="Times New Roman" w:cs="Times New Roman" w:eastAsia="Times New Roman" w:hAnsi="Times New Roman"/>
          <w:sz w:val="18"/>
          <w:szCs w:val="18"/>
          <w:color w:val="auto"/>
        </w:rPr>
      </w:pPr>
    </w:p>
    <w:p>
      <w:pPr>
        <w:ind w:left="900" w:right="500" w:hanging="446"/>
        <w:spacing w:after="0" w:line="26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51" w:lineRule="exact"/>
        <w:rPr>
          <w:rFonts w:ascii="Times New Roman" w:cs="Times New Roman" w:eastAsia="Times New Roman" w:hAnsi="Times New Roman"/>
          <w:sz w:val="18"/>
          <w:szCs w:val="18"/>
          <w:color w:val="auto"/>
        </w:rPr>
      </w:pPr>
    </w:p>
    <w:p>
      <w:pPr>
        <w:jc w:val="both"/>
        <w:ind w:left="900" w:right="160" w:hanging="446"/>
        <w:spacing w:after="0" w:line="334" w:lineRule="auto"/>
        <w:tabs>
          <w:tab w:leader="none" w:pos="9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 w:lineRule="exact"/>
        <w:rPr>
          <w:rFonts w:ascii="Times New Roman" w:cs="Times New Roman" w:eastAsia="Times New Roman" w:hAnsi="Times New Roman"/>
          <w:sz w:val="16"/>
          <w:szCs w:val="16"/>
          <w:color w:val="auto"/>
        </w:rPr>
      </w:pPr>
    </w:p>
    <w:p>
      <w:pPr>
        <w:ind w:left="900" w:hanging="446"/>
        <w:spacing w:after="0" w:line="275"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360"/>
          </w:cols>
          <w:pgMar w:left="240" w:top="274" w:right="299" w:bottom="1440" w:gutter="0" w:footer="0" w:header="0"/>
        </w:sectPr>
      </w:pPr>
    </w:p>
    <w:bookmarkStart w:id="59" w:name="page60"/>
    <w:bookmarkEnd w:id="59"/>
    <w:p>
      <w:pPr>
        <w:ind w:left="900" w:right="60" w:hanging="446"/>
        <w:spacing w:after="0" w:line="262"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51"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Security means a share, participation or other interest in property of, or an enterprise of, the issuer or an obligation of the issuer, which is:</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represented by an instrument and the transfer of which is registered upon books maintained for that purpose by or on behalf of the issuer;</w:t>
      </w:r>
    </w:p>
    <w:p>
      <w:pPr>
        <w:spacing w:after="0" w:line="113" w:lineRule="exact"/>
        <w:rPr>
          <w:rFonts w:ascii="Times New Roman" w:cs="Times New Roman" w:eastAsia="Times New Roman" w:hAnsi="Times New Roman"/>
          <w:sz w:val="16"/>
          <w:szCs w:val="16"/>
          <w:color w:val="auto"/>
        </w:rPr>
      </w:pPr>
    </w:p>
    <w:p>
      <w:pPr>
        <w:ind w:left="1480" w:hanging="567"/>
        <w:spacing w:after="0"/>
        <w:tabs>
          <w:tab w:leader="none" w:pos="148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securities, exchanges or markets;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90"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51"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coverage provided by this rider, Section 2. EXCLUSIONS of the CONDITIONS AND LIMITATIONS section is hereby amended by adding the following definitions to the end thereof:</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of the type or kind covered by any other Insuring Agreement provided in this financial institution bond, regardless of any deductible amount or limit of liability;</w:t>
      </w:r>
    </w:p>
    <w:p>
      <w:pPr>
        <w:spacing w:after="0" w:line="38" w:lineRule="exact"/>
        <w:rPr>
          <w:rFonts w:ascii="Times New Roman" w:cs="Times New Roman" w:eastAsia="Times New Roman" w:hAnsi="Times New Roman"/>
          <w:sz w:val="18"/>
          <w:szCs w:val="18"/>
          <w:color w:val="auto"/>
        </w:rPr>
      </w:pPr>
    </w:p>
    <w:p>
      <w:pPr>
        <w:ind w:left="900" w:right="240" w:hanging="446"/>
        <w:spacing w:after="0" w:line="262" w:lineRule="auto"/>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caused by a director or Employee of the Insured or by a person in collusion with any director or Employee of the Insured; (Collusion shall include the willful withholding of knowledge from the Insured by any director or Employee that a fraudulent act by a person not an Employee has been or will be perpetrated against the Insured.);</w:t>
      </w:r>
    </w:p>
    <w:p>
      <w:pPr>
        <w:spacing w:after="0" w:line="51"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or indirectly from entry or change of Electronic Data or Computer Programs in a Computer System, unless covered under the </w:t>
      </w:r>
      <w:r>
        <w:rPr>
          <w:rFonts w:ascii="Times New Roman" w:cs="Times New Roman" w:eastAsia="Times New Roman" w:hAnsi="Times New Roman"/>
          <w:sz w:val="18"/>
          <w:szCs w:val="18"/>
          <w:b w:val="1"/>
          <w:bCs w:val="1"/>
          <w:color w:val="auto"/>
        </w:rPr>
        <w:t xml:space="preserve">COMPUTER SYSTEMS FRAUD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DATA PROCESSING SERVICE OPERATIONS </w:t>
      </w:r>
      <w:r>
        <w:rPr>
          <w:rFonts w:ascii="Times New Roman" w:cs="Times New Roman" w:eastAsia="Times New Roman" w:hAnsi="Times New Roman"/>
          <w:sz w:val="18"/>
          <w:szCs w:val="18"/>
          <w:color w:val="auto"/>
        </w:rPr>
        <w:t>Insuring Agreements;</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or indirectly from the Insured having transferred Funds in reliance on the validity of a voice instruction, unless covered under the </w:t>
      </w:r>
      <w:r>
        <w:rPr>
          <w:rFonts w:ascii="Times New Roman" w:cs="Times New Roman" w:eastAsia="Times New Roman" w:hAnsi="Times New Roman"/>
          <w:sz w:val="18"/>
          <w:szCs w:val="18"/>
          <w:b w:val="1"/>
          <w:bCs w:val="1"/>
          <w:color w:val="auto"/>
        </w:rPr>
        <w:t>COMPUTER SYSTEMS FRAUD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VOICE INITIATED TRANSFER FRAUD</w:t>
      </w:r>
      <w:r>
        <w:rPr>
          <w:rFonts w:ascii="Times New Roman" w:cs="Times New Roman" w:eastAsia="Times New Roman" w:hAnsi="Times New Roman"/>
          <w:sz w:val="18"/>
          <w:szCs w:val="18"/>
          <w:color w:val="auto"/>
        </w:rPr>
        <w:t xml:space="preserve"> Insuring Agreements;</w:t>
      </w:r>
    </w:p>
    <w:p>
      <w:pPr>
        <w:spacing w:after="0" w:line="38" w:lineRule="exact"/>
        <w:rPr>
          <w:rFonts w:ascii="Times New Roman" w:cs="Times New Roman" w:eastAsia="Times New Roman" w:hAnsi="Times New Roman"/>
          <w:sz w:val="18"/>
          <w:szCs w:val="18"/>
          <w:color w:val="auto"/>
        </w:rPr>
      </w:pPr>
    </w:p>
    <w:p>
      <w:pPr>
        <w:ind w:left="900" w:right="240" w:hanging="446"/>
        <w:spacing w:after="0" w:line="262" w:lineRule="auto"/>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or indirectly by the Insured having transferred or delivered Funds, Certificated Securities or Uncertificated Securities in reliance on an instruction received through a Telefacsimile Device, unless covered under the </w:t>
      </w:r>
      <w:r>
        <w:rPr>
          <w:rFonts w:ascii="Times New Roman" w:cs="Times New Roman" w:eastAsia="Times New Roman" w:hAnsi="Times New Roman"/>
          <w:sz w:val="18"/>
          <w:szCs w:val="18"/>
          <w:b w:val="1"/>
          <w:bCs w:val="1"/>
          <w:color w:val="auto"/>
        </w:rPr>
        <w:t>TELEFACSIMILE TRANSFER FRAUD</w:t>
      </w:r>
      <w:r>
        <w:rPr>
          <w:rFonts w:ascii="Times New Roman" w:cs="Times New Roman" w:eastAsia="Times New Roman" w:hAnsi="Times New Roman"/>
          <w:sz w:val="18"/>
          <w:szCs w:val="18"/>
          <w:color w:val="auto"/>
        </w:rPr>
        <w:t xml:space="preserve"> Insuring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400"/>
          </w:cols>
          <w:pgMar w:left="240" w:top="274" w:right="259" w:bottom="1440" w:gutter="0" w:footer="0" w:header="0"/>
        </w:sectPr>
      </w:pPr>
    </w:p>
    <w:bookmarkStart w:id="60" w:name="page61"/>
    <w:bookmarkEnd w:id="60"/>
    <w:p>
      <w:pPr>
        <w:ind w:left="1120" w:hanging="666"/>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theft of confidential information;</w:t>
      </w:r>
    </w:p>
    <w:p>
      <w:pPr>
        <w:spacing w:after="0" w:line="90" w:lineRule="exact"/>
        <w:rPr>
          <w:rFonts w:ascii="Times New Roman" w:cs="Times New Roman" w:eastAsia="Times New Roman" w:hAnsi="Times New Roman"/>
          <w:sz w:val="18"/>
          <w:szCs w:val="18"/>
          <w:color w:val="auto"/>
        </w:rPr>
      </w:pPr>
    </w:p>
    <w:p>
      <w:pPr>
        <w:ind w:left="1120" w:hanging="666"/>
        <w:spacing w:after="0" w:line="275" w:lineRule="auto"/>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assumption of liability by the Insured by contract unless the liability arises from a loss covered by this rider and would be imposed on the Insured regardless of the existence of the contract;</w:t>
      </w:r>
    </w:p>
    <w:p>
      <w:pPr>
        <w:spacing w:after="0" w:line="36" w:lineRule="exact"/>
        <w:rPr>
          <w:rFonts w:ascii="Times New Roman" w:cs="Times New Roman" w:eastAsia="Times New Roman" w:hAnsi="Times New Roman"/>
          <w:sz w:val="18"/>
          <w:szCs w:val="18"/>
          <w:color w:val="auto"/>
        </w:rPr>
      </w:pPr>
    </w:p>
    <w:p>
      <w:pPr>
        <w:ind w:left="1120" w:right="100" w:hanging="666"/>
        <w:spacing w:after="0" w:line="277" w:lineRule="auto"/>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of duplication of Electronic Data or Computer Programs, unless covered under the </w:t>
      </w:r>
      <w:r>
        <w:rPr>
          <w:rFonts w:ascii="Times New Roman" w:cs="Times New Roman" w:eastAsia="Times New Roman" w:hAnsi="Times New Roman"/>
          <w:sz w:val="18"/>
          <w:szCs w:val="18"/>
          <w:b w:val="1"/>
          <w:bCs w:val="1"/>
          <w:color w:val="auto"/>
        </w:rPr>
        <w:t>DESTRUCTION OF DATA OR PROGRAMS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HACKER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DESTRUCTION OF DATA OR PROGRAMS BY VIRUS </w:t>
      </w:r>
      <w:r>
        <w:rPr>
          <w:rFonts w:ascii="Times New Roman" w:cs="Times New Roman" w:eastAsia="Times New Roman" w:hAnsi="Times New Roman"/>
          <w:sz w:val="18"/>
          <w:szCs w:val="18"/>
          <w:color w:val="auto"/>
        </w:rPr>
        <w:t>Insuring Agreements;</w:t>
      </w:r>
    </w:p>
    <w:p>
      <w:pPr>
        <w:spacing w:after="0" w:line="35"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involving a Voice Computer System, unless covered under the </w:t>
      </w:r>
      <w:r>
        <w:rPr>
          <w:rFonts w:ascii="Times New Roman" w:cs="Times New Roman" w:eastAsia="Times New Roman" w:hAnsi="Times New Roman"/>
          <w:sz w:val="18"/>
          <w:szCs w:val="18"/>
          <w:b w:val="1"/>
          <w:bCs w:val="1"/>
          <w:color w:val="auto"/>
        </w:rPr>
        <w:t>VOICE COMPUTER SYSTEM FRAUD</w:t>
      </w:r>
      <w:r>
        <w:rPr>
          <w:rFonts w:ascii="Times New Roman" w:cs="Times New Roman" w:eastAsia="Times New Roman" w:hAnsi="Times New Roman"/>
          <w:sz w:val="18"/>
          <w:szCs w:val="18"/>
          <w:color w:val="auto"/>
        </w:rPr>
        <w:t xml:space="preserve"> Insuring Agreement;</w:t>
      </w:r>
    </w:p>
    <w:p>
      <w:pPr>
        <w:spacing w:after="0" w:line="92"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or advices, or</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telegraphic or cable instructions or advices;</w:t>
      </w:r>
    </w:p>
    <w:p>
      <w:pPr>
        <w:spacing w:after="0" w:line="88" w:lineRule="exact"/>
        <w:rPr>
          <w:sz w:val="20"/>
          <w:szCs w:val="20"/>
          <w:color w:val="auto"/>
        </w:rPr>
      </w:pPr>
    </w:p>
    <w:p>
      <w:pPr>
        <w:ind w:left="1140" w:right="360"/>
        <w:spacing w:after="0" w:line="277" w:lineRule="auto"/>
        <w:rPr>
          <w:sz w:val="20"/>
          <w:szCs w:val="20"/>
          <w:color w:val="auto"/>
        </w:rPr>
      </w:pPr>
      <w:r>
        <w:rPr>
          <w:rFonts w:ascii="Times New Roman" w:cs="Times New Roman" w:eastAsia="Times New Roman" w:hAnsi="Times New Roman"/>
          <w:sz w:val="18"/>
          <w:szCs w:val="18"/>
          <w:color w:val="auto"/>
        </w:rPr>
        <w:t xml:space="preserve">unless the instructions or advices are Tested and the loss is covered under the </w:t>
      </w:r>
      <w:r>
        <w:rPr>
          <w:rFonts w:ascii="Times New Roman" w:cs="Times New Roman" w:eastAsia="Times New Roman" w:hAnsi="Times New Roman"/>
          <w:sz w:val="18"/>
          <w:szCs w:val="18"/>
          <w:b w:val="1"/>
          <w:bCs w:val="1"/>
          <w:color w:val="auto"/>
        </w:rPr>
        <w:t>COMPUTER SYSTEMS FRAUD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DATA PROCESSING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SERVICE OPERATIONS </w:t>
      </w:r>
      <w:r>
        <w:rPr>
          <w:rFonts w:ascii="Times New Roman" w:cs="Times New Roman" w:eastAsia="Times New Roman" w:hAnsi="Times New Roman"/>
          <w:sz w:val="18"/>
          <w:szCs w:val="18"/>
          <w:color w:val="auto"/>
        </w:rPr>
        <w:t>Insuring Agreements;</w:t>
      </w:r>
    </w:p>
    <w:p>
      <w:pPr>
        <w:spacing w:after="0" w:line="37" w:lineRule="exact"/>
        <w:rPr>
          <w:sz w:val="20"/>
          <w:szCs w:val="20"/>
          <w:color w:val="auto"/>
        </w:rPr>
      </w:pPr>
    </w:p>
    <w:p>
      <w:pPr>
        <w:ind w:left="1120" w:right="60" w:hanging="666"/>
        <w:spacing w:after="0" w:line="262" w:lineRule="auto"/>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51" w:lineRule="exact"/>
        <w:rPr>
          <w:rFonts w:ascii="Times New Roman" w:cs="Times New Roman" w:eastAsia="Times New Roman" w:hAnsi="Times New Roman"/>
          <w:sz w:val="18"/>
          <w:szCs w:val="18"/>
          <w:color w:val="auto"/>
        </w:rPr>
      </w:pPr>
    </w:p>
    <w:p>
      <w:pPr>
        <w:ind w:left="1120" w:right="220" w:hanging="666"/>
        <w:spacing w:after="0" w:line="275" w:lineRule="auto"/>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or indirectly from the fraudulent preparation, or fraudulent modification of Computer Programs unless covered under the </w:t>
      </w:r>
      <w:r>
        <w:rPr>
          <w:rFonts w:ascii="Times New Roman" w:cs="Times New Roman" w:eastAsia="Times New Roman" w:hAnsi="Times New Roman"/>
          <w:sz w:val="18"/>
          <w:szCs w:val="18"/>
          <w:b w:val="1"/>
          <w:bCs w:val="1"/>
          <w:color w:val="auto"/>
        </w:rPr>
        <w:t xml:space="preserve">COMPUTER SYSTEMS FRAUD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DATA PROCESSING SERVICE OPERATIONS </w:t>
      </w:r>
      <w:r>
        <w:rPr>
          <w:rFonts w:ascii="Times New Roman" w:cs="Times New Roman" w:eastAsia="Times New Roman" w:hAnsi="Times New Roman"/>
          <w:sz w:val="18"/>
          <w:szCs w:val="18"/>
          <w:color w:val="auto"/>
        </w:rPr>
        <w:t>Insuring Agreements;</w:t>
      </w:r>
    </w:p>
    <w:p>
      <w:pPr>
        <w:spacing w:after="0" w:line="38"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w:t>
      </w:r>
    </w:p>
    <w:p>
      <w:pPr>
        <w:spacing w:after="0" w:line="90" w:lineRule="exact"/>
        <w:rPr>
          <w:rFonts w:ascii="Times New Roman" w:cs="Times New Roman" w:eastAsia="Times New Roman" w:hAnsi="Times New Roman"/>
          <w:sz w:val="18"/>
          <w:szCs w:val="18"/>
          <w:color w:val="auto"/>
        </w:rPr>
      </w:pPr>
    </w:p>
    <w:p>
      <w:pPr>
        <w:ind w:left="1700" w:right="340" w:hanging="558"/>
        <w:spacing w:after="0" w:line="275" w:lineRule="auto"/>
        <w:tabs>
          <w:tab w:leader="none" w:pos="17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 faulty construction, error in design, latent defect, fire, wear or tear, gradual deterioration, electrical disturbance or electrical surge which affects a Computer System; or</w:t>
      </w:r>
    </w:p>
    <w:p>
      <w:pPr>
        <w:spacing w:after="0" w:line="38"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breakdown of electronic data processing media; or</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 or omission in programming or processing;</w:t>
      </w:r>
    </w:p>
    <w:p>
      <w:pPr>
        <w:spacing w:after="0" w:line="90"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as a result of a threat to Computer System operations;</w:t>
      </w:r>
    </w:p>
    <w:p>
      <w:pPr>
        <w:spacing w:after="0" w:line="90" w:lineRule="exact"/>
        <w:rPr>
          <w:rFonts w:ascii="Times New Roman" w:cs="Times New Roman" w:eastAsia="Times New Roman" w:hAnsi="Times New Roman"/>
          <w:sz w:val="18"/>
          <w:szCs w:val="18"/>
          <w:color w:val="auto"/>
        </w:rPr>
      </w:pPr>
    </w:p>
    <w:p>
      <w:pPr>
        <w:ind w:left="1120" w:right="220" w:hanging="666"/>
        <w:spacing w:after="0" w:line="275" w:lineRule="auto"/>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use of a telephone credit, debit, charge, identification or similar card to gain access to the Insured’s Voice Computer System;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400"/>
          </w:cols>
          <w:pgMar w:left="240" w:top="274" w:right="259" w:bottom="1440" w:gutter="0" w:footer="0" w:header="0"/>
        </w:sectPr>
      </w:pPr>
    </w:p>
    <w:bookmarkStart w:id="61" w:name="page62"/>
    <w:bookmarkEnd w:id="61"/>
    <w:p>
      <w:pPr>
        <w:ind w:left="1120" w:hanging="666"/>
        <w:spacing w:after="0" w:line="334" w:lineRule="auto"/>
        <w:tabs>
          <w:tab w:leader="none" w:pos="112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input of Electronic Data into a Computer System terminal device either on the premises of a customer of the Insured or under the control of such customer by a person who had authorized access to the customer’s authentication mechanism.</w:t>
      </w:r>
    </w:p>
    <w:p>
      <w:pPr>
        <w:spacing w:after="0" w:line="1" w:lineRule="exact"/>
        <w:rPr>
          <w:rFonts w:ascii="Times New Roman" w:cs="Times New Roman" w:eastAsia="Times New Roman" w:hAnsi="Times New Roman"/>
          <w:sz w:val="16"/>
          <w:szCs w:val="16"/>
          <w:color w:val="auto"/>
        </w:rPr>
      </w:pPr>
    </w:p>
    <w:p>
      <w:pPr>
        <w:ind w:left="1120" w:right="440" w:hanging="666"/>
        <w:spacing w:after="0" w:line="275" w:lineRule="auto"/>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payments made or withdrawals from a depositor’s account involving items of deposit which are not finally paid for any reason;</w:t>
      </w:r>
    </w:p>
    <w:p>
      <w:pPr>
        <w:spacing w:after="0" w:line="38"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potential income, including but not limited to interest and dividends;</w:t>
      </w:r>
    </w:p>
    <w:p>
      <w:pPr>
        <w:spacing w:after="0" w:line="90" w:lineRule="exact"/>
        <w:rPr>
          <w:rFonts w:ascii="Times New Roman" w:cs="Times New Roman" w:eastAsia="Times New Roman" w:hAnsi="Times New Roman"/>
          <w:sz w:val="18"/>
          <w:szCs w:val="18"/>
          <w:color w:val="auto"/>
        </w:rPr>
      </w:pPr>
    </w:p>
    <w:p>
      <w:pPr>
        <w:ind w:left="1120" w:right="480" w:hanging="666"/>
        <w:spacing w:after="0" w:line="275" w:lineRule="auto"/>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type for which the Insured is legally liable, except compensatory damages, but not multiples thereof, arising directly from a loss covered under this policy;</w:t>
      </w:r>
    </w:p>
    <w:p>
      <w:pPr>
        <w:spacing w:after="0" w:line="38"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incurred by the Insured;</w:t>
      </w:r>
    </w:p>
    <w:p>
      <w:pPr>
        <w:spacing w:after="0" w:line="90"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or consequential loss of any nature;</w:t>
      </w:r>
    </w:p>
    <w:p>
      <w:pPr>
        <w:spacing w:after="0" w:line="90" w:lineRule="exact"/>
        <w:rPr>
          <w:rFonts w:ascii="Times New Roman" w:cs="Times New Roman" w:eastAsia="Times New Roman" w:hAnsi="Times New Roman"/>
          <w:sz w:val="18"/>
          <w:szCs w:val="18"/>
          <w:color w:val="auto"/>
        </w:rPr>
      </w:pPr>
    </w:p>
    <w:p>
      <w:pPr>
        <w:ind w:left="1120" w:right="420" w:hanging="666"/>
        <w:spacing w:after="0" w:line="275" w:lineRule="auto"/>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automated mechanical devices which on behalf of the Insured, disburse money, accept deposits, cash checks, drafts or similar written instruments, or make credit card loans;</w:t>
      </w:r>
    </w:p>
    <w:p>
      <w:pPr>
        <w:spacing w:after="0" w:line="38"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riot or civil commotion or loss due to military, naval or usurped power, war or insurrection;</w:t>
      </w:r>
    </w:p>
    <w:p>
      <w:pPr>
        <w:spacing w:after="0" w:line="90" w:lineRule="exact"/>
        <w:rPr>
          <w:rFonts w:ascii="Times New Roman" w:cs="Times New Roman" w:eastAsia="Times New Roman" w:hAnsi="Times New Roman"/>
          <w:sz w:val="18"/>
          <w:szCs w:val="18"/>
          <w:color w:val="auto"/>
        </w:rPr>
      </w:pPr>
    </w:p>
    <w:p>
      <w:pPr>
        <w:ind w:left="1120" w:right="240" w:hanging="666"/>
        <w:spacing w:after="0" w:line="275" w:lineRule="auto"/>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effects of nuclear fission or fusion or radioactivity; provided, however, that this exclusion shall not apply to loss resulting from industrial uses of nuclear energy; and</w:t>
      </w:r>
    </w:p>
    <w:p>
      <w:pPr>
        <w:spacing w:after="0" w:line="38" w:lineRule="exact"/>
        <w:rPr>
          <w:rFonts w:ascii="Times New Roman" w:cs="Times New Roman" w:eastAsia="Times New Roman" w:hAnsi="Times New Roman"/>
          <w:sz w:val="18"/>
          <w:szCs w:val="18"/>
          <w:color w:val="auto"/>
        </w:rPr>
      </w:pPr>
    </w:p>
    <w:p>
      <w:pPr>
        <w:ind w:left="1120" w:hanging="666"/>
        <w:spacing w:after="0"/>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as a result of a threat</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bodily harm to any person;</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 or</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Computer Systems operations;</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coverage provided by this rider, Section 5. NOTICE/PROOF - LEGAL PROCEEDINGS AGAINST UNDERWRITER of the CONDITIONS AND LIMITATIONS section is hereby amended by adding the following section to the end thereof: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400"/>
          </w:cols>
          <w:pgMar w:left="240" w:top="274" w:right="259" w:bottom="1440" w:gutter="0" w:footer="0" w:header="0"/>
        </w:sectPr>
      </w:pPr>
    </w:p>
    <w:bookmarkStart w:id="62" w:name="page63"/>
    <w:bookmarkEnd w:id="62"/>
    <w:p>
      <w:pPr>
        <w:ind w:left="900" w:hanging="446"/>
        <w:spacing w:after="0" w:line="275"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Proof of loss for claim under the Voice Initiated Transfer Fraud Insuring Agreement must include electronic recordings of such voice instructions and the verification call-back, if such call-back was required.</w:t>
      </w:r>
    </w:p>
    <w:p>
      <w:pPr>
        <w:spacing w:after="0" w:line="38" w:lineRule="exact"/>
        <w:rPr>
          <w:rFonts w:ascii="Times New Roman" w:cs="Times New Roman" w:eastAsia="Times New Roman" w:hAnsi="Times New Roman"/>
          <w:sz w:val="18"/>
          <w:szCs w:val="18"/>
          <w:color w:val="auto"/>
        </w:rPr>
      </w:pPr>
    </w:p>
    <w:p>
      <w:pPr>
        <w:ind w:left="900" w:right="740" w:hanging="446"/>
        <w:spacing w:after="0" w:line="275"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loss for claim under the Telefacsimile Transfer Fraud Insuring Agreement must include a copy of the document reproduced by the Telefacsimile Device.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100107 (09/08)</w:t>
      </w:r>
    </w:p>
    <w:p>
      <w:pPr>
        <w:sectPr>
          <w:pgSz w:w="11900" w:h="16838" w:orient="portrait"/>
          <w:cols w:equalWidth="0" w:num="1">
            <w:col w:w="11400"/>
          </w:cols>
          <w:pgMar w:left="240" w:top="274" w:right="259" w:bottom="1440" w:gutter="0" w:footer="0" w:header="0"/>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TEXAS AMENDATORY ENDORSEMENT</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CANCELLATION AND NONRENEWAL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Wherever used in this endorsement: 1)“Insurer” means the insurance company which issued this policy; and 2) “Insured” means the Named Corporation, Named</w:t>
      </w:r>
    </w:p>
    <w:p>
      <w:pPr>
        <w:spacing w:after="0" w:line="4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Organization, Named Sponsor, or Named Insured stated in the declarations page; and 3) “Liability insurance” means the following types of insurance: general liability, professional liability other than medical professional liability, commercial multi-peril coverage, and any other types of lines of liability insurance designated by the State Board of Insurance.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agreed that the cancellation provision of this policy is deleted in its entirety and replaced by the following: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CANCELLATION AND NONRENEWAL</w:t>
      </w:r>
    </w:p>
    <w:p>
      <w:pPr>
        <w:spacing w:after="0" w:line="92" w:lineRule="exact"/>
        <w:rPr>
          <w:sz w:val="20"/>
          <w:szCs w:val="20"/>
          <w:color w:val="auto"/>
        </w:rPr>
      </w:pPr>
    </w:p>
    <w:p>
      <w:pPr>
        <w:ind w:left="460" w:hanging="452"/>
        <w:spacing w:after="0"/>
        <w:tabs>
          <w:tab w:leader="none" w:pos="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w:t>
      </w:r>
    </w:p>
    <w:p>
      <w:pPr>
        <w:spacing w:after="0" w:line="90"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may be canceled by the Insured by surrender thereof to the Insurer or any of its authorized agents or by mailing to the Insurer written notice stating when thereafter the cancellation shall be effective.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by subsection A.3. below, the Insurer may not cancel this policy if it is: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of liability insurance that is a renewal or continuation policy;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of liability insurance that is in its initial policy period after the 60th day following the date on which the policy was issued.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Insurer may cancel this policy at any time during the term of the policy for the following reasons: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in obtaining coverage;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premiums when due;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hazard within the control of the Insured or Other Insured(s) which would produce an increase in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74802(07/11)</w:t>
      </w:r>
    </w:p>
    <w:p>
      <w:pPr>
        <w:sectPr>
          <w:pgSz w:w="11900" w:h="16838" w:orient="portrait"/>
          <w:cols w:equalWidth="0" w:num="1">
            <w:col w:w="11320"/>
          </w:cols>
          <w:pgMar w:left="240" w:top="272" w:right="339" w:bottom="1440" w:gutter="0" w:footer="0" w:header="0"/>
        </w:sectPr>
      </w:pPr>
    </w:p>
    <w:bookmarkStart w:id="64" w:name="page65"/>
    <w:bookmarkEnd w:id="64"/>
    <w:p>
      <w:pPr>
        <w:ind w:left="1480" w:hanging="567"/>
        <w:spacing w:after="0"/>
        <w:tabs>
          <w:tab w:leader="none" w:pos="14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of the Insurer’s reinsurance covering all or part of the risk covered by the policy; or</w:t>
      </w:r>
    </w:p>
    <w:p>
      <w:pPr>
        <w:spacing w:after="0" w:line="90" w:lineRule="exact"/>
        <w:rPr>
          <w:rFonts w:ascii="Times New Roman" w:cs="Times New Roman" w:eastAsia="Times New Roman" w:hAnsi="Times New Roman"/>
          <w:sz w:val="18"/>
          <w:szCs w:val="18"/>
          <w:color w:val="auto"/>
        </w:rPr>
      </w:pPr>
    </w:p>
    <w:p>
      <w:pPr>
        <w:ind w:left="1480" w:right="300" w:hanging="567"/>
        <w:spacing w:after="0" w:line="275" w:lineRule="auto"/>
        <w:tabs>
          <w:tab w:leader="none" w:pos="14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Insurer being placed in supervision, conservatorship, or receivership, if the cancellation or nonrenewal is approved or directed by the supervisor, conservator, or receiver.</w:t>
      </w:r>
    </w:p>
    <w:p>
      <w:pPr>
        <w:spacing w:after="0" w:line="38"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Insurer shall deliver or mail to the Insured first named in the Declarations written notice of cancellation at the address shown on the policy not less than the 10th day before the date on which the cancellation takes effect. Such written notice shall state the reasons(s) for cancellation.</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Insurer may not cancel this policy based solely on the fact that the Insured is an elected official.</w:t>
      </w:r>
    </w:p>
    <w:p>
      <w:pPr>
        <w:spacing w:after="0" w:line="90" w:lineRule="exact"/>
        <w:rPr>
          <w:rFonts w:ascii="Times New Roman" w:cs="Times New Roman" w:eastAsia="Times New Roman" w:hAnsi="Times New Roman"/>
          <w:sz w:val="18"/>
          <w:szCs w:val="18"/>
          <w:color w:val="auto"/>
        </w:rPr>
      </w:pPr>
    </w:p>
    <w:p>
      <w:pPr>
        <w:ind w:left="900" w:right="40" w:hanging="446"/>
        <w:spacing w:after="0" w:line="255" w:lineRule="auto"/>
        <w:tabs>
          <w:tab w:leader="none" w:pos="9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policy provides property coverage or general liability coverage under a commercial property, commercial general liability, commercial multi-peril or business owner policy, and covers a condominium association, and the condominium Property contains at least one residence or the condominium declarations conform with the Texas Uniform Condominium Act, then the notice of cancellation, as described above, will be provided to the First Named Insured thirty (30) days before the effective date of cancellation. The Insurer will also provide thirty (30) days written notice to each unit-owner to whom the Insurer issued a certificate or memorandum of insurance, by mailing or delivering the notice to each last mailing address known to the Insurer.</w:t>
      </w:r>
    </w:p>
    <w:p>
      <w:pPr>
        <w:spacing w:after="0" w:line="2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Nonrenewal</w:t>
      </w:r>
    </w:p>
    <w:p>
      <w:pPr>
        <w:spacing w:after="0" w:line="90" w:lineRule="exact"/>
        <w:rPr>
          <w:rFonts w:ascii="Times New Roman" w:cs="Times New Roman" w:eastAsia="Times New Roman" w:hAnsi="Times New Roman"/>
          <w:sz w:val="18"/>
          <w:szCs w:val="18"/>
          <w:color w:val="auto"/>
        </w:rPr>
      </w:pPr>
    </w:p>
    <w:p>
      <w:pPr>
        <w:ind w:left="900" w:hanging="446"/>
        <w:spacing w:after="0" w:line="255" w:lineRule="auto"/>
        <w:tabs>
          <w:tab w:leader="none" w:pos="9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Insurer may refuse to renew this policy by delivering or mailing to the Insured first named in the Declarations written notice of nonrenewal at the address shown on the policy. Such written notice shall state the reason(s) for nonrenewal. The notice must be delivered or mailed not later than the 60th day before the date on which the policy expires. If the notice is delivered or mailed later than the 60th day before the date on which the policy expires, the coverage shall remain in effect until the 61 day after the date on which the notice is delivered or mailed. If notice is delivered or mailed, proof of delivery or mailing will be sufficient proof of notice. Earned premium for any period of coverage that extends beyond the expiration date of the policy shall be computed pro rata based on the previous year’s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74802(07/11)</w:t>
      </w:r>
    </w:p>
    <w:p>
      <w:pPr>
        <w:sectPr>
          <w:pgSz w:w="11900" w:h="16838" w:orient="portrait"/>
          <w:cols w:equalWidth="0" w:num="1">
            <w:col w:w="11380"/>
          </w:cols>
          <w:pgMar w:left="240" w:top="274" w:right="279" w:bottom="1440" w:gutter="0" w:footer="0" w:header="0"/>
        </w:sectPr>
      </w:pPr>
    </w:p>
    <w:bookmarkStart w:id="65" w:name="page66"/>
    <w:bookmarkEnd w:id="65"/>
    <w:p>
      <w:pPr>
        <w:ind w:left="900" w:hanging="446"/>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transfer of a policyholder between admitted companies within the same insurance group is not considered a refusal to renew.</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Insurer may not refuse to renew this policy based solely on the fact that the Insured is an elected official.</w:t>
      </w:r>
    </w:p>
    <w:p>
      <w:pPr>
        <w:spacing w:after="0" w:line="90"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policy provides property coverage or general liability coverage under a commercial property, commercial general liability, commercial multi-peril or business owner policy, and covers a condominium association, and the condominium property contains at least one residence or the condominium declarations conform with the Texas Uniform Condominium Act, then the Insurer will mail or deliver written notice of nonrenewal, at least thirty (30) days before the expiration or anniversary date of the policy, to:</w:t>
      </w:r>
    </w:p>
    <w:p>
      <w:pPr>
        <w:spacing w:after="0" w:line="5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Named Insured;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unit-owner to whom the Insurer issued a certificate or memorandum of insurance.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Insurer will mail or deliver such notice to each last mailing address known to the Insurer.</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21" w:lineRule="exact"/>
        <w:rPr>
          <w:sz w:val="20"/>
          <w:szCs w:val="20"/>
          <w:color w:val="auto"/>
        </w:rPr>
      </w:pPr>
    </w:p>
    <w:p>
      <w:pPr>
        <w:ind w:left="5060" w:hanging="115"/>
        <w:spacing w:after="0"/>
        <w:tabs>
          <w:tab w:leader="none" w:pos="5060" w:val="left"/>
        </w:tabs>
        <w:numPr>
          <w:ilvl w:val="0"/>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135890</wp:posOffset>
            </wp:positionV>
            <wp:extent cx="2495550" cy="565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9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74802(07/11)</w:t>
      </w:r>
    </w:p>
    <w:p>
      <w:pPr>
        <w:sectPr>
          <w:pgSz w:w="11900" w:h="16838" w:orient="portrait"/>
          <w:cols w:equalWidth="0" w:num="1">
            <w:col w:w="11340"/>
          </w:cols>
          <w:pgMar w:left="240" w:top="274" w:right="319" w:bottom="1440" w:gutter="0" w:footer="0" w:header="0"/>
        </w:sectPr>
      </w:pPr>
    </w:p>
    <w:bookmarkStart w:id="66" w:name="page67"/>
    <w:bookmarkEnd w:id="6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PROTECTED INFORMATION EXCLUSION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right="80" w:hanging="452"/>
        <w:spacing w:after="0" w:line="275" w:lineRule="auto"/>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shall not apply to any loss resulting directly or indirectly from the: (a) theft, disappearance or destruction of; (b) unauthorized use or disclosure of; (c) unauthorized access to; or (d) failure to protect any:</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or non-public;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or personally identifiable;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that any person or entity has a duty to protect under any law, rule or regulation, any agreement or any industry guideline or standard.</w:t>
      </w:r>
    </w:p>
    <w:p>
      <w:pPr>
        <w:spacing w:after="0" w:line="90"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This exclusion shall not apply to the extent that any unauthorized use or disclosure of a password enables a theft by an Employee of the Insured of money, securities or tangible property of the Insured or that the Insured is holding for a third party; provided, however, this exception shall not apply to the extent that such unauthorized use or disclosure of a password enables a theft of or disclosure of information.</w:t>
      </w:r>
    </w:p>
    <w:p>
      <w:pPr>
        <w:spacing w:after="0" w:line="51" w:lineRule="exact"/>
        <w:rPr>
          <w:sz w:val="20"/>
          <w:szCs w:val="20"/>
          <w:color w:val="auto"/>
        </w:rPr>
      </w:pPr>
    </w:p>
    <w:p>
      <w:pPr>
        <w:ind w:left="460" w:hanging="452"/>
        <w:spacing w:after="0" w:line="275"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 shall be held to vary, alter, waive or extend any of the terms, limitations, conditions, or agreements of the attached bond other than as above stated.</w:t>
      </w: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171" w:lineRule="exact"/>
        <w:rPr>
          <w:sz w:val="20"/>
          <w:szCs w:val="20"/>
          <w:color w:val="auto"/>
        </w:rPr>
      </w:pPr>
    </w:p>
    <w:p>
      <w:pPr>
        <w:ind w:left="5100" w:hanging="118"/>
        <w:spacing w:after="0"/>
        <w:tabs>
          <w:tab w:leader="none" w:pos="5100"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5746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113011(10/12)</w:t>
      </w:r>
    </w:p>
    <w:p>
      <w:pPr>
        <w:sectPr>
          <w:pgSz w:w="11900" w:h="16838" w:orient="portrait"/>
          <w:cols w:equalWidth="0" w:num="1">
            <w:col w:w="11300"/>
          </w:cols>
          <w:pgMar w:left="240" w:top="272"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endorsement, effective 12:01 am </w:t>
      </w:r>
      <w:r>
        <w:rPr>
          <w:rFonts w:ascii="Times New Roman" w:cs="Times New Roman" w:eastAsia="Times New Roman" w:hAnsi="Times New Roman"/>
          <w:sz w:val="18"/>
          <w:szCs w:val="18"/>
          <w:i w:val="1"/>
          <w:iCs w:val="1"/>
          <w:color w:val="auto"/>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forms a part of</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6"/>
          <w:szCs w:val="16"/>
          <w:color w:val="auto"/>
        </w:rPr>
        <w:t>01-823-69-16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issued to:</w:t>
      </w:r>
      <w:r>
        <w:rPr>
          <w:sz w:val="20"/>
          <w:szCs w:val="20"/>
          <w:color w:val="auto"/>
        </w:rPr>
        <w:tab/>
      </w:r>
      <w:r>
        <w:rPr>
          <w:rFonts w:ascii="Times New Roman" w:cs="Times New Roman" w:eastAsia="Times New Roman" w:hAnsi="Times New Roman"/>
          <w:sz w:val="16"/>
          <w:szCs w:val="16"/>
          <w:i w:val="1"/>
          <w:iCs w:val="1"/>
          <w:color w:val="auto"/>
        </w:rPr>
        <w:t>TPG SPECIALTY LENDING, INC.</w:t>
      </w:r>
    </w:p>
    <w:p>
      <w:pPr>
        <w:spacing w:after="0" w:line="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National Union Fire Insurance Company of Pittsburgh, Pa.</w:t>
      </w:r>
    </w:p>
    <w:p>
      <w:pPr>
        <w:spacing w:after="0" w:line="3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FORMS INDEX ENDORSEMENT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 Policy is comprised of the following forms: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FORM NUMBER</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w w:val="91"/>
              </w:rPr>
              <w:t>EDITION</w:t>
            </w:r>
          </w:p>
        </w:tc>
        <w:tc>
          <w:tcPr>
            <w:tcW w:w="440" w:type="dxa"/>
            <w:vAlign w:val="bottom"/>
          </w:tcPr>
          <w:p>
            <w:pPr>
              <w:spacing w:after="0"/>
              <w:rPr>
                <w:sz w:val="13"/>
                <w:szCs w:val="13"/>
                <w:color w:val="auto"/>
              </w:rPr>
            </w:pPr>
          </w:p>
        </w:tc>
        <w:tc>
          <w:tcPr>
            <w:tcW w:w="8940" w:type="dxa"/>
            <w:vAlign w:val="bottom"/>
            <w:vMerge w:val="restart"/>
          </w:tcPr>
          <w:p>
            <w:pPr>
              <w:ind w:left="4080"/>
              <w:spacing w:after="0"/>
              <w:rPr>
                <w:sz w:val="20"/>
                <w:szCs w:val="20"/>
                <w:color w:val="auto"/>
              </w:rPr>
            </w:pPr>
            <w:r>
              <w:rPr>
                <w:rFonts w:ascii="Times New Roman" w:cs="Times New Roman" w:eastAsia="Times New Roman" w:hAnsi="Times New Roman"/>
                <w:sz w:val="14"/>
                <w:szCs w:val="14"/>
                <w:color w:val="auto"/>
              </w:rPr>
              <w:t>FORM TITLE</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960" w:type="dxa"/>
            <w:vAlign w:val="bottom"/>
            <w:gridSpan w:val="2"/>
          </w:tcPr>
          <w:p>
            <w:pPr>
              <w:ind w:left="420"/>
              <w:spacing w:after="0" w:line="148" w:lineRule="exact"/>
              <w:rPr>
                <w:sz w:val="20"/>
                <w:szCs w:val="20"/>
                <w:color w:val="auto"/>
              </w:rPr>
            </w:pPr>
            <w:r>
              <w:rPr>
                <w:rFonts w:ascii="Times New Roman" w:cs="Times New Roman" w:eastAsia="Times New Roman" w:hAnsi="Times New Roman"/>
                <w:sz w:val="14"/>
                <w:szCs w:val="14"/>
                <w:color w:val="auto"/>
              </w:rPr>
              <w:t>DATE</w:t>
            </w:r>
          </w:p>
        </w:tc>
        <w:tc>
          <w:tcPr>
            <w:tcW w:w="440" w:type="dxa"/>
            <w:vAlign w:val="bottom"/>
          </w:tcPr>
          <w:p>
            <w:pPr>
              <w:spacing w:after="0"/>
              <w:rPr>
                <w:sz w:val="14"/>
                <w:szCs w:val="14"/>
                <w:color w:val="auto"/>
              </w:rPr>
            </w:pPr>
          </w:p>
        </w:tc>
        <w:tc>
          <w:tcPr>
            <w:tcW w:w="8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46726</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12/87</w:t>
            </w:r>
          </w:p>
        </w:tc>
        <w:tc>
          <w:tcPr>
            <w:tcW w:w="440" w:type="dxa"/>
            <w:vAlign w:val="bottom"/>
            <w:tcBorders>
              <w:top w:val="single" w:sz="8" w:color="CCEEFF"/>
            </w:tcBorders>
            <w:shd w:val="clear" w:color="auto" w:fill="CCEEFF"/>
          </w:tcPr>
          <w:p>
            <w:pPr>
              <w:spacing w:after="0"/>
              <w:rPr>
                <w:sz w:val="17"/>
                <w:szCs w:val="17"/>
                <w:color w:val="auto"/>
              </w:rPr>
            </w:pPr>
          </w:p>
        </w:tc>
        <w:tc>
          <w:tcPr>
            <w:tcW w:w="8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FINANCIAL INSTITUTION BOND – FORM #14 DEC</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08/88</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FINANCIAL FIDELITY FORM 14 GUTS</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89644</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07/05</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COVERAGE TERRITORY ENDORSEMENT (OFAC)</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99758</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08/08</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NOTICE OF CLAIM (REPORTING BY E-MAIL)</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101776</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AMEND EXCLUSION (J) – RICO RIDER (ALLEGED TO ADJUDICATED)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57643</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06/93</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AMENDED COUNTERFEIT CURRENCY</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101779</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AUDIT EXPENSE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101918</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CENTRAL HANDLING OF SECURITIES RIDER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101929</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ERISA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101777</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FACSIMILE SIGNATURES RIDER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101793</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AGREEMENT D AMENDED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101821</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TELEFACSIMILE TRANSFER FRAUD RIDER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101822</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UNAUTHORIZED SIGNATURES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101778</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UNCERTIFIED SECURITIES RIDER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101823</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VOICE INITIATED TRANSFER FRAUD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AMENDED DEFINITION OF EMPLOYEE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MNSCPT</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NAMED INSURED AMENDED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 AMENDATORY INCONSISTENT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101781</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06/09</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DISCOVERY AMENDED RIDER (ALL SECTIONS)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99798</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08/08</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CLAIMS EXPENSING INSURING AGREEMENT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100107</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09/08</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COMPUTER CRIME COVERAGE RIDER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74802</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07/11</w:t>
            </w:r>
          </w:p>
        </w:tc>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TEXAS AMENDATORY ENDORSEMENT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113011</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10/12</w:t>
            </w:r>
          </w:p>
        </w:tc>
        <w:tc>
          <w:tcPr>
            <w:tcW w:w="9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PROTECTED INFORMATION EXCLUSION</w:t>
            </w:r>
          </w:p>
        </w:tc>
        <w:tc>
          <w:tcPr>
            <w:tcW w:w="0" w:type="dxa"/>
            <w:vAlign w:val="bottom"/>
          </w:tcPr>
          <w:p>
            <w:pPr>
              <w:spacing w:after="0"/>
              <w:rPr>
                <w:sz w:val="1"/>
                <w:szCs w:val="1"/>
                <w:color w:val="auto"/>
              </w:rPr>
            </w:pPr>
          </w:p>
        </w:tc>
      </w:tr>
      <w:tr>
        <w:trPr>
          <w:trHeight w:val="3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78859 (10/01)</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FORM NUMBER</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w w:val="95"/>
              </w:rPr>
              <w:t>EDITION</w:t>
            </w:r>
          </w:p>
        </w:tc>
        <w:tc>
          <w:tcPr>
            <w:tcW w:w="520" w:type="dxa"/>
            <w:vAlign w:val="bottom"/>
          </w:tcPr>
          <w:p>
            <w:pPr>
              <w:spacing w:after="0"/>
              <w:rPr>
                <w:sz w:val="13"/>
                <w:szCs w:val="13"/>
                <w:color w:val="auto"/>
              </w:rPr>
            </w:pPr>
          </w:p>
        </w:tc>
        <w:tc>
          <w:tcPr>
            <w:tcW w:w="8740" w:type="dxa"/>
            <w:vAlign w:val="bottom"/>
            <w:vMerge w:val="restart"/>
          </w:tcPr>
          <w:p>
            <w:pPr>
              <w:ind w:left="3980"/>
              <w:spacing w:after="0"/>
              <w:rPr>
                <w:sz w:val="20"/>
                <w:szCs w:val="20"/>
                <w:color w:val="auto"/>
              </w:rPr>
            </w:pPr>
            <w:r>
              <w:rPr>
                <w:rFonts w:ascii="Times New Roman" w:cs="Times New Roman" w:eastAsia="Times New Roman" w:hAnsi="Times New Roman"/>
                <w:sz w:val="14"/>
                <w:szCs w:val="14"/>
                <w:color w:val="auto"/>
              </w:rPr>
              <w:t>FORM TITLE</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1080" w:type="dxa"/>
            <w:vAlign w:val="bottom"/>
            <w:gridSpan w:val="2"/>
          </w:tcPr>
          <w:p>
            <w:pPr>
              <w:ind w:left="520"/>
              <w:spacing w:after="0" w:line="148" w:lineRule="exact"/>
              <w:rPr>
                <w:sz w:val="20"/>
                <w:szCs w:val="20"/>
                <w:color w:val="auto"/>
              </w:rPr>
            </w:pPr>
            <w:r>
              <w:rPr>
                <w:rFonts w:ascii="Times New Roman" w:cs="Times New Roman" w:eastAsia="Times New Roman" w:hAnsi="Times New Roman"/>
                <w:sz w:val="14"/>
                <w:szCs w:val="14"/>
                <w:color w:val="auto"/>
              </w:rPr>
              <w:t>DATE</w:t>
            </w:r>
          </w:p>
        </w:tc>
        <w:tc>
          <w:tcPr>
            <w:tcW w:w="520" w:type="dxa"/>
            <w:vAlign w:val="bottom"/>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78859</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10/01</w:t>
            </w:r>
          </w:p>
        </w:tc>
        <w:tc>
          <w:tcPr>
            <w:tcW w:w="520" w:type="dxa"/>
            <w:vAlign w:val="bottom"/>
            <w:tcBorders>
              <w:top w:val="single" w:sz="8" w:color="CCEEFF"/>
            </w:tcBorders>
            <w:shd w:val="clear" w:color="auto" w:fill="CCEEFF"/>
          </w:tcPr>
          <w:p>
            <w:pPr>
              <w:spacing w:after="0"/>
              <w:rPr>
                <w:sz w:val="17"/>
                <w:szCs w:val="17"/>
                <w:color w:val="auto"/>
              </w:rPr>
            </w:pPr>
          </w:p>
        </w:tc>
        <w:tc>
          <w:tcPr>
            <w:tcW w:w="8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FORMS INDEX ENDORSEMENT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53365</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07/96</w:t>
            </w:r>
          </w:p>
        </w:tc>
        <w:tc>
          <w:tcPr>
            <w:tcW w:w="9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TEXAS NOTICE - LOSS CONTROL</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94396</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01/10</w:t>
            </w:r>
          </w:p>
        </w:tc>
        <w:tc>
          <w:tcPr>
            <w:tcW w:w="9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TEXAS COMPLAINT NOTICE FOR ADMITTED PAPER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128905</wp:posOffset>
            </wp:positionV>
            <wp:extent cx="2898775" cy="574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78859 (10/01)</w:t>
      </w:r>
    </w:p>
    <w:p>
      <w:pPr>
        <w:sectPr>
          <w:pgSz w:w="11900" w:h="16838" w:orient="portrait"/>
          <w:cols w:equalWidth="0" w:num="1">
            <w:col w:w="11420"/>
          </w:cols>
          <w:pgMar w:left="240" w:top="263" w:right="239" w:bottom="1440" w:gutter="0" w:footer="0" w:header="0"/>
        </w:sectPr>
      </w:pPr>
    </w:p>
    <w:bookmarkStart w:id="69" w:name="page70"/>
    <w:bookmarkEnd w:id="6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POLICYHOLDER 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Union Fire Insurance Company of Pittsburgh, Pa.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notice is to inform you of our loss control programs available in the State of Texas.</w:t>
      </w:r>
    </w:p>
    <w:p>
      <w:pPr>
        <w:spacing w:after="0" w:line="17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have Field Safety Representatives with the experience and expertise to provide accident/loss prevention services reasonably commensurate with the hazard, loss experience, size and nature of your business operation.</w:t>
      </w:r>
    </w:p>
    <w:p>
      <w:pPr>
        <w:spacing w:after="0" w:line="120"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Our services may include loss prevention surveys, risk exposure analysis, staff training, counseling, accident and loss analysis, worker health and safety evaluations, risk improvement recommendations, educational material and literature related to your specific profession or industry.</w:t>
      </w:r>
    </w:p>
    <w:p>
      <w:pPr>
        <w:spacing w:after="0" w:line="120"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In the event you decide not to utilize our loss control services and opt to use your own safety department or hire an outside contractor, the service must be provided by qualified loss prevention representatives who are recognized by the State of Texas.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If you elect not to utilize our loss control services we require you to provide us with the following information (on your company letterhead stationary, signed by an officer of your firm):</w:t>
      </w:r>
    </w:p>
    <w:p>
      <w:pPr>
        <w:spacing w:after="0" w:line="39" w:lineRule="exact"/>
        <w:rPr>
          <w:sz w:val="20"/>
          <w:szCs w:val="20"/>
          <w:color w:val="auto"/>
        </w:rPr>
      </w:pPr>
    </w:p>
    <w:p>
      <w:pPr>
        <w:ind w:left="900" w:hanging="325"/>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Acknowledgement of our offer of loss control services and your written rejection.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reasons for selection of an alternative.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alternative loss control program, which must be reasonably commensurate with the risk.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the qualification of those who will be performing your loss control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Acknowledgment that quarterly summaries of activities outlined in your loss control program will be submitted to us for review.</w:t>
      </w:r>
    </w:p>
    <w:p>
      <w:pPr>
        <w:spacing w:after="0" w:line="171" w:lineRule="exact"/>
        <w:rPr>
          <w:sz w:val="20"/>
          <w:szCs w:val="20"/>
          <w:color w:val="auto"/>
        </w:rPr>
      </w:pPr>
    </w:p>
    <w:p>
      <w:pPr>
        <w:ind w:right="1860"/>
        <w:spacing w:after="0" w:line="447" w:lineRule="auto"/>
        <w:rPr>
          <w:sz w:val="20"/>
          <w:szCs w:val="20"/>
          <w:color w:val="auto"/>
        </w:rPr>
      </w:pPr>
      <w:r>
        <w:rPr>
          <w:rFonts w:ascii="Times New Roman" w:cs="Times New Roman" w:eastAsia="Times New Roman" w:hAnsi="Times New Roman"/>
          <w:sz w:val="18"/>
          <w:szCs w:val="18"/>
          <w:color w:val="auto"/>
        </w:rPr>
        <w:t>If you have any questions or wish to discuss this matter, contact our Texas Loss Control Service Coordinating Unit at 1-800-221-0651. 53365(07/96)</w:t>
      </w:r>
    </w:p>
    <w:p>
      <w:pPr>
        <w:sectPr>
          <w:pgSz w:w="11900" w:h="16838" w:orient="portrait"/>
          <w:cols w:equalWidth="0" w:num="1">
            <w:col w:w="11320"/>
          </w:cols>
          <w:pgMar w:left="240" w:top="272" w:right="339" w:bottom="1440" w:gutter="0" w:footer="0" w:header="0"/>
        </w:sectPr>
      </w:pPr>
    </w:p>
    <w:bookmarkStart w:id="70" w:name="page71"/>
    <w:bookmarkEnd w:id="7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NOTICE</w:t>
      </w:r>
    </w:p>
    <w:p>
      <w:pPr>
        <w:spacing w:after="0" w:line="50" w:lineRule="exact"/>
        <w:rPr>
          <w:sz w:val="20"/>
          <w:szCs w:val="20"/>
          <w:color w:val="auto"/>
        </w:rPr>
      </w:pPr>
    </w:p>
    <w:p>
      <w:pPr>
        <w:ind w:left="1840"/>
        <w:spacing w:after="0"/>
        <w:tabs>
          <w:tab w:leader="none" w:pos="7660" w:val="left"/>
        </w:tabs>
        <w:rPr>
          <w:sz w:val="20"/>
          <w:szCs w:val="20"/>
          <w:color w:val="auto"/>
        </w:rPr>
      </w:pPr>
      <w:r>
        <w:rPr>
          <w:rFonts w:ascii="Times New Roman" w:cs="Times New Roman" w:eastAsia="Times New Roman" w:hAnsi="Times New Roman"/>
          <w:sz w:val="18"/>
          <w:szCs w:val="18"/>
          <w:b w:val="1"/>
          <w:bCs w:val="1"/>
          <w:color w:val="auto"/>
        </w:rPr>
        <w:t>IMPORTANT NOTICE</w:t>
      </w:r>
      <w:r>
        <w:rPr>
          <w:sz w:val="20"/>
          <w:szCs w:val="20"/>
          <w:color w:val="auto"/>
        </w:rPr>
        <w:tab/>
      </w:r>
      <w:r>
        <w:rPr>
          <w:rFonts w:ascii="Times New Roman" w:cs="Times New Roman" w:eastAsia="Times New Roman" w:hAnsi="Times New Roman"/>
          <w:sz w:val="16"/>
          <w:szCs w:val="16"/>
          <w:b w:val="1"/>
          <w:bCs w:val="1"/>
          <w:color w:val="auto"/>
        </w:rPr>
        <w:t>AVISO IMPORTANTE</w:t>
      </w:r>
    </w:p>
    <w:p>
      <w:pPr>
        <w:sectPr>
          <w:pgSz w:w="11900" w:h="16838" w:orient="portrait"/>
          <w:cols w:equalWidth="0" w:num="1">
            <w:col w:w="11200"/>
          </w:cols>
          <w:pgMar w:left="240" w:top="272" w:right="45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information or make a complaint:</w:t>
      </w:r>
    </w:p>
    <w:p>
      <w:pPr>
        <w:spacing w:after="0" w:line="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You may call the Company’s toll-free telephone number for information or to make a complaint at: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informacion o para someter una queja:</w:t>
      </w:r>
    </w:p>
    <w:p>
      <w:pPr>
        <w:spacing w:after="0" w:line="9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Usted puede llamar al numero de teléfono gratis de la compania para informacion o para someter una queja al:</w:t>
      </w:r>
    </w:p>
    <w:p>
      <w:pPr>
        <w:spacing w:after="0" w:line="200" w:lineRule="exact"/>
        <w:rPr>
          <w:sz w:val="20"/>
          <w:szCs w:val="20"/>
          <w:color w:val="auto"/>
        </w:rPr>
      </w:pPr>
    </w:p>
    <w:p>
      <w:pPr>
        <w:sectPr>
          <w:pgSz w:w="11900" w:h="16838" w:orient="portrait"/>
          <w:cols w:equalWidth="0" w:num="2">
            <w:col w:w="5440" w:space="380"/>
            <w:col w:w="5380"/>
          </w:cols>
          <w:pgMar w:left="240" w:top="272" w:right="459" w:bottom="1440" w:gutter="0" w:footer="0" w:header="0"/>
          <w:type w:val="continuous"/>
        </w:sectPr>
      </w:pPr>
    </w:p>
    <w:p>
      <w:pPr>
        <w:spacing w:after="0" w:line="80"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1-877-541-9748</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You may contact the Texas Department of Insurance to obtain information on companies, coverages, rights or complaints at: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1-877-541-9748</w:t>
      </w:r>
    </w:p>
    <w:p>
      <w:pPr>
        <w:spacing w:after="0" w:line="173"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Puede comunicarse con el Departamento de Seguros de Texas para obtener informacion acerca de companias, coberturas, derechos o quejas al:</w:t>
      </w:r>
    </w:p>
    <w:p>
      <w:pPr>
        <w:spacing w:after="0" w:line="200" w:lineRule="exact"/>
        <w:rPr>
          <w:sz w:val="20"/>
          <w:szCs w:val="20"/>
          <w:color w:val="auto"/>
        </w:rPr>
      </w:pPr>
    </w:p>
    <w:p>
      <w:pPr>
        <w:sectPr>
          <w:pgSz w:w="11900" w:h="16838" w:orient="portrait"/>
          <w:cols w:equalWidth="0" w:num="2">
            <w:col w:w="5440" w:space="380"/>
            <w:col w:w="5380"/>
          </w:cols>
          <w:pgMar w:left="240" w:top="272" w:right="459" w:bottom="1440" w:gutter="0" w:footer="0" w:header="0"/>
          <w:type w:val="continuous"/>
        </w:sectPr>
      </w:pPr>
    </w:p>
    <w:p>
      <w:pPr>
        <w:spacing w:after="0" w:line="3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1-800-252-3439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write the Texas Department of Insurance: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(512) 475-1771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 </w:t>
      </w:r>
      <w:r>
        <w:rPr>
          <w:rFonts w:ascii="Times New Roman" w:cs="Times New Roman" w:eastAsia="Times New Roman" w:hAnsi="Times New Roman"/>
          <w:sz w:val="18"/>
          <w:szCs w:val="18"/>
          <w:u w:val="single" w:color="auto"/>
          <w:color w:val="auto"/>
        </w:rPr>
        <w:t>http://www.tdi.state.tx.us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ConsumerProtection@tdi.state.tx.us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 OR CLAIM DISPUTES:</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Should you have a dispute concerning your premium or about a claim you should contact the agent first. If the dispute is not resolved, you may contact the Texas Department of Insurance.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 THIS NOTICE TO YOUR POLICY:</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This notice is for information only and does not become a part of the attached document.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1-800-252-3439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Puede escribir al Departamento de Seguros de Texas: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(512) 475-1771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 </w:t>
      </w:r>
      <w:r>
        <w:rPr>
          <w:rFonts w:ascii="Times New Roman" w:cs="Times New Roman" w:eastAsia="Times New Roman" w:hAnsi="Times New Roman"/>
          <w:sz w:val="18"/>
          <w:szCs w:val="18"/>
          <w:u w:val="single" w:color="auto"/>
          <w:color w:val="auto"/>
        </w:rPr>
        <w:t>http://www.tdi.state.tx.us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ConsumerProtection@tdi.state.tx.us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DISPUTAS SOBRE PRIMAS O RECLAMOS:</w:t>
      </w:r>
    </w:p>
    <w:p>
      <w:pPr>
        <w:spacing w:after="0" w:line="9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Si tiene una disputa concerniente a su prima o a un reclamo, debe comunicarse con el agente primero. Si no se resuelve la disputa, puede entonces comunicarse con el departamento (TDI).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 ESTE AVISO A SU POLIZA:</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Este aviso es solo para proposito de informacion y no se convierte en parte o condicion del documento adjunto.</w:t>
      </w:r>
    </w:p>
    <w:p>
      <w:pPr>
        <w:spacing w:after="0" w:line="200" w:lineRule="exact"/>
        <w:rPr>
          <w:sz w:val="20"/>
          <w:szCs w:val="20"/>
          <w:color w:val="auto"/>
        </w:rPr>
      </w:pPr>
    </w:p>
    <w:p>
      <w:pPr>
        <w:sectPr>
          <w:pgSz w:w="11900" w:h="16838" w:orient="portrait"/>
          <w:cols w:equalWidth="0" w:num="2">
            <w:col w:w="5460" w:space="360"/>
            <w:col w:w="5380"/>
          </w:cols>
          <w:pgMar w:left="240" w:top="272" w:right="45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94396(1/10)</w:t>
      </w:r>
    </w:p>
    <w:sectPr>
      <w:pgSz w:w="11900" w:h="16838" w:orient="portrait"/>
      <w:cols w:equalWidth="0" w:num="1">
        <w:col w:w="11200"/>
      </w:cols>
      <w:pgMar w:left="240" w:top="27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decimal"/>
      <w:start w:val="1"/>
    </w:lvl>
  </w:abstractNum>
  <w:abstractNum w:abstractNumId="1">
    <w:nsid w:val="15014ACB"/>
    <w:multiLevelType w:val="hybridMultilevel"/>
    <w:lvl w:ilvl="0">
      <w:lvlJc w:val="left"/>
      <w:lvlText w:val="%1."/>
      <w:numFmt w:val="decimal"/>
      <w:start w:val="1"/>
    </w:lvl>
  </w:abstractNum>
  <w:abstractNum w:abstractNumId="2">
    <w:nsid w:val="5F5E7FD0"/>
    <w:multiLevelType w:val="hybridMultilevel"/>
    <w:lvl w:ilvl="0">
      <w:lvlJc w:val="left"/>
      <w:lvlText w:val="(%1)"/>
      <w:numFmt w:val="upperLetter"/>
      <w:start w:val="1"/>
    </w:lvl>
    <w:lvl w:ilvl="1">
      <w:lvlJc w:val="left"/>
      <w:lvlText w:val="(%2)"/>
      <w:numFmt w:val="lowerLetter"/>
      <w:start w:val="1"/>
    </w:lvl>
  </w:abstractNum>
  <w:abstractNum w:abstractNumId="3">
    <w:nsid w:val="98A314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
    <w:nsid w:val="799D0247"/>
    <w:multiLevelType w:val="hybridMultilevel"/>
    <w:lvl w:ilvl="0">
      <w:lvlJc w:val="left"/>
      <w:lvlText w:val="(%1)"/>
      <w:numFmt w:val="lowerRoman"/>
      <w:start w:val="1"/>
    </w:lvl>
  </w:abstractNum>
  <w:abstractNum w:abstractNumId="5">
    <w:nsid w:val="6B9476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6">
    <w:nsid w:val="42C296BD"/>
    <w:multiLevelType w:val="hybridMultilevel"/>
    <w:lvl w:ilvl="0">
      <w:lvlJc w:val="left"/>
      <w:lvlText w:val="(%1)"/>
      <w:numFmt w:val="upperLetter"/>
      <w:start w:val="4"/>
    </w:lvl>
    <w:lvl w:ilvl="1">
      <w:lvlJc w:val="left"/>
      <w:lvlText w:val="(%2)"/>
      <w:numFmt w:val="decimal"/>
      <w:start w:val="1"/>
    </w:lvl>
  </w:abstractNum>
  <w:abstractNum w:abstractNumId="7">
    <w:nsid w:val="168E121F"/>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8">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661E3F1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
    <w:nsid w:val="5DC79EA8"/>
    <w:multiLevelType w:val="hybridMultilevel"/>
    <w:lvl w:ilvl="0">
      <w:lvlJc w:val="left"/>
      <w:lvlText w:val="(%1)"/>
      <w:numFmt w:val="upperLetter"/>
      <w:start w:val="6"/>
    </w:lvl>
  </w:abstractNum>
  <w:abstractNum w:abstractNumId="11">
    <w:nsid w:val="540A471C"/>
    <w:multiLevelType w:val="hybridMultilevel"/>
    <w:lvl w:ilvl="0">
      <w:lvlJc w:val="left"/>
      <w:lvlText w:val="%1."/>
      <w:numFmt w:val="upperLetter"/>
      <w:start w:val="1"/>
    </w:lvl>
  </w:abstractNum>
  <w:abstractNum w:abstractNumId="12">
    <w:nsid w:val="7BD3EE7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3">
    <w:nsid w:val="51D9C564"/>
    <w:multiLevelType w:val="hybridMultilevel"/>
    <w:lvl w:ilvl="0">
      <w:lvlJc w:val="left"/>
      <w:lvlText w:val="%1."/>
      <w:numFmt w:val="upperLetter"/>
      <w:start w:val="3"/>
    </w:lvl>
  </w:abstractNum>
  <w:abstractNum w:abstractNumId="14">
    <w:nsid w:val="613EFDC5"/>
    <w:multiLevelType w:val="hybridMultilevel"/>
    <w:lvl w:ilvl="0">
      <w:lvlJc w:val="left"/>
      <w:lvlText w:val="%1."/>
      <w:numFmt w:val="upperLetter"/>
      <w:start w:val="4"/>
    </w:lvl>
  </w:abstractNum>
  <w:abstractNum w:abstractNumId="15">
    <w:nsid w:val="BF72B14"/>
    <w:multiLevelType w:val="hybridMultilevel"/>
    <w:lvl w:ilvl="0">
      <w:lvlJc w:val="left"/>
      <w:lvlText w:val="%1."/>
      <w:numFmt w:val="upperLetter"/>
      <w:start w:val="5"/>
    </w:lvl>
  </w:abstractNum>
  <w:abstractNum w:abstractNumId="16">
    <w:nsid w:val="11447B73"/>
    <w:multiLevelType w:val="hybridMultilevel"/>
    <w:lvl w:ilvl="0">
      <w:lvlJc w:val="left"/>
      <w:lvlText w:val="%1."/>
      <w:numFmt w:val="upperLetter"/>
      <w:start w:val="6"/>
    </w:lvl>
  </w:abstractNum>
  <w:abstractNum w:abstractNumId="17">
    <w:nsid w:val="42963E5A"/>
    <w:multiLevelType w:val="hybridMultilevel"/>
    <w:lvl w:ilvl="0">
      <w:lvlJc w:val="left"/>
      <w:lvlText w:val="(%1)"/>
      <w:numFmt w:val="lowerLetter"/>
      <w:start w:val="1"/>
    </w:lvl>
    <w:lvl w:ilvl="1">
      <w:lvlJc w:val="left"/>
      <w:lvlText w:val="(%2)"/>
      <w:numFmt w:val="decimal"/>
      <w:start w:val="1"/>
    </w:lvl>
  </w:abstractNum>
  <w:abstractNum w:abstractNumId="18">
    <w:nsid w:val="A0382C5"/>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9">
    <w:nsid w:val="8F2B15E"/>
    <w:multiLevelType w:val="hybridMultilevel"/>
    <w:lvl w:ilvl="0">
      <w:lvlJc w:val="left"/>
      <w:lvlText w:val="(%1)"/>
      <w:numFmt w:val="lowerLetter"/>
      <w:start w:val="2"/>
    </w:lvl>
  </w:abstractNum>
  <w:abstractNum w:abstractNumId="20">
    <w:nsid w:val="1A32234B"/>
    <w:multiLevelType w:val="hybridMultilevel"/>
    <w:lvl w:ilvl="0">
      <w:lvlJc w:val="left"/>
      <w:lvlText w:val="%1"/>
      <w:numFmt w:val="lowerLetter"/>
      <w:start w:val="1"/>
    </w:lvl>
    <w:lvl w:ilvl="1">
      <w:lvlJc w:val="left"/>
      <w:lvlText w:val="(%2)"/>
      <w:numFmt w:val="decimal"/>
      <w:start w:val="2"/>
    </w:lvl>
  </w:abstractNum>
  <w:abstractNum w:abstractNumId="21">
    <w:nsid w:val="3B0FD379"/>
    <w:multiLevelType w:val="hybridMultilevel"/>
    <w:lvl w:ilvl="0">
      <w:lvlJc w:val="left"/>
      <w:lvlText w:val="(%1)"/>
      <w:numFmt w:val="lowerLetter"/>
      <w:start w:val="8"/>
    </w:lvl>
    <w:lvl w:ilvl="1">
      <w:lvlJc w:val="left"/>
      <w:lvlText w:val="%2"/>
      <w:numFmt w:val="decimal"/>
      <w:start w:val="1"/>
    </w:lvl>
  </w:abstractNum>
  <w:abstractNum w:abstractNumId="22">
    <w:nsid w:val="68EB2F63"/>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23">
    <w:nsid w:val="4962813B"/>
    <w:multiLevelType w:val="hybridMultilevel"/>
    <w:lvl w:ilvl="0">
      <w:lvlJc w:val="left"/>
      <w:lvlText w:val="%1)"/>
      <w:numFmt w:val="decimal"/>
      <w:start w:val="4"/>
    </w:lvl>
  </w:abstractNum>
  <w:abstractNum w:abstractNumId="24">
    <w:nsid w:val="60B6DF7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5">
    <w:nsid w:val="6A5EE64"/>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4"/>
    </w:lvl>
    <w:lvl w:ilvl="1">
      <w:lvlJc w:val="left"/>
      <w:lvlText w:val="(%2)"/>
      <w:numFmt w:val="decimal"/>
      <w:start w:val="1"/>
    </w:lvl>
  </w:abstractNum>
  <w:abstractNum w:abstractNumId="28">
    <w:nsid w:val="1A27709E"/>
    <w:multiLevelType w:val="hybridMultilevel"/>
    <w:lvl w:ilvl="0">
      <w:lvlJc w:val="left"/>
      <w:lvlText w:val="(%1)"/>
      <w:numFmt w:val="lowerLetter"/>
      <w:start w:val="11"/>
    </w:lvl>
    <w:lvl w:ilvl="1">
      <w:lvlJc w:val="left"/>
      <w:lvlText w:val="(%2)"/>
      <w:numFmt w:val="decimal"/>
      <w:start w:val="1"/>
    </w:lvl>
  </w:abstractNum>
  <w:abstractNum w:abstractNumId="29">
    <w:nsid w:val="71EA1109"/>
    <w:multiLevelType w:val="hybridMultilevel"/>
    <w:lvl w:ilvl="0">
      <w:lvlJc w:val="left"/>
      <w:lvlText w:val="(%1)"/>
      <w:numFmt w:val="lowerLetter"/>
      <w:start w:val="12"/>
    </w:lvl>
    <w:lvl w:ilvl="1">
      <w:lvlJc w:val="left"/>
      <w:lvlText w:val="(%2)"/>
      <w:numFmt w:val="decimal"/>
      <w:start w:val="1"/>
    </w:lvl>
  </w:abstractNum>
  <w:abstractNum w:abstractNumId="30">
    <w:nsid w:val="100F59DC"/>
    <w:multiLevelType w:val="hybridMultilevel"/>
    <w:lvl w:ilvl="0">
      <w:lvlJc w:val="left"/>
      <w:lvlText w:val="(%1)"/>
      <w:numFmt w:val="lowerLetter"/>
      <w:start w:val="17"/>
    </w:lvl>
    <w:lvl w:ilvl="1">
      <w:lvlJc w:val="left"/>
      <w:lvlText w:val="(%2)"/>
      <w:numFmt w:val="decimal"/>
      <w:start w:val="1"/>
    </w:lvl>
  </w:abstractNum>
  <w:abstractNum w:abstractNumId="31">
    <w:nsid w:val="7FB7E0AA"/>
    <w:multiLevelType w:val="hybridMultilevel"/>
    <w:lvl w:ilvl="0">
      <w:lvlJc w:val="left"/>
      <w:lvlText w:val="(%1)"/>
      <w:numFmt w:val="lowerLetter"/>
      <w:start w:val="19"/>
    </w:lvl>
    <w:lvl w:ilvl="1">
      <w:lvlJc w:val="left"/>
      <w:lvlText w:val="(%2)"/>
      <w:numFmt w:val="decimal"/>
      <w:start w:val="1"/>
    </w:lvl>
  </w:abstractNum>
  <w:abstractNum w:abstractNumId="32">
    <w:nsid w:val="6EB5BD4"/>
    <w:multiLevelType w:val="hybridMultilevel"/>
    <w:lvl w:ilvl="0">
      <w:lvlJc w:val="left"/>
      <w:lvlText w:val="(%1)"/>
      <w:numFmt w:val="lowerLetter"/>
      <w:start w:val="27"/>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1)"/>
      <w:numFmt w:val="lowerLetter"/>
      <w:start w:val="1"/>
    </w:lvl>
  </w:abstractNum>
  <w:abstractNum w:abstractNumId="35">
    <w:nsid w:val="885E1B"/>
    <w:multiLevelType w:val="hybridMultilevel"/>
    <w:lvl w:ilvl="0">
      <w:lvlJc w:val="left"/>
      <w:lvlText w:val="(%1)"/>
      <w:numFmt w:val="lowerLetter"/>
      <w:start w:val="1"/>
    </w:lvl>
  </w:abstractNum>
  <w:abstractNum w:abstractNumId="36">
    <w:nsid w:val="76272110"/>
    <w:multiLevelType w:val="hybridMultilevel"/>
    <w:lvl w:ilvl="0">
      <w:lvlJc w:val="left"/>
      <w:lvlText w:val="(%1)"/>
      <w:numFmt w:val="lowerLetter"/>
      <w:start w:val="1"/>
    </w:lvl>
    <w:lvl w:ilvl="1">
      <w:lvlJc w:val="left"/>
      <w:lvlText w:val="(%2)"/>
      <w:numFmt w:val="decimal"/>
      <w:start w:val="1"/>
    </w:lvl>
  </w:abstractNum>
  <w:abstractNum w:abstractNumId="37">
    <w:nsid w:val="4C04A8AF"/>
    <w:multiLevelType w:val="hybridMultilevel"/>
    <w:lvl w:ilvl="0">
      <w:lvlJc w:val="left"/>
      <w:lvlText w:val="(%1)"/>
      <w:numFmt w:val="lowerLetter"/>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1."/>
      <w:numFmt w:val="decimal"/>
      <w:start w:val="2"/>
    </w:lvl>
    <w:lvl w:ilvl="1">
      <w:lvlJc w:val="left"/>
      <w:lvlText w:val="(%2)"/>
      <w:numFmt w:val="lowerLetter"/>
      <w:start w:val="1"/>
    </w:lvl>
  </w:abstractNum>
  <w:abstractNum w:abstractNumId="41">
    <w:nsid w:val="74DE0EE3"/>
    <w:multiLevelType w:val="hybridMultilevel"/>
    <w:lvl w:ilvl="0">
      <w:lvlJc w:val="left"/>
      <w:lvlText w:val="%1."/>
      <w:numFmt w:val="decimal"/>
      <w:start w:val="3"/>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decimal"/>
      <w:start w:val="1"/>
    </w:lvl>
    <w:lvl w:ilvl="1">
      <w:lvlJc w:val="left"/>
      <w:lvlText w:val="(%2)"/>
      <w:numFmt w:val="lowerLetter"/>
      <w:start w:val="10"/>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decimal"/>
      <w:start w:val="2"/>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49">
    <w:nsid w:val="43F18422"/>
    <w:multiLevelType w:val="hybridMultilevel"/>
    <w:lvl w:ilvl="0">
      <w:lvlJc w:val="left"/>
      <w:lvlText w:val="%1"/>
      <w:numFmt w:val="decimal"/>
      <w:start w:val="1"/>
    </w:lvl>
    <w:lvl w:ilvl="1">
      <w:lvlJc w:val="left"/>
      <w:lvlText w:val="(%2)"/>
      <w:numFmt w:val="lowerLetter"/>
      <w:start w:val="21"/>
    </w:lvl>
    <w:lvl w:ilvl="2">
      <w:lvlJc w:val="left"/>
      <w:lvlText w:val="(%3)"/>
      <w:numFmt w:val="decimal"/>
      <w:start w:val="1"/>
    </w:lvl>
  </w:abstractNum>
  <w:abstractNum w:abstractNumId="50">
    <w:nsid w:val="60EF0119"/>
    <w:multiLevelType w:val="hybridMultilevel"/>
    <w:lvl w:ilvl="0">
      <w:lvlJc w:val="left"/>
      <w:lvlText w:val="%1"/>
      <w:numFmt w:val="decimal"/>
      <w:start w:val="1"/>
    </w:lvl>
    <w:lvl w:ilvl="1">
      <w:lvlJc w:val="left"/>
      <w:lvlText w:val="(%2)"/>
      <w:numFmt w:val="decimal"/>
      <w:start w:val="2"/>
    </w:lvl>
  </w:abstractNum>
  <w:abstractNum w:abstractNumId="51">
    <w:nsid w:val="26F324BA"/>
    <w:multiLevelType w:val="hybridMultilevel"/>
    <w:lvl w:ilvl="0">
      <w:lvlJc w:val="left"/>
      <w:lvlText w:val="%1."/>
      <w:numFmt w:val="decimal"/>
      <w:start w:val="4"/>
    </w:lvl>
    <w:lvl w:ilvl="1">
      <w:lvlJc w:val="left"/>
      <w:lvlText w:val="%2"/>
      <w:numFmt w:val="decimal"/>
      <w:start w:val="1"/>
    </w:lvl>
  </w:abstractNum>
  <w:abstractNum w:abstractNumId="52">
    <w:nsid w:val="7F01579B"/>
    <w:multiLevelType w:val="hybridMultilevel"/>
    <w:lvl w:ilvl="0">
      <w:lvlJc w:val="left"/>
      <w:lvlText w:val="%1."/>
      <w:numFmt w:val="decimal"/>
      <w:start w:val="5"/>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2"/>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5"/>
    </w:lvl>
  </w:abstractNum>
  <w:abstractNum w:abstractNumId="59">
    <w:nsid w:val="6AA78F7F"/>
    <w:multiLevelType w:val="hybridMultilevel"/>
    <w:lvl w:ilvl="0">
      <w:lvlJc w:val="left"/>
      <w:lvlText w:val="(%1)"/>
      <w:numFmt w:val="lowerLetter"/>
      <w:start w:val="1"/>
    </w:lvl>
  </w:abstractNum>
  <w:abstractNum w:abstractNumId="60">
    <w:nsid w:val="7672BD23"/>
    <w:multiLevelType w:val="hybridMultilevel"/>
    <w:lvl w:ilvl="0">
      <w:lvlJc w:val="left"/>
      <w:lvlText w:val="%1."/>
      <w:numFmt w:val="decimal"/>
      <w:start w:val="8"/>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lowerLetter"/>
      <w:start w:val="1"/>
    </w:lvl>
    <w:lvl w:ilvl="1">
      <w:lvlJc w:val="left"/>
      <w:lvlText w:val="(%2)"/>
      <w:numFmt w:val="decimal"/>
      <w:start w:val="1"/>
    </w:lvl>
  </w:abstractNum>
  <w:abstractNum w:abstractNumId="64">
    <w:nsid w:val="5F3534A4"/>
    <w:multiLevelType w:val="hybridMultilevel"/>
    <w:lvl w:ilvl="0">
      <w:lvlJc w:val="left"/>
      <w:lvlText w:val="%1"/>
      <w:numFmt w:val="decimal"/>
      <w:start w:val="1"/>
    </w:lvl>
    <w:lvl w:ilvl="1">
      <w:lvlJc w:val="left"/>
      <w:lvlText w:val="(%2)"/>
      <w:numFmt w:val="lowerLetter"/>
      <w:start w:val="2"/>
    </w:lvl>
  </w:abstractNum>
  <w:abstractNum w:abstractNumId="65">
    <w:nsid w:val="73A1821B"/>
    <w:multiLevelType w:val="hybridMultilevel"/>
    <w:lvl w:ilvl="0">
      <w:lvlJc w:val="left"/>
      <w:lvlText w:val="%1."/>
      <w:numFmt w:val="decimal"/>
      <w:start w:val="2"/>
    </w:lvl>
    <w:lvl w:ilvl="1">
      <w:lvlJc w:val="left"/>
      <w:lvlText w:val="%2"/>
      <w:numFmt w:val="lowerLetter"/>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1."/>
      <w:numFmt w:val="decimal"/>
      <w:start w:val="1"/>
    </w:lvl>
  </w:abstractNum>
  <w:abstractNum w:abstractNumId="68">
    <w:nsid w:val="3FA62ACA"/>
    <w:multiLevelType w:val="hybridMultilevel"/>
    <w:lvl w:ilvl="0">
      <w:lvlJc w:val="left"/>
      <w:lvlText w:val="%1."/>
      <w:numFmt w:val="decimal"/>
      <w:start w:val="2"/>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1."/>
      <w:numFmt w:val="decimal"/>
      <w:start w:val="1"/>
    </w:lvl>
  </w:abstractNum>
  <w:abstractNum w:abstractNumId="71">
    <w:nsid w:val="71C91298"/>
    <w:multiLevelType w:val="hybridMultilevel"/>
    <w:lvl w:ilvl="0">
      <w:lvlJc w:val="left"/>
      <w:lvlText w:val="(%1)"/>
      <w:numFmt w:val="decimal"/>
      <w:start w:val="1"/>
    </w:lvl>
    <w:lvl w:ilvl="1">
      <w:lvlJc w:val="left"/>
      <w:lvlText w:val="(%2)"/>
      <w:numFmt w:val="lowerLetter"/>
      <w:start w:val="1"/>
    </w:lvl>
  </w:abstractNum>
  <w:abstractNum w:abstractNumId="72">
    <w:nsid w:val="9DAF632"/>
    <w:multiLevelType w:val="hybridMultilevel"/>
    <w:lvl w:ilvl="0">
      <w:lvlJc w:val="left"/>
      <w:lvlText w:val="(%1)"/>
      <w:numFmt w:val="decimal"/>
      <w:start w:val="2"/>
    </w:lvl>
  </w:abstractNum>
  <w:abstractNum w:abstractNumId="73">
    <w:nsid w:val="53299938"/>
    <w:multiLevelType w:val="hybridMultilevel"/>
    <w:lvl w:ilvl="0">
      <w:lvlJc w:val="left"/>
      <w:lvlText w:val="%1."/>
      <w:numFmt w:val="decimal"/>
      <w:start w:val="2"/>
    </w:lvl>
    <w:lvl w:ilvl="1">
      <w:lvlJc w:val="left"/>
      <w:lvlText w:val="(%2)"/>
      <w:numFmt w:val="lowerRoman"/>
      <w:start w:val="1"/>
    </w:lvl>
  </w:abstractNum>
  <w:abstractNum w:abstractNumId="74">
    <w:nsid w:val="1FBFE8E0"/>
    <w:multiLevelType w:val="hybridMultilevel"/>
    <w:lvl w:ilvl="0">
      <w:lvlJc w:val="left"/>
      <w:lvlText w:val="%1"/>
      <w:numFmt w:val="decimal"/>
      <w:start w:val="1"/>
    </w:lvl>
    <w:lvl w:ilvl="1">
      <w:lvlJc w:val="left"/>
      <w:lvlText w:val="(%2)"/>
      <w:numFmt w:val="lowerRoman"/>
      <w:start w:val="2"/>
    </w:lvl>
  </w:abstractNum>
  <w:abstractNum w:abstractNumId="75">
    <w:nsid w:val="5092CA79"/>
    <w:multiLevelType w:val="hybridMultilevel"/>
    <w:lvl w:ilvl="0">
      <w:lvlJc w:val="left"/>
      <w:lvlText w:val="%1."/>
      <w:numFmt w:val="decimal"/>
      <w:start w:val="3"/>
    </w:lvl>
    <w:lvl w:ilvl="1">
      <w:lvlJc w:val="left"/>
      <w:lvlText w:val="%2"/>
      <w:numFmt w:val="lowerRoman"/>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decimal"/>
      <w:start w:val="1"/>
    </w:lvl>
  </w:abstractNum>
  <w:abstractNum w:abstractNumId="78">
    <w:nsid w:val="288F1A34"/>
    <w:multiLevelType w:val="hybridMultilevel"/>
    <w:lvl w:ilvl="0">
      <w:lvlJc w:val="left"/>
      <w:lvlText w:val="%1."/>
      <w:numFmt w:val="decimal"/>
      <w:start w:val="2"/>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5"/>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1."/>
      <w:numFmt w:val="decimal"/>
      <w:start w:val="1"/>
    </w:lvl>
    <w:lvl w:ilvl="1">
      <w:lvlJc w:val="left"/>
      <w:lvlText w:val="(%2)"/>
      <w:numFmt w:val="decimal"/>
      <w:start w:val="1"/>
    </w:lvl>
  </w:abstractNum>
  <w:abstractNum w:abstractNumId="83">
    <w:nsid w:val="1CA0C5FA"/>
    <w:multiLevelType w:val="hybridMultilevel"/>
    <w:lvl w:ilvl="0">
      <w:lvlJc w:val="left"/>
      <w:lvlText w:val="(%1)"/>
      <w:numFmt w:val="lowerRoman"/>
      <w:start w:val="1"/>
    </w:lvl>
  </w:abstractNum>
  <w:abstractNum w:abstractNumId="84">
    <w:nsid w:val="53584BCB"/>
    <w:multiLevelType w:val="hybridMultilevel"/>
    <w:lvl w:ilvl="0">
      <w:lvlJc w:val="left"/>
      <w:lvlText w:val="%1."/>
      <w:numFmt w:val="decimal"/>
      <w:start w:val="2"/>
    </w:lvl>
  </w:abstractNum>
  <w:abstractNum w:abstractNumId="85">
    <w:nsid w:val="415E286C"/>
    <w:multiLevelType w:val="hybridMultilevel"/>
    <w:lvl w:ilvl="0">
      <w:lvlJc w:val="left"/>
      <w:lvlText w:val="%1."/>
      <w:numFmt w:val="decimal"/>
      <w:start w:val="3"/>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1)"/>
      <w:numFmt w:val="lowerLetter"/>
      <w:start w:val="1"/>
    </w:lvl>
    <w:lvl w:ilvl="1">
      <w:lvlJc w:val="left"/>
      <w:lvlText w:val="(%2)"/>
      <w:numFmt w:val="decimal"/>
      <w:start w:val="1"/>
    </w:lvl>
  </w:abstractNum>
  <w:abstractNum w:abstractNumId="88">
    <w:nsid w:val="45E6D486"/>
    <w:multiLevelType w:val="hybridMultilevel"/>
    <w:lvl w:ilvl="0">
      <w:lvlJc w:val="left"/>
      <w:lvlText w:val="(%1)"/>
      <w:numFmt w:val="decimal"/>
      <w:start w:val="8"/>
    </w:lvl>
    <w:lvl w:ilvl="1">
      <w:lvlJc w:val="left"/>
      <w:lvlText w:val="%2)"/>
      <w:numFmt w:val="lowerLetter"/>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decimal"/>
      <w:start w:val="3"/>
    </w:lvl>
  </w:abstractNum>
  <w:abstractNum w:abstractNumId="94">
    <w:nsid w:val="39B7AAA2"/>
    <w:multiLevelType w:val="hybridMultilevel"/>
    <w:lvl w:ilvl="0">
      <w:lvlJc w:val="left"/>
      <w:lvlText w:val="%1"/>
      <w:numFmt w:val="decimal"/>
      <w:start w:val="1"/>
    </w:lvl>
    <w:lvl w:ilvl="1">
      <w:lvlJc w:val="left"/>
      <w:lvlText w:val="(%2)"/>
      <w:numFmt w:val="lowerLetter"/>
      <w:start w:val="1"/>
    </w:lvl>
  </w:abstractNum>
  <w:abstractNum w:abstractNumId="95">
    <w:nsid w:val="2B0D8DBE"/>
    <w:multiLevelType w:val="hybridMultilevel"/>
    <w:lvl w:ilvl="0">
      <w:lvlJc w:val="left"/>
      <w:lvlText w:val="%1."/>
      <w:numFmt w:val="decimal"/>
      <w:start w:val="4"/>
    </w:lvl>
    <w:lvl w:ilvl="1">
      <w:lvlJc w:val="left"/>
      <w:lvlText w:val="%2"/>
      <w:numFmt w:val="lowerLetter"/>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upperLetter"/>
      <w:start w:val="7"/>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1."/>
      <w:numFmt w:val="decimal"/>
      <w:start w:val="1"/>
    </w:lvl>
  </w:abstractNum>
  <w:abstractNum w:abstractNumId="100">
    <w:nsid w:val="4C9B0904"/>
    <w:multiLevelType w:val="hybridMultilevel"/>
    <w:lvl w:ilvl="0">
      <w:lvlJc w:val="left"/>
      <w:lvlText w:val="%1."/>
      <w:numFmt w:val="decimal"/>
      <w:start w:val="4"/>
    </w:lvl>
  </w:abstractNum>
  <w:abstractNum w:abstractNumId="101">
    <w:nsid w:val="6AA7B75C"/>
    <w:multiLevelType w:val="hybridMultilevel"/>
    <w:lvl w:ilvl="0">
      <w:lvlJc w:val="left"/>
      <w:lvlText w:val="(%1)"/>
      <w:numFmt w:val="upperLetter"/>
      <w:start w:val="7"/>
    </w:lvl>
    <w:lvl w:ilvl="1">
      <w:lvlJc w:val="left"/>
      <w:lvlText w:val="(%2)"/>
      <w:numFmt w:val="decimal"/>
      <w:start w:val="1"/>
    </w:lvl>
  </w:abstractNum>
  <w:abstractNum w:abstractNumId="102">
    <w:nsid w:val="1DF029D3"/>
    <w:multiLevelType w:val="hybridMultilevel"/>
    <w:lvl w:ilvl="0">
      <w:lvlJc w:val="left"/>
      <w:lvlText w:val="(%1)"/>
      <w:numFmt w:val="lowerRoman"/>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upperLetter"/>
      <w:start w:val="8"/>
    </w:lvl>
    <w:lvl w:ilvl="1">
      <w:lvlJc w:val="left"/>
      <w:lvlText w:val="(%2)"/>
      <w:numFmt w:val="decimal"/>
      <w:start w:val="1"/>
    </w:lvl>
  </w:abstractNum>
  <w:abstractNum w:abstractNumId="105">
    <w:nsid w:val="3DB012B3"/>
    <w:multiLevelType w:val="hybridMultilevel"/>
    <w:lvl w:ilvl="0">
      <w:lvlJc w:val="left"/>
      <w:lvlText w:val="(%1)"/>
      <w:numFmt w:val="decimal"/>
      <w:start w:val="3"/>
    </w:lvl>
    <w:lvl w:ilvl="1">
      <w:lvlJc w:val="left"/>
      <w:lvlText w:val="(%2)"/>
      <w:numFmt w:val="lowerRoman"/>
      <w:start w:val="1"/>
    </w:lvl>
  </w:abstractNum>
  <w:abstractNum w:abstractNumId="106">
    <w:nsid w:val="2708C9AF"/>
    <w:multiLevelType w:val="hybridMultilevel"/>
    <w:lvl w:ilvl="0">
      <w:lvlJc w:val="left"/>
      <w:lvlText w:val="(%1)"/>
      <w:numFmt w:val="lowerLetter"/>
      <w:start w:val="1"/>
    </w:lvl>
  </w:abstractNum>
  <w:abstractNum w:abstractNumId="107">
    <w:nsid w:val="5B25ACE2"/>
    <w:multiLevelType w:val="hybridMultilevel"/>
    <w:lvl w:ilvl="0">
      <w:lvlJc w:val="left"/>
      <w:lvlText w:val="(%1)"/>
      <w:numFmt w:val="upperLetter"/>
      <w:start w:val="9"/>
    </w:lvl>
    <w:lvl w:ilvl="1">
      <w:lvlJc w:val="left"/>
      <w:lvlText w:val="(%2)"/>
      <w:numFmt w:val="decimal"/>
      <w:start w:val="1"/>
    </w:lvl>
  </w:abstractNum>
  <w:abstractNum w:abstractNumId="108">
    <w:nsid w:val="175DFCF0"/>
    <w:multiLevelType w:val="hybridMultilevel"/>
    <w:lvl w:ilvl="0">
      <w:lvlJc w:val="left"/>
      <w:lvlText w:val="(%1)"/>
      <w:numFmt w:val="lowerRoman"/>
      <w:start w:val="1"/>
    </w:lvl>
  </w:abstractNum>
  <w:abstractNum w:abstractNumId="109">
    <w:nsid w:val="4F97E3E4"/>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110">
    <w:nsid w:val="53B0A9E"/>
    <w:multiLevelType w:val="hybridMultilevel"/>
    <w:lvl w:ilvl="0">
      <w:lvlJc w:val="left"/>
      <w:lvlText w:val="(%1)"/>
      <w:numFmt w:val="decimal"/>
      <w:start w:val="2"/>
    </w:lvl>
  </w:abstractNum>
  <w:abstractNum w:abstractNumId="111">
    <w:nsid w:val="34FD6B4F"/>
    <w:multiLevelType w:val="hybridMultilevel"/>
    <w:lvl w:ilvl="0">
      <w:lvlJc w:val="left"/>
      <w:lvlText w:val="(%1)"/>
      <w:numFmt w:val="upperLetter"/>
      <w:start w:val="11"/>
    </w:lvl>
  </w:abstractNum>
  <w:abstractNum w:abstractNumId="112">
    <w:nsid w:val="5915FF32"/>
    <w:multiLevelType w:val="hybridMultilevel"/>
    <w:lvl w:ilvl="0">
      <w:lvlJc w:val="left"/>
      <w:lvlText w:val="(%1)"/>
      <w:numFmt w:val="upperLetter"/>
      <w:start w:val="12"/>
    </w:lvl>
  </w:abstractNum>
  <w:abstractNum w:abstractNumId="113">
    <w:nsid w:val="56438D15"/>
    <w:multiLevelType w:val="hybridMultilevel"/>
    <w:lvl w:ilvl="0">
      <w:lvlJc w:val="left"/>
      <w:lvlText w:val="(%1)"/>
      <w:numFmt w:val="upperLetter"/>
      <w:start w:val="13"/>
    </w:lvl>
    <w:lvl w:ilvl="1">
      <w:lvlJc w:val="left"/>
      <w:lvlText w:val="(%2)"/>
      <w:numFmt w:val="decimal"/>
      <w:start w:val="1"/>
    </w:lvl>
  </w:abstractNum>
  <w:abstractNum w:abstractNumId="114">
    <w:nsid w:val="519E3149"/>
    <w:multiLevelType w:val="hybridMultilevel"/>
    <w:lvl w:ilvl="0">
      <w:lvlJc w:val="left"/>
      <w:lvlText w:val="%1."/>
      <w:numFmt w:val="decimal"/>
      <w:start w:val="5"/>
    </w:lvl>
  </w:abstractNum>
  <w:abstractNum w:abstractNumId="115">
    <w:nsid w:val="2C6E4AF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4)"/>
      <w:numFmt w:val="lowerLetter"/>
      <w:start w:val="1"/>
    </w:lvl>
    <w:lvl w:ilvl="4">
      <w:lvlJc w:val="left"/>
      <w:lvlText w:val="(%5)"/>
      <w:numFmt w:val="lowerRoman"/>
      <w:start w:val="1"/>
    </w:lvl>
  </w:abstractNum>
  <w:abstractNum w:abstractNumId="116">
    <w:nsid w:val="17A1B582"/>
    <w:multiLevelType w:val="hybridMultilevel"/>
    <w:lvl w:ilvl="0">
      <w:lvlJc w:val="left"/>
      <w:lvlText w:val="%1."/>
      <w:numFmt w:val="decimal"/>
      <w:start w:val="6"/>
    </w:lvl>
    <w:lvl w:ilvl="1">
      <w:lvlJc w:val="left"/>
      <w:lvlText w:val="(%2)"/>
      <w:numFmt w:val="lowerLetter"/>
      <w:start w:val="9"/>
    </w:lvl>
    <w:lvl w:ilvl="2">
      <w:lvlJc w:val="left"/>
      <w:lvlText w:val="%3"/>
      <w:numFmt w:val="upperLetter"/>
      <w:start w:val="1"/>
    </w:lvl>
    <w:lvl w:ilvl="3">
      <w:lvlJc w:val="left"/>
      <w:lvlText w:val="%4"/>
      <w:numFmt w:val="lowerLetter"/>
      <w:start w:val="1"/>
    </w:lvl>
    <w:lvl w:ilvl="4">
      <w:lvlJc w:val="left"/>
      <w:lvlText w:val="%5"/>
      <w:numFmt w:val="lowerRoman"/>
      <w:start w:val="1"/>
    </w:lvl>
  </w:abstractNum>
  <w:abstractNum w:abstractNumId="117">
    <w:nsid w:val="4DF72E4E"/>
    <w:multiLevelType w:val="hybridMultilevel"/>
    <w:lvl w:ilvl="0">
      <w:lvlJc w:val="left"/>
      <w:lvlText w:val="(%1)"/>
      <w:numFmt w:val="lowerRoman"/>
      <w:start w:val="2"/>
    </w:lvl>
    <w:lvl w:ilvl="1">
      <w:lvlJc w:val="left"/>
      <w:lvlText w:val="(%2)"/>
      <w:numFmt w:val="decimal"/>
      <w:start w:val="1"/>
    </w:lvl>
  </w:abstractNum>
  <w:abstractNum w:abstractNumId="118">
    <w:nsid w:val="5046B5A9"/>
    <w:multiLevelType w:val="hybridMultilevel"/>
    <w:lvl w:ilvl="0">
      <w:lvlJc w:val="left"/>
      <w:lvlText w:val="(%1)"/>
      <w:numFmt w:val="lowerRoman"/>
      <w:start w:val="4"/>
    </w:lvl>
  </w:abstractNum>
  <w:abstractNum w:abstractNumId="119">
    <w:nsid w:val="5D888A08"/>
    <w:multiLevelType w:val="hybridMultilevel"/>
    <w:lvl w:ilvl="0">
      <w:lvlJc w:val="left"/>
      <w:lvlText w:val="%1"/>
      <w:numFmt w:val="decimal"/>
      <w:start w:val="1"/>
    </w:lvl>
    <w:lvl w:ilvl="1">
      <w:lvlJc w:val="left"/>
      <w:lvlText w:val="(%2)"/>
      <w:numFmt w:val="lowerRoman"/>
      <w:start w:val="10"/>
    </w:lvl>
    <w:lvl w:ilvl="2">
      <w:lvlJc w:val="left"/>
      <w:lvlText w:val="%3)"/>
      <w:numFmt w:val="decimal"/>
      <w:start w:val="1"/>
    </w:lvl>
  </w:abstractNum>
  <w:abstractNum w:abstractNumId="120">
    <w:nsid w:val="2A082C70"/>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121">
    <w:nsid w:val="5EC6AFD4"/>
    <w:multiLevelType w:val="hybridMultilevel"/>
    <w:lvl w:ilvl="0">
      <w:lvlJc w:val="left"/>
      <w:lvlText w:val="(%1)"/>
      <w:numFmt w:val="lowerRoman"/>
      <w:start w:val="6"/>
    </w:lvl>
    <w:lvl w:ilvl="1">
      <w:lvlJc w:val="left"/>
      <w:lvlText w:val="(%2)"/>
      <w:numFmt w:val="decimal"/>
      <w:start w:val="1"/>
    </w:lvl>
  </w:abstractNum>
  <w:abstractNum w:abstractNumId="122">
    <w:nsid w:val="19E21BB2"/>
    <w:multiLevelType w:val="hybridMultilevel"/>
    <w:lvl w:ilvl="0">
      <w:lvlJc w:val="left"/>
      <w:lvlText w:val="(%1)"/>
      <w:numFmt w:val="lowerRoman"/>
      <w:start w:val="11"/>
    </w:lvl>
    <w:lvl w:ilvl="1">
      <w:lvlJc w:val="left"/>
      <w:lvlText w:val="%2."/>
      <w:numFmt w:val="lowerLetter"/>
      <w:start w:val="1"/>
    </w:lvl>
  </w:abstractNum>
  <w:abstractNum w:abstractNumId="123">
    <w:nsid w:val="75E0858A"/>
    <w:multiLevelType w:val="hybridMultilevel"/>
    <w:lvl w:ilvl="0">
      <w:lvlJc w:val="left"/>
      <w:lvlText w:val="%1"/>
      <w:numFmt w:val="decimal"/>
      <w:start w:val="1"/>
    </w:lvl>
    <w:lvl w:ilvl="1">
      <w:lvlJc w:val="left"/>
      <w:lvlText w:val="(%2)"/>
      <w:numFmt w:val="lowerRoman"/>
      <w:start w:val="16"/>
    </w:lvl>
    <w:lvl w:ilvl="2">
      <w:lvlJc w:val="left"/>
      <w:lvlText w:val="%3)"/>
      <w:numFmt w:val="decimal"/>
      <w:start w:val="1"/>
    </w:lvl>
  </w:abstractNum>
  <w:abstractNum w:abstractNumId="124">
    <w:nsid w:val="57A61A29"/>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125">
    <w:nsid w:val="5399C654"/>
    <w:multiLevelType w:val="hybridMultilevel"/>
    <w:lvl w:ilvl="0">
      <w:lvlJc w:val="left"/>
      <w:lvlText w:val="(%1)"/>
      <w:numFmt w:val="lowerLetter"/>
      <w:start w:val="7"/>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8">
    <w:nsid w:val="B37E80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29">
    <w:nsid w:val="2157F6B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30">
    <w:nsid w:val="704E1DD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31">
    <w:nsid w:val="57D2F10E"/>
    <w:multiLevelType w:val="hybridMultilevel"/>
    <w:lvl w:ilvl="0">
      <w:lvlJc w:val="left"/>
      <w:lvlText w:val="%1."/>
      <w:numFmt w:val="decimal"/>
      <w:start w:val="2"/>
    </w:lvl>
    <w:lvl w:ilvl="1">
      <w:lvlJc w:val="left"/>
      <w:lvlText w:val="%2."/>
      <w:numFmt w:val="lowerLetter"/>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1."/>
      <w:numFmt w:val="decimal"/>
      <w:start w:val="1"/>
    </w:lvl>
    <w:lvl w:ilvl="1">
      <w:lvlJc w:val="left"/>
      <w:lvlText w:val="(%2)"/>
      <w:numFmt w:val="lowerRoman"/>
      <w:start w:val="1"/>
    </w:lvl>
  </w:abstractNum>
  <w:abstractNum w:abstractNumId="134">
    <w:nsid w:val="2E48F044"/>
    <w:multiLevelType w:val="hybridMultilevel"/>
    <w:lvl w:ilvl="0">
      <w:lvlJc w:val="left"/>
      <w:lvlText w:val="%1."/>
      <w:numFmt w:val="decimal"/>
      <w:start w:val="2"/>
    </w:lvl>
  </w:abstractNum>
  <w:abstractNum w:abstractNumId="135">
    <w:nsid w:val="49D0FEAC"/>
    <w:multiLevelType w:val="hybridMultilevel"/>
    <w:lvl w:ilvl="0">
      <w:lvlJc w:val="left"/>
      <w:lvlText w:val="©"/>
      <w:numFmt w:val="bullet"/>
      <w:start w:val="1"/>
    </w:lvl>
  </w:abstractNum>
  <w:abstractNum w:abstractNumId="136">
    <w:nsid w:val="4BEE5A5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2019-12-07T23:02:08Z</dcterms:created>
  <dcterms:modified xsi:type="dcterms:W3CDTF">2019-12-07T23:02:08Z</dcterms:modified>
</cp:coreProperties>
</file>