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2017</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520" w:right="38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5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5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060" w:type="dxa"/>
            <w:vAlign w:val="bottom"/>
          </w:tcPr>
          <w:p>
            <w:pPr>
              <w:spacing w:after="0"/>
              <w:rPr>
                <w:sz w:val="22"/>
                <w:szCs w:val="22"/>
                <w:color w:val="auto"/>
              </w:rPr>
            </w:pPr>
          </w:p>
        </w:tc>
      </w:tr>
      <w:tr>
        <w:trPr>
          <w:trHeight w:val="214"/>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5"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60" w:type="dxa"/>
            <w:vAlign w:val="bottom"/>
          </w:tcPr>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9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right="48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Securities Exchange Act of 1934).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$.01 par value per share, outstanding at November 6, 2017 was 60,224,874.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760095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vMerge w:val="restart"/>
          </w:tcPr>
          <w:p>
            <w:pPr>
              <w:spacing w:after="0"/>
              <w:rPr>
                <w:sz w:val="13"/>
                <w:szCs w:val="13"/>
                <w:color w:val="auto"/>
              </w:rPr>
            </w:pP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gridSpan w:val="7"/>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4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September 30, 2017 (Unaudited) and December 31, 2016</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8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for the three and nine months ended September 30, 2017 and 2016 (Unaudited)</w:t>
              </w:r>
            </w:hyperlink>
          </w:p>
        </w:tc>
        <w:tc>
          <w:tcPr>
            <w:tcW w:w="9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Schedules of Investments as of September 30, 2017 (Unaudited) and December 31, 2016</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8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Consolidated Statements of Changes in Net Assets for the nine months ended September 30, 2017 and 2016 (Unaudited)</w:t>
              </w:r>
            </w:hyperlink>
          </w:p>
        </w:tc>
        <w:tc>
          <w:tcPr>
            <w:tcW w:w="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8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Consolidated Statements of Cash Flows for the nine months ended September 30, 2017 and 2016 (Unaudited)</w:t>
              </w:r>
            </w:hyperlink>
          </w:p>
        </w:tc>
        <w:tc>
          <w:tcPr>
            <w:tcW w:w="156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18">
              <w:r>
                <w:rPr>
                  <w:rFonts w:ascii="Times New Roman" w:cs="Times New Roman" w:eastAsia="Times New Roman" w:hAnsi="Times New Roman"/>
                  <w:sz w:val="18"/>
                  <w:szCs w:val="18"/>
                  <w:color w:val="0000EE"/>
                  <w:w w:val="98"/>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02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8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5"/>
              </w:rPr>
            </w:pPr>
            <w:hyperlink w:anchor="page62">
              <w:r>
                <w:rPr>
                  <w:rFonts w:ascii="Times New Roman" w:cs="Times New Roman" w:eastAsia="Times New Roman" w:hAnsi="Times New Roman"/>
                  <w:sz w:val="18"/>
                  <w:szCs w:val="18"/>
                  <w:color w:val="0000EE"/>
                  <w:w w:val="95"/>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Legal Proceedings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62">
              <w:r>
                <w:rPr>
                  <w:rFonts w:ascii="Times New Roman" w:cs="Times New Roman" w:eastAsia="Times New Roman" w:hAnsi="Times New Roman"/>
                  <w:sz w:val="18"/>
                  <w:szCs w:val="18"/>
                  <w:color w:val="0000EE"/>
                  <w:w w:val="92"/>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63">
              <w:r>
                <w:rPr>
                  <w:rFonts w:ascii="Times New Roman" w:cs="Times New Roman" w:eastAsia="Times New Roman" w:hAnsi="Times New Roman"/>
                  <w:sz w:val="18"/>
                  <w:szCs w:val="18"/>
                  <w:color w:val="0000EE"/>
                  <w:w w:val="9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63">
              <w:r>
                <w:rPr>
                  <w:rFonts w:ascii="Times New Roman" w:cs="Times New Roman" w:eastAsia="Times New Roman" w:hAnsi="Times New Roman"/>
                  <w:sz w:val="18"/>
                  <w:szCs w:val="18"/>
                  <w:color w:val="0000EE"/>
                  <w:w w:val="97"/>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63">
              <w:r>
                <w:rPr>
                  <w:rFonts w:ascii="Times New Roman" w:cs="Times New Roman" w:eastAsia="Times New Roman" w:hAnsi="Times New Roman"/>
                  <w:sz w:val="18"/>
                  <w:szCs w:val="18"/>
                  <w:color w:val="0000EE"/>
                  <w:w w:val="96"/>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1"/>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26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SIGNATURES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620" w:hanging="25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420" w:hanging="255"/>
        <w:spacing w:after="0" w:line="313"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0"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17" w:lineRule="exact"/>
        <w:rPr>
          <w:rFonts w:ascii="Times New Roman" w:cs="Times New Roman" w:eastAsia="Times New Roman" w:hAnsi="Times New Roman"/>
          <w:sz w:val="18"/>
          <w:szCs w:val="18"/>
          <w:color w:val="auto"/>
        </w:rPr>
      </w:pPr>
    </w:p>
    <w:p>
      <w:pPr>
        <w:ind w:left="520" w:right="240" w:hanging="255"/>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in our Annual Report on Form 10-K for the year ended December 31, 2016, filed with the SEC on February 22, 2017, and elsewhere in our filings with the SEC.</w:t>
      </w:r>
    </w:p>
    <w:p>
      <w:pPr>
        <w:spacing w:after="0" w:line="162" w:lineRule="exact"/>
        <w:rPr>
          <w:sz w:val="20"/>
          <w:szCs w:val="20"/>
          <w:color w:val="auto"/>
        </w:rPr>
      </w:pPr>
    </w:p>
    <w:p>
      <w:pPr>
        <w:ind w:firstLine="259"/>
        <w:spacing w:after="0" w:line="273"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FF0FC"/>
            </w:tcBorders>
          </w:tcPr>
          <w:p>
            <w:pPr>
              <w:spacing w:after="0"/>
              <w:rPr>
                <w:sz w:val="15"/>
                <w:szCs w:val="15"/>
                <w:color w:val="auto"/>
              </w:rPr>
            </w:pPr>
          </w:p>
        </w:tc>
        <w:tc>
          <w:tcPr>
            <w:tcW w:w="10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$1,386,657</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$1,567,673, respectively)</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1,417,358</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1,591,544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$158,460 and $100,014,</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10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132,922</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investments at fair value (amortized cost of $1,545,117 and $1,667,687,</w:t>
            </w: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1,550,280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1,657,403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(restricted cash of $2,647 and $1,088, respectively)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1,581,066</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1,675,532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Debt (net of deferred financing costs of $12,587 and $11,019, respectively)</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564,558</w:t>
            </w:r>
          </w:p>
        </w:tc>
        <w:tc>
          <w:tcPr>
            <w:tcW w:w="280" w:type="dxa"/>
            <w:vAlign w:val="bottom"/>
          </w:tcPr>
          <w:p>
            <w:pPr>
              <w:spacing w:after="0"/>
              <w:rPr>
                <w:sz w:val="19"/>
                <w:szCs w:val="19"/>
                <w:color w:val="auto"/>
              </w:rPr>
            </w:pP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to affiliate</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60,188,435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59,805,285 shares issued, respectively; and 60,099,355 and 59,716,205 shares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905,725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898,868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89,080 and 89,080 shares held, respectively</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Undistributed net realized gains (losses)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(4,207)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0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966,743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1,581,066</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1,675,532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1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60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bottom w:val="single" w:sz="8" w:color="CFF0FC"/>
            </w:tcBorders>
          </w:tcPr>
          <w:p>
            <w:pPr>
              <w:spacing w:after="0"/>
              <w:rPr>
                <w:sz w:val="15"/>
                <w:szCs w:val="15"/>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non-controlled, non-affiliated investments: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45,354</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148,023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124,931</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60" w:type="dxa"/>
            <w:vAlign w:val="bottom"/>
            <w:shd w:val="clear" w:color="auto" w:fill="CFF0FC"/>
          </w:tcPr>
          <w:p>
            <w:pPr>
              <w:spacing w:after="0"/>
              <w:rPr>
                <w:sz w:val="19"/>
                <w:szCs w:val="19"/>
                <w:color w:val="auto"/>
              </w:rPr>
            </w:pPr>
          </w:p>
        </w:tc>
      </w:tr>
      <w:tr>
        <w:trPr>
          <w:trHeight w:val="205"/>
        </w:trPr>
        <w:tc>
          <w:tcPr>
            <w:tcW w:w="560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investment income from non-controlled, non-affiliated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5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135,261</w:t>
            </w:r>
          </w:p>
        </w:tc>
        <w:tc>
          <w:tcPr>
            <w:tcW w:w="260" w:type="dxa"/>
            <w:vAlign w:val="bottom"/>
          </w:tcPr>
          <w:p>
            <w:pPr>
              <w:spacing w:after="0"/>
              <w:rPr>
                <w:sz w:val="20"/>
                <w:szCs w:val="20"/>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 from controlled, affiliated investments: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investment income from controlled, affiliated investments</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162,072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142,701</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Management and incentive fees waived (Note 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66,422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61,821</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80,880</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79,265</w:t>
            </w: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28,657</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(7,048)</w:t>
            </w: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Translation of other assets and liabilities in foreign currencies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(10,359)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60" w:type="dxa"/>
            <w:vAlign w:val="bottom"/>
          </w:tcPr>
          <w:p>
            <w:pPr>
              <w:spacing w:after="0"/>
              <w:rPr>
                <w:sz w:val="19"/>
                <w:szCs w:val="19"/>
                <w:color w:val="auto"/>
              </w:rPr>
            </w:pPr>
          </w:p>
        </w:tc>
      </w:tr>
      <w:tr>
        <w:trPr>
          <w:trHeight w:val="223"/>
        </w:trPr>
        <w:tc>
          <w:tcPr>
            <w:tcW w:w="56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net change in unrealized gains (losses)</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260" w:type="dxa"/>
            <w:vAlign w:val="bottom"/>
            <w:tcBorders>
              <w:top w:val="single" w:sz="8" w:color="CFF0FC"/>
            </w:tcBorders>
            <w:shd w:val="clear" w:color="auto" w:fill="CFF0FC"/>
          </w:tcPr>
          <w:p>
            <w:pPr>
              <w:spacing w:after="0"/>
              <w:rPr>
                <w:sz w:val="19"/>
                <w:szCs w:val="19"/>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60" w:type="dxa"/>
            <w:vAlign w:val="bottom"/>
            <w:shd w:val="clear" w:color="auto" w:fill="CFF0FC"/>
          </w:tcPr>
          <w:p>
            <w:pPr>
              <w:spacing w:after="0"/>
              <w:rPr>
                <w:sz w:val="19"/>
                <w:szCs w:val="19"/>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(21,776)</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56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2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w:t>
            </w:r>
          </w:p>
        </w:tc>
        <w:tc>
          <w:tcPr>
            <w:tcW w:w="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6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 (Losses)</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260" w:type="dxa"/>
            <w:vAlign w:val="bottom"/>
            <w:shd w:val="clear" w:color="auto" w:fill="CFF0FC"/>
          </w:tcPr>
          <w:p>
            <w:pPr>
              <w:spacing w:after="0"/>
              <w:rPr>
                <w:sz w:val="19"/>
                <w:szCs w:val="19"/>
                <w:color w:val="auto"/>
              </w:rPr>
            </w:pPr>
          </w:p>
        </w:tc>
      </w:tr>
      <w:tr>
        <w:trPr>
          <w:trHeight w:val="263"/>
        </w:trPr>
        <w:tc>
          <w:tcPr>
            <w:tcW w:w="56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104,284</w:t>
            </w:r>
          </w:p>
        </w:tc>
        <w:tc>
          <w:tcPr>
            <w:tcW w:w="260" w:type="dxa"/>
            <w:vAlign w:val="bottom"/>
            <w:tcBorders>
              <w:bottom w:val="single" w:sz="8" w:color="CFF0FC"/>
            </w:tcBorders>
          </w:tcPr>
          <w:p>
            <w:pPr>
              <w:spacing w:after="0"/>
              <w:rPr>
                <w:sz w:val="22"/>
                <w:szCs w:val="22"/>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2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FF0FC"/>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 and diluted</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60,057,567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59,523,695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59,923,323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58,229,549</w:t>
            </w:r>
          </w:p>
        </w:tc>
        <w:tc>
          <w:tcPr>
            <w:tcW w:w="260" w:type="dxa"/>
            <w:vAlign w:val="bottom"/>
          </w:tcPr>
          <w:p>
            <w:pPr>
              <w:spacing w:after="0"/>
              <w:rPr>
                <w:sz w:val="19"/>
                <w:szCs w:val="19"/>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September 30, 2017</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3"/>
                <w:szCs w:val="13"/>
                <w:color w:val="auto"/>
              </w:rPr>
            </w:pPr>
          </w:p>
        </w:tc>
        <w:tc>
          <w:tcPr>
            <w:tcW w:w="25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2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14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94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1480" w:type="dxa"/>
            <w:vAlign w:val="bottom"/>
            <w:gridSpan w:val="2"/>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940" w:type="dxa"/>
            <w:vAlign w:val="bottom"/>
            <w:gridSpan w:val="2"/>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(10)</w:t>
            </w:r>
          </w:p>
        </w:tc>
        <w:tc>
          <w:tcPr>
            <w:tcW w:w="20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($26,720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Holdings, LLC </w:t>
            </w:r>
            <w:r>
              <w:rPr>
                <w:rFonts w:ascii="Times New Roman" w:cs="Times New Roman" w:eastAsia="Times New Roman" w:hAnsi="Times New Roman"/>
                <w:sz w:val="15"/>
                <w:szCs w:val="15"/>
                <w:color w:val="auto"/>
              </w:rPr>
              <w:t>(3)</w:t>
            </w: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11/2017)</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+ 8.25%</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26,697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26,720</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revolving loan ($2,722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due 11/2017)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P + 7.00%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29,415</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(3)(7)</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Second-lien loan ($59,621 par,</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due 9/2021)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6/30/2017</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+ 9.05%</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10.38%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59,621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57,534</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Jive Software, Inc. </w:t>
            </w:r>
            <w:r>
              <w:rPr>
                <w:rFonts w:ascii="Times New Roman" w:cs="Times New Roman" w:eastAsia="Times New Roman" w:hAnsi="Times New Roman"/>
                <w:sz w:val="15"/>
                <w:szCs w:val="15"/>
                <w:color w:val="auto"/>
              </w:rPr>
              <w:t>(3)(5)</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($53,865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6/12/2017</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+ 8.75%</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10.17%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($33,221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6/2020)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+ 8.00%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Motus, LLC </w:t>
            </w:r>
            <w:r>
              <w:rPr>
                <w:rFonts w:ascii="Times New Roman" w:cs="Times New Roman" w:eastAsia="Times New Roman" w:hAnsi="Times New Roman"/>
                <w:sz w:val="15"/>
                <w:szCs w:val="15"/>
                <w:color w:val="auto"/>
              </w:rPr>
              <w:t>(3)</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($20,619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11.31% (incl.</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7/2021)</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7/29/2016</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+ 10.00%</w:t>
            </w:r>
          </w:p>
        </w:tc>
        <w:tc>
          <w:tcPr>
            <w:tcW w:w="14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3.00%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Riskonnect, Inc. </w:t>
            </w:r>
            <w:r>
              <w:rPr>
                <w:rFonts w:ascii="Times New Roman" w:cs="Times New Roman" w:eastAsia="Times New Roman" w:hAnsi="Times New Roman"/>
                <w:sz w:val="15"/>
                <w:szCs w:val="15"/>
                <w:color w:val="auto"/>
              </w:rPr>
              <w:t>(3)</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($40,000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6/30/2017</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+ 7.75%</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SailPoint Technologies, Inc. </w:t>
            </w:r>
            <w:r>
              <w:rPr>
                <w:rFonts w:ascii="Times New Roman" w:cs="Times New Roman" w:eastAsia="Times New Roman" w:hAnsi="Times New Roman"/>
                <w:sz w:val="15"/>
                <w:szCs w:val="15"/>
                <w:color w:val="auto"/>
              </w:rPr>
              <w:t>(3)</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($38,261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8/2021)</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8/16/2016</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+ 7.00%</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Sovos Compliance, LLC </w:t>
            </w:r>
            <w:r>
              <w:rPr>
                <w:rFonts w:ascii="Times New Roman" w:cs="Times New Roman" w:eastAsia="Times New Roman" w:hAnsi="Times New Roman"/>
                <w:sz w:val="15"/>
                <w:szCs w:val="15"/>
                <w:color w:val="auto"/>
              </w:rPr>
              <w:t>(3)</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($34,410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3/2022)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7/1/2016</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+ 6.00%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34,410</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Tangoe, Inc. </w:t>
            </w:r>
            <w:r>
              <w:rPr>
                <w:rFonts w:ascii="Times New Roman" w:cs="Times New Roman" w:eastAsia="Times New Roman" w:hAnsi="Times New Roman"/>
                <w:sz w:val="15"/>
                <w:szCs w:val="15"/>
                <w:color w:val="auto"/>
              </w:rPr>
              <w:t>(3)(5)</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($49,996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9.84% (incl.</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6/2022)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6/16/2017</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+ 8.50%</w:t>
            </w:r>
          </w:p>
        </w:tc>
        <w:tc>
          <w:tcPr>
            <w:tcW w:w="148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0.50%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48,135</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48,371</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263,797</w:t>
            </w:r>
          </w:p>
        </w:tc>
        <w:tc>
          <w:tcPr>
            <w:tcW w:w="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268,502</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($4,967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4/2018)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10/31/2016</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+ 9.00%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18"/>
                <w:szCs w:val="18"/>
                <w:color w:val="auto"/>
              </w:rPr>
            </w:pP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Second-lien loan ($3,341 par,</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due 10/2021)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10/31/2016</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+ 12.00%</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10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Finalsite Holdings, Inc. </w:t>
            </w:r>
            <w:r>
              <w:rPr>
                <w:rFonts w:ascii="Times New Roman" w:cs="Times New Roman" w:eastAsia="Times New Roman" w:hAnsi="Times New Roman"/>
                <w:sz w:val="15"/>
                <w:szCs w:val="15"/>
                <w:color w:val="auto"/>
              </w:rPr>
              <w:t>(3)(5)</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($45,000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8/2022)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8/31/2016</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+ 7.00%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Technologies Group</w:t>
            </w:r>
          </w:p>
        </w:tc>
        <w:tc>
          <w:tcPr>
            <w:tcW w:w="26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First-lien loan ($47,823 par, due</w:t>
            </w: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w:t>
            </w:r>
          </w:p>
        </w:tc>
        <w:tc>
          <w:tcPr>
            <w:tcW w:w="25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9/2023)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9/18/2017</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+ 6.50%</w:t>
            </w:r>
          </w:p>
        </w:tc>
        <w:tc>
          <w:tcPr>
            <w:tcW w:w="14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47,133</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47,108</w:t>
            </w: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w:t>
            </w:r>
            <w:r>
              <w:rPr>
                <w:rFonts w:ascii="Times New Roman" w:cs="Times New Roman" w:eastAsia="Times New Roman" w:hAnsi="Times New Roman"/>
                <w:sz w:val="15"/>
                <w:szCs w:val="15"/>
                <w:color w:val="auto"/>
              </w:rPr>
              <w:t>(3)</w:t>
            </w:r>
          </w:p>
        </w:tc>
        <w:tc>
          <w:tcPr>
            <w:tcW w:w="2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First-lien loan ($40,000 par, due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8/2022)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8/25/2017</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+ 8.00%</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39,038</w:t>
            </w: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130,177</w:t>
            </w:r>
          </w:p>
        </w:tc>
        <w:tc>
          <w:tcPr>
            <w:tcW w:w="20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131,371</w:t>
            </w: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AppStar Financial, LLC </w:t>
            </w:r>
            <w:r>
              <w:rPr>
                <w:rFonts w:ascii="Times New Roman" w:cs="Times New Roman" w:eastAsia="Times New Roman" w:hAnsi="Times New Roman"/>
                <w:sz w:val="15"/>
                <w:szCs w:val="15"/>
                <w:color w:val="auto"/>
              </w:rPr>
              <w:t>(3)</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($21,150 par,</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8/2020)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8/18/2015</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+ 8.00%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21,439</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AvidXchange, Inc. </w:t>
            </w:r>
            <w:r>
              <w:rPr>
                <w:rFonts w:ascii="Times New Roman" w:cs="Times New Roman" w:eastAsia="Times New Roman" w:hAnsi="Times New Roman"/>
                <w:sz w:val="15"/>
                <w:szCs w:val="15"/>
                <w:color w:val="auto"/>
              </w:rPr>
              <w:t>(3)</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($54,449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8/2020)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8/7/2015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+ 9.50%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55,266</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PayLease, LLC </w:t>
            </w:r>
            <w:r>
              <w:rPr>
                <w:rFonts w:ascii="Times New Roman" w:cs="Times New Roman" w:eastAsia="Times New Roman" w:hAnsi="Times New Roman"/>
                <w:sz w:val="15"/>
                <w:szCs w:val="15"/>
                <w:color w:val="auto"/>
              </w:rPr>
              <w:t>(3)</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($56,667 par,</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7/2022)</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7/28/2017</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+ 7.00%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55,617</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PaySimple, Inc. </w:t>
            </w:r>
            <w:r>
              <w:rPr>
                <w:rFonts w:ascii="Times New Roman" w:cs="Times New Roman" w:eastAsia="Times New Roman" w:hAnsi="Times New Roman"/>
                <w:sz w:val="15"/>
                <w:szCs w:val="15"/>
                <w:color w:val="auto"/>
              </w:rPr>
              <w:t>(3)</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($50,378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9.63%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3/2022)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3/7/2017</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+ 8.25%</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 PIK)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49,686</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Swift Gift Limited </w:t>
            </w:r>
            <w:r>
              <w:rPr>
                <w:rFonts w:ascii="Times New Roman" w:cs="Times New Roman" w:eastAsia="Times New Roman" w:hAnsi="Times New Roman"/>
                <w:sz w:val="15"/>
                <w:szCs w:val="15"/>
                <w:color w:val="auto"/>
              </w:rPr>
              <w:t>(3)(5)</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($29,167 par,</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1/2022)</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7/31/2017</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+ 6.50%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28,510</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207,954</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210,518</w:t>
            </w:r>
          </w:p>
        </w:tc>
        <w:tc>
          <w:tcPr>
            <w:tcW w:w="20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Integrated Practice Solutions,</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($32,419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(3)(5)</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6/2022)</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6/30/2017</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+ 8.00%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31,689</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(3)(4)</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(EUR 38,549</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par, due 9/2019)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+ 10.50%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45,698</w:t>
            </w:r>
          </w:p>
        </w:tc>
        <w:tc>
          <w:tcPr>
            <w:tcW w:w="14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(EUR 40,670)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18"/>
                <w:szCs w:val="18"/>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revolving loan (EUR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300 par, due 9/2019)</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+ 10.50%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520)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MatrixCare, Inc. </w:t>
            </w:r>
            <w:r>
              <w:rPr>
                <w:rFonts w:ascii="Times New Roman" w:cs="Times New Roman" w:eastAsia="Times New Roman" w:hAnsi="Times New Roman"/>
                <w:sz w:val="15"/>
                <w:szCs w:val="15"/>
                <w:color w:val="auto"/>
              </w:rPr>
              <w:t>(3)(5)</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($57,450 par,</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12/2021)</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12/17/2015</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+ 5.25%</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56,554</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58,599</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MedeAnalytics, Inc. </w:t>
            </w:r>
            <w:r>
              <w:rPr>
                <w:rFonts w:ascii="Times New Roman" w:cs="Times New Roman" w:eastAsia="Times New Roman" w:hAnsi="Times New Roman"/>
                <w:sz w:val="15"/>
                <w:szCs w:val="15"/>
                <w:color w:val="auto"/>
              </w:rPr>
              <w:t>(3)(5)</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($48,051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9.83%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9/2020)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+ 8.50%</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48,291</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Quantros, Inc. </w:t>
            </w:r>
            <w:r>
              <w:rPr>
                <w:rFonts w:ascii="Times New Roman" w:cs="Times New Roman" w:eastAsia="Times New Roman" w:hAnsi="Times New Roman"/>
                <w:sz w:val="15"/>
                <w:szCs w:val="15"/>
                <w:color w:val="auto"/>
              </w:rPr>
              <w:t>(3)(5)</w:t>
            </w: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loan ($29,550 par,</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2/2021)</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2/29/2016</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+ 7.75%</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9.08%</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31,545</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tcPr>
          <w:p>
            <w:pPr>
              <w:spacing w:after="0"/>
              <w:rPr>
                <w:sz w:val="19"/>
                <w:szCs w:val="19"/>
                <w:color w:val="auto"/>
              </w:rPr>
            </w:pPr>
          </w:p>
        </w:tc>
        <w:tc>
          <w:tcPr>
            <w:tcW w:w="24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209,969</w:t>
            </w:r>
          </w:p>
        </w:tc>
        <w:tc>
          <w:tcPr>
            <w:tcW w:w="20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218,818</w:t>
            </w:r>
          </w:p>
        </w:tc>
        <w:tc>
          <w:tcPr>
            <w:tcW w:w="20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(3)(7)</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($22,133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10.83% (incl.</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9/2019)</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+ 9.50%</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 PIK)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18"/>
                <w:szCs w:val="18"/>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10.83% (incl.</w:t>
            </w: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($18,956 par, due 9/2019)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9/29/2015</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+ 9.50%</w:t>
            </w:r>
          </w:p>
        </w:tc>
        <w:tc>
          <w:tcPr>
            <w:tcW w:w="14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5.00% PIK)</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41,089</w:t>
            </w:r>
          </w:p>
        </w:tc>
        <w:tc>
          <w:tcPr>
            <w:tcW w:w="2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31,638</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380" w:type="dxa"/>
            <w:vAlign w:val="bottom"/>
            <w:tcBorders>
              <w:top w:val="single" w:sz="8" w:color="CFF0FC"/>
            </w:tcBorders>
            <w:shd w:val="clear" w:color="auto" w:fill="CFF0FC"/>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Human resource support</w:t>
            </w:r>
          </w:p>
        </w:tc>
        <w:tc>
          <w:tcPr>
            <w:tcW w:w="244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CFF0FC"/>
            </w:tcBorders>
            <w:shd w:val="clear" w:color="auto" w:fill="CFF0FC"/>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14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Bullhorn, Inc. </w:t>
            </w:r>
            <w:r>
              <w:rPr>
                <w:rFonts w:ascii="Times New Roman" w:cs="Times New Roman" w:eastAsia="Times New Roman" w:hAnsi="Times New Roman"/>
                <w:sz w:val="15"/>
                <w:szCs w:val="15"/>
                <w:color w:val="auto"/>
              </w:rPr>
              <w:t>(3)(5)</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($60,486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11/2020)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11/12/2015</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+ 7.50%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61,393</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(3)(5)</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($63,735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10/2020)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10/31/2014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+ 6.50%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65,169</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4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($19,986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12/2019)</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12/30/2014</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+ 7.00%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FF0FC"/>
          </w:tcPr>
          <w:p>
            <w:pPr>
              <w:spacing w:after="0"/>
              <w:rPr>
                <w:sz w:val="18"/>
                <w:szCs w:val="18"/>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0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FF0FC"/>
          </w:tcPr>
          <w:p>
            <w:pPr>
              <w:spacing w:after="0"/>
              <w:rPr>
                <w:sz w:val="20"/>
                <w:szCs w:val="20"/>
                <w:color w:val="auto"/>
              </w:rPr>
            </w:pPr>
          </w:p>
        </w:tc>
        <w:tc>
          <w:tcPr>
            <w:tcW w:w="2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($1,393 par, due 12/2019)</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12/30/2014</w:t>
            </w: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L + 7.00%</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20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Marketing services</w:t>
            </w:r>
          </w:p>
        </w:tc>
        <w:tc>
          <w:tcPr>
            <w:tcW w:w="24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Marketo, Inc. </w:t>
            </w:r>
            <w:r>
              <w:rPr>
                <w:rFonts w:ascii="Times New Roman" w:cs="Times New Roman" w:eastAsia="Times New Roman" w:hAnsi="Times New Roman"/>
                <w:sz w:val="15"/>
                <w:szCs w:val="15"/>
                <w:color w:val="auto"/>
              </w:rPr>
              <w:t>(3)</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First-lien loan ($28,125 par,</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1/1900)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8/16/2016</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L + 9.50%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2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Vivial Inc.</w:t>
            </w:r>
            <w:r>
              <w:rPr>
                <w:rFonts w:ascii="Times New Roman" w:cs="Times New Roman" w:eastAsia="Times New Roman" w:hAnsi="Times New Roman"/>
                <w:sz w:val="15"/>
                <w:szCs w:val="15"/>
                <w:color w:val="auto"/>
              </w:rPr>
              <w:t>(3)</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($38,000 par, due</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9/2022)</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9/29/2017</w:t>
            </w:r>
          </w:p>
        </w:tc>
        <w:tc>
          <w:tcPr>
            <w:tcW w:w="144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L + 8.00%</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37,336</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37,335</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65,685</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r>
      <w:tr>
        <w:trPr>
          <w:trHeight w:val="201"/>
        </w:trPr>
        <w:tc>
          <w:tcPr>
            <w:tcW w:w="2440" w:type="dxa"/>
            <w:vAlign w:val="bottom"/>
            <w:tcBorders>
              <w:top w:val="single" w:sz="8" w:color="CFF0FC"/>
            </w:tcBorders>
            <w:shd w:val="clear" w:color="auto" w:fill="CFF0FC"/>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5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24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5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(3)</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($24,267 par, due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(7)</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6/2018)</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6/4/2014</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 + 10.50%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Rex Energy Corporation </w:t>
            </w:r>
            <w:r>
              <w:rPr>
                <w:rFonts w:ascii="Times New Roman" w:cs="Times New Roman" w:eastAsia="Times New Roman" w:hAnsi="Times New Roman"/>
                <w:sz w:val="15"/>
                <w:szCs w:val="15"/>
                <w:color w:val="auto"/>
              </w:rPr>
              <w:t>(3)</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($15,550 par, due</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4/2021)</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4/28/2017</w:t>
            </w:r>
          </w:p>
        </w:tc>
        <w:tc>
          <w:tcPr>
            <w:tcW w:w="14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L + 8.75%</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39,157</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USR Parent Inc. </w:t>
            </w:r>
            <w:r>
              <w:rPr>
                <w:rFonts w:ascii="Times New Roman" w:cs="Times New Roman" w:eastAsia="Times New Roman" w:hAnsi="Times New Roman"/>
                <w:sz w:val="15"/>
                <w:szCs w:val="15"/>
                <w:color w:val="auto"/>
              </w:rPr>
              <w:t>(3)(5)</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ABL FILO term loan ($20,000</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due 9/2022)</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9/12/2017</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 + 7.75%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r>
      <w:tr>
        <w:trPr>
          <w:trHeight w:val="230"/>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Ironwood Pharmaceuticals, Inc.</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Secured note ($33,333 par, due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5"/>
                <w:szCs w:val="15"/>
                <w:color w:val="auto"/>
              </w:rPr>
              <w:t>(4)(5)(9)</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9/2026)</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1/5/2017</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8.38%</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Model N, Inc. </w:t>
            </w:r>
            <w:r>
              <w:rPr>
                <w:rFonts w:ascii="Times New Roman" w:cs="Times New Roman" w:eastAsia="Times New Roman" w:hAnsi="Times New Roman"/>
                <w:sz w:val="15"/>
                <w:szCs w:val="15"/>
                <w:color w:val="auto"/>
              </w:rPr>
              <w:t>(3)(4)</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($30,000 par, due</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1/2022)</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1/5/2017</w:t>
            </w:r>
          </w:p>
        </w:tc>
        <w:tc>
          <w:tcPr>
            <w:tcW w:w="14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L + 8.25%</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Nektar Therapeutics </w:t>
            </w:r>
            <w:r>
              <w:rPr>
                <w:rFonts w:ascii="Times New Roman" w:cs="Times New Roman" w:eastAsia="Times New Roman" w:hAnsi="Times New Roman"/>
                <w:sz w:val="15"/>
                <w:szCs w:val="15"/>
                <w:color w:val="auto"/>
              </w:rPr>
              <w:t>(4)(5)(9)</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Secured note ($74,950 par, due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10/2020)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10/5/2015</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7.75%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75,700</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r>
      <w:tr>
        <w:trPr>
          <w:trHeight w:val="223"/>
        </w:trPr>
        <w:tc>
          <w:tcPr>
            <w:tcW w:w="244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136,977</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138,808</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01"/>
        </w:trPr>
        <w:tc>
          <w:tcPr>
            <w:tcW w:w="24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Retail and consumer</w:t>
            </w:r>
          </w:p>
        </w:tc>
        <w:tc>
          <w:tcPr>
            <w:tcW w:w="2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24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99 Cents Only Stores LLC </w:t>
            </w:r>
            <w:r>
              <w:rPr>
                <w:rFonts w:ascii="Times New Roman" w:cs="Times New Roman" w:eastAsia="Times New Roman" w:hAnsi="Times New Roman"/>
                <w:sz w:val="15"/>
                <w:szCs w:val="15"/>
                <w:color w:val="auto"/>
              </w:rPr>
              <w:t>(3)</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ABL FILO term loan ($25,000</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4/2021)</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9/6/2017</w:t>
            </w:r>
          </w:p>
        </w:tc>
        <w:tc>
          <w:tcPr>
            <w:tcW w:w="144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L + 7.75%</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9.07%</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24,688</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American Achievement</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($23,350 par, due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5"/>
                <w:szCs w:val="15"/>
                <w:color w:val="auto"/>
              </w:rPr>
              <w:t>(3)(5)</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9/2020)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9/30/2015</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 + 8.25%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Destination Maternity</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ABL FILO term loan ($16,457</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5"/>
                <w:szCs w:val="15"/>
                <w:color w:val="auto"/>
              </w:rPr>
              <w:t>(3)(5)</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3/2021)</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3/25/2016</w:t>
            </w:r>
          </w:p>
        </w:tc>
        <w:tc>
          <w:tcPr>
            <w:tcW w:w="14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L + 7.50%</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16,827</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Eddie Bauer LLC </w:t>
            </w:r>
            <w:r>
              <w:rPr>
                <w:rFonts w:ascii="Times New Roman" w:cs="Times New Roman" w:eastAsia="Times New Roman" w:hAnsi="Times New Roman"/>
                <w:sz w:val="15"/>
                <w:szCs w:val="15"/>
                <w:color w:val="auto"/>
              </w:rPr>
              <w:t>(3)</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ABL FILO term loan ($30,000</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due 6/2019)</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3/31/2017</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 + 9.25%</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30,075</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Sears </w:t>
            </w:r>
            <w:r>
              <w:rPr>
                <w:rFonts w:ascii="Times New Roman" w:cs="Times New Roman" w:eastAsia="Times New Roman" w:hAnsi="Times New Roman"/>
                <w:sz w:val="15"/>
                <w:szCs w:val="15"/>
                <w:color w:val="auto"/>
              </w:rPr>
              <w:t>(3)(4)(6)(11)</w:t>
            </w: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ABL loan ($17,296</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7/2020)</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3/18/2016</w:t>
            </w:r>
          </w:p>
        </w:tc>
        <w:tc>
          <w:tcPr>
            <w:tcW w:w="14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L + 7.50%</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Sears Canada Inc. </w:t>
            </w:r>
            <w:r>
              <w:rPr>
                <w:rFonts w:ascii="Times New Roman" w:cs="Times New Roman" w:eastAsia="Times New Roman" w:hAnsi="Times New Roman"/>
                <w:sz w:val="15"/>
                <w:szCs w:val="15"/>
                <w:color w:val="auto"/>
              </w:rPr>
              <w:t>(3)(4)</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ABL FILO DIP ($26,146 par,</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12/2017)</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3/20/2017</w:t>
            </w:r>
          </w:p>
        </w:tc>
        <w:tc>
          <w:tcPr>
            <w:tcW w:w="14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L + 11.00%</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26,146</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23"/>
        </w:trPr>
        <w:tc>
          <w:tcPr>
            <w:tcW w:w="2440" w:type="dxa"/>
            <w:vAlign w:val="bottom"/>
            <w:tcBorders>
              <w:top w:val="single" w:sz="8" w:color="CFF0FC"/>
            </w:tcBorders>
            <w:shd w:val="clear" w:color="auto" w:fill="CFF0FC"/>
          </w:tcPr>
          <w:p>
            <w:pPr>
              <w:spacing w:after="0"/>
              <w:rPr>
                <w:sz w:val="19"/>
                <w:szCs w:val="19"/>
                <w:color w:val="auto"/>
              </w:rPr>
            </w:pPr>
          </w:p>
        </w:tc>
        <w:tc>
          <w:tcPr>
            <w:tcW w:w="2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136,117</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138,570</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23"/>
        </w:trPr>
        <w:tc>
          <w:tcPr>
            <w:tcW w:w="2440" w:type="dxa"/>
            <w:vAlign w:val="bottom"/>
            <w:tcBorders>
              <w:bottom w:val="single" w:sz="8" w:color="CFF0FC"/>
            </w:tcBorders>
          </w:tcPr>
          <w:p>
            <w:pPr>
              <w:spacing w:after="0"/>
              <w:rPr>
                <w:sz w:val="19"/>
                <w:szCs w:val="19"/>
                <w:color w:val="auto"/>
              </w:rPr>
            </w:pPr>
          </w:p>
        </w:tc>
        <w:tc>
          <w:tcPr>
            <w:tcW w:w="25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1,490,849</w:t>
            </w:r>
          </w:p>
        </w:tc>
        <w:tc>
          <w:tcPr>
            <w:tcW w:w="20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1,506,213</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23"/>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5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(7)</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A Preferred Units</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(125,000 units)</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6/30/2017</w:t>
            </w: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18"/>
                <w:szCs w:val="18"/>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Class B Common Units (90,000</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6/30/2017</w:t>
            </w:r>
          </w:p>
        </w:tc>
        <w:tc>
          <w:tcPr>
            <w:tcW w:w="14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Riskonnect, Inc.</w:t>
            </w: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Preferred Class A Units (990</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tcPr>
          <w:p>
            <w:pPr>
              <w:spacing w:after="0"/>
              <w:rPr>
                <w:sz w:val="20"/>
                <w:szCs w:val="20"/>
                <w:color w:val="auto"/>
              </w:rPr>
            </w:pPr>
          </w:p>
        </w:tc>
        <w:tc>
          <w:tcPr>
            <w:tcW w:w="2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6/30/2017</w:t>
            </w: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11"/>
        </w:trPr>
        <w:tc>
          <w:tcPr>
            <w:tcW w:w="2440" w:type="dxa"/>
            <w:vAlign w:val="bottom"/>
            <w:shd w:val="clear" w:color="auto" w:fill="CFF0FC"/>
          </w:tcPr>
          <w:p>
            <w:pPr>
              <w:spacing w:after="0"/>
              <w:rPr>
                <w:sz w:val="18"/>
                <w:szCs w:val="18"/>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Class B Units</w:t>
            </w:r>
          </w:p>
        </w:tc>
        <w:tc>
          <w:tcPr>
            <w:tcW w:w="9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440" w:type="dxa"/>
            <w:vAlign w:val="bottom"/>
            <w:shd w:val="clear" w:color="auto" w:fill="CFF0FC"/>
          </w:tcPr>
          <w:p>
            <w:pPr>
              <w:spacing w:after="0"/>
              <w:rPr>
                <w:sz w:val="20"/>
                <w:szCs w:val="20"/>
                <w:color w:val="auto"/>
              </w:rPr>
            </w:pPr>
          </w:p>
        </w:tc>
        <w:tc>
          <w:tcPr>
            <w:tcW w:w="2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(959,018 units)</w:t>
            </w:r>
          </w:p>
        </w:tc>
        <w:tc>
          <w:tcPr>
            <w:tcW w:w="9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6/30/2017</w:t>
            </w:r>
          </w:p>
        </w:tc>
        <w:tc>
          <w:tcPr>
            <w:tcW w:w="14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r>
      <w:tr>
        <w:trPr>
          <w:trHeight w:val="20"/>
        </w:trPr>
        <w:tc>
          <w:tcPr>
            <w:tcW w:w="24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23"/>
        </w:trPr>
        <w:tc>
          <w:tcPr>
            <w:tcW w:w="24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5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2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Vertellus Specialties, Inc.</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Common Units (2,672,990 units)</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10/31/2016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AvidXchange, Inc.</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Series E Preferred Equity</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(214,132 shares)</w:t>
            </w:r>
          </w:p>
        </w:tc>
        <w:tc>
          <w:tcPr>
            <w:tcW w:w="1260" w:type="dxa"/>
            <w:vAlign w:val="bottom"/>
          </w:tcPr>
          <w:p>
            <w:pPr>
              <w:spacing w:after="0"/>
              <w:rPr>
                <w:sz w:val="20"/>
                <w:szCs w:val="20"/>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8/7/2015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Swift Gift Limited</w:t>
            </w:r>
          </w:p>
        </w:tc>
        <w:tc>
          <w:tcPr>
            <w:tcW w:w="26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Shares (35,000 shares)</w:t>
            </w: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7/31/2017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TICC Capital Corp. </w:t>
            </w:r>
            <w:r>
              <w:rPr>
                <w:rFonts w:ascii="Times New Roman" w:cs="Times New Roman" w:eastAsia="Times New Roman" w:hAnsi="Times New Roman"/>
                <w:sz w:val="15"/>
                <w:szCs w:val="15"/>
                <w:color w:val="auto"/>
              </w:rPr>
              <w:t>(4)(12)</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Common Shares (1,059 shares)</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8/5/2015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9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10,988</w:t>
            </w:r>
          </w:p>
        </w:tc>
        <w:tc>
          <w:tcPr>
            <w:tcW w:w="20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(4)</w:t>
            </w:r>
          </w:p>
        </w:tc>
        <w:tc>
          <w:tcPr>
            <w:tcW w:w="1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9/30/2014</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0" w:type="dxa"/>
            <w:vAlign w:val="bottom"/>
            <w:shd w:val="clear" w:color="auto" w:fill="CFF0FC"/>
          </w:tcPr>
          <w:p>
            <w:pPr>
              <w:spacing w:after="0"/>
              <w:rPr>
                <w:sz w:val="20"/>
                <w:szCs w:val="20"/>
                <w:color w:val="auto"/>
              </w:rPr>
            </w:pPr>
          </w:p>
        </w:tc>
        <w:tc>
          <w:tcPr>
            <w:tcW w:w="11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(EUR 1,297)</w:t>
            </w: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1"/>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Common Shares Class A</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(1,980 shares)</w:t>
            </w:r>
          </w:p>
        </w:tc>
        <w:tc>
          <w:tcPr>
            <w:tcW w:w="1260" w:type="dxa"/>
            <w:vAlign w:val="bottom"/>
          </w:tcPr>
          <w:p>
            <w:pPr>
              <w:spacing w:after="0"/>
              <w:rPr>
                <w:sz w:val="20"/>
                <w:szCs w:val="20"/>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12/28/2012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Common Shares Class B</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6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(2,953,020 shares)</w:t>
            </w: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12/28/2012</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(7)</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Class A Units (5,000,000 units)</w:t>
            </w: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9/29/2015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C-1 Units (8,800,000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1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9/29/2015</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1"/>
        </w:trPr>
        <w:tc>
          <w:tcPr>
            <w:tcW w:w="2360" w:type="dxa"/>
            <w:vAlign w:val="bottom"/>
            <w:tcBorders>
              <w:top w:val="single" w:sz="8" w:color="CFF0FC"/>
            </w:tcBorders>
            <w:gridSpan w:val="2"/>
            <w:shd w:val="clear" w:color="auto" w:fill="CFF0FC"/>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Oil, gas and consumable</w:t>
            </w:r>
          </w:p>
        </w:tc>
        <w:tc>
          <w:tcPr>
            <w:tcW w:w="10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6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(7)</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Class A-1 Member Units (1,000</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1260" w:type="dxa"/>
            <w:vAlign w:val="bottom"/>
          </w:tcPr>
          <w:p>
            <w:pPr>
              <w:spacing w:after="0"/>
              <w:rPr>
                <w:sz w:val="20"/>
                <w:szCs w:val="20"/>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5/3/2017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1"/>
        </w:trPr>
        <w:tc>
          <w:tcPr>
            <w:tcW w:w="19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40" w:type="dxa"/>
            <w:vAlign w:val="bottom"/>
            <w:gridSpan w:val="4"/>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A-2 Member Units (933</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3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units)</w:t>
            </w:r>
          </w:p>
        </w:tc>
        <w:tc>
          <w:tcPr>
            <w:tcW w:w="12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rPr>
              <w:t>6/4/2014</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Symphony CLO XV, Ltd. </w:t>
            </w:r>
            <w:r>
              <w:rPr>
                <w:rFonts w:ascii="Times New Roman" w:cs="Times New Roman" w:eastAsia="Times New Roman" w:hAnsi="Times New Roman"/>
                <w:sz w:val="15"/>
                <w:szCs w:val="15"/>
                <w:color w:val="auto"/>
              </w:rPr>
              <w:t>(4)(6)</w:t>
            </w:r>
          </w:p>
        </w:tc>
        <w:tc>
          <w:tcPr>
            <w:tcW w:w="26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Structured Product (Class F</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 +</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460" w:type="dxa"/>
            <w:vAlign w:val="bottom"/>
          </w:tcPr>
          <w:p>
            <w:pPr>
              <w:spacing w:after="0"/>
              <w:rPr>
                <w:sz w:val="20"/>
                <w:szCs w:val="20"/>
                <w:color w:val="auto"/>
              </w:rPr>
            </w:pP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Notes)</w:t>
            </w:r>
          </w:p>
        </w:tc>
        <w:tc>
          <w:tcPr>
            <w:tcW w:w="1260" w:type="dxa"/>
            <w:vAlign w:val="bottom"/>
          </w:tcPr>
          <w:p>
            <w:pPr>
              <w:spacing w:after="0"/>
              <w:rPr>
                <w:sz w:val="20"/>
                <w:szCs w:val="20"/>
                <w:color w:val="auto"/>
              </w:rPr>
            </w:pPr>
          </w:p>
        </w:tc>
        <w:tc>
          <w:tcPr>
            <w:tcW w:w="10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11/17/2014</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360" w:type="dxa"/>
            <w:vAlign w:val="bottom"/>
            <w:gridSpan w:val="2"/>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54,268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20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 xml:space="preserve"> 1,545,117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1,550,280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160.4</w:t>
            </w:r>
          </w:p>
        </w:tc>
        <w:tc>
          <w:tcPr>
            <w:tcW w:w="20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1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0" w:type="dxa"/>
            <w:vAlign w:val="bottom"/>
            <w:gridSpan w:val="11"/>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Interest Rate Swaps as of September 30, 2017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center"/>
              <w:ind w:left="103"/>
              <w:spacing w:after="0" w:line="131" w:lineRule="exact"/>
              <w:rPr>
                <w:sz w:val="20"/>
                <w:szCs w:val="20"/>
                <w:color w:val="auto"/>
              </w:rPr>
            </w:pPr>
            <w:r>
              <w:rPr>
                <w:rFonts w:ascii="Times New Roman" w:cs="Times New Roman" w:eastAsia="Times New Roman" w:hAnsi="Times New Roman"/>
                <w:sz w:val="14"/>
                <w:szCs w:val="14"/>
                <w:b w:val="1"/>
                <w:bCs w:val="1"/>
                <w:color w:val="auto"/>
                <w:w w:val="99"/>
              </w:rPr>
              <w:t>Upfront</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84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Company Receives </w:t>
            </w:r>
            <w:r>
              <w:rPr>
                <w:rFonts w:ascii="Times New Roman" w:cs="Times New Roman" w:eastAsia="Times New Roman" w:hAnsi="Times New Roman"/>
                <w:sz w:val="12"/>
                <w:szCs w:val="12"/>
                <w:b w:val="1"/>
                <w:bCs w:val="1"/>
                <w:color w:val="auto"/>
              </w:rPr>
              <w:t>(b)</w:t>
            </w:r>
          </w:p>
        </w:tc>
        <w:tc>
          <w:tcPr>
            <w:tcW w:w="12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 xml:space="preserve">Company Pays </w:t>
            </w:r>
            <w:r>
              <w:rPr>
                <w:rFonts w:ascii="Times New Roman" w:cs="Times New Roman" w:eastAsia="Times New Roman" w:hAnsi="Times New Roman"/>
                <w:sz w:val="12"/>
                <w:szCs w:val="12"/>
                <w:b w:val="1"/>
                <w:bCs w:val="1"/>
                <w:color w:val="auto"/>
              </w:rPr>
              <w:t>(b)</w:t>
            </w:r>
          </w:p>
        </w:tc>
        <w:tc>
          <w:tcPr>
            <w:tcW w:w="240" w:type="dxa"/>
            <w:vAlign w:val="bottom"/>
          </w:tcPr>
          <w:p>
            <w:pPr>
              <w:spacing w:after="0"/>
              <w:rPr>
                <w:sz w:val="12"/>
                <w:szCs w:val="12"/>
                <w:color w:val="auto"/>
              </w:rPr>
            </w:pPr>
          </w:p>
        </w:tc>
        <w:tc>
          <w:tcPr>
            <w:tcW w:w="144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240" w:type="dxa"/>
            <w:vAlign w:val="bottom"/>
          </w:tcPr>
          <w:p>
            <w:pPr>
              <w:spacing w:after="0"/>
              <w:rPr>
                <w:sz w:val="12"/>
                <w:szCs w:val="12"/>
                <w:color w:val="auto"/>
              </w:rPr>
            </w:pPr>
          </w:p>
        </w:tc>
        <w:tc>
          <w:tcPr>
            <w:tcW w:w="15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7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80" w:type="dxa"/>
            <w:vAlign w:val="bottom"/>
            <w:gridSpan w:val="3"/>
          </w:tcPr>
          <w:p>
            <w:pPr>
              <w:jc w:val="center"/>
              <w:ind w:left="103"/>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4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center"/>
              <w:ind w:right="54"/>
              <w:spacing w:after="0"/>
              <w:rPr>
                <w:sz w:val="20"/>
                <w:szCs w:val="20"/>
                <w:color w:val="auto"/>
              </w:rPr>
            </w:pPr>
            <w:r>
              <w:rPr>
                <w:rFonts w:ascii="Times New Roman" w:cs="Times New Roman" w:eastAsia="Times New Roman" w:hAnsi="Times New Roman"/>
                <w:sz w:val="18"/>
                <w:szCs w:val="18"/>
                <w:color w:val="auto"/>
                <w:w w:val="99"/>
              </w:rPr>
              <w:t>L + 2.86%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(a)</w:t>
            </w:r>
          </w:p>
        </w:tc>
        <w:tc>
          <w:tcPr>
            <w:tcW w:w="13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w:t>
            </w:r>
          </w:p>
        </w:tc>
        <w:tc>
          <w:tcPr>
            <w:tcW w:w="126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8"/>
                <w:szCs w:val="18"/>
                <w:color w:val="auto"/>
              </w:rPr>
              <w:t>1.72%</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00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center"/>
              <w:ind w:right="54"/>
              <w:spacing w:after="0"/>
              <w:rPr>
                <w:sz w:val="20"/>
                <w:szCs w:val="20"/>
                <w:color w:val="auto"/>
              </w:rPr>
            </w:pPr>
            <w:r>
              <w:rPr>
                <w:rFonts w:ascii="Times New Roman" w:cs="Times New Roman" w:eastAsia="Times New Roman" w:hAnsi="Times New Roman"/>
                <w:sz w:val="18"/>
                <w:szCs w:val="18"/>
                <w:color w:val="auto"/>
                <w:w w:val="99"/>
              </w:rPr>
              <w:t>L + 2.37%</w:t>
            </w:r>
          </w:p>
        </w:tc>
        <w:tc>
          <w:tcPr>
            <w:tcW w:w="1340" w:type="dxa"/>
            <w:vAlign w:val="bottom"/>
            <w:tcBorders>
              <w:bottom w:val="single" w:sz="8" w:color="CFF0FC"/>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355,833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3"/>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900" w:hanging="379"/>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terms are shown net of Company receiving 6.65% and paying 8.38%.</w:t>
      </w:r>
    </w:p>
    <w:p>
      <w:pPr>
        <w:spacing w:after="0" w:line="2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28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 w:name="page10"/>
    <w:bookmarkEnd w:id="9"/>
    <w:p>
      <w:pPr>
        <w:ind w:left="520" w:right="20" w:hanging="512"/>
        <w:spacing w:after="0" w:line="254"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September 30, 2017.</w:t>
      </w:r>
    </w:p>
    <w:p>
      <w:pPr>
        <w:spacing w:after="0" w:line="3" w:lineRule="exact"/>
        <w:rPr>
          <w:rFonts w:ascii="Times New Roman" w:cs="Times New Roman" w:eastAsia="Times New Roman" w:hAnsi="Times New Roman"/>
          <w:sz w:val="18"/>
          <w:szCs w:val="18"/>
          <w:color w:val="auto"/>
        </w:rPr>
      </w:pPr>
    </w:p>
    <w:p>
      <w:pPr>
        <w:jc w:val="both"/>
        <w:ind w:left="520" w:right="4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17.2% of total assets as of September 30, 2017.</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20" w:right="60" w:hanging="512"/>
        <w:spacing w:after="0" w:line="254"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2017 in which the issuer was an Affiliated Person of and was deemed to Control a portfolio company are as follows: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nine months ended September 30,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4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80" w:type="dxa"/>
            <w:vAlign w:val="bottom"/>
          </w:tcPr>
          <w:p>
            <w:pPr>
              <w:spacing w:after="0"/>
              <w:rPr>
                <w:sz w:val="15"/>
                <w:szCs w:val="15"/>
                <w:color w:val="auto"/>
              </w:rPr>
            </w:pPr>
          </w:p>
        </w:tc>
        <w:tc>
          <w:tcPr>
            <w:tcW w:w="8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30, 2017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AFS Technologies, Inc.</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73,873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 Resources, LLC</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(21,776)</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27,265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65,859</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82,423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(21,776</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132,922</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040" w:right="260" w:hanging="519"/>
        <w:spacing w:after="0" w:line="261" w:lineRule="auto"/>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160" w:hanging="519"/>
        <w:spacing w:after="0" w:line="255" w:lineRule="auto"/>
        <w:tabs>
          <w:tab w:leader="none" w:pos="10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7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2017, the tax cost of the Company’s investments approximates the amortized cost.</w:t>
      </w:r>
    </w:p>
    <w:p>
      <w:pPr>
        <w:spacing w:after="0" w:line="27"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61"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2016</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256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2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Reference Rate</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74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860" w:type="dxa"/>
            <w:vAlign w:val="bottom"/>
            <w:gridSpan w:val="2"/>
          </w:tcPr>
          <w:p>
            <w:pPr>
              <w:jc w:val="center"/>
              <w:ind w:right="90"/>
              <w:spacing w:after="0" w:line="160" w:lineRule="exact"/>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gridSpan w:val="2"/>
            <w:vMerge w:val="continue"/>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and Spread</w:t>
            </w:r>
          </w:p>
        </w:tc>
        <w:tc>
          <w:tcPr>
            <w:tcW w:w="1280" w:type="dxa"/>
            <w:vAlign w:val="bottom"/>
            <w:gridSpan w:val="2"/>
            <w:vMerge w:val="continue"/>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740" w:type="dxa"/>
            <w:vAlign w:val="bottom"/>
          </w:tcPr>
          <w:p>
            <w:pPr>
              <w:jc w:val="right"/>
              <w:ind w:right="192"/>
              <w:spacing w:after="0"/>
              <w:rPr>
                <w:sz w:val="20"/>
                <w:szCs w:val="20"/>
                <w:color w:val="auto"/>
              </w:rPr>
            </w:pPr>
            <w:r>
              <w:rPr>
                <w:rFonts w:ascii="Times New Roman" w:cs="Times New Roman" w:eastAsia="Times New Roman" w:hAnsi="Times New Roman"/>
                <w:sz w:val="12"/>
                <w:szCs w:val="12"/>
                <w:b w:val="1"/>
                <w:bCs w:val="1"/>
                <w:color w:val="auto"/>
              </w:rPr>
              <w:t>(10)</w:t>
            </w:r>
          </w:p>
        </w:tc>
        <w:tc>
          <w:tcPr>
            <w:tcW w:w="220" w:type="dxa"/>
            <w:vAlign w:val="bottom"/>
          </w:tcPr>
          <w:p>
            <w:pPr>
              <w:spacing w:after="0"/>
              <w:rPr>
                <w:sz w:val="14"/>
                <w:szCs w:val="14"/>
                <w:color w:val="auto"/>
              </w:rPr>
            </w:pPr>
          </w:p>
        </w:tc>
        <w:tc>
          <w:tcPr>
            <w:tcW w:w="8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($29,233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Holdings, LLC </w:t>
            </w:r>
            <w:r>
              <w:rPr>
                <w:rFonts w:ascii="Times New Roman" w:cs="Times New Roman" w:eastAsia="Times New Roman" w:hAnsi="Times New Roman"/>
                <w:sz w:val="15"/>
                <w:szCs w:val="15"/>
                <w:color w:val="auto"/>
              </w:rPr>
              <w:t>(3)</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6/2017)</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+ 8.25%</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29,136</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29,159</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revolving loan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($1,417 par, due 6/2017)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P + 7.00%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30,537</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30,562</w:t>
            </w:r>
          </w:p>
        </w:tc>
        <w:tc>
          <w:tcPr>
            <w:tcW w:w="220" w:type="dxa"/>
            <w:vAlign w:val="bottom"/>
            <w:vMerge w:val="continue"/>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(3)(5)</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($61,542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3/3/2014</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+ 7.75%</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60,698</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57,850</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Actian Corporation </w:t>
            </w:r>
            <w:r>
              <w:rPr>
                <w:rFonts w:ascii="Times New Roman" w:cs="Times New Roman" w:eastAsia="Times New Roman" w:hAnsi="Times New Roman"/>
                <w:sz w:val="15"/>
                <w:szCs w:val="15"/>
                <w:color w:val="auto"/>
              </w:rPr>
              <w:t>(3)(5)</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($54,982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4/2018)</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4/11/2013</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+ 6.50%</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54,366</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Clarabridge, Inc. </w:t>
            </w:r>
            <w:r>
              <w:rPr>
                <w:rFonts w:ascii="Times New Roman" w:cs="Times New Roman" w:eastAsia="Times New Roman" w:hAnsi="Times New Roman"/>
                <w:sz w:val="15"/>
                <w:szCs w:val="15"/>
                <w:color w:val="auto"/>
              </w:rPr>
              <w:t>(3)</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($19,719 par,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4/2019)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5/20/2015</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+ 8.00%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Idera, Inc. </w:t>
            </w:r>
            <w:r>
              <w:rPr>
                <w:rFonts w:ascii="Times New Roman" w:cs="Times New Roman" w:eastAsia="Times New Roman" w:hAnsi="Times New Roman"/>
                <w:sz w:val="15"/>
                <w:szCs w:val="15"/>
                <w:color w:val="auto"/>
              </w:rPr>
              <w:t>(3)(11)</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($61,875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10/9/2015</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+ 5.50%</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56,817</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($27,090 par, due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6/2019)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+ 6.50%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26,752</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Motus, LLC </w:t>
            </w:r>
            <w:r>
              <w:rPr>
                <w:rFonts w:ascii="Times New Roman" w:cs="Times New Roman" w:eastAsia="Times New Roman" w:hAnsi="Times New Roman"/>
                <w:sz w:val="15"/>
                <w:szCs w:val="15"/>
                <w:color w:val="auto"/>
              </w:rPr>
              <w:t>(3)</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($20,157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8"/>
              </w:rPr>
              <w:t>11.00% (incl.</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7/2021)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7/29/2016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+ 10.00%</w:t>
            </w:r>
          </w:p>
        </w:tc>
        <w:tc>
          <w:tcPr>
            <w:tcW w:w="1280" w:type="dxa"/>
            <w:vAlign w:val="bottom"/>
            <w:tcBorders>
              <w:right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3.00%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Qlik Technologies, Inc. </w:t>
            </w:r>
            <w:r>
              <w:rPr>
                <w:rFonts w:ascii="Times New Roman" w:cs="Times New Roman" w:eastAsia="Times New Roman" w:hAnsi="Times New Roman"/>
                <w:sz w:val="15"/>
                <w:szCs w:val="15"/>
                <w:color w:val="auto"/>
              </w:rPr>
              <w:t>(3)</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($40,399 par,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8/2022)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8/22/2016</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+ 8.25%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SailPoint Technologies, Inc. </w:t>
            </w:r>
            <w:r>
              <w:rPr>
                <w:rFonts w:ascii="Times New Roman" w:cs="Times New Roman" w:eastAsia="Times New Roman" w:hAnsi="Times New Roman"/>
                <w:sz w:val="15"/>
                <w:szCs w:val="15"/>
                <w:color w:val="auto"/>
              </w:rPr>
              <w:t>(3)</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($27,500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8/2021)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8/16/2016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+ 8.00%</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26,973</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27,285</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Sovos Compliance, LLC </w:t>
            </w:r>
            <w:r>
              <w:rPr>
                <w:rFonts w:ascii="Times New Roman" w:cs="Times New Roman" w:eastAsia="Times New Roman" w:hAnsi="Times New Roman"/>
                <w:sz w:val="15"/>
                <w:szCs w:val="15"/>
                <w:color w:val="auto"/>
              </w:rPr>
              <w:t>(3)</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($29,177 par,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3/2022)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7/1/2016</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+ 7.25%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28,621</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Tibco Software </w:t>
            </w:r>
            <w:r>
              <w:rPr>
                <w:rFonts w:ascii="Times New Roman" w:cs="Times New Roman" w:eastAsia="Times New Roman" w:hAnsi="Times New Roman"/>
                <w:sz w:val="15"/>
                <w:szCs w:val="15"/>
                <w:color w:val="auto"/>
              </w:rPr>
              <w:t>(3)(11)</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($247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12/2020)</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1/26/2016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+ 5.50%</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272,574</w:t>
            </w:r>
          </w:p>
        </w:tc>
        <w:tc>
          <w:tcPr>
            <w:tcW w:w="22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281,793</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($4,967 par,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4/2018)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10/31/2016</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+ 9.00%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loan ($3,341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10/2021)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10/31/2016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+ 12.00%</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22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right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Finalsite Holdings, Inc. </w:t>
            </w:r>
            <w:r>
              <w:rPr>
                <w:rFonts w:ascii="Times New Roman" w:cs="Times New Roman" w:eastAsia="Times New Roman" w:hAnsi="Times New Roman"/>
                <w:sz w:val="15"/>
                <w:szCs w:val="15"/>
                <w:color w:val="auto"/>
              </w:rPr>
              <w:t>(3)(5)</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($45,000 par,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8/2022)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8/31/2016</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L + 7.00%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43,830</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Frontline Technologies Group</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($54,725 par,</w:t>
            </w: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(3)(5)</w:t>
            </w:r>
          </w:p>
        </w:tc>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4/2021)</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4/1/2016</w:t>
            </w:r>
          </w:p>
        </w:tc>
        <w:tc>
          <w:tcPr>
            <w:tcW w:w="1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L + 6.75%</w:t>
            </w:r>
          </w:p>
        </w:tc>
        <w:tc>
          <w:tcPr>
            <w:tcW w:w="12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53,447</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54,862</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97,277</w:t>
            </w:r>
          </w:p>
        </w:tc>
        <w:tc>
          <w:tcPr>
            <w:tcW w:w="22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99,187</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2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MyAlarm Center, LLC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($63,761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1/2019)</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1/9/2014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+ 8.00%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64,568</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APX Group Inc. </w:t>
            </w:r>
            <w:r>
              <w:rPr>
                <w:rFonts w:ascii="Times New Roman" w:cs="Times New Roman" w:eastAsia="Times New Roman" w:hAnsi="Times New Roman"/>
                <w:sz w:val="15"/>
                <w:szCs w:val="15"/>
                <w:color w:val="auto"/>
              </w:rPr>
              <w:t>(11)</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Senior notes 8.75% ($5,470</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12/2020)</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12/11/2014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70,079</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9"/>
                <w:szCs w:val="19"/>
                <w:color w:val="auto"/>
              </w:rPr>
            </w:pPr>
          </w:p>
        </w:tc>
      </w:tr>
      <w:tr>
        <w:trPr>
          <w:trHeight w:val="223"/>
        </w:trPr>
        <w:tc>
          <w:tcPr>
            <w:tcW w:w="23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AppStar Financial, LLC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($22,200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8/2020)</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8/18/2015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+ 8.00%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AvidXchange, 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($53,528 par,</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10.50% (incl.</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8/2020)</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8/7/2015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+ 9.50%</w:t>
            </w:r>
          </w:p>
        </w:tc>
        <w:tc>
          <w:tcPr>
            <w:tcW w:w="13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2.38%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Network Merchants, Inc.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($25,782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9/2018)</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9/12/2013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+ 6.50%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25,981</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PayLease, LLC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($34,502 par,</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10.00% (incl.</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3/2020)</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3/6/2015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+ 9.00%</w:t>
            </w:r>
          </w:p>
        </w:tc>
        <w:tc>
          <w:tcPr>
            <w:tcW w:w="13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2.50%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34,700</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Smarsh, Inc. </w:t>
            </w:r>
            <w:r>
              <w:rPr>
                <w:rFonts w:ascii="Times New Roman" w:cs="Times New Roman" w:eastAsia="Times New Roman" w:hAnsi="Times New Roman"/>
                <w:sz w:val="15"/>
                <w:szCs w:val="15"/>
                <w:color w:val="auto"/>
              </w:rPr>
              <w:t>(3)(5)</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($30,000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1/2021)</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1/7/2016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+ 7.50%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r>
      <w:tr>
        <w:trPr>
          <w:trHeight w:val="223"/>
        </w:trPr>
        <w:tc>
          <w:tcPr>
            <w:tcW w:w="236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163,467</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166,636</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23"/>
        </w:trPr>
        <w:tc>
          <w:tcPr>
            <w:tcW w:w="23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(3)(4)</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(EUR 40,573</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44,934</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9/2019)</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9/30/2014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+ 10.50%</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8"/>
              </w:rPr>
              <w:t>(EUR 43,158)</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 300 par, due 9/2019)</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9/30/2014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+ 10.50%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MatrixCare, Inc. </w:t>
            </w:r>
            <w:r>
              <w:rPr>
                <w:rFonts w:ascii="Times New Roman" w:cs="Times New Roman" w:eastAsia="Times New Roman" w:hAnsi="Times New Roman"/>
                <w:sz w:val="15"/>
                <w:szCs w:val="15"/>
                <w:color w:val="auto"/>
              </w:rPr>
              <w:t>(3)(5)</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($44,663 par,</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12/2021)</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12/17/2015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+ 5.25%</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45,109</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MedeAnalytics, Inc. </w:t>
            </w:r>
            <w:r>
              <w:rPr>
                <w:rFonts w:ascii="Times New Roman" w:cs="Times New Roman" w:eastAsia="Times New Roman" w:hAnsi="Times New Roman"/>
                <w:sz w:val="15"/>
                <w:szCs w:val="15"/>
                <w:color w:val="auto"/>
              </w:rPr>
              <w:t>(3)(5)</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($47,066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9.50% (incl.</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9/2020)</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9/30/2015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+ 8.50%</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 PIK)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47,184</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Quantros, Inc. </w:t>
            </w:r>
            <w:r>
              <w:rPr>
                <w:rFonts w:ascii="Times New Roman" w:cs="Times New Roman" w:eastAsia="Times New Roman" w:hAnsi="Times New Roman"/>
                <w:sz w:val="15"/>
                <w:szCs w:val="15"/>
                <w:color w:val="auto"/>
              </w:rPr>
              <w:t>(3)(5)</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($29,775 par,</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2/2021)</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2/29/2016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+ 7.75%</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28,894</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29,849</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SRS Software, LLC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($30,000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12/2017)</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12/28/2012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+ 7.50%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18"/>
                <w:szCs w:val="18"/>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($2,000 par, due 12/2017)</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12/28/2012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+ 7.50%</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r>
      <w:tr>
        <w:trPr>
          <w:trHeight w:val="223"/>
        </w:trPr>
        <w:tc>
          <w:tcPr>
            <w:tcW w:w="2360" w:type="dxa"/>
            <w:vAlign w:val="bottom"/>
            <w:tcBorders>
              <w:bottom w:val="single" w:sz="8" w:color="CFF0FC"/>
            </w:tcBorders>
          </w:tcPr>
          <w:p>
            <w:pPr>
              <w:spacing w:after="0"/>
              <w:rPr>
                <w:sz w:val="19"/>
                <w:szCs w:val="19"/>
                <w:color w:val="auto"/>
              </w:rPr>
            </w:pPr>
          </w:p>
        </w:tc>
        <w:tc>
          <w:tcPr>
            <w:tcW w:w="24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13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198,667</w:t>
            </w:r>
          </w:p>
        </w:tc>
        <w:tc>
          <w:tcPr>
            <w:tcW w:w="2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199,603</w:t>
            </w:r>
          </w:p>
        </w:tc>
        <w:tc>
          <w:tcPr>
            <w:tcW w:w="22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r>
      <w:tr>
        <w:trPr>
          <w:trHeight w:val="223"/>
        </w:trPr>
        <w:tc>
          <w:tcPr>
            <w:tcW w:w="2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($26,104 par,</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9.27% (incl.</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Systems, Inc.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4/2020)</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4/16/2015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+ 8.50%</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2.50% PIK)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(3)(7)</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($21,311 par,</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10.50% (incl.</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9/2019)</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9/29/2015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 + 9.50%</w:t>
            </w:r>
          </w:p>
        </w:tc>
        <w:tc>
          <w:tcPr>
            <w:tcW w:w="13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5.00% PIK)</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r>
      <w:tr>
        <w:trPr>
          <w:trHeight w:val="211"/>
        </w:trPr>
        <w:tc>
          <w:tcPr>
            <w:tcW w:w="236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revolver loan</w:t>
            </w: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10.50% (incl.</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($14,755 par, due 9/2019)</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9/29/2015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 + 9.50%</w:t>
            </w: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5.00% PIK)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14,755</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r>
      <w:tr>
        <w:trPr>
          <w:trHeight w:val="211"/>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Soho House </w:t>
            </w:r>
            <w:r>
              <w:rPr>
                <w:rFonts w:ascii="Times New Roman" w:cs="Times New Roman" w:eastAsia="Times New Roman" w:hAnsi="Times New Roman"/>
                <w:sz w:val="15"/>
                <w:szCs w:val="15"/>
                <w:color w:val="auto"/>
              </w:rPr>
              <w:t>(4)(11)</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Second-lien bond (GBP 12,875</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36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10/2018)</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9/20/2013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9.13%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20,618</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(GBP 13,133)</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82,327</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74,159</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r>
      <w:tr>
        <w:trPr>
          <w:trHeight w:val="426"/>
        </w:trPr>
        <w:tc>
          <w:tcPr>
            <w:tcW w:w="2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36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5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Human resource support</w:t>
            </w:r>
          </w:p>
        </w:tc>
        <w:tc>
          <w:tcPr>
            <w:tcW w:w="242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Bullhorn, Inc. </w:t>
            </w:r>
            <w:r>
              <w:rPr>
                <w:rFonts w:ascii="Times New Roman" w:cs="Times New Roman" w:eastAsia="Times New Roman" w:hAnsi="Times New Roman"/>
                <w:sz w:val="15"/>
                <w:szCs w:val="15"/>
                <w:color w:val="auto"/>
              </w:rPr>
              <w:t>(3)(5)</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($45,000 par,</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11/2020)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11/12/2015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+ 7.50%</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45,225</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Saba Software, Inc. </w:t>
            </w:r>
            <w:r>
              <w:rPr>
                <w:rFonts w:ascii="Times New Roman" w:cs="Times New Roman" w:eastAsia="Times New Roman" w:hAnsi="Times New Roman"/>
                <w:sz w:val="15"/>
                <w:szCs w:val="15"/>
                <w:color w:val="auto"/>
              </w:rPr>
              <w:t>(3)(5)</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($54,175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3/2021)</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3/30/2015</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+ 8.75%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Skillsoft </w:t>
            </w:r>
            <w:r>
              <w:rPr>
                <w:rFonts w:ascii="Times New Roman" w:cs="Times New Roman" w:eastAsia="Times New Roman" w:hAnsi="Times New Roman"/>
                <w:sz w:val="15"/>
                <w:szCs w:val="15"/>
                <w:color w:val="auto"/>
              </w:rPr>
              <w:t>(3)(11)</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($9,571 par,</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4/2021)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11/5/2015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+ 4.75%</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8,709</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105,404</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108,244</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(3)(5)</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($64,978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10/2020)</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10/31/2014</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+ 6.25%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65,952</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Highwinds Capital, 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($47,988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7/2018)</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3/7/2014</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+ 7.50%</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($3,000 par, due 7/2018)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3/7/2014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+ 7.50%</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2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51,626</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Power Solutions International,</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ABL FILO term loan ($53,550</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6/2021)</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6/28/2016</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+ 9.75%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52,613</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($19,986 par,</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12/2019)</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12/30/2014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+ 6.50%</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20,263</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2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72,876</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Marketing Services</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Marketo, 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($28,125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8/2021)</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8/16/2016</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+ 9.50%</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27,750</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Ecommerce Industries, 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($36,529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3/2019)</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3/11/2014</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+ 6.25%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36,627</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Key Energy Services </w:t>
            </w:r>
            <w:r>
              <w:rPr>
                <w:rFonts w:ascii="Times New Roman" w:cs="Times New Roman" w:eastAsia="Times New Roman" w:hAnsi="Times New Roman"/>
                <w:sz w:val="15"/>
                <w:szCs w:val="15"/>
                <w:color w:val="auto"/>
              </w:rPr>
              <w:t>(3)(11)</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($10,771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12/2021)</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5/27/2015</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+ 10.25%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(3)(7)</w:t>
            </w: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13.00%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($51,537 par,</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(incl. 1.50%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6/2018)</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6/4/2014</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+ 12.00%</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PIK)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51,078</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61,532</w:t>
            </w:r>
          </w:p>
        </w:tc>
        <w:tc>
          <w:tcPr>
            <w:tcW w:w="220" w:type="dxa"/>
            <w:vAlign w:val="bottom"/>
            <w:vMerge w:val="continue"/>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44,602</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Nektar Therapeutics </w:t>
            </w:r>
            <w:r>
              <w:rPr>
                <w:rFonts w:ascii="Times New Roman" w:cs="Times New Roman" w:eastAsia="Times New Roman" w:hAnsi="Times New Roman"/>
                <w:sz w:val="15"/>
                <w:szCs w:val="15"/>
                <w:color w:val="auto"/>
              </w:rPr>
              <w:t>(4)(5)(9)</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Secured note ($74,950 par, due</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10/2020)</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10/5/2015</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7.75%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74,575</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Retail and consumer</w:t>
            </w:r>
          </w:p>
        </w:tc>
        <w:tc>
          <w:tcPr>
            <w:tcW w:w="2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American Achievement</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($23,918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5"/>
                <w:szCs w:val="15"/>
                <w:color w:val="auto"/>
              </w:rPr>
              <w:t>(3)(5)</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9/2020)</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9/30/2015</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+ 7.25%</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8.25%</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23,858</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Destination Maternity</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ABL FILO term loan ($17,371</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Corporation </w:t>
            </w:r>
            <w:r>
              <w:rPr>
                <w:rFonts w:ascii="Times New Roman" w:cs="Times New Roman" w:eastAsia="Times New Roman" w:hAnsi="Times New Roman"/>
                <w:sz w:val="15"/>
                <w:szCs w:val="15"/>
                <w:color w:val="auto"/>
              </w:rPr>
              <w:t>(3)(5)</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due 3/2021)</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3/25/2016</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+ 7.50%</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17,328</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Payless Inc. </w:t>
            </w:r>
            <w:r>
              <w:rPr>
                <w:rFonts w:ascii="Times New Roman" w:cs="Times New Roman" w:eastAsia="Times New Roman" w:hAnsi="Times New Roman"/>
                <w:sz w:val="15"/>
                <w:szCs w:val="15"/>
                <w:color w:val="auto"/>
              </w:rPr>
              <w:t>(3)</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ABL FILO term loan ($50,000</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3/2019)</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10/3/2016</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+ 7.00%</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48,736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Quiksilver - Boardriders SA </w:t>
            </w:r>
            <w:r>
              <w:rPr>
                <w:rFonts w:ascii="Times New Roman" w:cs="Times New Roman" w:eastAsia="Times New Roman" w:hAnsi="Times New Roman"/>
                <w:sz w:val="15"/>
                <w:szCs w:val="15"/>
                <w:color w:val="auto"/>
              </w:rPr>
              <w:t>(11)</w:t>
            </w: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Bond (EUR 5,699 par,</w:t>
            </w:r>
          </w:p>
        </w:tc>
        <w:tc>
          <w:tcPr>
            <w:tcW w:w="1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12/2020)</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5/26/2015</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 + 8.50%</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(EUR 4,901)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Sears </w:t>
            </w:r>
            <w:r>
              <w:rPr>
                <w:rFonts w:ascii="Times New Roman" w:cs="Times New Roman" w:eastAsia="Times New Roman" w:hAnsi="Times New Roman"/>
                <w:sz w:val="15"/>
                <w:szCs w:val="15"/>
                <w:color w:val="auto"/>
              </w:rPr>
              <w:t>(3)(4)(6)(11)</w:t>
            </w: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($3,642 par,</w:t>
            </w:r>
          </w:p>
        </w:tc>
        <w:tc>
          <w:tcPr>
            <w:tcW w:w="1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p>
        </w:tc>
        <w:tc>
          <w:tcPr>
            <w:tcW w:w="2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6/2018)</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1/28/2016</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L + 4.50%</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ABL loan ($22,727</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due 7/2020)</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3/18/2016</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 + 7.50%</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22,727</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Toys ‘R’ Us-Delaware, Inc. </w:t>
            </w:r>
            <w:r>
              <w:rPr>
                <w:rFonts w:ascii="Times New Roman" w:cs="Times New Roman" w:eastAsia="Times New Roman" w:hAnsi="Times New Roman"/>
                <w:sz w:val="15"/>
                <w:szCs w:val="15"/>
                <w:color w:val="auto"/>
              </w:rPr>
              <w:t>(3)</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ABL FILO term loan ($25,500</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(11)</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10/2019)</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10/9/2014</w:t>
            </w:r>
          </w:p>
        </w:tc>
        <w:tc>
          <w:tcPr>
            <w:tcW w:w="1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 + 7.25%</w:t>
            </w:r>
          </w:p>
        </w:tc>
        <w:tc>
          <w:tcPr>
            <w:tcW w:w="9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25,118</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FF0FC"/>
            </w:tcBorders>
          </w:tcPr>
          <w:p>
            <w:pPr>
              <w:spacing w:after="0"/>
              <w:rPr>
                <w:sz w:val="19"/>
                <w:szCs w:val="19"/>
                <w:color w:val="auto"/>
              </w:rPr>
            </w:pPr>
          </w:p>
        </w:tc>
        <w:tc>
          <w:tcPr>
            <w:tcW w:w="24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146,386</w:t>
            </w:r>
          </w:p>
        </w:tc>
        <w:tc>
          <w:tcPr>
            <w:tcW w:w="220" w:type="dxa"/>
            <w:vAlign w:val="bottom"/>
            <w:tcBorders>
              <w:bottom w:val="single" w:sz="8" w:color="CFF0FC"/>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146,813</w:t>
            </w:r>
          </w:p>
        </w:tc>
        <w:tc>
          <w:tcPr>
            <w:tcW w:w="2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Carrix, Inc. </w:t>
            </w:r>
            <w:r>
              <w:rPr>
                <w:rFonts w:ascii="Times New Roman" w:cs="Times New Roman" w:eastAsia="Times New Roman" w:hAnsi="Times New Roman"/>
                <w:sz w:val="15"/>
                <w:szCs w:val="15"/>
                <w:color w:val="auto"/>
              </w:rPr>
              <w:t>(3)(11)</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($12,878 par,</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1/2019)</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3/17/2015</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 + 3.50%</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4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1,627,465</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1,629,836</w:t>
            </w:r>
          </w:p>
        </w:tc>
        <w:tc>
          <w:tcPr>
            <w:tcW w:w="2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Vertellus Specialties, Inc.</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Units (2,672,990</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10/31/2016</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AvidXchange, Inc.</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Series E Preferred Equity</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(214,132 shares)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8/7/2015</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Network Merchants, Inc.</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Non-Voting Preferred Units</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(774,099 units)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9/12/2013</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TICC Capital Corp. </w:t>
            </w:r>
            <w:r>
              <w:rPr>
                <w:rFonts w:ascii="Times New Roman" w:cs="Times New Roman" w:eastAsia="Times New Roman" w:hAnsi="Times New Roman"/>
                <w:sz w:val="15"/>
                <w:szCs w:val="15"/>
                <w:color w:val="auto"/>
              </w:rPr>
              <w:t>(4)(12)</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Shares (995,419</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8/5/2015</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220" w:type="dxa"/>
            <w:vAlign w:val="bottom"/>
            <w:vMerge w:val="continue"/>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4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Shares Class A (358</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3/11/2014</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18"/>
                <w:szCs w:val="18"/>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Shares Class B (196</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3/11/2014</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(4)</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9/30/2014</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(EUR 648)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Common Shares Class A</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(1,980 shares)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12/28/2012</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Shares Class B</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(2,953,020 shares)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12/28/2012</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98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IRGSE Holding Corp. </w:t>
            </w:r>
            <w:r>
              <w:rPr>
                <w:rFonts w:ascii="Times New Roman" w:cs="Times New Roman" w:eastAsia="Times New Roman" w:hAnsi="Times New Roman"/>
                <w:sz w:val="15"/>
                <w:szCs w:val="15"/>
                <w:color w:val="auto"/>
              </w:rPr>
              <w:t>(7)</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Class A Units (5,000,000 units)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9/29/2015</w:t>
            </w: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18"/>
                <w:szCs w:val="18"/>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C-1 Units (8,800,000</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9/29/2015</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98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2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(7)</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Class A Member Units (933</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units)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6/4/2014</w:t>
            </w:r>
          </w:p>
        </w:tc>
        <w:tc>
          <w:tcPr>
            <w:tcW w:w="1460" w:type="dxa"/>
            <w:vAlign w:val="bottom"/>
            <w:shd w:val="clear" w:color="auto" w:fill="CFF0FC"/>
          </w:tcPr>
          <w:p>
            <w:pPr>
              <w:spacing w:after="0"/>
              <w:rPr>
                <w:sz w:val="20"/>
                <w:szCs w:val="20"/>
                <w:color w:val="auto"/>
              </w:rPr>
            </w:pPr>
          </w:p>
        </w:tc>
        <w:tc>
          <w:tcPr>
            <w:tcW w:w="98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Oak Hill Credit Partners VIII,</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Structured Product (Class F</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Ltd. </w:t>
            </w:r>
            <w:r>
              <w:rPr>
                <w:rFonts w:ascii="Times New Roman" w:cs="Times New Roman" w:eastAsia="Times New Roman" w:hAnsi="Times New Roman"/>
                <w:sz w:val="15"/>
                <w:szCs w:val="15"/>
                <w:color w:val="auto"/>
              </w:rPr>
              <w:t>(4)(6)(11)</w:t>
            </w:r>
          </w:p>
        </w:tc>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Notes)</w:t>
            </w:r>
          </w:p>
        </w:tc>
        <w:tc>
          <w:tcPr>
            <w:tcW w:w="10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8/21/2015</w:t>
            </w:r>
          </w:p>
        </w:tc>
        <w:tc>
          <w:tcPr>
            <w:tcW w:w="1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 + 5.50%</w:t>
            </w:r>
          </w:p>
        </w:tc>
        <w:tc>
          <w:tcPr>
            <w:tcW w:w="98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6.38%</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Symphony CLO XV, Ltd. </w:t>
            </w:r>
            <w:r>
              <w:rPr>
                <w:rFonts w:ascii="Times New Roman" w:cs="Times New Roman" w:eastAsia="Times New Roman" w:hAnsi="Times New Roman"/>
                <w:sz w:val="15"/>
                <w:szCs w:val="15"/>
                <w:color w:val="auto"/>
              </w:rPr>
              <w:t>(4)(6)</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Structured Product (Class F</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5"/>
                <w:szCs w:val="15"/>
                <w:color w:val="auto"/>
              </w:rPr>
              <w:t>(11)</w:t>
            </w:r>
          </w:p>
        </w:tc>
        <w:tc>
          <w:tcPr>
            <w:tcW w:w="2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11/17/2014</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 + 5.75%</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98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FF0FC"/>
          </w:tcPr>
          <w:p>
            <w:pPr>
              <w:spacing w:after="0"/>
              <w:rPr>
                <w:sz w:val="19"/>
                <w:szCs w:val="19"/>
                <w:color w:val="auto"/>
              </w:rPr>
            </w:pPr>
          </w:p>
        </w:tc>
        <w:tc>
          <w:tcPr>
            <w:tcW w:w="2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2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2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2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4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2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46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$ 1,667,687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$ 1,657,403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70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Interest Rate Swaps as of December 31, 2016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9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470"/>
              <w:spacing w:after="0" w:line="131" w:lineRule="exact"/>
              <w:rPr>
                <w:sz w:val="20"/>
                <w:szCs w:val="20"/>
                <w:color w:val="auto"/>
              </w:rPr>
            </w:pPr>
            <w:r>
              <w:rPr>
                <w:rFonts w:ascii="Times New Roman" w:cs="Times New Roman" w:eastAsia="Times New Roman" w:hAnsi="Times New Roman"/>
                <w:sz w:val="14"/>
                <w:szCs w:val="14"/>
                <w:b w:val="1"/>
                <w:bCs w:val="1"/>
                <w:color w:val="auto"/>
                <w:w w:val="99"/>
              </w:rPr>
              <w:t>Upfront</w:t>
            </w:r>
          </w:p>
        </w:tc>
        <w:tc>
          <w:tcPr>
            <w:tcW w:w="1220" w:type="dxa"/>
            <w:vAlign w:val="bottom"/>
            <w:tcBorders>
              <w:top w:val="single" w:sz="8" w:color="auto"/>
            </w:tcBorders>
          </w:tcPr>
          <w:p>
            <w:pPr>
              <w:jc w:val="center"/>
              <w:ind w:right="11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17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Company Receives </w:t>
            </w:r>
            <w:r>
              <w:rPr>
                <w:rFonts w:ascii="Times New Roman" w:cs="Times New Roman" w:eastAsia="Times New Roman" w:hAnsi="Times New Roman"/>
                <w:sz w:val="12"/>
                <w:szCs w:val="12"/>
                <w:b w:val="1"/>
                <w:bCs w:val="1"/>
                <w:color w:val="auto"/>
              </w:rPr>
              <w:t>(a)</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Company Pays </w:t>
            </w:r>
            <w:r>
              <w:rPr>
                <w:rFonts w:ascii="Times New Roman" w:cs="Times New Roman" w:eastAsia="Times New Roman" w:hAnsi="Times New Roman"/>
                <w:sz w:val="12"/>
                <w:szCs w:val="12"/>
                <w:b w:val="1"/>
                <w:bCs w:val="1"/>
                <w:color w:val="auto"/>
              </w:rPr>
              <w:t>(a)</w:t>
            </w:r>
          </w:p>
        </w:tc>
        <w:tc>
          <w:tcPr>
            <w:tcW w:w="240" w:type="dxa"/>
            <w:vAlign w:val="bottom"/>
          </w:tcPr>
          <w:p>
            <w:pPr>
              <w:spacing w:after="0"/>
              <w:rPr>
                <w:sz w:val="12"/>
                <w:szCs w:val="12"/>
                <w:color w:val="auto"/>
              </w:rPr>
            </w:pPr>
          </w:p>
        </w:tc>
        <w:tc>
          <w:tcPr>
            <w:tcW w:w="1400" w:type="dxa"/>
            <w:vAlign w:val="bottom"/>
            <w:gridSpan w:val="3"/>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1280" w:type="dxa"/>
            <w:vAlign w:val="bottom"/>
            <w:gridSpan w:val="3"/>
          </w:tcPr>
          <w:p>
            <w:pPr>
              <w:jc w:val="center"/>
              <w:ind w:right="470"/>
              <w:spacing w:after="0" w:line="149" w:lineRule="exact"/>
              <w:rPr>
                <w:sz w:val="20"/>
                <w:szCs w:val="20"/>
                <w:color w:val="auto"/>
              </w:rPr>
            </w:pPr>
            <w:r>
              <w:rPr>
                <w:rFonts w:ascii="Times New Roman" w:cs="Times New Roman" w:eastAsia="Times New Roman" w:hAnsi="Times New Roman"/>
                <w:sz w:val="14"/>
                <w:szCs w:val="14"/>
                <w:b w:val="1"/>
                <w:bCs w:val="1"/>
                <w:color w:val="auto"/>
              </w:rPr>
              <w:t>Payments /</w:t>
            </w: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28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Receipts</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 + 2.86%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9"/>
                <w:szCs w:val="19"/>
                <w:color w:val="auto"/>
              </w:rPr>
            </w:pPr>
          </w:p>
        </w:tc>
        <w:tc>
          <w:tcPr>
            <w:tcW w:w="12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19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60" w:hanging="374"/>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27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58"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2016.</w:t>
      </w:r>
    </w:p>
    <w:p>
      <w:pPr>
        <w:spacing w:after="0" w:line="2" w:lineRule="exact"/>
        <w:rPr>
          <w:rFonts w:ascii="Times New Roman" w:cs="Times New Roman" w:eastAsia="Times New Roman" w:hAnsi="Times New Roman"/>
          <w:sz w:val="18"/>
          <w:szCs w:val="18"/>
          <w:color w:val="auto"/>
        </w:rPr>
      </w:pPr>
    </w:p>
    <w:p>
      <w:pPr>
        <w:ind w:left="520" w:right="120" w:hanging="512"/>
        <w:spacing w:after="0" w:line="25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12.3% of total assets as of December 31, 2016.</w:t>
      </w:r>
    </w:p>
    <w:p>
      <w:pPr>
        <w:spacing w:after="0" w:line="1"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20" w:right="60" w:hanging="512"/>
        <w:spacing w:after="0" w:line="25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2016 in which the issuer was an Affiliated Person of and was deemed to Control a portfolio company are as follows: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Controlled, Affiliated Investments during the year ended December 31,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12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2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 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Additions (a)</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Reductions (b)</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8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Gain/(Losses)</w:t>
            </w:r>
          </w:p>
        </w:tc>
        <w:tc>
          <w:tcPr>
            <w:tcW w:w="120" w:type="dxa"/>
            <w:vAlign w:val="bottom"/>
          </w:tcPr>
          <w:p>
            <w:pPr>
              <w:spacing w:after="0"/>
              <w:rPr>
                <w:sz w:val="15"/>
                <w:szCs w:val="15"/>
                <w:color w:val="auto"/>
              </w:rPr>
            </w:pPr>
          </w:p>
        </w:tc>
        <w:tc>
          <w:tcPr>
            <w:tcW w:w="7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 Resources, LLC</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36,682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33,885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IRGSE Holding Corp.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13,849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(10,994</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65,859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9,975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1040" w:right="260" w:hanging="519"/>
        <w:spacing w:after="0" w:line="274"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1040" w:right="360" w:hanging="519"/>
        <w:spacing w:after="0" w:line="282" w:lineRule="auto"/>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premiums on debt investments, as applicable.</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the tax cost of the Company’s investments approximates the amortized cost.</w:t>
      </w:r>
    </w:p>
    <w:p>
      <w:pPr>
        <w:spacing w:after="0" w:line="27" w:lineRule="exact"/>
        <w:rPr>
          <w:rFonts w:ascii="Times New Roman" w:cs="Times New Roman" w:eastAsia="Times New Roman" w:hAnsi="Times New Roman"/>
          <w:sz w:val="18"/>
          <w:szCs w:val="18"/>
          <w:color w:val="auto"/>
        </w:rPr>
      </w:pPr>
    </w:p>
    <w:p>
      <w:pPr>
        <w:ind w:left="520" w:right="22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Financial Accounting Standards Board Accounting Standards Codification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Times New Roman" w:cs="Times New Roman" w:eastAsia="Times New Roman" w:hAnsi="Times New Roman"/>
          <w:sz w:val="18"/>
          <w:szCs w:val="18"/>
          <w:color w:val="auto"/>
        </w:rPr>
      </w:pPr>
    </w:p>
    <w:p>
      <w:pPr>
        <w:ind w:left="520" w:right="100" w:hanging="512"/>
        <w:spacing w:after="0" w:line="250"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61"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investment is valued using observable inputs and is considered a Level 1 investment. See Note 6 for further information related to investments at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1"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104,284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 Transactions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(77,950)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(69,505)</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Convertible Senior Notes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 Transactions</w:t>
            </w:r>
          </w:p>
        </w:tc>
        <w:tc>
          <w:tcPr>
            <w:tcW w:w="8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(70,332)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952,212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8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966,743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940,469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w:t>
            </w: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0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End of the Period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58,866</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net cash provided by (used) in operating activities:</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(21,609)</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losses on foreign currency transactions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on interest rate swaps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amortization of discount on investments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(25,568)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(12,342)</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discount on Convertible Senior Notes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Purchases and originations of investments, net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(742,736)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(643,792)</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(6,721)</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receivable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Payable to affiliate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on debt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(968,893)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(438,385)</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 underwriting costs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(70,548)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89"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initial public offering (“IPO”) and the Company’s shares began trading on the New York Stock Exchange (“NYSE”) under the symbol “TSLX.”</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0"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2016, which was filed with the Securities and Exchange Commission (“SEC”), on February 22, 2017.</w:t>
      </w:r>
    </w:p>
    <w:p>
      <w:pPr>
        <w:spacing w:after="0" w:line="180"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62"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580" w:hanging="255"/>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80" w:hanging="255"/>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conducts this valuation process on a quarterly basis.</w:t>
      </w:r>
    </w:p>
    <w:p>
      <w:pPr>
        <w:spacing w:after="0" w:line="225"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The Board has engaged independent third-party valuation firms to perform certain limited procedures that the Board has identified and requested them to perform in connection with the valuation process. At September 30, 2017,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8"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7" w:lineRule="exact"/>
        <w:rPr>
          <w:sz w:val="20"/>
          <w:szCs w:val="20"/>
          <w:color w:val="auto"/>
        </w:rPr>
      </w:pPr>
    </w:p>
    <w:p>
      <w:pPr>
        <w:ind w:left="520" w:hanging="25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760" w:hanging="255"/>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9" w:name="page20"/>
    <w:bookmarkEnd w:id="19"/>
    <w:p>
      <w:pPr>
        <w:ind w:firstLine="259"/>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5" w:lineRule="exact"/>
        <w:rPr>
          <w:sz w:val="20"/>
          <w:szCs w:val="20"/>
          <w:color w:val="auto"/>
        </w:rPr>
      </w:pPr>
    </w:p>
    <w:p>
      <w:pPr>
        <w:ind w:right="260" w:firstLine="259"/>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firstLine="259"/>
        <w:spacing w:after="0" w:line="313" w:lineRule="auto"/>
        <w:rPr>
          <w:sz w:val="20"/>
          <w:szCs w:val="20"/>
          <w:color w:val="auto"/>
        </w:rPr>
      </w:pPr>
      <w:r>
        <w:rPr>
          <w:rFonts w:ascii="Times New Roman" w:cs="Times New Roman" w:eastAsia="Times New Roman" w:hAnsi="Times New Roman"/>
          <w:sz w:val="17"/>
          <w:szCs w:val="17"/>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38" w:lineRule="exact"/>
        <w:rPr>
          <w:sz w:val="20"/>
          <w:szCs w:val="20"/>
          <w:color w:val="auto"/>
        </w:rPr>
      </w:pPr>
    </w:p>
    <w:p>
      <w:pPr>
        <w:ind w:right="60" w:firstLine="259"/>
        <w:spacing w:after="0" w:line="277" w:lineRule="auto"/>
        <w:rPr>
          <w:sz w:val="20"/>
          <w:szCs w:val="20"/>
          <w:color w:val="auto"/>
        </w:rPr>
      </w:pPr>
      <w:r>
        <w:rPr>
          <w:rFonts w:ascii="Times New Roman" w:cs="Times New Roman" w:eastAsia="Times New Roman" w:hAnsi="Times New Roman"/>
          <w:sz w:val="17"/>
          <w:szCs w:val="17"/>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160" w:hanging="255"/>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0" w:name="page21"/>
    <w:bookmarkEnd w:id="20"/>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6"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The Company records expenses related to initial registration statement filings and applicable offering costs as deferred financing costs in other assets and a portion of these expenses are charged as a reduction of capital upon completion of an offering of registered securities. The costs associated with subsequent renewals of the Company’s shelf registration statement are expensed as incurred.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62"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30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 services that the Adviser provides vary by investment, but may include syndication, structuring, diligence, or other service-based fees, and fees for providing managerial assistance to our portfolio companies and are recognized as revenue when earned.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 Subsequent to closing, investments are recorded at fair value at each reporting period.</w:t>
      </w:r>
    </w:p>
    <w:p>
      <w:pPr>
        <w:spacing w:after="0" w:line="184"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60" w:firstLine="259"/>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2"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2017</w:t>
      </w:r>
    </w:p>
    <w:p>
      <w:pPr>
        <w:spacing w:after="0" w:line="11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In November 2016, the Financial Accounting Standards Board issued Accounting Standards Update 2016-18 (“ASU 2016-18”), “Statement of Cash Flows (Topic 230) - Restricted Cash.” The standard requires an entity’s reconciliation of the beginning-of-period and end-of-period total amounts shown on the statement of cash flows to include in cash and cash equivalents amounts generally described as restricted cash and restricted cash equivalents. ASU 2016-18 is effective for public business entities for annual and interim periods in fiscal years beginning after December 15, 2017. Early adoption is permitted, including adoption in an interim period. The Company adopted this guidance during the quarter ended March 31, 2017 and adjusted the prior period consolidated statement of cash flows to reflect the change.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9"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issued Accounting Standards Update 2014-09 (“ASU 2014-09”), “Revenue from Contracts with Customers (Topic 606).” The guidance in this ASU supersedes the revenue recognition requirements in Topic 605, Revenue Recognition. Under the new 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in fiscal years beginning after December 15, 2017, with early adoption permitted for interim and annual periods in fiscal years beginning after December 15, 2016. The Company expects that the adoption of this guidance will not have a material impact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9" w:right="279" w:bottom="1440" w:gutter="0" w:footer="0" w:header="0"/>
        </w:sectPr>
      </w:pPr>
    </w:p>
    <w:bookmarkStart w:id="22" w:name="page23"/>
    <w:bookmarkEnd w:id="22"/>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On November 7, 2017, the Board renewed the Administration Agreement. Unless earlier terminated as described below, the Administration Agreement will remain in effect until November 2018,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the Company incurred expenses of $1.0 million and $3.0 million, respectively, for administrative services payable to the Adviser under the terms of the Administration Agreement. For the three and nine months ended September 30, 2016, the Company incurred expenses of $0.7 million and $2.4 million, respectively, for administrative services payable to the Adviser under the terms of the Administration Agreement.</w:t>
      </w:r>
    </w:p>
    <w:p>
      <w:pPr>
        <w:spacing w:after="0" w:line="180" w:lineRule="exact"/>
        <w:rPr>
          <w:sz w:val="20"/>
          <w:szCs w:val="20"/>
          <w:color w:val="auto"/>
        </w:rPr>
      </w:pPr>
    </w:p>
    <w:p>
      <w:pPr>
        <w:ind w:right="120" w:firstLine="259"/>
        <w:spacing w:after="0" w:line="277" w:lineRule="auto"/>
        <w:rPr>
          <w:sz w:val="20"/>
          <w:szCs w:val="20"/>
          <w:color w:val="auto"/>
        </w:rPr>
      </w:pPr>
      <w:r>
        <w:rPr>
          <w:rFonts w:ascii="Times New Roman" w:cs="Times New Roman" w:eastAsia="Times New Roman" w:hAnsi="Times New Roman"/>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Management Fees were $6.0 million and $18.0 million, respectively. For the three and nine months ended September 30, 2016, Management Fees were $6.2 million and $18.0 million, respectively.</w:t>
      </w:r>
    </w:p>
    <w:p>
      <w:pPr>
        <w:spacing w:after="0" w:line="162"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Management Fee on the Company’s ownership of shares of common stock in TICC Capital Corp. (the “TICC Shares”). The Adviser did not waive any Management Fees for the three and nine months ended September 30, 2017.</w:t>
      </w:r>
    </w:p>
    <w:p>
      <w:pPr>
        <w:spacing w:after="0" w:line="176"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2016, Management Fees of less than $0.1 million were waived, consisting solely of Management Fees attributable to the Company’s ownership of the TICC Shares.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280" w:hanging="255"/>
        <w:spacing w:after="0" w:line="25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w:t>
      </w:r>
    </w:p>
    <w:p>
      <w:pPr>
        <w:spacing w:after="0" w:line="2" w:lineRule="exact"/>
        <w:rPr>
          <w:rFonts w:ascii="Times New Roman" w:cs="Times New Roman" w:eastAsia="Times New Roman" w:hAnsi="Times New Roman"/>
          <w:sz w:val="18"/>
          <w:szCs w:val="18"/>
          <w:color w:val="auto"/>
        </w:rPr>
      </w:pPr>
    </w:p>
    <w:p>
      <w:pPr>
        <w:ind w:left="5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8" w:lineRule="exact"/>
        <w:rPr>
          <w:rFonts w:ascii="Times New Roman" w:cs="Times New Roman" w:eastAsia="Times New Roman" w:hAnsi="Times New Roman"/>
          <w:sz w:val="18"/>
          <w:szCs w:val="18"/>
          <w:color w:val="auto"/>
        </w:rPr>
      </w:pPr>
    </w:p>
    <w:p>
      <w:pPr>
        <w:ind w:left="52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79" w:lineRule="exact"/>
        <w:rPr>
          <w:rFonts w:ascii="Times New Roman" w:cs="Times New Roman" w:eastAsia="Times New Roman" w:hAnsi="Times New Roman"/>
          <w:sz w:val="18"/>
          <w:szCs w:val="18"/>
          <w:color w:val="auto"/>
        </w:rPr>
      </w:pPr>
    </w:p>
    <w:p>
      <w:pPr>
        <w:ind w:left="520" w:right="120" w:hanging="255"/>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3" w:name="page24"/>
    <w:bookmarkEnd w:id="23"/>
    <w:p>
      <w:pPr>
        <w:ind w:left="520" w:right="40"/>
        <w:spacing w:after="0" w:line="255" w:lineRule="auto"/>
        <w:rPr>
          <w:sz w:val="20"/>
          <w:szCs w:val="20"/>
          <w:color w:val="auto"/>
        </w:rPr>
      </w:pPr>
      <w:r>
        <w:rPr>
          <w:rFonts w:ascii="Times New Roman" w:cs="Times New Roman" w:eastAsia="Times New Roman" w:hAnsi="Times New Roman"/>
          <w:sz w:val="18"/>
          <w:szCs w:val="18"/>
          <w:color w:val="auto"/>
        </w:rPr>
        <w:t>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5" w:lineRule="exact"/>
        <w:rPr>
          <w:sz w:val="20"/>
          <w:szCs w:val="20"/>
          <w:color w:val="auto"/>
        </w:rPr>
      </w:pPr>
    </w:p>
    <w:p>
      <w:pPr>
        <w:ind w:right="600" w:firstLine="259"/>
        <w:spacing w:after="0" w:line="282" w:lineRule="auto"/>
        <w:rPr>
          <w:sz w:val="20"/>
          <w:szCs w:val="20"/>
          <w:color w:val="auto"/>
        </w:rPr>
      </w:pPr>
      <w:r>
        <w:rPr>
          <w:rFonts w:ascii="Times New Roman" w:cs="Times New Roman" w:eastAsia="Times New Roman" w:hAnsi="Times New Roman"/>
          <w:sz w:val="18"/>
          <w:szCs w:val="18"/>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62"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62" w:lineRule="exact"/>
        <w:rPr>
          <w:sz w:val="20"/>
          <w:szCs w:val="20"/>
          <w:color w:val="auto"/>
        </w:rPr>
      </w:pPr>
    </w:p>
    <w:p>
      <w:pPr>
        <w:jc w:val="both"/>
        <w:ind w:right="360" w:firstLine="2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2017, Incentive Fees were $6.6 million and $19.8 million, respectively, of which $6.6 million and $19.8 million, respectively, were realized and payable to the Adviser. For the three and nine months ended September 30, 2016, Incentive Fees were $6.5 million and $16.8 million, respectively, of which $6.5 million and $16.8 million, respectively, were realized and payable to the Adviser.</w:t>
      </w:r>
    </w:p>
    <w:p>
      <w:pPr>
        <w:spacing w:after="0" w:line="176" w:lineRule="exact"/>
        <w:rPr>
          <w:sz w:val="20"/>
          <w:szCs w:val="20"/>
          <w:color w:val="auto"/>
        </w:rPr>
      </w:pPr>
    </w:p>
    <w:p>
      <w:pPr>
        <w:jc w:val="both"/>
        <w:ind w:right="280" w:firstLine="259"/>
        <w:spacing w:after="0" w:line="261"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Incentive Fees attributable to pre-Incentive Fee net investment income accrued by the Company as a result of the Company’s ownership of the TICC Shares. The Adviser did not waive any part of the Capital Gains Fee attributable to the Company’s ownership of the TICC Shares and, accordingly, any realized capital gains or losses and unrealized capital depreciation with respect to the TICC Shares apply against the Company’s cumulative realized capital gains on which the Capital Gains Fee is calculated.</w:t>
      </w:r>
    </w:p>
    <w:p>
      <w:pPr>
        <w:spacing w:after="0" w:line="180"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The Adviser did not waive any Incentive Fees for the three and nine months ended September 30, 2017. For the three and nine months ended September 30, 2016, Incentive Fees of less than $0.1 million and $0.2 million were waived, respectively, consisting solely of Incentive Fees attributable to the Company’s ownership of the TICC Shares. Any waived Incentive Fees are not subject to recoupment by the Adviser.</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Since the Company’s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w:t>
      </w:r>
    </w:p>
    <w:p>
      <w:pPr>
        <w:spacing w:after="0" w:line="176"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In November 2017, the Board renewed the Investment Advisory Agreement. Unless earlier terminated as described below, the Investment Advisory Agreement will remain in effect until November 2018,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76" w:lineRule="exact"/>
        <w:rPr>
          <w:sz w:val="20"/>
          <w:szCs w:val="20"/>
          <w:color w:val="auto"/>
        </w:rPr>
      </w:pPr>
    </w:p>
    <w:p>
      <w:pPr>
        <w:ind w:right="26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September 30, 2017 and December 31, 2016:</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1,427,887</w:t>
            </w: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1,445,304</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(2,053)</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(10,201)</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1,545,117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1,550,280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1,592,753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1,599,578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(4,382)</w:t>
            </w: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(12,655)</w:t>
            </w: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1,667,687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1,657,403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30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September 30, 2017 and December 31, 2016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160" w:type="dxa"/>
            <w:vAlign w:val="bottom"/>
            <w:tcBorders>
              <w:bottom w:val="single" w:sz="8" w:color="CFF0FC"/>
            </w:tcBorders>
          </w:tcPr>
          <w:p>
            <w:pPr>
              <w:spacing w:after="0"/>
              <w:rPr>
                <w:sz w:val="15"/>
                <w:szCs w:val="15"/>
                <w:color w:val="auto"/>
              </w:rPr>
            </w:pPr>
          </w:p>
        </w:tc>
        <w:tc>
          <w:tcPr>
            <w:tcW w:w="216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2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2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2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Marketing services</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w:t>
            </w:r>
          </w:p>
        </w:tc>
        <w:tc>
          <w:tcPr>
            <w:tcW w:w="3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Retail and consumer products</w:t>
            </w:r>
          </w:p>
        </w:tc>
        <w:tc>
          <w:tcPr>
            <w:tcW w:w="35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vMerge w:val="restart"/>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20" w:type="dxa"/>
            <w:vAlign w:val="bottom"/>
          </w:tcPr>
          <w:p>
            <w:pPr>
              <w:spacing w:after="0"/>
              <w:rPr>
                <w:sz w:val="19"/>
                <w:szCs w:val="19"/>
                <w:color w:val="auto"/>
              </w:rPr>
            </w:pPr>
          </w:p>
        </w:tc>
        <w:tc>
          <w:tcPr>
            <w:tcW w:w="3160" w:type="dxa"/>
            <w:vAlign w:val="bottom"/>
            <w:vMerge w:val="continue"/>
            <w:shd w:val="clear" w:color="auto" w:fill="CFF0FC"/>
          </w:tcPr>
          <w:p>
            <w:pPr>
              <w:spacing w:after="0"/>
              <w:rPr>
                <w:sz w:val="19"/>
                <w:szCs w:val="19"/>
                <w:color w:val="auto"/>
              </w:rPr>
            </w:pPr>
          </w:p>
        </w:tc>
        <w:tc>
          <w:tcPr>
            <w:tcW w:w="2160" w:type="dxa"/>
            <w:vAlign w:val="bottom"/>
            <w:vMerge w:val="continue"/>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bottom w:val="single" w:sz="8" w:color="CFF0FC"/>
            </w:tcBorders>
            <w:vMerge w:val="restart"/>
          </w:tcPr>
          <w:p>
            <w:pPr>
              <w:jc w:val="right"/>
              <w:ind w:right="115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September 30, 2017 and December 31, 2016 is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41.2%</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In January 2015, in connection with its 2019 Convertible Senior Notes, the Company entered into two interest rate swap transactions, each with a $57.5 million notional amount. The Company receives fixed rate interest at 4.50% and pays variable rate interest based on the three-month London Interbank Offered Rate (“LIBOR”) plus 286 basis points. The swap transactions mature on December 15, 2019.</w:t>
      </w:r>
    </w:p>
    <w:p>
      <w:pPr>
        <w:spacing w:after="0" w:line="176" w:lineRule="exact"/>
        <w:rPr>
          <w:sz w:val="20"/>
          <w:szCs w:val="20"/>
          <w:color w:val="auto"/>
        </w:rPr>
      </w:pPr>
    </w:p>
    <w:p>
      <w:pPr>
        <w:ind w:right="280" w:firstLine="259"/>
        <w:spacing w:after="0" w:line="313" w:lineRule="auto"/>
        <w:rPr>
          <w:sz w:val="20"/>
          <w:szCs w:val="20"/>
          <w:color w:val="auto"/>
        </w:rPr>
      </w:pPr>
      <w:r>
        <w:rPr>
          <w:rFonts w:ascii="Times New Roman" w:cs="Times New Roman" w:eastAsia="Times New Roman" w:hAnsi="Times New Roman"/>
          <w:sz w:val="17"/>
          <w:szCs w:val="17"/>
          <w:color w:val="auto"/>
        </w:rPr>
        <w:t>In November 2015, in connection with a fixed rate investment, the Company entered into two interest rate swap transactions, each with a $46.3 million notional amount. The Company receives three-month LIBOR and pays fixed rate interest at 1.16%. The swap transactions mature on October 5, 2018.</w:t>
      </w:r>
    </w:p>
    <w:p>
      <w:pPr>
        <w:spacing w:after="0" w:line="138" w:lineRule="exact"/>
        <w:rPr>
          <w:sz w:val="20"/>
          <w:szCs w:val="20"/>
          <w:color w:val="auto"/>
        </w:rPr>
      </w:pPr>
    </w:p>
    <w:p>
      <w:pPr>
        <w:jc w:val="both"/>
        <w:ind w:right="380" w:firstLine="259"/>
        <w:spacing w:after="0" w:line="266" w:lineRule="auto"/>
        <w:rPr>
          <w:sz w:val="20"/>
          <w:szCs w:val="20"/>
          <w:color w:val="auto"/>
        </w:rPr>
      </w:pPr>
      <w:r>
        <w:rPr>
          <w:rFonts w:ascii="Times New Roman" w:cs="Times New Roman" w:eastAsia="Times New Roman" w:hAnsi="Times New Roman"/>
          <w:sz w:val="18"/>
          <w:szCs w:val="18"/>
          <w:color w:val="auto"/>
        </w:rPr>
        <w:t>In January 2017, in connection with a fixed rate investment, the Company entered into an interest rate swap transaction with a $33.3 million notional amount. On a net basis, the Company receives three-month LIBOR and pays fixed rate interest at 1.7225%. The swap transaction matures on January 10, 2020.</w:t>
      </w:r>
    </w:p>
    <w:p>
      <w:pPr>
        <w:spacing w:after="0" w:line="176"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In February 2017, in connection with the issuance of the 2022 Convertible Senior Notes, the Company entered into an interest rate swap transaction with a $115 million notional amount. The Company receives fixed rate interest at 4.50% and pays variable rate interest based on the three-month LIBOR plus 237.2 basis points. The swap transaction matures on August 1, 2022.</w:t>
      </w:r>
    </w:p>
    <w:p>
      <w:pPr>
        <w:spacing w:after="0" w:line="176"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gross and net information on the Company’s interest rate swap transactions that are eligible for offset in the Company’s consolidated balance sheets as of September 30, 2017 and December 31, 2016.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1"/>
                <w:szCs w:val="11"/>
                <w:color w:val="auto"/>
              </w:rPr>
            </w:pPr>
          </w:p>
        </w:tc>
        <w:tc>
          <w:tcPr>
            <w:tcW w:w="1320" w:type="dxa"/>
            <w:vAlign w:val="bottom"/>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w:t>
            </w:r>
          </w:p>
        </w:tc>
        <w:tc>
          <w:tcPr>
            <w:tcW w:w="120" w:type="dxa"/>
            <w:vAlign w:val="bottom"/>
          </w:tcPr>
          <w:p>
            <w:pPr>
              <w:spacing w:after="0"/>
              <w:rPr>
                <w:sz w:val="11"/>
                <w:szCs w:val="11"/>
                <w:color w:val="auto"/>
              </w:rPr>
            </w:pPr>
          </w:p>
        </w:tc>
        <w:tc>
          <w:tcPr>
            <w:tcW w:w="13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 in the Consolidated Balance Sheets</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2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1/10/2020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FF0FC"/>
          </w:tcPr>
          <w:p>
            <w:pPr>
              <w:spacing w:after="0"/>
              <w:rPr>
                <w:sz w:val="19"/>
                <w:szCs w:val="19"/>
                <w:color w:val="auto"/>
              </w:rPr>
            </w:pPr>
          </w:p>
        </w:tc>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8/1/2022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6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28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8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Gross 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Net Amount of</w:t>
            </w:r>
          </w:p>
        </w:tc>
        <w:tc>
          <w:tcPr>
            <w:tcW w:w="2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Assets in the</w:t>
            </w: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1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Recognized</w:t>
            </w:r>
          </w:p>
        </w:tc>
        <w:tc>
          <w:tcPr>
            <w:tcW w:w="10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 in the Consolidated Balance Sheets</w:t>
            </w:r>
          </w:p>
        </w:tc>
        <w:tc>
          <w:tcPr>
            <w:tcW w:w="0" w:type="dxa"/>
            <w:vAlign w:val="bottom"/>
          </w:tcPr>
          <w:p>
            <w:pPr>
              <w:spacing w:after="0"/>
              <w:rPr>
                <w:sz w:val="1"/>
                <w:szCs w:val="1"/>
                <w:color w:val="auto"/>
              </w:rPr>
            </w:pPr>
          </w:p>
        </w:tc>
      </w:tr>
      <w:tr>
        <w:trPr>
          <w:trHeight w:val="173"/>
        </w:trPr>
        <w:tc>
          <w:tcPr>
            <w:tcW w:w="18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15"/>
                <w:szCs w:val="15"/>
                <w:color w:val="auto"/>
              </w:rPr>
              <w:t>(1)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10/5/2018</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FF0FC"/>
            </w:tcBorders>
            <w:shd w:val="clear" w:color="auto" w:fill="CFF0FC"/>
          </w:tcPr>
          <w:p>
            <w:pPr>
              <w:spacing w:after="0"/>
              <w:rPr>
                <w:sz w:val="19"/>
                <w:szCs w:val="19"/>
                <w:color w:val="auto"/>
              </w:rPr>
            </w:pPr>
          </w:p>
        </w:tc>
        <w:tc>
          <w:tcPr>
            <w:tcW w:w="27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Receivable for interest rate swaps</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Receivable for interest rate swaps</w:t>
            </w:r>
          </w:p>
        </w:tc>
        <w:tc>
          <w:tcPr>
            <w:tcW w:w="0" w:type="dxa"/>
            <w:vAlign w:val="bottom"/>
          </w:tcPr>
          <w:p>
            <w:pPr>
              <w:spacing w:after="0"/>
              <w:rPr>
                <w:sz w:val="1"/>
                <w:szCs w:val="1"/>
                <w:color w:val="auto"/>
              </w:rPr>
            </w:pPr>
          </w:p>
        </w:tc>
      </w:tr>
      <w:tr>
        <w:trPr>
          <w:trHeight w:val="223"/>
        </w:trPr>
        <w:tc>
          <w:tcPr>
            <w:tcW w:w="1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76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28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 of certain interest rate swaps may exceed the Company’s investment in individual portfolio companies as a result of arrangements with other lenders in the syndicate.</w:t>
      </w:r>
    </w:p>
    <w:p>
      <w:pPr>
        <w:spacing w:after="0" w:line="162"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2017, the Company received $1.3 million and $3.9 million, respectively, and paid $1.2 million and $3.5 million, respectively, related to the settlements of its $115 million notional amount interest rate swaps, which mature on December 15, 2019. The net amounts of these settlements are reductions to interest expense in the Company’s consolidated statements of operations.</w:t>
      </w:r>
    </w:p>
    <w:p>
      <w:pPr>
        <w:spacing w:after="0" w:line="176"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2016, the Company received $1.3 million and $3.9 million, respectively, and paid $1.0 million and $3.0 million, respectively, related to the settlements of its $115 million notional amount interest rate swaps, which mature on December 15, 2019. These net amounts of these settlements are reductions to interest expense in the Company’s consolidated statements of operations.</w:t>
      </w:r>
    </w:p>
    <w:p>
      <w:pPr>
        <w:spacing w:after="0" w:line="176"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2017, the Company received $2.6 million and $2.6 million, respectively, and paid $1.0 million and $2.0 million, respectively, related to the settlement of its $115 million notional amount interest rate swap, which matures on August 1, 2022. The net amounts of these settlements are reductions to interest expense in the Company’s consolidated statements of operations.</w:t>
      </w:r>
    </w:p>
    <w:p>
      <w:pPr>
        <w:spacing w:after="0" w:line="176"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2017, the Company received $0.3 million and $0.7 million, respectively, and paid $0.3 million and $0.8 million, respectively, related to the settlement of its $92.5 million notional amount interest rate swaps, which mature on October 5, 2018. The net amounts of these settlements are reductions to interest income in the Company’s consolidated statements of operations.</w:t>
      </w:r>
    </w:p>
    <w:p>
      <w:pPr>
        <w:spacing w:after="0" w:line="176"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2016, the Company received $0.1 million and $0.4 million, respectively, and paid $0.3 million and $0.8 million, respectively, related to the settlements of its $92.5 million notional amount interest rate swaps, which mature on October 5, 2018. The net amounts of these settlements are reductions to interest income in the Company’s consolidated statements of operations.</w:t>
      </w:r>
    </w:p>
    <w:p>
      <w:pPr>
        <w:spacing w:after="0" w:line="176"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2017, the Company received $0.7 million and $1.8 million, respectively, and paid $0.7 million and $1.9 million, respectively, related to the settlements of its $33.3 million notional amount interest rate swap, which matures on January 10, 2020. The net amounts of these settlements are reductions to interest income in the Company’s consolidated statements of operations.</w:t>
      </w:r>
    </w:p>
    <w:p>
      <w:pPr>
        <w:spacing w:after="0" w:line="176"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2017 the Company recognized $1.7 million of unrealized depreciation and $0.6 million of unrealized appreciation, respectively, on interest rate swaps in the consolidated statement of operations related to the swap transactions. For the three and nine months ended September 30, 2016, the Company recognized $0.5 million of unrealized depreciation and $1.1 million of unrealized appreciation, respectively, on interest rate swaps in the consolidated statement of operations related to the swap transactions.</w:t>
      </w:r>
    </w:p>
    <w:p>
      <w:pPr>
        <w:spacing w:after="0" w:line="180"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the swap transactions had a fair value of $0.7 million and $0.1 million, respectively, which is included in receivable for interest rate swaps on the Company’s consolidated balance sheet.</w:t>
      </w:r>
    </w:p>
    <w:p>
      <w:pPr>
        <w:spacing w:after="0" w:line="162"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September 30, 2017, $2.6 million of cash is pledged as collateral under the Company’s derivative instruments and is included in restricted cash as a component of cash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27" w:name="page28"/>
    <w:bookmarkEnd w:id="27"/>
    <w:p>
      <w:pPr>
        <w:ind w:right="140"/>
        <w:spacing w:after="0" w:line="282" w:lineRule="auto"/>
        <w:rPr>
          <w:sz w:val="20"/>
          <w:szCs w:val="20"/>
          <w:color w:val="auto"/>
        </w:rPr>
      </w:pPr>
      <w:r>
        <w:rPr>
          <w:rFonts w:ascii="Times New Roman" w:cs="Times New Roman" w:eastAsia="Times New Roman" w:hAnsi="Times New Roman"/>
          <w:sz w:val="18"/>
          <w:szCs w:val="18"/>
          <w:color w:val="auto"/>
        </w:rPr>
        <w:t>and cash equivalents on the Company’s consolidated balance sheet. The Company had $1.1 million of cash collateral posted as of December 31, 2016, which is also included in restricted cash as a component of cash and cash equivalents on the Company’s consolidated balance sheet.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September 30, 2017 and December 31, 2016:</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 at September 30, 2017</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1,427,878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1,445,304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1,526,683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1,550,280</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1,550,954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3"/>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2016</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145,491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1,454,087</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1,599,578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debt investments</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27,567</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1,657,403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w:t>
      </w:r>
    </w:p>
    <w:p>
      <w:pPr>
        <w:spacing w:after="0" w:line="252"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2017:</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16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1,394,182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1,493,947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(299,777)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(2,361)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(302,138)</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(3,680)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(4,273)</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2"/>
                <w:szCs w:val="12"/>
                <w:color w:val="auto"/>
              </w:rPr>
            </w:pPr>
          </w:p>
        </w:tc>
        <w:tc>
          <w:tcPr>
            <w:tcW w:w="11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15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1,454,087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741,154</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(703,096)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(707,929)</w:t>
            </w: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(17,316)</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19,290</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Transfers within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(67,775)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1,526,683</w:t>
            </w:r>
          </w:p>
        </w:tc>
        <w:tc>
          <w:tcPr>
            <w:tcW w:w="10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nine months ended September 30, 2016:</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1,377,204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1,418,387</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(265,823)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(266,064)</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(58,456)</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1,373,129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1"/>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and for the Nine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debt</w:t>
            </w:r>
          </w:p>
        </w:tc>
        <w:tc>
          <w:tcPr>
            <w:tcW w:w="15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1,229,491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90,442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1,335,940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Purchases or originations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(423,973)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(62,500)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(488,879)</w:t>
            </w: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w:t>
            </w:r>
          </w:p>
        </w:tc>
        <w:tc>
          <w:tcPr>
            <w:tcW w:w="20" w:type="dxa"/>
            <w:vAlign w:val="bottom"/>
          </w:tcPr>
          <w:p>
            <w:pPr>
              <w:spacing w:after="0"/>
              <w:rPr>
                <w:sz w:val="19"/>
                <w:szCs w:val="19"/>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(58,456)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(64,479)</w:t>
            </w:r>
          </w:p>
        </w:tc>
        <w:tc>
          <w:tcPr>
            <w:tcW w:w="20" w:type="dxa"/>
            <w:vAlign w:val="bottom"/>
          </w:tcPr>
          <w:p>
            <w:pPr>
              <w:spacing w:after="0"/>
              <w:rPr>
                <w:sz w:val="19"/>
                <w:szCs w:val="19"/>
                <w:color w:val="auto"/>
              </w:rPr>
            </w:pPr>
          </w:p>
        </w:tc>
      </w:tr>
      <w:tr>
        <w:trPr>
          <w:trHeight w:val="223"/>
        </w:trPr>
        <w:tc>
          <w:tcPr>
            <w:tcW w:w="51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1,373,129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28" w:right="219" w:bottom="1440" w:gutter="0" w:footer="0" w:header="0"/>
        </w:sectPr>
      </w:pPr>
    </w:p>
    <w:bookmarkStart w:id="29" w:name="page30"/>
    <w:bookmarkEnd w:id="29"/>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with respect to the net change in unrealized appreciation or depreciation on investments for which Level 3 inputs were used in determining fair value that are still held by the Company at September 30, 2017 and 2016:</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60" w:type="dxa"/>
            <w:vAlign w:val="bottom"/>
          </w:tcPr>
          <w:p>
            <w:pPr>
              <w:spacing w:after="0"/>
              <w:rPr>
                <w:sz w:val="14"/>
                <w:szCs w:val="14"/>
                <w:color w:val="auto"/>
              </w:rPr>
            </w:pPr>
          </w:p>
        </w:tc>
        <w:tc>
          <w:tcPr>
            <w:tcW w:w="2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62"/>
        </w:trPr>
        <w:tc>
          <w:tcPr>
            <w:tcW w:w="3880" w:type="dxa"/>
            <w:vAlign w:val="bottom"/>
          </w:tcPr>
          <w:p>
            <w:pPr>
              <w:spacing w:after="0"/>
              <w:rPr>
                <w:sz w:val="14"/>
                <w:szCs w:val="14"/>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4"/>
                <w:szCs w:val="14"/>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2017 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2016 on</w:t>
            </w:r>
          </w:p>
        </w:tc>
      </w:tr>
      <w:tr>
        <w:trPr>
          <w:trHeight w:val="162"/>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2016</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tcPr>
          <w:p>
            <w:pPr>
              <w:spacing w:after="0"/>
              <w:rPr>
                <w:sz w:val="19"/>
                <w:szCs w:val="19"/>
                <w:color w:val="auto"/>
              </w:rPr>
            </w:pP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19"/>
                <w:szCs w:val="19"/>
                <w:color w:val="auto"/>
              </w:rPr>
            </w:pPr>
          </w:p>
        </w:tc>
      </w:tr>
      <w:tr>
        <w:trPr>
          <w:trHeight w:val="211"/>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1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4"/>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FF0FC"/>
          </w:tcPr>
          <w:p>
            <w:pPr>
              <w:spacing w:after="0"/>
              <w:rPr>
                <w:sz w:val="20"/>
                <w:szCs w:val="20"/>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tcPr>
          <w:p>
            <w:pPr>
              <w:spacing w:after="0"/>
              <w:rPr>
                <w:sz w:val="19"/>
                <w:szCs w:val="19"/>
                <w:color w:val="auto"/>
              </w:rPr>
            </w:pPr>
          </w:p>
        </w:tc>
        <w:tc>
          <w:tcPr>
            <w:tcW w:w="1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19"/>
                <w:szCs w:val="19"/>
                <w:color w:val="auto"/>
              </w:rPr>
            </w:pPr>
          </w:p>
        </w:tc>
      </w:tr>
      <w:tr>
        <w:trPr>
          <w:trHeight w:val="223"/>
        </w:trPr>
        <w:tc>
          <w:tcPr>
            <w:tcW w:w="38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78" w:right="239" w:bottom="1440" w:gutter="0" w:footer="0" w:header="0"/>
        </w:sectPr>
      </w:pPr>
    </w:p>
    <w:p>
      <w:pPr>
        <w:spacing w:after="0" w:line="72"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1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p>
      <w:pPr>
        <w:spacing w:after="0" w:line="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September 30, 2017 on</w:t>
      </w:r>
    </w:p>
    <w:p>
      <w:pPr>
        <w:spacing w:after="0" w:line="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left="5620"/>
        <w:spacing w:after="0" w:line="233" w:lineRule="auto"/>
        <w:rPr>
          <w:sz w:val="20"/>
          <w:szCs w:val="20"/>
          <w:color w:val="auto"/>
        </w:rPr>
      </w:pPr>
      <w:r>
        <w:rPr>
          <w:rFonts w:ascii="Times New Roman" w:cs="Times New Roman" w:eastAsia="Times New Roman" w:hAnsi="Times New Roman"/>
          <w:sz w:val="14"/>
          <w:szCs w:val="14"/>
          <w:b w:val="1"/>
          <w:bCs w:val="1"/>
          <w:color w:val="auto"/>
        </w:rPr>
        <w:t>September 30, 2017</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Net Change in Unrealized</w:t>
      </w:r>
    </w:p>
    <w:p>
      <w:pPr>
        <w:spacing w:after="0" w:line="19"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p>
      <w:pPr>
        <w:spacing w:after="0" w:line="1"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1"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September 30, 2016 on</w:t>
      </w:r>
    </w:p>
    <w:p>
      <w:pPr>
        <w:spacing w:after="0" w:line="1"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Investments Held at</w:t>
      </w:r>
    </w:p>
    <w:p>
      <w:pPr>
        <w:jc w:val="center"/>
        <w:ind w:right="1800"/>
        <w:spacing w:after="0" w:line="233" w:lineRule="auto"/>
        <w:rPr>
          <w:sz w:val="20"/>
          <w:szCs w:val="20"/>
          <w:color w:val="auto"/>
        </w:rPr>
      </w:pPr>
      <w:r>
        <w:rPr>
          <w:rFonts w:ascii="Times New Roman" w:cs="Times New Roman" w:eastAsia="Times New Roman" w:hAnsi="Times New Roman"/>
          <w:sz w:val="14"/>
          <w:szCs w:val="14"/>
          <w:b w:val="1"/>
          <w:bCs w:val="1"/>
          <w:color w:val="auto"/>
        </w:rPr>
        <w:t>September 30, 2016</w:t>
      </w:r>
    </w:p>
    <w:p>
      <w:pPr>
        <w:spacing w:after="0" w:line="20" w:lineRule="exact"/>
        <w:rPr>
          <w:sz w:val="20"/>
          <w:szCs w:val="20"/>
          <w:color w:val="auto"/>
        </w:rPr>
      </w:pPr>
    </w:p>
    <w:p>
      <w:pPr>
        <w:sectPr>
          <w:pgSz w:w="11900" w:h="16838" w:orient="portrait"/>
          <w:cols w:equalWidth="0" w:num="2">
            <w:col w:w="7500" w:space="220"/>
            <w:col w:w="3700"/>
          </w:cols>
          <w:pgMar w:left="240" w:top="378" w:right="239" w:bottom="1440" w:gutter="0" w:footer="0" w:header="0"/>
          <w:type w:val="continuous"/>
        </w:sectPr>
      </w:pPr>
    </w:p>
    <w:tbl>
      <w:tblPr>
        <w:tblLayout w:type="fixed"/>
        <w:tblInd w:w="1720" w:type="dxa"/>
        <w:tblCellMar>
          <w:top w:w="0" w:type="dxa"/>
          <w:left w:w="0" w:type="dxa"/>
          <w:bottom w:w="0" w:type="dxa"/>
          <w:right w:w="0" w:type="dxa"/>
        </w:tblCellMar>
      </w:tblPr>
      <w:tr>
        <w:trPr>
          <w:trHeight w:val="20"/>
        </w:trPr>
        <w:tc>
          <w:tcPr>
            <w:tcW w:w="30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r>
      <w:tr>
        <w:trPr>
          <w:trHeight w:val="203"/>
        </w:trPr>
        <w:tc>
          <w:tcPr>
            <w:tcW w:w="306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First-lien debt investments</w:t>
            </w:r>
          </w:p>
        </w:tc>
        <w:tc>
          <w:tcPr>
            <w:tcW w:w="1580" w:type="dxa"/>
            <w:vAlign w:val="bottom"/>
            <w:gridSpan w:val="2"/>
            <w:shd w:val="clear" w:color="auto" w:fill="CFF0FC"/>
          </w:tcPr>
          <w:p>
            <w:pPr>
              <w:jc w:val="right"/>
              <w:ind w:right="595"/>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12,660</w:t>
            </w:r>
          </w:p>
        </w:tc>
        <w:tc>
          <w:tcPr>
            <w:tcW w:w="160" w:type="dxa"/>
            <w:vAlign w:val="bottom"/>
            <w:tcBorders>
              <w:righ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FF0FC"/>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14,059</w:t>
            </w: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1"/>
        </w:trPr>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8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r>
      <w:tr>
        <w:trPr>
          <w:trHeight w:val="234"/>
        </w:trPr>
        <w:tc>
          <w:tcPr>
            <w:tcW w:w="3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8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3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spacing w:after="0"/>
              <w:rPr>
                <w:sz w:val="20"/>
                <w:szCs w:val="20"/>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(6,164)</w:t>
            </w:r>
          </w:p>
        </w:tc>
        <w:tc>
          <w:tcPr>
            <w:tcW w:w="7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30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14,918</w:t>
            </w:r>
          </w:p>
        </w:tc>
      </w:tr>
      <w:tr>
        <w:trPr>
          <w:trHeight w:val="20"/>
        </w:trPr>
        <w:tc>
          <w:tcPr>
            <w:tcW w:w="3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fair value of Level 3 Investments at fair value and the significant unobservable inputs used in the valuations as of September 30, 2017 and December 31, 2016. The tables are not intended to be all-inclusive, but instead capture the significant unobservable inputs relevant to the Company’s determination of fair values.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1,372,033</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7.1% — 13.5% (10.0%)</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11"/>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Asset Valuation</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55,845</w:t>
            </w:r>
          </w:p>
        </w:tc>
        <w:tc>
          <w:tcPr>
            <w:tcW w:w="2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approach</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8.5x — 11.9x (10.0x)</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60,909</w:t>
            </w:r>
          </w:p>
        </w:tc>
        <w:tc>
          <w:tcPr>
            <w:tcW w:w="208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12.4% — 13.4% (12.5%)</w:t>
            </w:r>
          </w:p>
        </w:tc>
        <w:tc>
          <w:tcPr>
            <w:tcW w:w="18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37,896</w:t>
            </w:r>
          </w:p>
        </w:tc>
        <w:tc>
          <w:tcPr>
            <w:tcW w:w="2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4.4x — 13.2x (10.8x)</w:t>
            </w: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1,526,683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32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$167.7 million of first-lien debt investments which, due to the proximity of the transactions relative to the measurement date, were valued using the cost of the investments.</w:t>
      </w:r>
    </w:p>
    <w:p>
      <w:pPr>
        <w:ind w:left="520" w:right="280" w:hanging="512"/>
        <w:spacing w:after="0" w:line="261"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 million of equity investments which were valued using a weighted valuation approach and $3.5 million of equity investments which due to the proximity of the transactions relative to the measurement date were valued using the cost of the investments.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9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Impact to Valuation</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5"/>
                <w:szCs w:val="15"/>
                <w:color w:val="auto"/>
              </w:rPr>
            </w:pPr>
          </w:p>
        </w:tc>
        <w:tc>
          <w:tcPr>
            <w:tcW w:w="1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86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500" w:type="dxa"/>
            <w:vAlign w:val="bottom"/>
          </w:tcPr>
          <w:p>
            <w:pPr>
              <w:spacing w:after="0"/>
              <w:rPr>
                <w:sz w:val="15"/>
                <w:szCs w:val="15"/>
                <w:color w:val="auto"/>
              </w:rPr>
            </w:pPr>
          </w:p>
        </w:tc>
        <w:tc>
          <w:tcPr>
            <w:tcW w:w="72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to Input</w:t>
            </w: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1,454,087</w:t>
            </w:r>
          </w:p>
        </w:tc>
        <w:tc>
          <w:tcPr>
            <w:tcW w:w="2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Income approach </w:t>
            </w:r>
            <w:r>
              <w:rPr>
                <w:rFonts w:ascii="Times New Roman" w:cs="Times New Roman" w:eastAsia="Times New Roman" w:hAnsi="Times New Roman"/>
                <w:sz w:val="15"/>
                <w:szCs w:val="15"/>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 12.9%</w:t>
            </w:r>
          </w:p>
        </w:tc>
        <w:tc>
          <w:tcPr>
            <w:tcW w:w="6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20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13.6%</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13.6%</w:t>
            </w: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(13.6%)</w:t>
            </w:r>
          </w:p>
        </w:tc>
        <w:tc>
          <w:tcPr>
            <w:tcW w:w="1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206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Market Multiple </w:t>
            </w:r>
            <w:r>
              <w:rPr>
                <w:rFonts w:ascii="Times New Roman" w:cs="Times New Roman" w:eastAsia="Times New Roman" w:hAnsi="Times New Roman"/>
                <w:sz w:val="15"/>
                <w:szCs w:val="15"/>
                <w:color w:val="auto"/>
              </w:rPr>
              <w:t>(2)</w:t>
            </w:r>
          </w:p>
        </w:tc>
        <w:tc>
          <w:tcPr>
            <w:tcW w:w="1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 multiple</w:t>
            </w:r>
          </w:p>
        </w:tc>
        <w:tc>
          <w:tcPr>
            <w:tcW w:w="1960" w:type="dxa"/>
            <w:vAlign w:val="bottom"/>
            <w:gridSpan w:val="4"/>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8.4x — 13.5x (10.1x)</w:t>
            </w: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23"/>
        </w:trPr>
        <w:tc>
          <w:tcPr>
            <w:tcW w:w="2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2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$123.6 million of first-lien debt investments which were valued using an asset valuation waterfall.</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 million of equity investments which were valued using a weighted valuation approach.</w:t>
      </w:r>
    </w:p>
    <w:p>
      <w:pPr>
        <w:spacing w:after="0" w:line="207"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The fair value of the Company’s Revolving Credit Facility, which is categorized as Level 3 within the fair value hierarchy, as of September 30, 2017, approximates its carrying value as the outstanding balance is callable at carrying value. The fair value of the Company’s Convertible Senior Notes, which are categorized as Level 2 within the fair value hierarchy, as of September 30, 2017, was $239.8 million, based on broker quotes received by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240" w:firstLine="259"/>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the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In accordance with the 1940 Act, with certain limitations, the Company is allowed to borrow amounts such that its asset coverage, as defined in the 1940 Act, is at least 200% after such borrowing. As of September 30, 2017 and December 31, 2016, the Company’s asset coverage was 267.5% and 237.7%,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2017 and December 31, 2016:</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348,927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626,073</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341,395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1,205,000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578,927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626,073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80" w:hanging="512"/>
        <w:spacing w:after="0" w:line="261" w:lineRule="auto"/>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Company’s Revolving Credit Facility and 2019 and 2022 Convertible Senior Notes are presented net of deferred financing costs of $7.5 million, $1.7 million, and $3.4 million, respectively.</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Committed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366,343</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693,657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366,343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180" w:hanging="512"/>
        <w:spacing w:after="0" w:line="261" w:lineRule="auto"/>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Company’s Revolving Credit Facility and 2019 Convertible Senior Notes are presented net of deferred financing costs of $8.7 million and $2.3 million, respectively.</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nine months ended September 30, 2017 and 2016, the components of interest expense were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33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3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r>
      <w:tr>
        <w:trPr>
          <w:trHeight w:val="22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15,048</w:t>
            </w: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80" w:type="dxa"/>
            <w:vAlign w:val="bottom"/>
            <w:shd w:val="clear" w:color="auto" w:fill="CFF0FC"/>
          </w:tcPr>
          <w:p>
            <w:pPr>
              <w:spacing w:after="0"/>
              <w:rPr>
                <w:sz w:val="19"/>
                <w:szCs w:val="19"/>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Swap settlement </w:t>
            </w:r>
            <w:r>
              <w:rPr>
                <w:rFonts w:ascii="Times New Roman" w:cs="Times New Roman" w:eastAsia="Times New Roman" w:hAnsi="Times New Roman"/>
                <w:sz w:val="15"/>
                <w:szCs w:val="15"/>
                <w:color w:val="auto"/>
              </w:rPr>
              <w:t>(1)</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(841)</w:t>
            </w:r>
          </w:p>
        </w:tc>
      </w:tr>
      <w:tr>
        <w:trPr>
          <w:trHeight w:val="263"/>
        </w:trPr>
        <w:tc>
          <w:tcPr>
            <w:tcW w:w="33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180" w:type="dxa"/>
            <w:vAlign w:val="bottom"/>
            <w:tcBorders>
              <w:bottom w:val="single" w:sz="8" w:color="CFF0FC"/>
            </w:tcBorders>
          </w:tcPr>
          <w:p>
            <w:pPr>
              <w:spacing w:after="0"/>
              <w:rPr>
                <w:sz w:val="22"/>
                <w:szCs w:val="22"/>
                <w:color w:val="auto"/>
              </w:rPr>
            </w:pPr>
          </w:p>
        </w:tc>
      </w:tr>
      <w:tr>
        <w:trPr>
          <w:trHeight w:val="21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769.9</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80" w:type="dxa"/>
            <w:vAlign w:val="bottom"/>
            <w:shd w:val="clear" w:color="auto" w:fill="CFF0FC"/>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1-month LIBOR rate</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0.46%</w:t>
            </w:r>
          </w:p>
        </w:tc>
      </w:tr>
    </w:tbl>
    <w:p>
      <w:pPr>
        <w:spacing w:after="0" w:line="238"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settlement of the interest rate swaps related to the Company’s 2019 and 2022 Convertible Senior Notes.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(as amended, the “Revolving Credit Facility”).</w:t>
      </w:r>
    </w:p>
    <w:p>
      <w:pPr>
        <w:spacing w:after="0" w:line="54"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aggregate commitments under the facility were $975 million. The facility includes an uncommitted accordion feature that allows the Company, under certain circumstances, to increase the size of the facility to up to $1.25 billion.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32" w:name="page33"/>
    <w:bookmarkEnd w:id="32"/>
    <w:p>
      <w:pPr>
        <w:ind w:firstLine="259"/>
        <w:spacing w:after="0" w:line="266" w:lineRule="auto"/>
        <w:rPr>
          <w:sz w:val="20"/>
          <w:szCs w:val="20"/>
          <w:color w:val="auto"/>
        </w:rPr>
      </w:pPr>
      <w:r>
        <w:rPr>
          <w:rFonts w:ascii="Times New Roman" w:cs="Times New Roman" w:eastAsia="Times New Roman" w:hAnsi="Times New Roman"/>
          <w:sz w:val="18"/>
          <w:szCs w:val="18"/>
          <w:color w:val="auto"/>
        </w:rPr>
        <w:t>With respect to $915 million in commitments, the revolving period, during which period the Company, subject to certain conditions, may make borrowings under the facility, ends December 22, 2020 and the stated maturity date is December 22, 2021. For the remaining $60 million of commitments, the revolving period ends October 2, 2019 and the stated maturity date is October 2, 2020.</w:t>
      </w:r>
    </w:p>
    <w:p>
      <w:pPr>
        <w:spacing w:after="0" w:line="176"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September 30, 2017, the Company had outstanding debt denominated in Euro (EUR) of 38.8 million on its Revolving Credit Facility, included in the Outstanding Principal amount in the table above.</w:t>
      </w:r>
    </w:p>
    <w:p>
      <w:pPr>
        <w:spacing w:after="0" w:line="162"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September 30, 2017 and December 31, 2016,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8"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0"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40" w:hanging="255"/>
        <w:spacing w:after="0" w:line="266" w:lineRule="auto"/>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 and</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common stock issuance in March 2016 and net proceeds received from the issuance of the 2022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Senior Notes</w:t>
      </w:r>
    </w:p>
    <w:p>
      <w:pPr>
        <w:spacing w:after="0" w:line="119"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In June 2014, the Company issued in a private offering $115 million aggregate principal amount convertible senior notes due December 2019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the Company’s common stock or a combination of cash and shares of the Company’s common stock, at the Company’s election, at an initial conversion rate of 38.7162 shares of common stock per $1,000 principal amount of 2019 Convertible Senior Notes, which is equivalent to an initial conversion price of approximately $25.83 per share of the Company’s common stock, subject to customary anti-dilution adjustments. As of September 30, 2017, the estimated adjusted conversion price was approximately $25.50. The sale of the 2019 Convertible Senior Notes generated net proceeds of approximately $110.8 million. The Company used the net proceeds of the offering to pay down debt under the Revolving Credit Facility. In connection with the offering of 2019 Convertible Senior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Senior Notes is three-month LIBOR plus 286 basis points. See Note 5 for further information related to the Company’s interest rate swaps.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Holders may convert their 2019 Convertible Senior Notes at their option at any time prior to June 15, 2019 only under the following circumstances:</w:t>
      </w:r>
    </w:p>
    <w:p>
      <w:pPr>
        <w:spacing w:after="0" w:line="27" w:lineRule="exact"/>
        <w:rPr>
          <w:sz w:val="20"/>
          <w:szCs w:val="20"/>
          <w:color w:val="auto"/>
        </w:rPr>
      </w:pPr>
    </w:p>
    <w:p>
      <w:pPr>
        <w:ind w:right="460" w:firstLine="8"/>
        <w:spacing w:after="0" w:line="261"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2014 (and only during such calendar quarter), if the last reported sale price of the common stock for at least 20 trading days (whether or not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right="40"/>
        <w:spacing w:after="0" w:line="255" w:lineRule="auto"/>
        <w:rPr>
          <w:sz w:val="20"/>
          <w:szCs w:val="20"/>
          <w:color w:val="auto"/>
        </w:rPr>
      </w:pPr>
      <w:r>
        <w:rPr>
          <w:rFonts w:ascii="Times New Roman" w:cs="Times New Roman" w:eastAsia="Times New Roman" w:hAnsi="Times New Roman"/>
          <w:sz w:val="18"/>
          <w:szCs w:val="18"/>
          <w:color w:val="auto"/>
        </w:rPr>
        <w:t>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Convertible Senior Notes</w:t>
      </w:r>
    </w:p>
    <w:p>
      <w:pPr>
        <w:spacing w:after="0" w:line="119" w:lineRule="exact"/>
        <w:rPr>
          <w:sz w:val="20"/>
          <w:szCs w:val="20"/>
          <w:color w:val="auto"/>
        </w:rPr>
      </w:pPr>
    </w:p>
    <w:p>
      <w:pPr>
        <w:ind w:right="60" w:firstLine="259"/>
        <w:spacing w:after="0" w:line="253" w:lineRule="auto"/>
        <w:rPr>
          <w:sz w:val="20"/>
          <w:szCs w:val="20"/>
          <w:color w:val="auto"/>
        </w:rPr>
      </w:pPr>
      <w:r>
        <w:rPr>
          <w:rFonts w:ascii="Times New Roman" w:cs="Times New Roman" w:eastAsia="Times New Roman" w:hAnsi="Times New Roman"/>
          <w:sz w:val="18"/>
          <w:szCs w:val="18"/>
          <w:color w:val="auto"/>
        </w:rPr>
        <w:t>In February 2017, the Company issued in a private offering $115 million aggregate principal amount convertible senior notes due August 2022 (the “2022 Convertible Senior Notes” and, together with the 2019 Convertible Senior Notes,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the Company’s common stock or a combination of cash and shares of the Company’s common stock, at the Company’s election, at an initial conversion rate of 46.8516 shares of common stock per $1,000 principal amount of 2022 Convertible Senior Notes, which is equivalent to an initial conversion price of approximately $21.34 per share of the Company’s common stock, subject to customary anti-dilution adjustments. As of September 30, 2017, the estimated adjusted conversion price was approximately $21.21. The sale of the 2022 Convertible Senior Notes generated net proceeds of approximately $111.2 million. The Company used the net proceeds of the offering to pay down debt under the Revolving Credit Facility. In connection with the offering of 2022 Convertible Senior Notes, the Company has entered into an interest rate swap to continue to align the interest rates of its liabilities with its investment portfolio, which consists of predominately floating rate loans. As a result of the swap, the Company’s effective interest rate on the 2022 Convertible Senior Notes is three-month LIBOR plus 237.2 basis points. See Note 5 for further information related to the Company’s interest rate swaps.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Holders may convert their 2022 Convertible Senior Notes at their option at any time prior to February 1, 2022 only under the following circumstances:</w:t>
      </w:r>
    </w:p>
    <w:p>
      <w:pPr>
        <w:spacing w:after="0" w:line="27" w:lineRule="exact"/>
        <w:rPr>
          <w:sz w:val="20"/>
          <w:szCs w:val="20"/>
          <w:color w:val="auto"/>
        </w:rPr>
      </w:pPr>
    </w:p>
    <w:p>
      <w:pPr>
        <w:ind w:right="100" w:firstLine="8"/>
        <w:spacing w:after="0" w:line="252" w:lineRule="auto"/>
        <w:tabs>
          <w:tab w:leader="none" w:pos="2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8"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4"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2017 and 2016, the components of interest expense related to the Convertible Senior Notes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84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4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740" w:type="dxa"/>
            <w:vAlign w:val="bottom"/>
          </w:tcPr>
          <w:p>
            <w:pPr>
              <w:spacing w:after="0"/>
              <w:rPr>
                <w:sz w:val="12"/>
                <w:szCs w:val="12"/>
                <w:color w:val="auto"/>
              </w:rPr>
            </w:pPr>
          </w:p>
        </w:tc>
      </w:tr>
      <w:tr>
        <w:trPr>
          <w:trHeight w:val="173"/>
        </w:trPr>
        <w:tc>
          <w:tcPr>
            <w:tcW w:w="1720" w:type="dxa"/>
            <w:vAlign w:val="bottom"/>
          </w:tcPr>
          <w:p>
            <w:pPr>
              <w:spacing w:after="0"/>
              <w:rPr>
                <w:sz w:val="15"/>
                <w:szCs w:val="15"/>
                <w:color w:val="auto"/>
              </w:rPr>
            </w:pPr>
          </w:p>
        </w:tc>
        <w:tc>
          <w:tcPr>
            <w:tcW w:w="38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34</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34" w:name="page35"/>
    <w:bookmarkEnd w:id="34"/>
    <w:p>
      <w:pPr>
        <w:ind w:firstLine="259"/>
        <w:spacing w:after="0" w:line="25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related to the Convertible Senior Notes. During the three and nine months ended September 30, 2017 , the Company received $3.9 million and $6.5 million, respectively, and paid $2.2 million and $5.5 million, respectively, related to the settlements of its interest rate swaps related to the Convertible Senior Notes. During the three and nine months ended September 30, 2016, the Company received $1.3 million and $3.9 million, respectively, and paid $1.0 million and $3.0 million, respectively, related to the settlements of its interest rate swaps. These net amounts are reductions to interest expense in the Company’s consolidated statements of operations. Please see Note 5 for further information about the Company’s interest rate swaps.</w:t>
      </w:r>
    </w:p>
    <w:p>
      <w:pPr>
        <w:spacing w:after="0" w:line="188"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the principal amount of the 2019 and 2022 Convertible Senior Notes exceeded the value of the underlying shares multiplied by the per share closing price of the Company’s common stock.</w:t>
      </w:r>
    </w:p>
    <w:p>
      <w:pPr>
        <w:spacing w:after="0" w:line="162" w:lineRule="exact"/>
        <w:rPr>
          <w:sz w:val="20"/>
          <w:szCs w:val="20"/>
          <w:color w:val="auto"/>
        </w:rPr>
      </w:pPr>
    </w:p>
    <w:p>
      <w:pPr>
        <w:ind w:right="54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the components of the carrying value of the 2019 and 2022 Convertible Senior Notes and the stated interest rate were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2019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2022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(3,350)</w:t>
            </w:r>
          </w:p>
        </w:tc>
        <w:tc>
          <w:tcPr>
            <w:tcW w:w="0" w:type="dxa"/>
            <w:vAlign w:val="bottom"/>
          </w:tcPr>
          <w:p>
            <w:pPr>
              <w:spacing w:after="0"/>
              <w:rPr>
                <w:sz w:val="1"/>
                <w:szCs w:val="1"/>
                <w:color w:val="auto"/>
              </w:rPr>
            </w:pPr>
          </w:p>
        </w:tc>
      </w:tr>
      <w:tr>
        <w:trPr>
          <w:trHeight w:val="24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6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111,831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111,332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FF0FC"/>
            </w:tcBorders>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6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12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vMerge w:val="continue"/>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on the 2019 and 2022 Convertible Senior Notes is three month LIBOR plus 286 basis points, and three month LIBOR plus 237.2 basis points, respectively. Please see Note 5 for further information about the Company’s interest rate swaps.</w:t>
      </w:r>
    </w:p>
    <w:p>
      <w:pPr>
        <w:spacing w:after="0" w:line="176"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The indentures governing the 2019 and 2022 Convertible Senior Notes contain certain covenants, including covenants requiring the Company to comply with the requirement under the 1940 Act that the Company’s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September 30, 2017, the Company was in compliance with the terms of the indentures governing the 2019 and 2022 Convertible Senior Notes.</w:t>
      </w:r>
    </w:p>
    <w:p>
      <w:pPr>
        <w:spacing w:after="0" w:line="184"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2019 and 2022 Convertible Senior Notes. The Company has determined that the embedded conversion options in the 2019 and 2022 Convertible Senior Notes are not required to be separately accounted for as a derivative under U.S. GAAP. In accounting for the 2019 and 2022 Convertible Senior Notes, the Company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2017 and December 31, 2016, the Company was in compliance with the terms of its debt obligations.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2017 and December 31, 2016, the Company had the following commitments to fund investments in current portfolio companies: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7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Clarabridge, Inc. - Revolver</w:t>
            </w:r>
          </w:p>
        </w:tc>
        <w:tc>
          <w:tcPr>
            <w:tcW w:w="18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CrunchTime Information Systems, Inc. - Delayed Draw</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 - Revolver</w:t>
            </w:r>
          </w:p>
        </w:tc>
        <w:tc>
          <w:tcPr>
            <w:tcW w:w="18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Ecommerce Industries, Inc. - Revolver</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Frontline Technologies Group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 LLC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Helix Health Ltd.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Illuminate Education, Inc. - Delayed Draw</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Leaf US Holdings,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Marketo,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My Alarm Center, LLC - Delayed Draw</w:t>
            </w:r>
          </w:p>
        </w:tc>
        <w:tc>
          <w:tcPr>
            <w:tcW w:w="18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Merchants, Inc. - Revolver</w:t>
            </w:r>
          </w:p>
        </w:tc>
        <w:tc>
          <w:tcPr>
            <w:tcW w:w="18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PaySimple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Riskonnect,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Sailpoint Technologies, Inc. - Revolver</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ScentAir Technologies, Inc. - Revolver</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Sovos Compliance, LLC - Delayed Draw</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Sovos Compliance, LLC - Revolver</w:t>
            </w:r>
          </w:p>
        </w:tc>
        <w:tc>
          <w:tcPr>
            <w:tcW w:w="1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9"/>
                <w:szCs w:val="19"/>
                <w:color w:val="auto"/>
              </w:rPr>
            </w:pPr>
          </w:p>
        </w:tc>
      </w:tr>
      <w:tr>
        <w:trPr>
          <w:trHeight w:val="223"/>
        </w:trPr>
        <w:tc>
          <w:tcPr>
            <w:tcW w:w="75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43,795</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2017, the Company did not have any unfunded commitments to fund investments to new borrowers that were not current portfolio companies as of September 30, 2017. As of December 31, 2016, the Company had additional unfunded commitments of $50.0 million to fund investments to new borrowers that were not current portfolio companies as of December 31, 2016.</w:t>
      </w:r>
    </w:p>
    <w:p>
      <w:pPr>
        <w:spacing w:after="0" w:line="176"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September 30, 2017 and December 31, 2016, management is not aware of any pending or threatened litigation.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In March 2016, the Company issued a total of 5,000,000 shares of common stock at $16.42 per share. Net of underwriting fees and offering costs, the Company received total cash proceeds of $78.3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 w:name="page37"/>
    <w:bookmarkEnd w:id="36"/>
    <w:p>
      <w:pPr>
        <w:ind w:right="40" w:firstLine="259"/>
        <w:spacing w:after="0" w:line="254"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9"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nine months ended September 30, 2017 and 2016. All shares issued to stockholders in the tables below are newly issued shares.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20" w:type="dxa"/>
            <w:vAlign w:val="bottom"/>
            <w:gridSpan w:val="8"/>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8"/>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 xml:space="preserve">Dividend </w:t>
            </w:r>
            <w:r>
              <w:rPr>
                <w:rFonts w:ascii="Times New Roman" w:cs="Times New Roman" w:eastAsia="Times New Roman" w:hAnsi="Times New Roman"/>
                <w:sz w:val="12"/>
                <w:szCs w:val="12"/>
                <w:b w:val="1"/>
                <w:bCs w:val="1"/>
                <w:color w:val="auto"/>
                <w:w w:val="99"/>
              </w:rPr>
              <w:t>(1)</w:t>
            </w:r>
          </w:p>
        </w:tc>
        <w:tc>
          <w:tcPr>
            <w:tcW w:w="21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7, 2016</w:t>
            </w: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gridSpan w:val="2"/>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Base</w:t>
            </w: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December 31, 2016</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February 1, 2017</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April 7, 2017 </w:t>
            </w:r>
            <w:r>
              <w:rPr>
                <w:rFonts w:ascii="Times New Roman" w:cs="Times New Roman" w:eastAsia="Times New Roman" w:hAnsi="Times New Roman"/>
                <w:sz w:val="15"/>
                <w:szCs w:val="15"/>
                <w:color w:val="auto"/>
              </w:rPr>
              <w:t>(2)</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May 1, 2017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2017</w:t>
            </w:r>
          </w:p>
        </w:tc>
        <w:tc>
          <w:tcPr>
            <w:tcW w:w="20" w:type="dxa"/>
            <w:vAlign w:val="bottom"/>
            <w:shd w:val="clear" w:color="auto" w:fill="CFF0FC"/>
          </w:tcPr>
          <w:p>
            <w:pPr>
              <w:spacing w:after="0"/>
              <w:rPr>
                <w:sz w:val="19"/>
                <w:szCs w:val="19"/>
                <w:color w:val="auto"/>
              </w:rPr>
            </w:pPr>
          </w:p>
        </w:tc>
        <w:tc>
          <w:tcPr>
            <w:tcW w:w="1400" w:type="dxa"/>
            <w:vAlign w:val="bottom"/>
            <w:gridSpan w:val="6"/>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Supplemental</w:t>
            </w:r>
          </w:p>
        </w:tc>
        <w:tc>
          <w:tcPr>
            <w:tcW w:w="21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May 31, 2017</w:t>
            </w:r>
          </w:p>
        </w:tc>
        <w:tc>
          <w:tcPr>
            <w:tcW w:w="19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June 30, 2017</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Base</w:t>
            </w:r>
          </w:p>
        </w:tc>
        <w:tc>
          <w:tcPr>
            <w:tcW w:w="2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June 15, 2017</w:t>
            </w:r>
          </w:p>
        </w:tc>
        <w:tc>
          <w:tcPr>
            <w:tcW w:w="19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July 14, 2017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20" w:type="dxa"/>
            <w:vAlign w:val="bottom"/>
            <w:shd w:val="clear" w:color="auto" w:fill="CFF0FC"/>
          </w:tcPr>
          <w:p>
            <w:pPr>
              <w:spacing w:after="0"/>
              <w:rPr>
                <w:sz w:val="19"/>
                <w:szCs w:val="19"/>
                <w:color w:val="auto"/>
              </w:rPr>
            </w:pPr>
          </w:p>
        </w:tc>
        <w:tc>
          <w:tcPr>
            <w:tcW w:w="1400" w:type="dxa"/>
            <w:vAlign w:val="bottom"/>
            <w:gridSpan w:val="6"/>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Supplemental</w:t>
            </w:r>
          </w:p>
        </w:tc>
        <w:tc>
          <w:tcPr>
            <w:tcW w:w="21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August 31, 2017</w:t>
            </w:r>
          </w:p>
        </w:tc>
        <w:tc>
          <w:tcPr>
            <w:tcW w:w="192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September 29, 2017</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gridSpan w:val="8"/>
            <w:vMerge w:val="restart"/>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20" w:type="dxa"/>
            <w:vAlign w:val="bottom"/>
            <w:gridSpan w:val="8"/>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20" w:type="dxa"/>
            <w:vAlign w:val="bottom"/>
            <w:tcBorders>
              <w:bottom w:val="single" w:sz="8" w:color="auto"/>
            </w:tcBorders>
            <w:gridSpan w:val="8"/>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gridSpan w:val="4"/>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2"/>
                <w:szCs w:val="12"/>
                <w:b w:val="1"/>
                <w:bCs w:val="1"/>
                <w:color w:val="auto"/>
              </w:rPr>
              <w:t>(1)</w:t>
            </w:r>
          </w:p>
        </w:tc>
        <w:tc>
          <w:tcPr>
            <w:tcW w:w="21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9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3, 2015</w:t>
            </w: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1, 2016</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color w:val="auto"/>
                <w:w w:val="97"/>
              </w:rPr>
              <w:t>Base</w:t>
            </w:r>
          </w:p>
        </w:tc>
        <w:tc>
          <w:tcPr>
            <w:tcW w:w="2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March 31, 2016</w:t>
            </w:r>
          </w:p>
        </w:tc>
        <w:tc>
          <w:tcPr>
            <w:tcW w:w="19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May 2, 2016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4, 2016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Base</w:t>
            </w:r>
          </w:p>
        </w:tc>
        <w:tc>
          <w:tcPr>
            <w:tcW w:w="210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June 30, 2016</w:t>
            </w:r>
          </w:p>
        </w:tc>
        <w:tc>
          <w:tcPr>
            <w:tcW w:w="192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August 1, 2016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for further information on base and supplemental dividends.</w:t>
      </w:r>
    </w:p>
    <w:p>
      <w:pPr>
        <w:spacing w:after="0" w:line="49" w:lineRule="exact"/>
        <w:rPr>
          <w:rFonts w:ascii="Times New Roman" w:cs="Times New Roman" w:eastAsia="Times New Roman" w:hAnsi="Times New Roman"/>
          <w:sz w:val="18"/>
          <w:szCs w:val="18"/>
          <w:color w:val="auto"/>
        </w:rPr>
      </w:pPr>
    </w:p>
    <w:p>
      <w:pPr>
        <w:ind w:left="520" w:hanging="512"/>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the Company’s consolidated balance sheet as of March 31, 2017. There was no change to the dividend amount or payment date.</w:t>
      </w:r>
    </w:p>
    <w:p>
      <w:pPr>
        <w:spacing w:after="0" w:line="248" w:lineRule="exact"/>
        <w:rPr>
          <w:sz w:val="20"/>
          <w:szCs w:val="20"/>
          <w:color w:val="auto"/>
        </w:rPr>
      </w:pPr>
    </w:p>
    <w:p>
      <w:pPr>
        <w:ind w:right="500" w:firstLine="259"/>
        <w:spacing w:after="0" w:line="266" w:lineRule="auto"/>
        <w:rPr>
          <w:sz w:val="20"/>
          <w:szCs w:val="20"/>
          <w:color w:val="auto"/>
        </w:rPr>
      </w:pPr>
      <w:r>
        <w:rPr>
          <w:rFonts w:ascii="Times New Roman" w:cs="Times New Roman" w:eastAsia="Times New Roman" w:hAnsi="Times New Roman"/>
          <w:sz w:val="18"/>
          <w:szCs w:val="18"/>
          <w:color w:val="auto"/>
        </w:rPr>
        <w:t>On November 3, 2014, the Company’s Board approved a stock repurchase plan (the “Company 10b5-1 Plan”) to acquire up to $50 million in the aggregate of the Company’s common stock at prices just below the Company’s net asset value per share over a specified period, in accordance with the guidelines specified in Rule 10b-18 and Rule 10b5-1 of the Exchange Act.</w:t>
      </w:r>
    </w:p>
    <w:p>
      <w:pPr>
        <w:spacing w:after="0" w:line="176"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9"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7" w:name="page38"/>
    <w:bookmarkEnd w:id="37"/>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2017, no shares were repurchased under the Company 10b5-1 Plan. During the nine months ended September 30, 2016, the Company repurchased 86,081 shares under the Company 10b5-1 Plan at a weighted average price per share of $15.44, inclusive of commissions, for a total cost of $1.3 million. No shares were repurchased under the Company 10b5-1 Plan during the three months ended September 30, 2016.</w:t>
      </w:r>
    </w:p>
    <w:p>
      <w:pPr>
        <w:spacing w:after="0" w:line="163"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1"/>
                <w:szCs w:val="11"/>
                <w:color w:val="auto"/>
              </w:rPr>
            </w:pPr>
          </w:p>
        </w:tc>
        <w:tc>
          <w:tcPr>
            <w:tcW w:w="1040" w:type="dxa"/>
            <w:vAlign w:val="bottom"/>
            <w:tcBorders>
              <w:top w:val="single" w:sz="8" w:color="auto"/>
            </w:tcBorders>
            <w:gridSpan w:val="2"/>
          </w:tcPr>
          <w:p>
            <w:pPr>
              <w:jc w:val="right"/>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1"/>
                <w:szCs w:val="11"/>
                <w:color w:val="auto"/>
              </w:rPr>
            </w:pPr>
          </w:p>
        </w:tc>
      </w:tr>
      <w:tr>
        <w:trPr>
          <w:trHeight w:val="173"/>
        </w:trPr>
        <w:tc>
          <w:tcPr>
            <w:tcW w:w="35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2017</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5"/>
                <w:szCs w:val="15"/>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84,863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104,284</w:t>
            </w:r>
          </w:p>
        </w:tc>
        <w:tc>
          <w:tcPr>
            <w:tcW w:w="60" w:type="dxa"/>
            <w:vAlign w:val="bottom"/>
            <w:shd w:val="clear" w:color="auto" w:fill="CFF0FC"/>
          </w:tcPr>
          <w:p>
            <w:pPr>
              <w:spacing w:after="0"/>
              <w:rPr>
                <w:sz w:val="19"/>
                <w:szCs w:val="19"/>
                <w:color w:val="auto"/>
              </w:rPr>
            </w:pPr>
          </w:p>
        </w:tc>
      </w:tr>
      <w:tr>
        <w:trPr>
          <w:trHeight w:val="2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60,057,567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59,523,695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59,923,323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58,229,549</w:t>
            </w:r>
          </w:p>
        </w:tc>
        <w:tc>
          <w:tcPr>
            <w:tcW w:w="60" w:type="dxa"/>
            <w:vAlign w:val="bottom"/>
          </w:tcPr>
          <w:p>
            <w:pPr>
              <w:spacing w:after="0"/>
              <w:rPr>
                <w:sz w:val="20"/>
                <w:szCs w:val="20"/>
                <w:color w:val="auto"/>
              </w:rPr>
            </w:pP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three and nine months ended September 30, 2017 was less than the conversion price for the 2019 and 2022 Convertible Senior Notes outstanding as of September 30, 2017. Therefore, for all periods presented in the consolidated financial statements, the underlying shares for the intrinsic value of the embedded options in the 2019 and 2022 Convertible Senior Notes have no impact on the computation of diluted earnings per common share.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Dividends</w:t>
      </w:r>
    </w:p>
    <w:p>
      <w:pPr>
        <w:spacing w:after="0" w:line="121"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a dividend to stockholders on a quarterly basis. Following the completion of the quarter ended March 31, 2017, the Company introduced a dividend framework that provides for a quarterly base dividend and a variable supplemental dividend, subject to satisfaction of certain measurement tests and the approval of the Board.</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nine months ended September 30, 2017 and 2016:</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60" w:type="dxa"/>
            <w:vAlign w:val="bottom"/>
            <w:gridSpan w:val="5"/>
          </w:tcPr>
          <w:p>
            <w:pPr>
              <w:jc w:val="right"/>
              <w:ind w:right="12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5"/>
          </w:tcPr>
          <w:p>
            <w:pPr>
              <w:jc w:val="right"/>
              <w:ind w:right="1234"/>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060" w:type="dxa"/>
            <w:vAlign w:val="bottom"/>
            <w:gridSpan w:val="4"/>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2100" w:type="dxa"/>
            <w:vAlign w:val="bottom"/>
          </w:tcPr>
          <w:p>
            <w:pPr>
              <w:jc w:val="right"/>
              <w:ind w:right="534"/>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22, 2017</w:t>
            </w:r>
          </w:p>
        </w:tc>
        <w:tc>
          <w:tcPr>
            <w:tcW w:w="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Base</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April 7, 2017 </w:t>
            </w:r>
            <w:r>
              <w:rPr>
                <w:rFonts w:ascii="Times New Roman" w:cs="Times New Roman" w:eastAsia="Times New Roman" w:hAnsi="Times New Roman"/>
                <w:sz w:val="15"/>
                <w:szCs w:val="15"/>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28, 2017</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1740" w:type="dxa"/>
            <w:vAlign w:val="bottom"/>
            <w:gridSpan w:val="6"/>
          </w:tcPr>
          <w:p>
            <w:pPr>
              <w:jc w:val="center"/>
              <w:ind w:left="370"/>
              <w:spacing w:after="0"/>
              <w:rPr>
                <w:sz w:val="20"/>
                <w:szCs w:val="20"/>
                <w:color w:val="auto"/>
              </w:rPr>
            </w:pPr>
            <w:r>
              <w:rPr>
                <w:rFonts w:ascii="Times New Roman" w:cs="Times New Roman" w:eastAsia="Times New Roman" w:hAnsi="Times New Roman"/>
                <w:sz w:val="18"/>
                <w:szCs w:val="18"/>
                <w:color w:val="auto"/>
              </w:rPr>
              <w:t>Supplemental</w:t>
            </w:r>
          </w:p>
        </w:tc>
        <w:tc>
          <w:tcPr>
            <w:tcW w:w="2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May 31, 2017</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May 3, 2017</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Base</w:t>
            </w:r>
          </w:p>
        </w:tc>
        <w:tc>
          <w:tcPr>
            <w:tcW w:w="20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June 15, 2017</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July 14,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740" w:type="dxa"/>
            <w:vAlign w:val="bottom"/>
            <w:gridSpan w:val="6"/>
          </w:tcPr>
          <w:p>
            <w:pPr>
              <w:jc w:val="center"/>
              <w:ind w:left="370"/>
              <w:spacing w:after="0"/>
              <w:rPr>
                <w:sz w:val="20"/>
                <w:szCs w:val="20"/>
                <w:color w:val="auto"/>
              </w:rPr>
            </w:pPr>
            <w:r>
              <w:rPr>
                <w:rFonts w:ascii="Times New Roman" w:cs="Times New Roman" w:eastAsia="Times New Roman" w:hAnsi="Times New Roman"/>
                <w:sz w:val="18"/>
                <w:szCs w:val="18"/>
                <w:color w:val="auto"/>
              </w:rPr>
              <w:t>Supplemental</w:t>
            </w:r>
          </w:p>
        </w:tc>
        <w:tc>
          <w:tcPr>
            <w:tcW w:w="20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August 31, 2017</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29, 2017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Base</w:t>
            </w:r>
          </w:p>
        </w:tc>
        <w:tc>
          <w:tcPr>
            <w:tcW w:w="20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September 15, 2017</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13, 2017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gridSpan w:val="5"/>
            <w:vMerge w:val="restart"/>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5"/>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4"/>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2060" w:type="dxa"/>
            <w:vAlign w:val="bottom"/>
            <w:gridSpan w:val="4"/>
          </w:tcPr>
          <w:p>
            <w:pPr>
              <w:ind w:left="50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2100" w:type="dxa"/>
            <w:vAlign w:val="bottom"/>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2"/>
          </w:tcPr>
          <w:p>
            <w:pPr>
              <w:jc w:val="right"/>
              <w:ind w:right="10"/>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24, 2016</w:t>
            </w:r>
          </w:p>
        </w:tc>
        <w:tc>
          <w:tcPr>
            <w:tcW w:w="6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2016</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29, 2016</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May 4, 2016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Base</w:t>
            </w: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June 30, 2016</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29, 2016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August 3, 2016</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Base</w:t>
            </w:r>
          </w:p>
        </w:tc>
        <w:tc>
          <w:tcPr>
            <w:tcW w:w="20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September 30, 2016</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October 31, 2016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540" w:type="dxa"/>
            <w:vAlign w:val="bottom"/>
          </w:tcPr>
          <w:p>
            <w:pPr>
              <w:jc w:val="right"/>
              <w:ind w:right="419"/>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right="12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8" w:name="page39"/>
    <w:bookmarkEnd w:id="38"/>
    <w:p>
      <w:pPr>
        <w:ind w:left="380" w:right="300"/>
        <w:spacing w:after="0" w:line="282" w:lineRule="auto"/>
        <w:rPr>
          <w:sz w:val="20"/>
          <w:szCs w:val="20"/>
          <w:color w:val="auto"/>
        </w:rPr>
      </w:pPr>
      <w:r>
        <w:rPr>
          <w:rFonts w:ascii="Times New Roman" w:cs="Times New Roman" w:eastAsia="Times New Roman" w:hAnsi="Times New Roman"/>
          <w:sz w:val="18"/>
          <w:szCs w:val="18"/>
          <w:color w:val="auto"/>
        </w:rPr>
        <w:t>promulgated by the NYSE. The dividend payable associated with this declaration was recognized in the Company’s consolidated balance sheet as of March 31, 2017. There was no change to the dividend amount or payment date.</w:t>
      </w:r>
    </w:p>
    <w:p>
      <w:pPr>
        <w:spacing w:after="0" w:line="20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three and nine months ended September 30, 2017 and 2016 were derived from net investment income, determined on a tax basis.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nine months ended September 30, 2017 and 2016.</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5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Per Share Data </w:t>
            </w:r>
            <w:r>
              <w:rPr>
                <w:rFonts w:ascii="Times New Roman" w:cs="Times New Roman" w:eastAsia="Times New Roman" w:hAnsi="Times New Roman"/>
                <w:sz w:val="15"/>
                <w:szCs w:val="15"/>
                <w:b w:val="1"/>
                <w:bCs w:val="1"/>
                <w:color w:val="auto"/>
              </w:rPr>
              <w:t>(7)</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12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15"/>
                <w:szCs w:val="15"/>
                <w:color w:val="auto"/>
              </w:rPr>
              <w:t>(1)</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realized and unrealized gain (loss) </w:t>
            </w:r>
            <w:r>
              <w:rPr>
                <w:rFonts w:ascii="Times New Roman" w:cs="Times New Roman" w:eastAsia="Times New Roman" w:hAnsi="Times New Roman"/>
                <w:sz w:val="15"/>
                <w:szCs w:val="15"/>
                <w:color w:val="auto"/>
              </w:rPr>
              <w:t>(1)</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from operations</w:t>
            </w:r>
          </w:p>
        </w:tc>
        <w:tc>
          <w:tcPr>
            <w:tcW w:w="8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net of</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offering costs </w:t>
            </w:r>
            <w:r>
              <w:rPr>
                <w:rFonts w:ascii="Times New Roman" w:cs="Times New Roman" w:eastAsia="Times New Roman" w:hAnsi="Times New Roman"/>
                <w:sz w:val="15"/>
                <w:szCs w:val="15"/>
                <w:color w:val="auto"/>
              </w:rPr>
              <w:t>(2)</w:t>
            </w: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from net investment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15"/>
                <w:szCs w:val="15"/>
                <w:color w:val="auto"/>
              </w:rPr>
              <w:t>(2)</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8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8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15"/>
                <w:szCs w:val="15"/>
                <w:color w:val="auto"/>
              </w:rPr>
              <w:t>(3)</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w:t>
            </w:r>
          </w:p>
        </w:tc>
        <w:tc>
          <w:tcPr>
            <w:tcW w:w="3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15"/>
                <w:szCs w:val="15"/>
                <w:color w:val="auto"/>
              </w:rPr>
              <w:t>(4)</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9.05%</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60,099,355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59,580,513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Ratios / Supplemental Data </w:t>
            </w:r>
            <w:r>
              <w:rPr>
                <w:rFonts w:ascii="Times New Roman" w:cs="Times New Roman" w:eastAsia="Times New Roman" w:hAnsi="Times New Roman"/>
                <w:sz w:val="15"/>
                <w:szCs w:val="15"/>
                <w:b w:val="1"/>
                <w:bCs w:val="1"/>
                <w:color w:val="auto"/>
              </w:rPr>
              <w:t>(5)</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Ratio of net expenses to average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net assets </w:t>
            </w:r>
            <w:r>
              <w:rPr>
                <w:rFonts w:ascii="Times New Roman" w:cs="Times New Roman" w:eastAsia="Times New Roman" w:hAnsi="Times New Roman"/>
                <w:sz w:val="15"/>
                <w:szCs w:val="15"/>
                <w:color w:val="auto"/>
              </w:rPr>
              <w:t>(6)</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8.89%</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Ratio of net investment income</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 average net assets</w:t>
            </w: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12.86%</w:t>
            </w: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61.07%</w:t>
            </w:r>
          </w:p>
        </w:tc>
        <w:tc>
          <w:tcPr>
            <w:tcW w:w="3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2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966,743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940,469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22"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 On an annualized basis, the total return based on market value for the nine months ended September 30, 2017 and 2016 is 25.55% and 25.15%, respectively.</w:t>
      </w:r>
    </w:p>
    <w:p>
      <w:pPr>
        <w:spacing w:after="0" w:line="1" w:lineRule="exact"/>
        <w:rPr>
          <w:rFonts w:ascii="Times New Roman" w:cs="Times New Roman" w:eastAsia="Times New Roman" w:hAnsi="Times New Roman"/>
          <w:sz w:val="18"/>
          <w:szCs w:val="18"/>
          <w:color w:val="auto"/>
        </w:rPr>
      </w:pPr>
    </w:p>
    <w:p>
      <w:pPr>
        <w:ind w:left="520" w:right="54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 On an annualized basis, the total return based on net asset value for the nine months ended September 30, 2017 and 2016 is 12.06% and 15.77%, respectively.</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9" w:lineRule="exact"/>
        <w:rPr>
          <w:rFonts w:ascii="Times New Roman" w:cs="Times New Roman" w:eastAsia="Times New Roman" w:hAnsi="Times New Roman"/>
          <w:sz w:val="18"/>
          <w:szCs w:val="18"/>
          <w:color w:val="auto"/>
        </w:rPr>
      </w:pPr>
    </w:p>
    <w:p>
      <w:pPr>
        <w:ind w:left="520" w:right="4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TICC Capital Corp. Excluding the effects of waivers, the ratio of net expenses to average net assets would have been 10.50% for the nine months ended September 30, 2016. The Adviser did not waive any Management Fees or Incentive Fees for the nine months ended September 30, 2017.</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78"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nine months ended September 30, 2017.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10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480" w:firstLine="259"/>
        <w:spacing w:after="0" w:line="261"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0"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520" w:hanging="25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225"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We have in place a stock repurchase plan, the Company 10b5-1 Plan, to acquire up to $50 million in the aggregate of our common stock at prices below our net asset value per share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On August 4, 2015, our Board authorized us to enter into a new stock repurchase plan, the Company 10b5-1 Plan, to acquire up to $50 million in the aggregate of our common stock at prices just below our net asset value over an initial six month period, in accordance with the guidelines specified in Rule 10b-18 and Rule 10b5-1 of the Exchange Act, and has continued to authorize extensions of the plan termination date prior to its expiration since that time. 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80" w:firstLine="259"/>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September 30, 2017, we have originated more than $6.2 billion aggregate principal amount of investments and retained approximately $4.2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September 30, 2017, our core portfolio companies, which excludes certain investments that fall outside of our typical borrower profile and represent 86.9% of our total investments based on fair value, had weighted average annual revenue of $130.2 million and weighted average annual EBITDA of $22.0 million.</w:t>
      </w:r>
    </w:p>
    <w:p>
      <w:pPr>
        <w:spacing w:after="0" w:line="180"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62" w:lineRule="exact"/>
        <w:rPr>
          <w:sz w:val="20"/>
          <w:szCs w:val="20"/>
          <w:color w:val="auto"/>
        </w:rPr>
      </w:pPr>
    </w:p>
    <w:p>
      <w:pPr>
        <w:ind w:right="220" w:firstLine="259"/>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As of September 30, 2017, the largest single investment based on fair value represented 4.9% of our total investment portfolio.</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2017, the average investment size in each of our portfolio companies was approximately $35.2 million based on fair value.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2017, the largest industry represented 17.2% of our total investment portfolio based on fair value.</w:t>
      </w:r>
    </w:p>
    <w:p>
      <w:pPr>
        <w:spacing w:after="0" w:line="223"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September 30, 2017,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97.2% of our portfolio was invested in secured debt, including 93.2%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September 30, 2017, the weighted average term on new investment commitments in new portfolio companies was 5.0 years.</w:t>
      </w:r>
    </w:p>
    <w:p>
      <w:pPr>
        <w:spacing w:after="0" w:line="183" w:lineRule="exact"/>
        <w:rPr>
          <w:sz w:val="20"/>
          <w:szCs w:val="20"/>
          <w:color w:val="auto"/>
        </w:rPr>
      </w:pPr>
    </w:p>
    <w:p>
      <w:pPr>
        <w:ind w:right="34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22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September 30, 2017, we had call protection on 84.4% of our debt investments based on fair value,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1" w:name="page42"/>
    <w:bookmarkEnd w:id="41"/>
    <w:p>
      <w:pPr>
        <w:ind w:right="220"/>
        <w:spacing w:after="0" w:line="266" w:lineRule="auto"/>
        <w:rPr>
          <w:sz w:val="20"/>
          <w:szCs w:val="20"/>
          <w:color w:val="auto"/>
        </w:rPr>
      </w:pPr>
      <w:r>
        <w:rPr>
          <w:rFonts w:ascii="Times New Roman" w:cs="Times New Roman" w:eastAsia="Times New Roman" w:hAnsi="Times New Roman"/>
          <w:sz w:val="18"/>
          <w:szCs w:val="18"/>
          <w:color w:val="auto"/>
        </w:rPr>
        <w:t>with weighted average call prices of 106.2% for the first year, 103.3% for the second year and 101.4% for the third year, in each case from the date of the initial investment. As of September 30, 2017, 100.0% of our debt investments based on fair value bore interest at floating rates (when including investment specific hedges), with 92.4% of these subject to interest rate floors, which we believe helps act as a portfolio-wide hedge against inflation.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TPG Sixth Street Partners, or TSSP.</w:t>
      </w:r>
    </w:p>
    <w:p>
      <w:pPr>
        <w:spacing w:after="0" w:line="188"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TSSP, with over $19 billion of assets under management as of June 30, 2017, is TPG’s special situations and credit platform and encompasses TPG Specialty Lending, TPG Opportunities Partners and TSSP Adjacent Opportunities Partners, which invest in special situations and distressed investments across the credit cycle,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160 investment and operating professionals. As of September 30, 2017, thirty (30) of these personnel are dedicated to our business, including twenty three (23) investment professionals.</w:t>
      </w:r>
    </w:p>
    <w:p>
      <w:pPr>
        <w:spacing w:after="0" w:line="189"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jc w:val="both"/>
        <w:ind w:right="140" w:firstLine="259"/>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460" w:firstLine="259"/>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September 30, 2017, 100.0% of these investments based on fair value bore interest at a floating rate (when including investment specific hedges), with 92.4% of these subject to interest rate floors. Interest on debt investments is generally payable quarterly or semiannually. Some of our investments provide for deferred interest payments or PIK interest. For the three and nine months ended September 30, 2017, 3.0% of our total investment income was comprised of PIK interest.</w:t>
      </w:r>
    </w:p>
    <w:p>
      <w:pPr>
        <w:spacing w:after="0" w:line="188"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have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5"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4"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4"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Dividend income on common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460" w:hanging="255"/>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5"/>
        <w:spacing w:after="0" w:line="261"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right="320" w:hanging="255"/>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2017, our portfolio based on fair value consisted of 93.2% first-lien debt investments, 4.0% second-lien debt investments, and 2.8% equity and other investments. As of December 31, 2016, our portfolio based on fair value consisted of 96.5% first-lien debt investments, 1.2% second-lien debt investments, 0.6% mezzanine and unsecured debt investments, and 1.7% equity and other investments.</w:t>
      </w:r>
    </w:p>
    <w:p>
      <w:pPr>
        <w:spacing w:after="0" w:line="1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2017 and December 31, 2016, our weighted average total yield of debt and income-producing securities at fair value (which includes interest income and amortization of fees and discounts) was 10.7% and 10.4%, respectively, and our weighted average total yield of debt and income-producing securities at amortized cost (which includes interest income and amortization of fees and discounts) was 10.8% and 10.4%, respectively.</w:t>
      </w:r>
    </w:p>
    <w:p>
      <w:pPr>
        <w:spacing w:after="0" w:line="176"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we had investments in 44 and 52 portfolio companies, respectively, with an aggregate fair value of $1,550.3 million and $1,657.4 million, respectively.</w:t>
      </w:r>
    </w:p>
    <w:p>
      <w:pPr>
        <w:spacing w:after="0" w:line="162"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2017, we made new investment commitments of $359.0 million in seven new portfolio companies and five existing portfolio companies. For this period, we had $330.9 million aggregate principal amount in exits and repayments.</w:t>
      </w:r>
    </w:p>
    <w:p>
      <w:pPr>
        <w:spacing w:after="0" w:line="162" w:lineRule="exact"/>
        <w:rPr>
          <w:sz w:val="20"/>
          <w:szCs w:val="20"/>
          <w:color w:val="auto"/>
        </w:rPr>
      </w:pPr>
    </w:p>
    <w:p>
      <w:pPr>
        <w:ind w:right="520" w:firstLine="259"/>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2016, we made new investment commitments of $194.2 million in six new portfolio companies. For this period, we had $199.2 million aggregate principal amount in exits and repayments.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5" w:name="page46"/>
    <w:bookmarkEnd w:id="45"/>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September 30, 2017 and 2016 is presented below (information presented herein is at par value unless otherwise indicated).</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7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right"/>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500" w:type="dxa"/>
            <w:vAlign w:val="bottom"/>
            <w:tcBorders>
              <w:bottom w:val="single" w:sz="8" w:color="CFF0FC"/>
            </w:tcBorders>
            <w:vMerge w:val="continue"/>
          </w:tcPr>
          <w:p>
            <w:pPr>
              <w:spacing w:after="0"/>
              <w:rPr>
                <w:sz w:val="15"/>
                <w:szCs w:val="15"/>
                <w:color w:val="auto"/>
              </w:rPr>
            </w:pPr>
          </w:p>
        </w:tc>
        <w:tc>
          <w:tcPr>
            <w:tcW w:w="7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originations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50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 in</w:t>
            </w: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at floating rates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7"/>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 commitments</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at fixed rates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7"/>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September 30, 2017 and December 31, 2016, our investments consisted of the following:</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240" w:type="dxa"/>
            <w:vAlign w:val="bottom"/>
          </w:tcPr>
          <w:p>
            <w:pPr>
              <w:spacing w:after="0"/>
              <w:rPr>
                <w:sz w:val="15"/>
                <w:szCs w:val="15"/>
                <w:color w:val="auto"/>
              </w:rPr>
            </w:pPr>
          </w:p>
        </w:tc>
        <w:tc>
          <w:tcPr>
            <w:tcW w:w="278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1,427.9</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6" w:name="page47"/>
    <w:bookmarkEnd w:id="46"/>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and amortized cost of our performing and non-accrual investments as of September 30, 2017 and December 31, 2016:</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0" w:type="dxa"/>
            <w:vAlign w:val="bottom"/>
            <w:gridSpan w:val="4"/>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20" w:type="dxa"/>
            <w:vAlign w:val="bottom"/>
            <w:tcBorders>
              <w:top w:val="single" w:sz="8" w:color="auto"/>
              <w:bottom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7"/>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gridSpan w:val="3"/>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Non-accrual </w:t>
            </w:r>
            <w:r>
              <w:rPr>
                <w:rFonts w:ascii="Times New Roman" w:cs="Times New Roman" w:eastAsia="Times New Roman" w:hAnsi="Times New Roman"/>
                <w:sz w:val="15"/>
                <w:szCs w:val="15"/>
                <w:color w:val="auto"/>
              </w:rPr>
              <w:t>(1)</w:t>
            </w: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right="20" w:hanging="512"/>
        <w:spacing w:after="0" w:line="258"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4"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September 30, 2017 and December 31, 2016 were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05"/>
        </w:trPr>
        <w:tc>
          <w:tcPr>
            <w:tcW w:w="47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Weighted average total yield of debt and income</w:t>
            </w:r>
          </w:p>
        </w:tc>
        <w:tc>
          <w:tcPr>
            <w:tcW w:w="13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11"/>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producing securities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1"/>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spread over LIBOR of all floating</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rate investments </w:t>
            </w:r>
            <w:r>
              <w:rPr>
                <w:rFonts w:ascii="Times New Roman" w:cs="Times New Roman" w:eastAsia="Times New Roman" w:hAnsi="Times New Roman"/>
                <w:sz w:val="15"/>
                <w:szCs w:val="15"/>
                <w:color w:val="auto"/>
              </w:rPr>
              <w:t>(1)</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bl>
    <w:p>
      <w:pPr>
        <w:spacing w:after="0" w:line="238"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fixed rate investments for which we entered into interest rate swap agreements to swap to floating rates.</w:t>
      </w:r>
    </w:p>
    <w:p>
      <w:pPr>
        <w:spacing w:after="0" w:line="26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5"/>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20" w:hanging="255"/>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jc w:val="both"/>
        <w:ind w:left="520" w:right="780" w:hanging="255"/>
        <w:spacing w:after="0" w:line="266"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47" w:name="page48"/>
    <w:bookmarkEnd w:id="47"/>
    <w:p>
      <w:pPr>
        <w:ind w:left="520" w:right="300" w:hanging="255"/>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rFonts w:ascii="Times New Roman" w:cs="Times New Roman" w:eastAsia="Times New Roman" w:hAnsi="Times New Roman"/>
          <w:sz w:val="18"/>
          <w:szCs w:val="18"/>
          <w:color w:val="auto"/>
        </w:rPr>
      </w:pPr>
    </w:p>
    <w:p>
      <w:pPr>
        <w:ind w:left="520" w:right="40" w:hanging="255"/>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rFonts w:ascii="Times New Roman" w:cs="Times New Roman" w:eastAsia="Times New Roman" w:hAnsi="Times New Roman"/>
          <w:sz w:val="18"/>
          <w:szCs w:val="18"/>
          <w:color w:val="auto"/>
        </w:rPr>
      </w:pPr>
    </w:p>
    <w:p>
      <w:pPr>
        <w:ind w:left="520" w:right="260" w:hanging="255"/>
        <w:spacing w:after="0" w:line="258"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75" w:lineRule="exact"/>
        <w:rPr>
          <w:rFonts w:ascii="Times New Roman" w:cs="Times New Roman" w:eastAsia="Times New Roman" w:hAnsi="Times New Roman"/>
          <w:sz w:val="18"/>
          <w:szCs w:val="18"/>
          <w:color w:val="auto"/>
        </w:rPr>
      </w:pPr>
    </w:p>
    <w:p>
      <w:pPr>
        <w:ind w:left="520" w:right="140" w:hanging="255"/>
        <w:spacing w:after="0" w:line="261"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investments on a bi-monthly basis and, where possible, pursues workouts that achieve an early resolution to avoid further deterioration.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0"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September 30, 2017 and December 31, 2016. Investment performance ratings are accurate only as of those dates and may change due to subsequent developments relating to a portfolio company’s business or financial condition, market conditions or developments, and other factors.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3"/>
          </w:tcPr>
          <w:p>
            <w:pPr>
              <w:jc w:val="center"/>
              <w:ind w:right="114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760" w:type="dxa"/>
            <w:vAlign w:val="bottom"/>
            <w:gridSpan w:val="4"/>
          </w:tcPr>
          <w:p>
            <w:pPr>
              <w:jc w:val="center"/>
              <w:ind w:right="820"/>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3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4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80" w:type="dxa"/>
            <w:vAlign w:val="bottom"/>
            <w:tcBorders>
              <w:bottom w:val="single" w:sz="8" w:color="auto"/>
            </w:tcBorders>
          </w:tcPr>
          <w:p>
            <w:pPr>
              <w:spacing w:after="0"/>
              <w:rPr>
                <w:sz w:val="15"/>
                <w:szCs w:val="15"/>
                <w:color w:val="auto"/>
              </w:rPr>
            </w:pPr>
          </w:p>
        </w:tc>
        <w:tc>
          <w:tcPr>
            <w:tcW w:w="40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83.1%</w:t>
            </w:r>
          </w:p>
        </w:tc>
        <w:tc>
          <w:tcPr>
            <w:tcW w:w="70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20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320" w:type="dxa"/>
            <w:vAlign w:val="bottom"/>
          </w:tcPr>
          <w:p>
            <w:pPr>
              <w:spacing w:after="0"/>
              <w:rPr>
                <w:sz w:val="19"/>
                <w:szCs w:val="19"/>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tcPr>
          <w:p>
            <w:pPr>
              <w:jc w:val="right"/>
              <w:ind w:right="54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and nine months ended September 30, 2017 and 2016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5"/>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4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 in millions)</w:t>
            </w:r>
          </w:p>
        </w:tc>
        <w:tc>
          <w:tcPr>
            <w:tcW w:w="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8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6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realized gains (losses) </w:t>
            </w:r>
            <w:r>
              <w:rPr>
                <w:rFonts w:ascii="Times New Roman" w:cs="Times New Roman" w:eastAsia="Times New Roman" w:hAnsi="Times New Roman"/>
                <w:sz w:val="15"/>
                <w:szCs w:val="15"/>
                <w:color w:val="auto"/>
              </w:rPr>
              <w:t>(1)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change in unrealized gains (losses) </w:t>
            </w:r>
            <w:r>
              <w:rPr>
                <w:rFonts w:ascii="Times New Roman" w:cs="Times New Roman" w:eastAsia="Times New Roman" w:hAnsi="Times New Roman"/>
                <w:sz w:val="15"/>
                <w:szCs w:val="15"/>
                <w:color w:val="auto"/>
              </w:rPr>
              <w:t>(1)</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4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Includes foreign exchange hedging activity.</w:t>
            </w: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8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5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$46.6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to $48.7 million for the three months ended September 30, 2017. The average size of our investment portfolio was $1.6 billion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three months ended September 30, 2017 and 2016. Accelerated amortization of upfront fees primarily from unscheduled paydowns increased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for the three months ended September 30, 2016 to $5.0 million for the three months ended September 30, 2017. Prepayment fees increased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million for the three months ended September 30, 2017. There were no prepayment fees for the three months ended September 30, 2016. The accelerated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primarily resulted from full paydowns on three portfolio investments and a partial paydown on one existing portfolio investment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2016. The accelerated amortization and prepayment fees primarily resulted from full paydowns on nine portfolio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earning prepayment fees on two portfolio investments during the three months ended September 30, 2017. The increase in paydowns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2017 compared to the three months ended September 30, 2016 was due to a combination of merger and acquisition activity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ability of certain portfolio companies to refinance outstanding debt. Dividend income decreased from $0.5 million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2016 to less than $0.1 million for the three months ended September 30, 2017 following the partial sale of our holdings in TICC. 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decreased from $6.8 million for the three months ended September 30, 2016 to $3.6 million for the three months ended September 30, 2017, primarily due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higher syndication and amendment fees earned during the third quarter of 2016 compared to the same period in 2017.</w:t>
      </w:r>
    </w:p>
    <w:p>
      <w:pPr>
        <w:spacing w:after="0" w:line="288"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increased from $132.2 million for the nine months ended September 30, 2016 to $153.9 million for the nine months ended September 30, 2017, primarily due to the increase in LIBOR. The average size of our investment portfolio was $1.6 billion during each of the nine months ended September 30, 2017 and 2016. Accelerated amortization of upfront fees primarily from unscheduled paydowns increased from $4.4 million for the nine months ended September 30, 2016 to $19.0 million for the nine months ended September 30, 2017. Prepayment fees increased from $2.1 million for the nine months ended September 30, 2016 to $11.5 million for the nine months ended September 30, 2017. The accelerated amortization and prepayment fees primarily resulted from full paydowns on five portfolio investments and partial paydowns on two portfolio investments during the nine months ended September 30, 2016 and from full paydowns on nineteen portfolio investments; partial paydowns on six portfolio investments and earning prepayment fees on ten portfolio investments during the nine months ended September 30, 2017. The increase in paydowns during the nine months ended September 30, 2017 compared to the nine months ended September 30, 2016 was due to a combination of merger and acquisition activity and the ability of certain portfolio companies to refinance outstanding debt. Other income decreased from $9.1 million for the nine months ended September 30, 2016 to $8.2 million for the nine months ended September 30, 2017, primarily due to higher amendment fees earned during the first three quarters of 2016 compared to the same period in 2017.</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nine months ended September 30, 2017 and 2016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14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 investment</w:t>
            </w: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(net of waivers)</w:t>
            </w:r>
          </w:p>
        </w:tc>
        <w:tc>
          <w:tcPr>
            <w:tcW w:w="6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 capital gains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6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Interest expense, including other debt financing expenses, decreased from $6.1 million for three months ended September 30, 2016 to $5.5 million for three months ended September 30, 2017. This decrease was primarily due to the timing of the settlement of an interest rate swap related to issuance of the 2022 Convertible Senior Notes. The average interest rate on our debt outstanding remained at 2.7% for each of the three months ended September 30, 2017 and 2016.</w:t>
      </w:r>
    </w:p>
    <w:p>
      <w:pPr>
        <w:spacing w:after="0" w:line="72"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Interest expense, including other debt financing expenses, increased from $17.0 million for the nine months ended September 30, 2016 to $20.0 million for the nine months ended September 30, 2017. This increase was primarily due to an increase in the average interest rate on our debt outstanding from 2.6% for the nine months ended September 30, 2016 to 3.3% for the nine months ended September 30, 2017 following issuance of the 2022 Convertible Senior Notes and an increase in LIBOR.</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Management Fees (net of waivers) decreased from $6.2 million for the three months ended September 30, 2016 to $6.0 million for the three months ended September 30, 2017 due to a decrease in assets for the three months ended September 30, 2017 compared to the same period in 2016. Management Fees waived were less than $0.1 million for the three months ended September 30, 2016, consisting solely of Management Fees attributable to our ownership of shares of common stock in TICC Capital Corp., or the TICC Shares. The Adviser did not waive any Management Fees for the three months ended September 30, 2017.</w:t>
      </w:r>
    </w:p>
    <w:p>
      <w:pPr>
        <w:spacing w:after="0" w:line="76"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Management Fees (net of waivers) increased from $17.9 million for the nine months ended September 30, 2016 to $18.0 million for the nine months ended September 30, 2017 due to the Management Fees waived during nine months ended September 30, 2016. Management Fees were $18.0 million for both the nine months ended September 30, 2017 and 2016 due to average assets remaining relatively flat at an average of $1.6 billion for each of the nine months ended September 30, 2017 and 2016. Management Fees waived were less than $0.1 million for the nine months ended September 30, 2016, consisting solely of Management Fees attributable to our ownership of shares of common stock in the TICC Shares. The Adviser did not waive any Management Fees for the nine months ended September 30, 2017.</w:t>
      </w:r>
    </w:p>
    <w:p>
      <w:pPr>
        <w:spacing w:after="0" w:line="188"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Management Fee on our ownership of the TICC Shares. 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$6.4 million for three months ended September 30, 2016 to $6.5 million for the three months ended September 30, 2017. This increase resulted from the increase in prepayment fees and accelerated amortization of upfront fees primarily from unscheduled paydowns. For the three months ended September 30, 2016, Incentive Fees related to pre-Incentive Fee net investment income of less than $0.1 million were waived, consisting solely of Incentive Fees attributable to our ownership of the TICC Shares. The Adviser did not waive any Incentive Fees related to pre-Incentive Fee net investment income for the three months ended September 30, 2017. There were no Incentive Fees related to capital gains and losses for each of the three months ended September 30, 2017 and 2016 due to unrealized losses on our investments.</w:t>
      </w:r>
    </w:p>
    <w:p>
      <w:pPr>
        <w:spacing w:after="0" w:line="189"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Incentive Fees (net of waivers) related to pre-Incentive Fee net investment income increased from $16.5 million for nine months ended September 30, 2016 to $19.8 million for the nine months ended September 30, 2017. This increase resulted from the increase in prepayment fees and accelerated amortization of upfront fees primarily from unscheduled paydowns. For the nine months ended September 30, 2016, Incentive Fees related to pre-Incentive Fee net investment income of $0.2 million were waived, consisting solely of Incentive Fees attributable to our ownership of the TICC Shares. There were no Incentive Fees related to pre-Incentive Fee net investment income waived for the nine months ended September 30, 2017. There were no Incentive Fees related to capital gains and losses for the nine months ended September 30, 2017 and 2016 due to unrealized losses on our investments.</w:t>
      </w:r>
    </w:p>
    <w:p>
      <w:pPr>
        <w:spacing w:after="0" w:line="188"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For the periods ended December 31, 2016 and prior, the Adviser voluntarily waived the Incentive Fees attributable to pre-Incentive Fee net investment income accrued by us as a result of our ownership of the TICC Shares. The Adviser has not waived any part of the Incentive Fee related to capital gains and losses attributable to our ownership of the TICC Shares and, accordingly, any realized capital gains or losses and unrealized capital appreciation and depreciation with respect to the TICC Shares applies towards our cumulative realized capital gains on which the Incentive Fee related to capital gains and losses is calculated.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00" w:right="259" w:bottom="1440" w:gutter="0" w:footer="0" w:header="0"/>
        </w:sectPr>
      </w:pPr>
    </w:p>
    <w:bookmarkStart w:id="50" w:name="page51"/>
    <w:bookmarkEnd w:id="50"/>
    <w:p>
      <w:pPr>
        <w:ind w:left="260"/>
        <w:spacing w:after="0"/>
        <w:rPr>
          <w:sz w:val="20"/>
          <w:szCs w:val="20"/>
          <w:color w:val="auto"/>
        </w:rPr>
      </w:pPr>
      <w:r>
        <w:rPr>
          <w:rFonts w:ascii="Times New Roman" w:cs="Times New Roman" w:eastAsia="Times New Roman" w:hAnsi="Times New Roman"/>
          <w:sz w:val="18"/>
          <w:szCs w:val="18"/>
          <w:color w:val="auto"/>
        </w:rPr>
        <w:t>Any waived Incentive Fees are not subject to recoupment by the Adviser.</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Professional fees decreased from $3.0 million for the three months ended September 30, 2016 to $1.2 million for the three months ended September 30, 2017 primarily due to a decrease in costs associated with our investment in TICC. Other general and administrative fees increased from $0.8 million for the three months ended September 30, 2016 to $1.4 million for the three months ended September 30, 2017.</w:t>
      </w:r>
    </w:p>
    <w:p>
      <w:pPr>
        <w:spacing w:after="0" w:line="68"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Professional fees decreased from $6.9 million for the nine months ended September 30, 2016 to $4.3 million for the nine months ended September 30, 2017 primarily due to a decrease in costs associated with our investment in TICC. Other general and administrative fees increased from $3.2 million for the nine months ended September 30, 2016 to $4.0 million for the nine months ended September 30,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2017, we recorded a net expense of $0.7 million and $2.3 million, respectively, for U.S. federal excise tax. For the three and nine months ended September 30, 2016, we recorded a net expense of $0.7 million and $1.6 million, respectively, for U.S. federal excise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nine months ended September 30, 2017 and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vMerge w:val="restart"/>
          </w:tcPr>
          <w:p>
            <w:pPr>
              <w:spacing w:after="0"/>
              <w:rPr>
                <w:sz w:val="15"/>
                <w:szCs w:val="15"/>
                <w:color w:val="auto"/>
              </w:rPr>
            </w:pPr>
          </w:p>
        </w:tc>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vMerge w:val="continue"/>
          </w:tcPr>
          <w:p>
            <w:pPr>
              <w:spacing w:after="0"/>
              <w:rPr>
                <w:sz w:val="13"/>
                <w:szCs w:val="13"/>
                <w:color w:val="auto"/>
              </w:rPr>
            </w:pPr>
          </w:p>
        </w:tc>
        <w:tc>
          <w:tcPr>
            <w:tcW w:w="472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6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 on Investments</w:t>
            </w:r>
          </w:p>
        </w:tc>
        <w:tc>
          <w:tcPr>
            <w:tcW w:w="6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72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color w:val="auto"/>
              </w:rPr>
              <w:t>Unrealized appreciation (depreciation) on foreign currency</w:t>
            </w:r>
          </w:p>
        </w:tc>
        <w:tc>
          <w:tcPr>
            <w:tcW w:w="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vMerge w:val="continue"/>
          </w:tcPr>
          <w:p>
            <w:pPr>
              <w:spacing w:after="0"/>
              <w:rPr>
                <w:sz w:val="16"/>
                <w:szCs w:val="16"/>
                <w:color w:val="auto"/>
              </w:rPr>
            </w:pPr>
          </w:p>
        </w:tc>
        <w:tc>
          <w:tcPr>
            <w:tcW w:w="472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appreciation (depreciation) on foreign</w:t>
            </w: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currency cash and forward contracts</w:t>
            </w: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(depreciation) on interest rate swaps</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72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 Foreign</w:t>
            </w:r>
          </w:p>
        </w:tc>
        <w:tc>
          <w:tcPr>
            <w:tcW w:w="6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 Transactions and Interest Rate Swaps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4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20" w:type="dxa"/>
            <w:vAlign w:val="bottom"/>
            <w:tcBorders>
              <w:bottom w:val="single" w:sz="8" w:color="CFF0FC"/>
            </w:tcBorders>
          </w:tcPr>
          <w:p>
            <w:pPr>
              <w:spacing w:after="0"/>
              <w:rPr>
                <w:sz w:val="18"/>
                <w:szCs w:val="18"/>
                <w:color w:val="auto"/>
              </w:rPr>
            </w:pPr>
          </w:p>
        </w:tc>
        <w:tc>
          <w:tcPr>
            <w:tcW w:w="6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CFF0FC"/>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51" w:name="page52"/>
    <w:bookmarkEnd w:id="51"/>
    <w:p>
      <w:pPr>
        <w:ind w:firstLine="259"/>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2017 we had net realized gains on investments of $2.4 million and net realized losses of $14.8 million, respectively. For the three and nine months ended September 30, 2017, we had net realized losses of less than $0.1 million and net realized gains of $0.2 million, respectively, on foreign currency transactions, primarily as a result of translating foreign currency related to our non-USD denominated investments. For the three and nine months ended September 30, 2017, we had net realized losses of less than $0.1 million and $4.8 million, respectively, on foreign currency investments. For the three and nine months ended September 30, 2017, we had net realized gains of $0.1 million and $5.2 million, respectively, on foreign currency borrowings. The net realized gains on foreign currency borrowings and net realized losses on foreign currency investments for the nine months ended September 30, 2017 were a result of exiting two investments and a partial realization on one investment.</w:t>
      </w:r>
    </w:p>
    <w:p>
      <w:pPr>
        <w:spacing w:after="0" w:line="18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2017 we had $11.0 million in unrealized appreciation on 27 portfolio company investments, which was offset by $16.2 million in unrealized depreciation on 26 portfolio company investments. For the nine months ended September 30, 2017 we had $59.4 million in unrealized appreciation on 39 portfolio company investments, which was offset by $44.0 million in unrealized depreciation on 32 portfolio company investments. Unrealized appreciation resulted from an increase in fair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8" w:lineRule="exact"/>
        <w:rPr>
          <w:sz w:val="20"/>
          <w:szCs w:val="20"/>
          <w:color w:val="auto"/>
        </w:rPr>
      </w:pPr>
    </w:p>
    <w:p>
      <w:pPr>
        <w:ind w:right="200" w:firstLine="259"/>
        <w:spacing w:after="0" w:line="277" w:lineRule="auto"/>
        <w:rPr>
          <w:sz w:val="20"/>
          <w:szCs w:val="20"/>
          <w:color w:val="auto"/>
        </w:rPr>
      </w:pPr>
      <w:r>
        <w:rPr>
          <w:rFonts w:ascii="Times New Roman" w:cs="Times New Roman" w:eastAsia="Times New Roman" w:hAnsi="Times New Roman"/>
          <w:sz w:val="17"/>
          <w:szCs w:val="17"/>
          <w:color w:val="auto"/>
        </w:rPr>
        <w:t>For the three and nine months ended September 30, 2017, we had unrealized depreciation on foreign currency borrowings of $1.7 million and $10.3 million, respectively, as a result of fluctuations in the GBP and EUR exchange rates. For the three and nine months ended September 30, 2017, we had unrealized depreciation on foreign currency cash and forward contracts of less than $0.1 million and unrealized appreciation of less than $0.1 million, respectively. For the three and nine months ended September 30, 2017, we had unrealized depreciation on interest rate swaps of $1.7 million and unrealized appreciation of $0.6 million, respectively, on interest rate swaps due to fluctuations in interest rates and the periodic settlement of interest rate swaps.</w:t>
      </w:r>
    </w:p>
    <w:p>
      <w:pPr>
        <w:spacing w:after="0" w:line="168"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2016, we had net realized gains on investments of $1.5 million and $1.9 million, respectively. For the three and nine months ended September 30, 2016, we had net realized gains of $0.1 million and net realized losses of less than $0.1 million, respectively, on foreign currency transactions, primarily as a result of translating currency related to our investments denominated in foreign currencies. For the three and nine months ended September 30, 2016, we had net realized losses of $1.8 million and $2.0 million, respectively, on foreign currency investments. For the three and nine months ended September 30, 2016, we had net realized gains of $1.6 million and $2.0 million, respectively, on foreign currency borrowings.</w:t>
      </w:r>
    </w:p>
    <w:p>
      <w:pPr>
        <w:spacing w:after="0" w:line="184"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2016 we had $18.2 million in unrealized appreciation on 42 portfolio company investments, which was offset by $11.4 million in unrealized depreciation on 14 portfolio company investments. For the nine months ended September 30, 2016 we had $36.7 million in unrealized appreciation on 43 portfolio company investments, which was offset by $15.2 million in unrealized depreciation on 14 portfolio company investments. Unrealized appreciation resulted from an increase in fair market value, primarily due to a tightening spread environment and positive credit-related adjustments. Unrealized depreciation primarily resulted from the reversal of prior period unrealized appreciation and in some instances negative credit-related adjustments.</w:t>
      </w:r>
    </w:p>
    <w:p>
      <w:pPr>
        <w:spacing w:after="0" w:line="188"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2016, we had unrealized depreciation of $1.4 million and unrealized appreciation of $0.5 million, respectively, on foreign currency borrowings as a result of fluctuations in the GBP, SEK and EUR exchange rates. For the three and nine months ended September 30, 2016, we had unrealized appreciation of less than $0.1 million and unrealized depreciation of less than $0.1 million, respectively, on foreign currency cash and forward contracts. For the three and nine months ended September 30, 2016, we had unrealized depreciation of $0.5 million and unrealized appreciation of $1.1 million, respectively, on interest rate swaps due to fluctuations in interest rates and the periodic settlement of interest rate swaps.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Gross Internal Rate of Return</w:t>
      </w:r>
    </w:p>
    <w:p>
      <w:pPr>
        <w:spacing w:after="0" w:line="121"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September 30, 2017, weighted by capital invested, our exited investments have generated an average realized gross internal rate of return to us of 18.9% (based on total capital invested of $2.5 billion and total proceeds from these exited investments of $3.1 billion). Eighty seven percent of these exited investments resulted in a realized gross internal rate of return to us of 10% or greater.</w:t>
      </w:r>
    </w:p>
    <w:p>
      <w:pPr>
        <w:spacing w:after="0" w:line="176"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2" w:name="page53"/>
    <w:bookmarkEnd w:id="52"/>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Average gross IRR is the average of the gross IRR for each of our exited investments (each calculated as described above), weighted by the total capital invested for each of those investments.</w:t>
      </w:r>
    </w:p>
    <w:p>
      <w:pPr>
        <w:spacing w:after="0" w:line="162"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Average gross IRR on our exited investments reflects only invested and realized cash amounts as described above, and does not reflect any unrealized gains or losses in our portfolio.</w:t>
      </w:r>
    </w:p>
    <w:p>
      <w:pPr>
        <w:spacing w:after="0" w:line="162"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76" w:lineRule="exact"/>
        <w:rPr>
          <w:sz w:val="20"/>
          <w:szCs w:val="20"/>
          <w:color w:val="auto"/>
        </w:rPr>
      </w:pPr>
    </w:p>
    <w:p>
      <w:pPr>
        <w:jc w:val="both"/>
        <w:ind w:right="60" w:firstLine="259"/>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three and nine months ended September 30, 2017, we had $1.7 million and $10.3 million, respectively, of unrealized losses on the translation of our non-U.S. dollar denominated debt into U.S. dollars; such amounts approximate the corresponding unrealized gains and losses on the translation of our non-U.S. dollar denominated investments into U.S. dollars for the three and nine months ended September 30, 2017. See Note 2 for additional disclosure regarding our accounting for foreign currency. See Note 7 for additional disclosure regarding the amounts of outstanding debt denominated in each foreign currency at September 30, 2017. See our consolidated schedule of investments for additional disclosure regarding the foreign currency amounts (in both par and fair value) of our non-U.S. dollar denominated investments.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dividends to the holders of our shares.</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September 30, 2017 and December 31, 2016, our asset coverage ratio was 267.5% and 237.7%,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3" w:name="page54"/>
    <w:bookmarkEnd w:id="53"/>
    <w:p>
      <w:pPr>
        <w:jc w:val="both"/>
        <w:ind w:right="36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as of September 30, 2017, taken together with cash available under our credit facilities, is expected to be sufficient for our investing activities and to conduct our operations in the near term. As of September 30, 2017, we had approximately $626.1 million of availability on our Revolving Credit Facility, subject to asset coverage limitations.</w:t>
      </w:r>
    </w:p>
    <w:p>
      <w:pPr>
        <w:spacing w:after="0" w:line="176" w:lineRule="exact"/>
        <w:rPr>
          <w:sz w:val="20"/>
          <w:szCs w:val="20"/>
          <w:color w:val="auto"/>
        </w:rPr>
      </w:pPr>
    </w:p>
    <w:p>
      <w:pPr>
        <w:ind w:right="200" w:firstLine="259"/>
        <w:spacing w:after="0" w:line="256" w:lineRule="auto"/>
        <w:rPr>
          <w:sz w:val="20"/>
          <w:szCs w:val="20"/>
          <w:color w:val="auto"/>
        </w:rPr>
      </w:pPr>
      <w:r>
        <w:rPr>
          <w:rFonts w:ascii="Times New Roman" w:cs="Times New Roman" w:eastAsia="Times New Roman" w:hAnsi="Times New Roman"/>
          <w:sz w:val="18"/>
          <w:szCs w:val="18"/>
          <w:color w:val="auto"/>
        </w:rPr>
        <w:t>As of September 30, 2017, we had $8.1 million in cash and cash equivalents, an increase of $2.1 million from December 31, 2016. During the nine months ended September 30, 2017, we provided $196.5 million in cash from operating activities, primarily as a result of repayments and proceeds from investments of $876.3 million and an increase in net assets resulting from operations of $84.8 million, which was offset by funding portfolio investments of $742.7 million and other operating activity of $21.9 million. Lastly, cash used by financing activities was $194.4 million during the period, primarily due to paydowns on our Revolving Credit Facility of $968.9 million, dividends paid of $70.6 million and deferred financing costs of $3.9 million, which was partially offset by borrowings of $849.0 million (including the issuance of $115.0 million principal amount of our 2022 Convertible Senior Notes).</w:t>
      </w:r>
    </w:p>
    <w:p>
      <w:pPr>
        <w:spacing w:after="0" w:line="188"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we had $2.6 million of restricted cash pledged as collateral under our interest rate swap agreements, an increase of $1.5 million from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On March 3, 2016, we issued 5,000,000 shares of common stock at $16.42 per share. Net of underwriting fees and offering costs, we received total cash proceeds of $78.3 million.</w:t>
      </w:r>
    </w:p>
    <w:p>
      <w:pPr>
        <w:spacing w:after="0" w:line="162"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2017 and 2016, we issued 383,150 and 502,634 shares of our common stock, respectively, to investors who have not opted out of our dividend reinvestment plan for proceeds of $7.3 million and $8.0 million, respectively. On October 13, 2017, we issued 125,519 shares of our common stock through our dividend reinvestment plan for proceeds of $2.5 million, which is not reflected in the number of shares issued for the nine months ended September 30, 2017 in this section or the consolidated financial statements for the three and nine months ended September 30, 2017.</w:t>
      </w:r>
    </w:p>
    <w:p>
      <w:pPr>
        <w:spacing w:after="0" w:line="180"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current market conditions, if our common stock is trading below our then-current net asset value, it is in the best interest of our stockholders for us to reinvest in our portfolio and increase our leverage ratio through share repurchases.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us to enter into a new stock repurchase plan, on substantially the same terms as the prior stock repurchase plan, over an initial six month period, and has continued to authorize extensions of the plan termination date prior to its expiration since that time. On August 2, 2017, the Board authorized the extension of the termination date of the Company 10b5-1 Plan to February 28, 2018. Unless extended or terminated by the Board, the Company 10b5-1 Plan will be in effect through the earlier of February 28, 2018 or such time as the current approved repurchase amount of up to $50 million has been fully utilized, subject to certain conditions.</w:t>
      </w:r>
    </w:p>
    <w:p>
      <w:pPr>
        <w:spacing w:after="0" w:line="184" w:lineRule="exact"/>
        <w:rPr>
          <w:sz w:val="20"/>
          <w:szCs w:val="20"/>
          <w:color w:val="auto"/>
        </w:rPr>
      </w:pPr>
    </w:p>
    <w:p>
      <w:pPr>
        <w:ind w:right="820" w:firstLine="259"/>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2017, no shares were repurchased under the Company 10b5-1 Plan. During the nine months ended September 30, 2016, 86,081 shares were repurchased under the Company 10b5-1 Plan at a weighted average price per share of $15.44, inclusive of commissions, for a total cost of $1.3 million.</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September 30, 2017 and December 31, 2016:</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3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r>
      <w:tr>
        <w:trPr>
          <w:trHeight w:val="215"/>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2"/>
                <w:szCs w:val="12"/>
                <w:b w:val="1"/>
                <w:bCs w:val="1"/>
                <w:color w:val="auto"/>
              </w:rPr>
              <w:t>(2)</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Borders>
              <w:top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shd w:val="clear" w:color="auto" w:fill="CFF0FC"/>
          </w:tcPr>
          <w:p>
            <w:pPr>
              <w:spacing w:after="0"/>
              <w:rPr>
                <w:sz w:val="19"/>
                <w:szCs w:val="19"/>
                <w:color w:val="auto"/>
              </w:rPr>
            </w:pPr>
          </w:p>
        </w:tc>
      </w:tr>
      <w:tr>
        <w:trPr>
          <w:trHeight w:val="223"/>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20" w:hanging="512"/>
        <w:spacing w:after="0" w:line="26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2019 and 2022 Convertible Senior Notes are presented net of deferred financing costs of $7.5 million, $1.7 million and $3.4 million, respectively.</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30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5"/>
                <w:szCs w:val="15"/>
                <w:color w:val="auto"/>
              </w:rPr>
            </w:pPr>
          </w:p>
        </w:tc>
      </w:tr>
      <w:tr>
        <w:trPr>
          <w:trHeight w:val="198"/>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 xml:space="preserve">Available </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 xml:space="preserve">Value </w:t>
            </w:r>
            <w:r>
              <w:rPr>
                <w:rFonts w:ascii="Times New Roman" w:cs="Times New Roman" w:eastAsia="Times New Roman" w:hAnsi="Times New Roman"/>
                <w:sz w:val="12"/>
                <w:szCs w:val="12"/>
                <w:b w:val="1"/>
                <w:bCs w:val="1"/>
                <w:color w:val="auto"/>
                <w:w w:val="98"/>
              </w:rPr>
              <w:t>(2)</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20" w:type="dxa"/>
            <w:vAlign w:val="bottom"/>
            <w:tcBorders>
              <w:top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FF0FC"/>
            </w:tcBorders>
          </w:tcPr>
          <w:p>
            <w:pPr>
              <w:spacing w:after="0"/>
              <w:rPr>
                <w:sz w:val="19"/>
                <w:szCs w:val="19"/>
                <w:color w:val="auto"/>
              </w:rPr>
            </w:pPr>
          </w:p>
        </w:tc>
      </w:tr>
      <w:tr>
        <w:trPr>
          <w:trHeight w:val="223"/>
        </w:trPr>
        <w:tc>
          <w:tcPr>
            <w:tcW w:w="43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20" w:right="160" w:hanging="512"/>
        <w:spacing w:after="0" w:line="261"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values of the Revolving Credit Facility and 2019 Convertible Senior Notes are presented net of deferred financing costs of $8.7 million and $2.3 million, respectively.</w:t>
      </w:r>
    </w:p>
    <w:p>
      <w:pPr>
        <w:spacing w:after="0" w:line="180"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and December 31, 2016,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(as amended, the “Revolving Credit Facility”).</w:t>
      </w:r>
    </w:p>
    <w:p>
      <w:pPr>
        <w:spacing w:after="0" w:line="54"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aggregate commitments under the facility were $975 million. The facility includes an uncommitted accordion feature that allows us, under certain circumstances, to increase the size of the facility to up to $1.25 billion.</w:t>
      </w:r>
    </w:p>
    <w:p>
      <w:pPr>
        <w:spacing w:after="0" w:line="16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With respect to $915 million in commitments, the revolving period, during which period we, subject to certain conditions, may make borrowings under the facility, ends December 22, 2020 and the stated maturity date is December 22, 2021. For the remaining $60 million of commitments, the revolving period ends October 2, 2019 and the stated maturity date is October 2, 2020.</w:t>
      </w:r>
    </w:p>
    <w:p>
      <w:pPr>
        <w:spacing w:after="0" w:line="176"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September 30, 2017, we had outstanding debt denominated in Euro (EUR) of 38.8 million on our Revolving Credit Facility, included in the Outstanding Principal amount in the table above.</w:t>
      </w:r>
    </w:p>
    <w:p>
      <w:pPr>
        <w:spacing w:after="0" w:line="162"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also provides for the issuance of letters of credit up to an aggregate amount of $75 million. As of September 30, 2017 and December 31, 2016, we had no outstanding letters of credit issued through the Revolving Credit Facility. The amount available for borrowing under the Revolving Credit Facility is reduced by any letters of credit issued through the Revolving Credit Facility.</w:t>
      </w:r>
    </w:p>
    <w:p>
      <w:pPr>
        <w:spacing w:after="0" w:line="176"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of either 1.75% or 2.00%, or the prime rate plus a margin of either 0.75% or 1.00%, in each case, based on the total amount of the borrowing base relative to the sum of the total commitments (or, if greater, the total exposure) under the Revolving Credit Facility plus certain other designated secured debt.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5" w:name="page56"/>
    <w:bookmarkEnd w:id="55"/>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76"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5"/>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380" w:hanging="255"/>
        <w:spacing w:after="0" w:line="313" w:lineRule="auto"/>
        <w:tabs>
          <w:tab w:leader="none" w:pos="5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 and</w:t>
      </w:r>
    </w:p>
    <w:p>
      <w:pPr>
        <w:spacing w:after="0" w:line="30" w:lineRule="exact"/>
        <w:rPr>
          <w:rFonts w:ascii="Times New Roman" w:cs="Times New Roman" w:eastAsia="Times New Roman" w:hAnsi="Times New Roman"/>
          <w:sz w:val="17"/>
          <w:szCs w:val="17"/>
          <w:color w:val="auto"/>
        </w:rPr>
      </w:pPr>
    </w:p>
    <w:p>
      <w:pPr>
        <w:ind w:left="520" w:hanging="255"/>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December 22, 2016.</w:t>
      </w:r>
    </w:p>
    <w:p>
      <w:pPr>
        <w:spacing w:after="0" w:line="225"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our common stock issuance in March 2016, and net proceeds received from the issuance of the 2022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Convertible Senior Notes</w:t>
      </w:r>
    </w:p>
    <w:p>
      <w:pPr>
        <w:spacing w:after="0" w:line="11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In June 2014, we issued in a private offering $115 million aggregate principal amount convertible senior notes due December 2019, or the 2019 Convertible Senior Notes. The 2019 Convertible Senior Notes were issued in a private placement only to qualified institutional buyers pursuant to Rule 144A under the Securities Act. The 2019 Convertible Senior Notes are unsecured and bear interest at a rate of 4.50% per year, payable semiannually. The 2019 Convertible Senior Notes will mature on December 15, 2019. In certain circumstances, the 2019 Convertible Senior Notes will be convertible into cash, shares of our common stock or a combination of cash and shares of our common stock, at our election, at an initial conversion rate of 38.7162 shares of common stock per $1,000 principal amount of 2019 Convertible Senior Notes, which is equivalent to an initial conversion price of approximately $25.83 per share of our common stock, subject to customary anti-dilution adjustments. As of September 30, 2017, the estimated adjusted conversion price was approximately $25.50. The sale of the 2019 Convertible Senior Notes generated net proceeds of approximately $110.8 million. We used the net proceeds of the offering to pay down debt under the Revolving Credit Facility. In connection with the offering of 2019 Convertible Senior Notes, we have entered into interest rate swaps to continue to align the interest rates of our liabilities with our investment portfolio, which consists of predominately floating rate loans. As a result of the swaps, our effective interest rate on the 2019 Convertible Senior Notes is three-month LIBOR plus 286 basis points.</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Holders may convert their 2019 Convertible Senior Notes at their option at any time prior to June 15, 2019 only under the following circumstances:</w:t>
      </w:r>
    </w:p>
    <w:p>
      <w:pPr>
        <w:spacing w:after="0" w:line="27" w:lineRule="exact"/>
        <w:rPr>
          <w:sz w:val="20"/>
          <w:szCs w:val="20"/>
          <w:color w:val="auto"/>
        </w:rPr>
      </w:pPr>
    </w:p>
    <w:p>
      <w:pPr>
        <w:ind w:right="40" w:firstLine="8"/>
        <w:spacing w:after="0" w:line="250"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1" w:lineRule="exact"/>
        <w:rPr>
          <w:rFonts w:ascii="Times New Roman" w:cs="Times New Roman" w:eastAsia="Times New Roman" w:hAnsi="Times New Roman"/>
          <w:sz w:val="18"/>
          <w:szCs w:val="18"/>
          <w:color w:val="auto"/>
        </w:rPr>
      </w:pPr>
    </w:p>
    <w:p>
      <w:pPr>
        <w:ind w:firstLine="8"/>
        <w:spacing w:after="0" w:line="253"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or the measurement period, in which the trading price (as defined in the indenture governing the 2019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2022 Convertible Senior Notes</w:t>
      </w:r>
    </w:p>
    <w:p>
      <w:pPr>
        <w:spacing w:after="0" w:line="119"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In February 2017, we issued in a private offering $115 million aggregate principal amount convertible senior notes due August 2022, or the 2022 Convertible Senior Notes. We refer to the 2019 Convertible Senior Notes and the 2022 Convertible Senior Notes collectively as the Convertible Senior Notes. The 2022 Convertible Senior Notes were issued in a private placement only to qualified institutional buyers pursuant to Rule 144A under the Securities Act. The 2022 Convertible Senior Notes are unsecured, and bear interest at a rate of 4.50% per year, payable semiannually. The 2022 Convertible Senior Notes will mature on August 1, 2022. In certain circumstances, the 2022 Convertible Senior Notes will be convertible into cash, shares of our common stock or a combination of cash and shares of our common stock, at our election, at an initial conversion rate of 46.8516 shares of common stock per $1,000 principal amount of 2022 Convertible Senior Notes, which is equivalent to an initial conversion price of approximately $21.34 per share of our common stock, subject to customary anti-dilution adjustments. As of September 30, 2017, the estimated adjusted conversion price was approximately $21.21. The sale of the 2022 Convertible Senior Notes generated net proceeds of approximately $111.2 million. We used the net proceeds of the offering to pay down debt under the Revolving Credit Facility. In connection with the offering of 2022 Convertible Senior Notes, we have entered into an interest rate swap to continue to align the interest rates of our liabilities with our investment portfolio, which consists of predominately floating rate loans. As a result of the swaps, our effective interest rate on the 2022 Convertible Senior Notes is three-month LIBOR plus 237.2 basis points.</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Holders may convert their 2022 Convertible Senior Notes at their option at any time prior to February 1, 2022 only under the following circumstances:</w:t>
      </w:r>
    </w:p>
    <w:p>
      <w:pPr>
        <w:spacing w:after="0" w:line="27" w:lineRule="exact"/>
        <w:rPr>
          <w:sz w:val="20"/>
          <w:szCs w:val="20"/>
          <w:color w:val="auto"/>
        </w:rPr>
      </w:pPr>
    </w:p>
    <w:p>
      <w:pPr>
        <w:ind w:right="80" w:firstLine="8"/>
        <w:spacing w:after="0" w:line="25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2022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88"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The Convertible Senior Notes are our senior unsecured obligations and rank senior in right of payment to our future indebtedness that is expressly subordinated in right of payment to the Convertible Senior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4"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As of September 30, 2017, the principal amount of the 2019 and 2022 Convertible Senior Notes exceeded the value of the underlying shares multiplied by the per share closing price of our common stock.</w:t>
      </w:r>
    </w:p>
    <w:p>
      <w:pPr>
        <w:spacing w:after="0" w:line="162"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The indentures governing the 2019 and 2022 Convertible Senior Notes contain certain covenants, including covenants requiring us to comply with the requirement under the 1940 Act that our asset coverage ratio, as defined in the 1940 Act, equal at least 200% and to provide financial information to the holders of the 2019 and 2022 Convertible Senior Notes under certain circumstances. These covenants are subject to important limitations and exceptions that are described in the indentures governing the 2019 and 2022 Convertible Senior Notes. As of September 30, 2017, we were in compliance with the terms of the indentures governing the 2019 and 2022 Convertible Senior Notes.</w:t>
      </w:r>
    </w:p>
    <w:p>
      <w:pPr>
        <w:spacing w:after="0" w:line="184"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2019 and 2022 Convertible Senior Notes. We have determined that the embedded conversion options in the</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2019 and 2022 Convertible Senior Notes are not required to be separately accounted for as a derivative under U.S. GAAP. In accounting for the 2019 and 2022 Convertible Senior Notes, we estimated at the time of issuance separate debt and equity components of the 2019 and 2022 Convertible Senior Notes. An original issue discount equal to the equity components of the 2019 and 2022 Convertible Senior Notes was recorded in “additional paid-in capital” in the accompanying consolidated balance sheet. Additionally, the issuance costs associated with the 2019 and 2022 Convertible Senior Notes were allocated to the debt and equity components in proportion to the allocation of the proceeds and accounted for as deferred financing costs and equity issuance costs,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We incorporated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September 30, 2017 and December 31, 2016, we had the following commitments to fund investments in current portfolio companies:</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23"/>
        </w:trPr>
        <w:tc>
          <w:tcPr>
            <w:tcW w:w="5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AppStar Financial, LLC - Revolver</w:t>
            </w:r>
          </w:p>
        </w:tc>
        <w:tc>
          <w:tcPr>
            <w:tcW w:w="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Clarabridge, Inc. - Revolver</w:t>
            </w:r>
          </w:p>
        </w:tc>
        <w:tc>
          <w:tcPr>
            <w:tcW w:w="5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CrunchTime Information Systems, Inc. - Delayed Draw</w:t>
            </w: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CrunchTime Information Systems, Inc. - Revolver</w:t>
            </w:r>
          </w:p>
        </w:tc>
        <w:tc>
          <w:tcPr>
            <w:tcW w:w="5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Ecommerce Industries, Inc. - Revolver</w:t>
            </w: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Frontline Technologies Group LLC - Delayed Draw</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 LLC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Helix Health Ltd.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Illuminate Education, Inc. - Delayed Draw</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Illuminate Education, Inc.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IRGSE Holding Corp.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Leaf US Holdings, Inc.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Marketo,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My Alarm Center, LLC - Delayed Draw</w:t>
            </w:r>
          </w:p>
        </w:tc>
        <w:tc>
          <w:tcPr>
            <w:tcW w:w="5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Network Merchants, Inc. - Revolver</w:t>
            </w: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PayLease, LLC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PaySimple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Rex Energy Corporation - Delayed Draw</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Riskonnect,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Sailpoint Technologies, Inc. - Revolver</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ScentAir Technologies, Inc. - Revolver</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Sovos Compliance, LLC - Delayed Draw</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Sovos Compliance, LLC - Revolver</w:t>
            </w: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FF0FC"/>
          </w:tcPr>
          <w:p>
            <w:pPr>
              <w:spacing w:after="0"/>
              <w:rPr>
                <w:sz w:val="19"/>
                <w:szCs w:val="19"/>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500" w:firstLine="259"/>
        <w:spacing w:after="0" w:line="266" w:lineRule="auto"/>
        <w:rPr>
          <w:sz w:val="20"/>
          <w:szCs w:val="20"/>
          <w:color w:val="auto"/>
        </w:rPr>
      </w:pPr>
      <w:r>
        <w:rPr>
          <w:rFonts w:ascii="Times New Roman" w:cs="Times New Roman" w:eastAsia="Times New Roman" w:hAnsi="Times New Roman"/>
          <w:sz w:val="18"/>
          <w:szCs w:val="18"/>
          <w:color w:val="auto"/>
        </w:rPr>
        <w:t>As of September 30, 2017, we did not have any unfunded commitments to fund new investments to new borrowers that were not current portfolio companies as of September 30, 2017. As of December 31, 2016, we had additional unfunded commitments of $50.0 million to fund investments to new borrowers that were not current portfolio companies as of December 31, 2016.</w:t>
      </w:r>
    </w:p>
    <w:p>
      <w:pPr>
        <w:spacing w:after="0" w:line="176"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September 30, 2017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center"/>
              <w:ind w:left="638"/>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2019 Convertible Senior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Convertible Senior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140" w:hanging="255"/>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tax-exempt interest income over certain disallowed deductions) for such taxable year.</w:t>
      </w:r>
    </w:p>
    <w:p>
      <w:pPr>
        <w:spacing w:after="0" w:line="225" w:lineRule="exact"/>
        <w:rPr>
          <w:sz w:val="20"/>
          <w:szCs w:val="20"/>
          <w:color w:val="auto"/>
        </w:rPr>
      </w:pPr>
    </w:p>
    <w:p>
      <w:pPr>
        <w:ind w:right="260" w:firstLine="259"/>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440" w:firstLine="259"/>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100" w:firstLine="259"/>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30" w:lineRule="exact"/>
        <w:rPr>
          <w:sz w:val="20"/>
          <w:szCs w:val="20"/>
          <w:color w:val="auto"/>
        </w:rPr>
      </w:pPr>
    </w:p>
    <w:p>
      <w:pPr>
        <w:ind w:left="520" w:hanging="255"/>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140" w:hanging="255"/>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9" w:name="page60"/>
    <w:bookmarkEnd w:id="59"/>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5"/>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100" w:hanging="255"/>
        <w:spacing w:after="0" w:line="266"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2016, filed with the SEC on February 22, 2017, and elsewhere in our filings with the SEC.</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700" w:firstLine="259"/>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As of September 30, 2017, 100.0% of our debt investments based on fair value in our portfolio bore interest at floating rates (when including investment specific hedges), with 92.4% of these subject to interest rate floors. Our credit facilities also bear interest at floating rates and in connection with our 2019 Convertible Senior Notes and 2022 Convertible Senior Notes, which bear interest at a fixed rate; we entered into fixed-to-floating interest rate swaps in order to continue to align the interest rates of our liabilities with our investment portfolio.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0" w:name="page61"/>
    <w:bookmarkEnd w:id="60"/>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September 30, 2017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5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120" w:type="dxa"/>
            <w:vAlign w:val="bottom"/>
          </w:tcPr>
          <w:p>
            <w:pPr>
              <w:spacing w:after="0"/>
              <w:rPr>
                <w:sz w:val="15"/>
                <w:szCs w:val="15"/>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8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5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54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54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33"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0" w:lineRule="exact"/>
        <w:rPr>
          <w:sz w:val="20"/>
          <w:szCs w:val="20"/>
          <w:color w:val="auto"/>
        </w:rPr>
      </w:pPr>
    </w:p>
    <w:p>
      <w:pPr>
        <w:ind w:right="12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2016,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jc w:val="right"/>
        <w:ind w:right="9920"/>
        <w:spacing w:after="0"/>
        <w:tabs>
          <w:tab w:leader="none" w:pos="1058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80"/>
        <w:spacing w:after="0"/>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65">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302 of the Sarbanes-Oxley Act of</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2002</w:t>
        </w:r>
      </w:hyperlink>
    </w:p>
    <w:p>
      <w:pPr>
        <w:spacing w:after="0" w:line="112" w:lineRule="exact"/>
        <w:rPr>
          <w:sz w:val="20"/>
          <w:szCs w:val="20"/>
          <w:color w:val="auto"/>
        </w:rPr>
      </w:pPr>
    </w:p>
    <w:p>
      <w:pPr>
        <w:ind w:left="80"/>
        <w:spacing w:after="0"/>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66">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302 of the Sarbanes-Oxley Act of</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2002</w:t>
        </w:r>
      </w:hyperlink>
    </w:p>
    <w:p>
      <w:pPr>
        <w:spacing w:after="0" w:line="112" w:lineRule="exact"/>
        <w:rPr>
          <w:sz w:val="20"/>
          <w:szCs w:val="20"/>
          <w:color w:val="auto"/>
        </w:rPr>
      </w:pPr>
    </w:p>
    <w:p>
      <w:pPr>
        <w:ind w:left="80"/>
        <w:spacing w:after="0"/>
        <w:tabs>
          <w:tab w:leader="none" w:pos="5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31.3</w:t>
      </w:r>
      <w:r>
        <w:rPr>
          <w:sz w:val="20"/>
          <w:szCs w:val="20"/>
          <w:color w:val="auto"/>
        </w:rPr>
        <w:tab/>
      </w:r>
      <w:hyperlink w:anchor="page67">
        <w:r>
          <w:rPr>
            <w:rFonts w:ascii="Times New Roman" w:cs="Times New Roman" w:eastAsia="Times New Roman" w:hAnsi="Times New Roman"/>
            <w:sz w:val="18"/>
            <w:szCs w:val="18"/>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500"/>
        <w:spacing w:after="0"/>
        <w:tabs>
          <w:tab w:leader="none" w:pos="580" w:val="left"/>
        </w:tabs>
        <w:numPr>
          <w:ilvl w:val="0"/>
          <w:numId w:val="48"/>
        </w:numPr>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Certification of Co-CEOs and CFO Pursuant to 18 U.S.C. Section 1350, as Adopted Pursuant to Section 906 of the Sarbanes-Oxley Act of 2002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3" w:right="4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7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By: /s/ Joshua Easterly</w:t>
            </w:r>
          </w:p>
        </w:tc>
      </w:tr>
      <w:tr>
        <w:trPr>
          <w:trHeight w:val="191"/>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By: /s/ Michael Fishman</w:t>
            </w:r>
          </w:p>
        </w:tc>
      </w:tr>
      <w:tr>
        <w:trPr>
          <w:trHeight w:val="191"/>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7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By: /s/ Ian Simmonds</w:t>
            </w:r>
          </w:p>
        </w:tc>
      </w:tr>
      <w:tr>
        <w:trPr>
          <w:trHeight w:val="191"/>
        </w:trPr>
        <w:tc>
          <w:tcPr>
            <w:tcW w:w="37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700" w:type="dxa"/>
            <w:vAlign w:val="bottom"/>
          </w:tcPr>
          <w:p>
            <w:pPr>
              <w:spacing w:after="0"/>
              <w:rPr>
                <w:sz w:val="24"/>
                <w:szCs w:val="24"/>
                <w:color w:val="auto"/>
              </w:rPr>
            </w:pPr>
          </w:p>
        </w:tc>
        <w:tc>
          <w:tcPr>
            <w:tcW w:w="35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64</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1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Joshua Easterly</w:t>
            </w:r>
          </w:p>
        </w:tc>
      </w:tr>
      <w:tr>
        <w:trPr>
          <w:trHeight w:val="191"/>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Fishman, certify that:</w:t>
      </w:r>
    </w:p>
    <w:p>
      <w:pPr>
        <w:spacing w:after="0" w:line="117" w:lineRule="exact"/>
        <w:rPr>
          <w:sz w:val="20"/>
          <w:szCs w:val="20"/>
          <w:color w:val="auto"/>
        </w:rPr>
      </w:pPr>
    </w:p>
    <w:p>
      <w:pPr>
        <w:ind w:left="780" w:hanging="515"/>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10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/s/ Michael Fishman</w:t>
            </w:r>
          </w:p>
        </w:tc>
      </w:tr>
      <w:tr>
        <w:trPr>
          <w:trHeight w:val="191"/>
        </w:trPr>
        <w:tc>
          <w:tcPr>
            <w:tcW w:w="4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80" w:hanging="515"/>
        <w:spacing w:after="0" w:line="266"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5"/>
        <w:spacing w:after="0" w:line="28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5"/>
        <w:spacing w:after="0" w:line="266"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100" w:hanging="522"/>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40" w:hanging="522"/>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300" w:right="400" w:hanging="522"/>
        <w:spacing w:after="0" w:line="313" w:lineRule="auto"/>
        <w:tabs>
          <w:tab w:leader="none" w:pos="130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300" w:right="260" w:hanging="522"/>
        <w:spacing w:after="0" w:line="266"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5"/>
        <w:spacing w:after="0" w:line="282" w:lineRule="auto"/>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40" w:hanging="522"/>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40" w:hanging="522"/>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2017</w:t>
            </w:r>
          </w:p>
        </w:tc>
        <w:tc>
          <w:tcPr>
            <w:tcW w:w="708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Ian Simmonds</w:t>
            </w:r>
          </w:p>
        </w:tc>
      </w:tr>
      <w:tr>
        <w:trPr>
          <w:trHeight w:val="191"/>
        </w:trPr>
        <w:tc>
          <w:tcPr>
            <w:tcW w:w="4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43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Specialty Lending, Inc. (the “Company”) for the quarterly period ended September 30, 2017, as filed with the Securities and Exchange Commission on the date hereof (the “Report”), Joshua Easterly and Michael Fishman, as Co-Chief Executive Officers of the Company, and Ian Simmonds,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54"/>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November 7, 2017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Fishman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7, 2017</w:t>
            </w:r>
          </w:p>
        </w:tc>
      </w:tr>
      <w:tr>
        <w:trPr>
          <w:trHeight w:val="459"/>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Ian Simmonds</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7, 2017</w:t>
            </w: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lvl w:ilvl="1">
      <w:lvlJc w:val="left"/>
      <w:lvlText w:val="(%2)"/>
      <w:numFmt w:val="lowerLetter"/>
      <w:start w:val="1"/>
    </w:lvl>
  </w:abstractNum>
  <w:abstractNum w:abstractNumId="4">
    <w:nsid w:val="836C40E"/>
    <w:multiLevelType w:val="hybridMultilevel"/>
    <w:lvl w:ilvl="0">
      <w:lvlJc w:val="left"/>
      <w:lvlText w:val="(%1)"/>
      <w:numFmt w:val="decimal"/>
      <w:start w:val="1"/>
    </w:lvl>
    <w:lvl w:ilvl="1">
      <w:lvlJc w:val="left"/>
      <w:lvlText w:val="%2"/>
      <w:numFmt w:val="lowerLetter"/>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1"/>
    </w:lvl>
    <w:lvl w:ilvl="1">
      <w:lvlJc w:val="left"/>
      <w:lvlText w:val="(%2)"/>
      <w:numFmt w:val="lowerLetter"/>
      <w:start w:val="1"/>
    </w:lvl>
  </w:abstractNum>
  <w:abstractNum w:abstractNumId="7">
    <w:nsid w:val="8138641"/>
    <w:multiLevelType w:val="hybridMultilevel"/>
    <w:lvl w:ilvl="0">
      <w:lvlJc w:val="left"/>
      <w:lvlText w:val="(%1)"/>
      <w:numFmt w:val="decimal"/>
      <w:start w:val="8"/>
    </w:lvl>
    <w:lvl w:ilvl="1">
      <w:lvlJc w:val="left"/>
      <w:lvlText w:val="%2"/>
      <w:numFmt w:val="lowerLetter"/>
      <w:start w:val="1"/>
    </w:lvl>
  </w:abstractNum>
  <w:abstractNum w:abstractNumId="8">
    <w:nsid w:val="1E7FF521"/>
    <w:multiLevelType w:val="hybridMultilevel"/>
    <w:lvl w:ilvl="0">
      <w:lvlJc w:val="left"/>
      <w:lvlText w:val="%1"/>
      <w:numFmt w:val="decimal"/>
      <w:start w:val="1"/>
    </w:lvl>
    <w:lvl w:ilvl="1">
      <w:lvlJc w:val="left"/>
      <w:lvlText w:val="(%2)"/>
      <w:numFmt w:val="lowerLetter"/>
      <w:start w:val="1"/>
    </w:lvl>
  </w:abstractNum>
  <w:abstractNum w:abstractNumId="9">
    <w:nsid w:val="7C3DBD3D"/>
    <w:multiLevelType w:val="hybridMultilevel"/>
    <w:lvl w:ilvl="0">
      <w:lvlJc w:val="left"/>
      <w:lvlText w:val="(%1)"/>
      <w:numFmt w:val="decimal"/>
      <w:start w:val="1"/>
    </w:lvl>
    <w:lvl w:ilvl="1">
      <w:lvlJc w:val="left"/>
      <w:lvlText w:val="%2"/>
      <w:numFmt w:val="lowerLetter"/>
      <w:start w:val="1"/>
    </w:lvl>
  </w:abstractNum>
  <w:abstractNum w:abstractNumId="10">
    <w:nsid w:val="737B8DDC"/>
    <w:multiLevelType w:val="hybridMultilevel"/>
    <w:lvl w:ilvl="0">
      <w:lvlJc w:val="left"/>
      <w:lvlText w:val="%1"/>
      <w:numFmt w:val="decimal"/>
      <w:start w:val="1"/>
    </w:lvl>
    <w:lvl w:ilvl="1">
      <w:lvlJc w:val="left"/>
      <w:lvlText w:val="(%2)"/>
      <w:numFmt w:val="lowerLetter"/>
      <w:start w:val="1"/>
    </w:lvl>
  </w:abstractNum>
  <w:abstractNum w:abstractNumId="11">
    <w:nsid w:val="6CEAF087"/>
    <w:multiLevelType w:val="hybridMultilevel"/>
    <w:lvl w:ilvl="0">
      <w:lvlJc w:val="left"/>
      <w:lvlText w:val="(%1)"/>
      <w:numFmt w:val="decimal"/>
      <w:start w:val="8"/>
    </w:lvl>
    <w:lvl w:ilvl="1">
      <w:lvlJc w:val="left"/>
      <w:lvlText w:val="%2"/>
      <w:numFmt w:val="lowerLetter"/>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Roman"/>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0"/>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3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2019-12-29T04:02:09Z</dcterms:created>
  <dcterms:modified xsi:type="dcterms:W3CDTF">2019-12-29T04:02:09Z</dcterms:modified>
</cp:coreProperties>
</file>