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6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544"/>
        <w:spacing w:after="0"/>
        <w:rPr>
          <w:sz w:val="20"/>
          <w:szCs w:val="20"/>
          <w:color w:val="auto"/>
        </w:rPr>
      </w:pPr>
      <w:r>
        <w:rPr>
          <w:rFonts w:ascii="Arial" w:cs="Arial" w:eastAsia="Arial" w:hAnsi="Arial"/>
          <w:sz w:val="29"/>
          <w:szCs w:val="29"/>
          <w:b w:val="1"/>
          <w:bCs w:val="1"/>
          <w:color w:val="auto"/>
        </w:rPr>
        <w:t>SCHEDULE 14A INFORMATION</w:t>
      </w:r>
    </w:p>
    <w:p>
      <w:pPr>
        <w:spacing w:after="0" w:line="107"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203835</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0"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4"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16"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6"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75" w:lineRule="exact"/>
        <w:rPr>
          <w:sz w:val="24"/>
          <w:szCs w:val="24"/>
          <w:color w:val="auto"/>
        </w:rPr>
      </w:pPr>
    </w:p>
    <w:p>
      <w:pPr>
        <w:jc w:val="center"/>
        <w:ind w:right="-63"/>
        <w:spacing w:after="0"/>
        <w:rPr>
          <w:sz w:val="20"/>
          <w:szCs w:val="20"/>
          <w:color w:val="auto"/>
        </w:rPr>
      </w:pPr>
      <w:r>
        <w:rPr>
          <w:rFonts w:ascii="Arial" w:cs="Arial" w:eastAsia="Arial" w:hAnsi="Arial"/>
          <w:sz w:val="38"/>
          <w:szCs w:val="38"/>
          <w:b w:val="1"/>
          <w:bCs w:val="1"/>
          <w:color w:val="auto"/>
        </w:rPr>
        <w:t>TICC CAPITAL CORP.</w:t>
      </w:r>
    </w:p>
    <w:p>
      <w:pPr>
        <w:spacing w:after="0" w:line="47" w:lineRule="exact"/>
        <w:rPr>
          <w:sz w:val="24"/>
          <w:szCs w:val="24"/>
          <w:color w:val="auto"/>
        </w:rPr>
      </w:pPr>
    </w:p>
    <w:p>
      <w:pPr>
        <w:ind w:left="4184"/>
        <w:spacing w:after="0"/>
        <w:rPr>
          <w:sz w:val="20"/>
          <w:szCs w:val="20"/>
          <w:color w:val="auto"/>
        </w:rPr>
      </w:pPr>
      <w:r>
        <w:rPr>
          <w:rFonts w:ascii="Arial" w:cs="Arial" w:eastAsia="Arial" w:hAnsi="Arial"/>
          <w:sz w:val="16"/>
          <w:szCs w:val="16"/>
          <w:color w:val="auto"/>
        </w:rPr>
        <w:t>(Name of Registrant as Specified In Its Charter)</w:t>
      </w:r>
    </w:p>
    <w:p>
      <w:pPr>
        <w:spacing w:after="0" w:line="86" w:lineRule="exact"/>
        <w:rPr>
          <w:sz w:val="24"/>
          <w:szCs w:val="24"/>
          <w:color w:val="auto"/>
        </w:rPr>
      </w:pPr>
    </w:p>
    <w:p>
      <w:pPr>
        <w:ind w:left="4744"/>
        <w:spacing w:after="0"/>
        <w:rPr>
          <w:sz w:val="20"/>
          <w:szCs w:val="20"/>
          <w:color w:val="auto"/>
        </w:rPr>
      </w:pPr>
      <w:r>
        <w:rPr>
          <w:rFonts w:ascii="Arial" w:cs="Arial" w:eastAsia="Arial" w:hAnsi="Arial"/>
          <w:sz w:val="16"/>
          <w:szCs w:val="16"/>
          <w:b w:val="1"/>
          <w:bCs w:val="1"/>
          <w:color w:val="auto"/>
        </w:rPr>
        <w:t>TPG Specialty Lending, Inc.</w:t>
      </w:r>
    </w:p>
    <w:p>
      <w:pPr>
        <w:spacing w:after="0" w:line="25" w:lineRule="exact"/>
        <w:rPr>
          <w:sz w:val="24"/>
          <w:szCs w:val="24"/>
          <w:color w:val="auto"/>
        </w:rPr>
      </w:pPr>
    </w:p>
    <w:p>
      <w:pPr>
        <w:jc w:val="center"/>
        <w:ind w:right="-6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38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spacing w:after="0" w:line="217"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not required.</w:t>
      </w:r>
    </w:p>
    <w:p>
      <w:pPr>
        <w:spacing w:after="0" w:line="200" w:lineRule="exact"/>
        <w:rPr>
          <w:sz w:val="24"/>
          <w:szCs w:val="24"/>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0" w:lineRule="exact"/>
        <w:rPr>
          <w:rFonts w:ascii="MS PGothic" w:cs="MS PGothic" w:eastAsia="MS PGothic" w:hAnsi="MS PGothic"/>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line="277" w:lineRule="auto"/>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96" w:lineRule="exact"/>
        <w:rPr>
          <w:rFonts w:ascii="MS PGothic" w:cs="MS PGothic" w:eastAsia="MS PGothic" w:hAnsi="MS PGothic"/>
          <w:sz w:val="16"/>
          <w:szCs w:val="16"/>
          <w:color w:val="auto"/>
        </w:rPr>
      </w:pPr>
    </w:p>
    <w:p>
      <w:pPr>
        <w:ind w:left="464" w:right="40" w:hanging="464"/>
        <w:spacing w:after="0" w:line="277" w:lineRule="auto"/>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-3937635</wp:posOffset>
            </wp:positionV>
            <wp:extent cx="66744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-3540760</wp:posOffset>
            </wp:positionV>
            <wp:extent cx="66744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-3021965</wp:posOffset>
            </wp:positionV>
            <wp:extent cx="6674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-2625725</wp:posOffset>
            </wp:positionV>
            <wp:extent cx="6674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-2228850</wp:posOffset>
            </wp:positionV>
            <wp:extent cx="6674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-916940</wp:posOffset>
            </wp:positionV>
            <wp:extent cx="66744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-520065</wp:posOffset>
            </wp:positionV>
            <wp:extent cx="66744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-123190</wp:posOffset>
            </wp:positionV>
            <wp:extent cx="66744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272415</wp:posOffset>
            </wp:positionV>
            <wp:extent cx="66744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432435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470535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4"/>
          </w:cols>
          <w:pgMar w:left="236" w:top="415" w:right="279" w:bottom="887" w:gutter="0" w:footer="0" w:header="0"/>
        </w:sectPr>
      </w:pPr>
    </w:p>
    <w:bookmarkStart w:id="1" w:name="page2"/>
    <w:bookmarkEnd w:id="1"/>
    <w:p>
      <w:pPr>
        <w:spacing w:after="0" w:line="259" w:lineRule="auto"/>
        <w:rPr>
          <w:sz w:val="20"/>
          <w:szCs w:val="20"/>
          <w:color w:val="auto"/>
        </w:rPr>
      </w:pPr>
      <w:r>
        <w:rPr>
          <w:rFonts w:ascii="Arial" w:cs="Arial" w:eastAsia="Arial" w:hAnsi="Arial"/>
          <w:sz w:val="16"/>
          <w:szCs w:val="16"/>
          <w:color w:val="auto"/>
        </w:rPr>
        <w:t>TPG Specialty Lending, Inc., together with the other participants named herein (collectively, “TSLX”), has filed a definitive proxy statement and an accompanying GOLD proxy card with the Securities and Exchange Commission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August 8, 2016, representatives of TSLX gave a presentation to representatives of Institutional Shareholder Services Inc. regarding TICC (the “ISS Presentation”). Slides for the ISS Presentation are attached hereto.</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On August 8, 2016, TPG Specialty Lending, Inc. also issued the following press release:</w:t>
      </w:r>
    </w:p>
    <w:p>
      <w:pPr>
        <w:spacing w:after="0" w:line="196"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b w:val="1"/>
          <w:bCs w:val="1"/>
          <w:color w:val="auto"/>
        </w:rPr>
        <w:t>TPG Specialty Lending, Inc. Issues Presentation Detailing Why TICC Capital Corp. Stockholders Should Vote FOR its Proposal to Terminate Existing External Adviser and FOR the Election of T. Kelley Millet to TICC’s Board of Directors at Upcoming Annual Meeting</w:t>
      </w:r>
    </w:p>
    <w:p>
      <w:pPr>
        <w:spacing w:after="0" w:line="148" w:lineRule="exact"/>
        <w:rPr>
          <w:sz w:val="20"/>
          <w:szCs w:val="20"/>
          <w:color w:val="auto"/>
        </w:rPr>
      </w:pPr>
    </w:p>
    <w:p>
      <w:pPr>
        <w:jc w:val="both"/>
        <w:ind w:right="2400"/>
        <w:spacing w:after="0" w:line="573" w:lineRule="auto"/>
        <w:rPr>
          <w:sz w:val="20"/>
          <w:szCs w:val="20"/>
          <w:color w:val="auto"/>
        </w:rPr>
      </w:pPr>
      <w:r>
        <w:rPr>
          <w:rFonts w:ascii="Arial" w:cs="Arial" w:eastAsia="Arial" w:hAnsi="Arial"/>
          <w:sz w:val="14"/>
          <w:szCs w:val="14"/>
          <w:b w:val="1"/>
          <w:bCs w:val="1"/>
          <w:i w:val="1"/>
          <w:iCs w:val="1"/>
          <w:color w:val="auto"/>
        </w:rPr>
        <w:t>Highlights Need for Change at TICC Due to a Decade of Underperformance and Questionable Governance Practices by TICC’s Board Outlines How TICC’s History of Inaction Shows a Clear Inability by TICC’s Board to Act Independently for the Benefit of Stockholders Demonstrates that TICC Stockholders Could Benefit From Opportunity to Achieve Improved Returns with New External Adviser</w:t>
      </w:r>
    </w:p>
    <w:p>
      <w:pPr>
        <w:spacing w:after="0"/>
        <w:rPr>
          <w:sz w:val="20"/>
          <w:szCs w:val="20"/>
          <w:color w:val="auto"/>
        </w:rPr>
      </w:pPr>
      <w:r>
        <w:rPr>
          <w:rFonts w:ascii="Arial" w:cs="Arial" w:eastAsia="Arial" w:hAnsi="Arial"/>
          <w:sz w:val="16"/>
          <w:szCs w:val="16"/>
          <w:b w:val="1"/>
          <w:bCs w:val="1"/>
          <w:i w:val="1"/>
          <w:iCs w:val="1"/>
          <w:color w:val="auto"/>
        </w:rPr>
        <w:t>Urges TICC Stockholders to Vote the GOLD Proxy Card to Terminate TICC’s External Adviser’s Contract and Elect T. Kelley Millet to the TICC Board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NEW YORK — (BUSINESS WIRE)— TPG Specialty Lending, Inc. (“TSLX”; NYSE: TSLX), a specialty finance company focused on lending to middle-market companies,</w:t>
      </w:r>
    </w:p>
    <w:p>
      <w:pPr>
        <w:spacing w:after="0" w:line="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today issued a presentation titled, “Eliminate the TICC Discount: TPG Specialty Lending Review of Need for Change at TICC.” The presentation outlines why stockholders of TICC Capital Corp. (“TICC”; NASDAQ: TICC) should vote the GOLD proxy card to terminate TICC’s external adviser’s advisory contract and to elect T. Kelley Millet to the TICC Board at the upcoming annual meeting of stockholders on September 2, 2016.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can be found at http://www.changeticcnow.com/content/uploads/2016/08/Eliminate-the-TICC-Discount.pdf.</w:t>
      </w:r>
    </w:p>
    <w:p>
      <w:pPr>
        <w:spacing w:after="0" w:line="200"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The presentation highlights the significant concerns expressed by independent analysts and fellow TICC stockholders regarding TICC’s abysmal performance and self-serving governance practices, and describes the clear benefits that a best-in-class adviser and an experienced, independent director would deliver to stockholders. A vote on the GOLD card FOR TSLX’s proposal and FOR the election of T. Kelley Millet provides a path to value creation for stockholders by:</w:t>
      </w:r>
    </w:p>
    <w:p>
      <w:pPr>
        <w:spacing w:after="0" w:line="78" w:lineRule="exact"/>
        <w:rPr>
          <w:sz w:val="20"/>
          <w:szCs w:val="20"/>
          <w:color w:val="auto"/>
        </w:rPr>
      </w:pPr>
    </w:p>
    <w:p>
      <w:pPr>
        <w:ind w:left="900" w:hanging="33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Presenting the opportunity for change that the existing external adviser and Board have proven incapable of providing;</w:t>
      </w:r>
    </w:p>
    <w:p>
      <w:pPr>
        <w:spacing w:after="0" w:line="116" w:lineRule="exact"/>
        <w:rPr>
          <w:rFonts w:ascii="Arial" w:cs="Arial" w:eastAsia="Arial" w:hAnsi="Arial"/>
          <w:sz w:val="16"/>
          <w:szCs w:val="16"/>
          <w:color w:val="auto"/>
        </w:rPr>
      </w:pPr>
    </w:p>
    <w:p>
      <w:pPr>
        <w:ind w:left="900" w:hanging="33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Removing an adviser that has delivered abysmal returns since TICC’s 2003 IPO;</w:t>
      </w:r>
    </w:p>
    <w:p>
      <w:pPr>
        <w:spacing w:after="0" w:line="116" w:lineRule="exact"/>
        <w:rPr>
          <w:rFonts w:ascii="Arial" w:cs="Arial" w:eastAsia="Arial" w:hAnsi="Arial"/>
          <w:sz w:val="16"/>
          <w:szCs w:val="16"/>
          <w:color w:val="auto"/>
        </w:rPr>
      </w:pPr>
    </w:p>
    <w:p>
      <w:pPr>
        <w:ind w:left="900" w:hanging="33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Offering an opportunity to install a credible and reputable external adviser and protect stockholder value; and</w:t>
      </w:r>
    </w:p>
    <w:p>
      <w:pPr>
        <w:spacing w:after="0" w:line="116" w:lineRule="exact"/>
        <w:rPr>
          <w:rFonts w:ascii="Arial" w:cs="Arial" w:eastAsia="Arial" w:hAnsi="Arial"/>
          <w:sz w:val="16"/>
          <w:szCs w:val="16"/>
          <w:color w:val="auto"/>
        </w:rPr>
      </w:pPr>
    </w:p>
    <w:p>
      <w:pPr>
        <w:ind w:left="900" w:hanging="33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Replacing an entrenched and biased Board member with a truly independent and highly-qualified director, T. Kelley Millet.</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Joshua Easterly, Chairman and Co-Chief Executive Officer of TSLX, commented: “This Board cannot be trusted to independently implement changes that benefit all stockholders. TICC’s stockholders have suffered long enough from more than a decade of failed performance on the part of its external adviser and self-interested actions by its Board. We are confident that TICC’s stockholders will vote GOLD to terminate the external adviser and to elect our highly qualified, independent nominee, T. Kelley Millet, to the TICC Board to provide the opportunity for improved returns and real change and to set TICC on the path toward value creation.”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TSLX’s proxy materials are also available through the SEC’s website and at www.changeTICCnow.com.</w:t>
      </w:r>
    </w:p>
    <w:p>
      <w:pPr>
        <w:sectPr>
          <w:pgSz w:w="11900" w:h="16838" w:orient="portrait"/>
          <w:cols w:equalWidth="0" w:num="1">
            <w:col w:w="11360"/>
          </w:cols>
          <w:pgMar w:left="240" w:top="127"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About TPG Specialty Lending</w:t>
      </w:r>
    </w:p>
    <w:p>
      <w:pPr>
        <w:spacing w:after="0" w:line="108"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www.tpgspecialtylending.com.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5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addition to these factors, other factors that may affect TSLX’s plans, results or stock price are set forth in TSLX’s Annual Report on Form 10-K and in its reports on Forms 10-Q and 8-K.</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20"/>
          </w:cols>
          <w:pgMar w:left="240" w:top="255"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Third Party-Sourced Statements and Information</w:t>
      </w:r>
    </w:p>
    <w:p>
      <w:pPr>
        <w:spacing w:after="0" w:line="108"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Solicitation Information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62"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 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420"/>
          </w:cols>
          <w:pgMar w:left="240" w:top="25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Contacts: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Lucy Lu</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212-601-4753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llu@tpg.com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Charlie Koons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MacKenzie Partners,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800-322-2885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tpg@mackenziepartners.com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Luke Barrett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212-601-4752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lbarrett@tpg.com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Dan Scorpio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Abernathy MacGregor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212-371-5999</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tbj@abmac.com / dps@abmac.com</w:t>
      </w:r>
    </w:p>
    <w:p>
      <w:pPr>
        <w:sectPr>
          <w:pgSz w:w="11900" w:h="16838" w:orient="portrait"/>
          <w:cols w:equalWidth="0" w:num="1">
            <w:col w:w="10219"/>
          </w:cols>
          <w:pgMar w:left="240" w:top="255"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2019-12-18T22:28:56Z</dcterms:created>
  <dcterms:modified xsi:type="dcterms:W3CDTF">2019-12-18T22:28:56Z</dcterms:modified>
</cp:coreProperties>
</file>